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71B7D" w:rsidRPr="005F026E" w:rsidP="0063779E" w14:paraId="3BAA9A1D" w14:textId="77777777">
      <w:pPr>
        <w:tabs>
          <w:tab w:val="center" w:pos="4680"/>
        </w:tabs>
        <w:spacing w:before="120"/>
        <w:ind w:firstLine="720"/>
        <w:rPr>
          <w:b/>
          <w:bCs/>
          <w:sz w:val="24"/>
        </w:rPr>
      </w:pPr>
    </w:p>
    <w:p w:rsidR="002313C1" w:rsidRPr="007C5680" w:rsidP="00471B7D" w14:paraId="523A1C55" w14:textId="05C041D7">
      <w:pPr>
        <w:tabs>
          <w:tab w:val="center" w:pos="4680"/>
        </w:tabs>
        <w:spacing w:before="120"/>
        <w:rPr>
          <w:b/>
          <w:bCs/>
          <w:sz w:val="32"/>
          <w:szCs w:val="32"/>
        </w:rPr>
      </w:pPr>
      <w:r w:rsidRPr="005F026E">
        <w:rPr>
          <w:b/>
          <w:bCs/>
          <w:sz w:val="24"/>
        </w:rPr>
        <w:tab/>
      </w:r>
      <w:r w:rsidRPr="007C5680">
        <w:rPr>
          <w:b/>
          <w:bCs/>
          <w:sz w:val="32"/>
          <w:szCs w:val="32"/>
        </w:rPr>
        <w:t>Supporting Statement A</w:t>
      </w:r>
    </w:p>
    <w:p w:rsidR="002313C1" w:rsidRPr="007C5680" w:rsidP="002313C1" w14:paraId="1A5DD72D" w14:textId="77777777">
      <w:pPr>
        <w:tabs>
          <w:tab w:val="center" w:pos="4680"/>
        </w:tabs>
        <w:spacing w:before="120"/>
        <w:jc w:val="center"/>
        <w:rPr>
          <w:b/>
          <w:bCs/>
          <w:sz w:val="32"/>
          <w:szCs w:val="32"/>
        </w:rPr>
      </w:pPr>
    </w:p>
    <w:p w:rsidR="002313C1" w:rsidRPr="007C5680" w:rsidP="002313C1" w14:paraId="1D149B36" w14:textId="35A09E76">
      <w:pPr>
        <w:tabs>
          <w:tab w:val="center" w:pos="4680"/>
        </w:tabs>
        <w:spacing w:before="120"/>
        <w:jc w:val="center"/>
        <w:rPr>
          <w:b/>
          <w:bCs/>
          <w:sz w:val="32"/>
          <w:szCs w:val="32"/>
        </w:rPr>
      </w:pPr>
      <w:r w:rsidRPr="007C5680">
        <w:rPr>
          <w:b/>
          <w:bCs/>
          <w:sz w:val="32"/>
          <w:szCs w:val="32"/>
        </w:rPr>
        <w:t xml:space="preserve">Healthy Start Evaluation and </w:t>
      </w:r>
      <w:r w:rsidRPr="007C5680" w:rsidR="00FF06AA">
        <w:rPr>
          <w:b/>
          <w:bCs/>
          <w:sz w:val="32"/>
          <w:szCs w:val="32"/>
        </w:rPr>
        <w:t xml:space="preserve">Capacity Building </w:t>
      </w:r>
      <w:r w:rsidR="00146447">
        <w:rPr>
          <w:b/>
          <w:bCs/>
          <w:sz w:val="32"/>
          <w:szCs w:val="32"/>
        </w:rPr>
        <w:t>Support</w:t>
      </w:r>
    </w:p>
    <w:p w:rsidR="007667E5" w:rsidP="002313C1" w14:paraId="27E9ACB9" w14:textId="77777777">
      <w:pPr>
        <w:tabs>
          <w:tab w:val="center" w:pos="4680"/>
        </w:tabs>
        <w:spacing w:before="120"/>
        <w:jc w:val="center"/>
        <w:rPr>
          <w:b/>
          <w:bCs/>
          <w:sz w:val="32"/>
          <w:szCs w:val="32"/>
          <w:highlight w:val="yellow"/>
        </w:rPr>
        <w:sectPr w:rsidSect="000304B7">
          <w:footerReference w:type="default" r:id="rId9"/>
          <w:endnotePr>
            <w:numFmt w:val="decimal"/>
          </w:endnotePr>
          <w:type w:val="continuous"/>
          <w:pgSz w:w="12240" w:h="15840" w:code="1"/>
          <w:pgMar w:top="1440" w:right="1440" w:bottom="1440" w:left="1440" w:header="720" w:footer="720" w:gutter="0"/>
          <w:cols w:space="720"/>
          <w:noEndnote/>
        </w:sectPr>
      </w:pPr>
      <w:r w:rsidRPr="007C5680">
        <w:rPr>
          <w:b/>
          <w:bCs/>
          <w:sz w:val="32"/>
          <w:szCs w:val="32"/>
        </w:rPr>
        <w:t xml:space="preserve">OMB Control No. </w:t>
      </w:r>
      <w:r w:rsidRPr="00D93F2E" w:rsidR="00DF68F1">
        <w:rPr>
          <w:b/>
          <w:bCs/>
          <w:sz w:val="32"/>
          <w:szCs w:val="32"/>
          <w:highlight w:val="yellow"/>
        </w:rPr>
        <w:t>xxxx</w:t>
      </w:r>
      <w:r w:rsidRPr="00D93F2E">
        <w:rPr>
          <w:b/>
          <w:bCs/>
          <w:sz w:val="32"/>
          <w:szCs w:val="32"/>
          <w:highlight w:val="yellow"/>
        </w:rPr>
        <w:t>-</w:t>
      </w:r>
      <w:r w:rsidRPr="00D93F2E" w:rsidR="00DF68F1">
        <w:rPr>
          <w:b/>
          <w:bCs/>
          <w:sz w:val="32"/>
          <w:szCs w:val="32"/>
          <w:highlight w:val="yellow"/>
        </w:rPr>
        <w:t>xxxx</w:t>
      </w:r>
    </w:p>
    <w:p w:rsidR="002313C1" w:rsidP="00DF68F1" w14:paraId="14568907" w14:textId="126099E5">
      <w:pPr>
        <w:spacing w:before="120"/>
        <w:rPr>
          <w:b/>
          <w:sz w:val="24"/>
        </w:rPr>
      </w:pPr>
      <w:r w:rsidRPr="005F026E">
        <w:rPr>
          <w:b/>
          <w:sz w:val="24"/>
        </w:rPr>
        <w:t>Terms of Clearance:</w:t>
      </w:r>
      <w:r w:rsidR="00FB01FC">
        <w:rPr>
          <w:sz w:val="24"/>
        </w:rPr>
        <w:t xml:space="preserve"> </w:t>
      </w:r>
      <w:r w:rsidRPr="005F026E">
        <w:rPr>
          <w:b/>
          <w:sz w:val="24"/>
        </w:rPr>
        <w:t xml:space="preserve">None </w:t>
      </w:r>
    </w:p>
    <w:p w:rsidR="00CF4647" w:rsidRPr="005F026E" w:rsidP="00DF68F1" w14:paraId="42660C2F" w14:textId="77777777">
      <w:pPr>
        <w:spacing w:before="120"/>
        <w:rPr>
          <w:sz w:val="24"/>
        </w:rPr>
      </w:pPr>
    </w:p>
    <w:p w:rsidR="009B3794" w:rsidRPr="005F026E" w:rsidP="00EB15BC" w14:paraId="56D3962D" w14:textId="7EF92B9D">
      <w:pPr>
        <w:pStyle w:val="Heading2"/>
        <w:rPr>
          <w:rFonts w:ascii="Times New Roman" w:hAnsi="Times New Roman" w:cs="Times New Roman"/>
          <w:sz w:val="24"/>
          <w:szCs w:val="24"/>
        </w:rPr>
      </w:pPr>
      <w:r w:rsidRPr="005F026E">
        <w:rPr>
          <w:rFonts w:ascii="Times New Roman" w:hAnsi="Times New Roman" w:cs="Times New Roman"/>
          <w:sz w:val="24"/>
          <w:szCs w:val="24"/>
        </w:rPr>
        <w:t>A.</w:t>
      </w:r>
      <w:r w:rsidRPr="005F026E">
        <w:rPr>
          <w:rFonts w:ascii="Times New Roman" w:hAnsi="Times New Roman" w:cs="Times New Roman"/>
          <w:sz w:val="24"/>
          <w:szCs w:val="24"/>
        </w:rPr>
        <w:tab/>
        <w:t>Justification</w:t>
      </w:r>
    </w:p>
    <w:p w:rsidR="009B3794" w:rsidRPr="005F026E" w:rsidP="00EB15BC" w14:paraId="0E3524E0" w14:textId="45FE2319">
      <w:pPr>
        <w:pStyle w:val="Heading3"/>
      </w:pPr>
      <w:r w:rsidRPr="005F026E">
        <w:rPr>
          <w:u w:val="none"/>
        </w:rPr>
        <w:t>1.</w:t>
      </w:r>
      <w:r w:rsidRPr="005F026E">
        <w:rPr>
          <w:u w:val="none"/>
        </w:rPr>
        <w:tab/>
      </w:r>
      <w:r w:rsidRPr="005F026E" w:rsidR="002471D8">
        <w:t xml:space="preserve">Circumstances </w:t>
      </w:r>
      <w:r w:rsidRPr="005F026E" w:rsidR="005640E2">
        <w:t>M</w:t>
      </w:r>
      <w:r w:rsidRPr="005F026E">
        <w:t xml:space="preserve">aking the </w:t>
      </w:r>
      <w:r w:rsidRPr="005F026E" w:rsidR="005640E2">
        <w:t>C</w:t>
      </w:r>
      <w:r w:rsidRPr="005F026E">
        <w:t xml:space="preserve">ollection of </w:t>
      </w:r>
      <w:r w:rsidRPr="005F026E" w:rsidR="005640E2">
        <w:t>I</w:t>
      </w:r>
      <w:r w:rsidRPr="005F026E">
        <w:t xml:space="preserve">nformation </w:t>
      </w:r>
      <w:r w:rsidRPr="005F026E" w:rsidR="005640E2">
        <w:t>N</w:t>
      </w:r>
      <w:r w:rsidRPr="005F026E">
        <w:t>ecessary</w:t>
      </w:r>
    </w:p>
    <w:p w:rsidR="00727026" w:rsidRPr="005F026E" w:rsidP="7435F173" w14:paraId="386B5FE4" w14:textId="01A86A60">
      <w:pPr>
        <w:ind w:firstLine="432"/>
        <w:rPr>
          <w:sz w:val="24"/>
        </w:rPr>
      </w:pPr>
      <w:r w:rsidRPr="7435F173">
        <w:rPr>
          <w:sz w:val="24"/>
        </w:rPr>
        <w:t xml:space="preserve">In compliance with Section 3506(c)(2)(A) of the Paperwork Reduction Act of 1995, this submission requests Office of Management and Budget (OMB) approval of a 3-year clearance for the Health Resources and Services Administration (HRSA) to conduct an evaluation of the Healthy Start Program. </w:t>
      </w:r>
      <w:r w:rsidRPr="7435F173" w:rsidR="62B30829">
        <w:rPr>
          <w:sz w:val="24"/>
        </w:rPr>
        <w:t xml:space="preserve">The goal of the Healthy Start Program, funded through HRSA’s Maternal and Child Health Bureau (MCHB), is to reduce disparities in maternal and infant health. </w:t>
      </w:r>
      <w:r w:rsidRPr="7435F173" w:rsidR="64BC2E74">
        <w:rPr>
          <w:sz w:val="24"/>
        </w:rPr>
        <w:t xml:space="preserve">Using a life course </w:t>
      </w:r>
      <w:r w:rsidRPr="7435F173" w:rsidR="632FDE29">
        <w:rPr>
          <w:sz w:val="24"/>
        </w:rPr>
        <w:t xml:space="preserve">approach, the </w:t>
      </w:r>
      <w:r w:rsidRPr="7435F173" w:rsidR="123AC63A">
        <w:rPr>
          <w:sz w:val="24"/>
        </w:rPr>
        <w:t>program has focused on improving the health of mothers, infants</w:t>
      </w:r>
      <w:r w:rsidRPr="7435F173" w:rsidR="2665F1E3">
        <w:rPr>
          <w:sz w:val="24"/>
        </w:rPr>
        <w:t>,</w:t>
      </w:r>
      <w:r w:rsidRPr="7435F173" w:rsidR="123AC63A">
        <w:rPr>
          <w:sz w:val="24"/>
        </w:rPr>
        <w:t xml:space="preserve"> and families in those communities with </w:t>
      </w:r>
      <w:r w:rsidRPr="7435F173" w:rsidR="627543BA">
        <w:rPr>
          <w:sz w:val="24"/>
        </w:rPr>
        <w:t xml:space="preserve">the highest </w:t>
      </w:r>
      <w:r w:rsidRPr="7435F173" w:rsidR="123AC63A">
        <w:rPr>
          <w:sz w:val="24"/>
        </w:rPr>
        <w:t>rates of infant mortality, maternal morbidity and mortality, and other adverse birth outcomes such as prematurity and low birth weight, with an emphasis on racial, ethnic, social, and economic disparities.</w:t>
      </w:r>
      <w:r w:rsidRPr="7435F173" w:rsidR="632FDE29">
        <w:rPr>
          <w:sz w:val="24"/>
        </w:rPr>
        <w:t xml:space="preserve"> Changes made to the program in 2019 added an increased focus on maternal health and strengthened activities for fathers/partners. </w:t>
      </w:r>
      <w:r w:rsidRPr="7435F173" w:rsidR="64BC2E74">
        <w:rPr>
          <w:sz w:val="24"/>
        </w:rPr>
        <w:t>The program began as a demonstration project with 15 grantees in 1991 and has expanded over the past 3 decades to 101 grantees across 3</w:t>
      </w:r>
      <w:r w:rsidRPr="7435F173" w:rsidR="679DDC3E">
        <w:rPr>
          <w:sz w:val="24"/>
        </w:rPr>
        <w:t>5</w:t>
      </w:r>
      <w:r w:rsidRPr="7435F173" w:rsidR="64BC2E74">
        <w:rPr>
          <w:sz w:val="24"/>
        </w:rPr>
        <w:t xml:space="preserve"> states, Washington, </w:t>
      </w:r>
      <w:r w:rsidRPr="7435F173" w:rsidR="13B1A0FB">
        <w:rPr>
          <w:sz w:val="24"/>
        </w:rPr>
        <w:t>D.C.,</w:t>
      </w:r>
      <w:r w:rsidRPr="7435F173" w:rsidR="64BC2E74">
        <w:rPr>
          <w:sz w:val="24"/>
        </w:rPr>
        <w:t xml:space="preserve"> and Puerto Rico</w:t>
      </w:r>
      <w:r w:rsidRPr="7435F173" w:rsidR="5F9A2746">
        <w:rPr>
          <w:sz w:val="24"/>
        </w:rPr>
        <w:t xml:space="preserve">. </w:t>
      </w:r>
      <w:r w:rsidRPr="7435F173" w:rsidR="64BC2E74">
        <w:rPr>
          <w:sz w:val="24"/>
        </w:rPr>
        <w:t>In October 2019, a bill to amend the Public Health Service Act to reauthorize the Healthy Start program (Healthy Start Reauthorization Act of 2016) for FY2020-FY2024 was enacted</w:t>
      </w:r>
      <w:r w:rsidRPr="7435F173" w:rsidR="5F9A2746">
        <w:rPr>
          <w:sz w:val="24"/>
        </w:rPr>
        <w:t>.</w:t>
      </w:r>
      <w:r w:rsidRPr="7435F173" w:rsidR="46C759B5">
        <w:rPr>
          <w:sz w:val="24"/>
        </w:rPr>
        <w:t xml:space="preserve"> </w:t>
      </w:r>
      <w:r w:rsidRPr="00EB4AED" w:rsidR="24646BE3">
        <w:rPr>
          <w:sz w:val="24"/>
        </w:rPr>
        <w:t>The collection of information for this evaluation is authorized by 42 U.S.C. § 254c-8 (Title III, Part D, § 330H of the Public Health Service Act)</w:t>
      </w:r>
      <w:r w:rsidRPr="00EB4AED" w:rsidR="6B7D1977">
        <w:rPr>
          <w:sz w:val="24"/>
        </w:rPr>
        <w:t>.</w:t>
      </w:r>
    </w:p>
    <w:p w:rsidR="00460C13" w:rsidP="7435F173" w14:paraId="4CEA4ADE" w14:textId="0017CC5E">
      <w:pPr>
        <w:ind w:firstLine="432"/>
        <w:rPr>
          <w:sz w:val="24"/>
        </w:rPr>
      </w:pPr>
      <w:r w:rsidRPr="7435F173">
        <w:rPr>
          <w:sz w:val="24"/>
        </w:rPr>
        <w:t>MCHB has long recognized the importance of addressing health disparities and inequitable</w:t>
      </w:r>
      <w:r w:rsidRPr="7435F173" w:rsidR="123AC63A">
        <w:rPr>
          <w:sz w:val="24"/>
        </w:rPr>
        <w:t xml:space="preserve"> </w:t>
      </w:r>
      <w:r w:rsidRPr="7435F173">
        <w:rPr>
          <w:sz w:val="24"/>
        </w:rPr>
        <w:t>access to health services</w:t>
      </w:r>
      <w:r w:rsidRPr="7435F173" w:rsidR="123AC63A">
        <w:rPr>
          <w:sz w:val="24"/>
        </w:rPr>
        <w:t xml:space="preserve"> and has </w:t>
      </w:r>
      <w:r w:rsidRPr="7435F173">
        <w:rPr>
          <w:sz w:val="24"/>
        </w:rPr>
        <w:t>continuously conducted assessment and evaluation of the program. Evaluation</w:t>
      </w:r>
      <w:r w:rsidRPr="7435F173" w:rsidR="123AC63A">
        <w:rPr>
          <w:sz w:val="24"/>
        </w:rPr>
        <w:t xml:space="preserve"> </w:t>
      </w:r>
      <w:r w:rsidRPr="7435F173">
        <w:rPr>
          <w:sz w:val="24"/>
        </w:rPr>
        <w:t xml:space="preserve">data are key to the identification of strengths and successes of </w:t>
      </w:r>
      <w:r w:rsidRPr="7435F173" w:rsidR="123AC63A">
        <w:rPr>
          <w:sz w:val="24"/>
        </w:rPr>
        <w:t>the Healthy Start programs</w:t>
      </w:r>
      <w:r w:rsidRPr="7435F173">
        <w:rPr>
          <w:sz w:val="24"/>
        </w:rPr>
        <w:t>, as well as</w:t>
      </w:r>
      <w:r w:rsidRPr="7435F173" w:rsidR="3987D4DF">
        <w:rPr>
          <w:sz w:val="24"/>
        </w:rPr>
        <w:t xml:space="preserve"> </w:t>
      </w:r>
      <w:r w:rsidRPr="7435F173">
        <w:rPr>
          <w:sz w:val="24"/>
        </w:rPr>
        <w:t xml:space="preserve">opportunities for improvement and development. Evaluation data can be used to improve </w:t>
      </w:r>
      <w:r w:rsidRPr="7435F173" w:rsidR="3987D4DF">
        <w:rPr>
          <w:sz w:val="24"/>
        </w:rPr>
        <w:t xml:space="preserve">the programs </w:t>
      </w:r>
      <w:r w:rsidRPr="7435F173">
        <w:rPr>
          <w:sz w:val="24"/>
        </w:rPr>
        <w:t>at the grantee and national levels; data can also demonstrate the value and importance</w:t>
      </w:r>
      <w:r w:rsidRPr="7435F173" w:rsidR="3987D4DF">
        <w:rPr>
          <w:sz w:val="24"/>
        </w:rPr>
        <w:t xml:space="preserve"> </w:t>
      </w:r>
      <w:r w:rsidRPr="7435F173">
        <w:rPr>
          <w:sz w:val="24"/>
        </w:rPr>
        <w:t>of H</w:t>
      </w:r>
      <w:r w:rsidRPr="7435F173" w:rsidR="3987D4DF">
        <w:rPr>
          <w:sz w:val="24"/>
        </w:rPr>
        <w:t xml:space="preserve">ealthy </w:t>
      </w:r>
      <w:r w:rsidRPr="7435F173">
        <w:rPr>
          <w:sz w:val="24"/>
        </w:rPr>
        <w:t>S</w:t>
      </w:r>
      <w:r w:rsidRPr="7435F173" w:rsidR="3987D4DF">
        <w:rPr>
          <w:sz w:val="24"/>
        </w:rPr>
        <w:t>tart</w:t>
      </w:r>
      <w:r w:rsidRPr="7435F173">
        <w:rPr>
          <w:sz w:val="24"/>
        </w:rPr>
        <w:t xml:space="preserve"> and provide evidence for the need for continued funding, thus </w:t>
      </w:r>
      <w:r w:rsidRPr="007B5118">
        <w:rPr>
          <w:sz w:val="24"/>
        </w:rPr>
        <w:t>ensuring a stable resource</w:t>
      </w:r>
      <w:r w:rsidRPr="007B5118" w:rsidR="3987D4DF">
        <w:rPr>
          <w:sz w:val="24"/>
        </w:rPr>
        <w:t xml:space="preserve"> </w:t>
      </w:r>
      <w:r w:rsidRPr="007B5118">
        <w:rPr>
          <w:sz w:val="24"/>
        </w:rPr>
        <w:t>within high</w:t>
      </w:r>
      <w:r w:rsidRPr="007B5118" w:rsidR="3987D4DF">
        <w:rPr>
          <w:sz w:val="24"/>
        </w:rPr>
        <w:t>-</w:t>
      </w:r>
      <w:r w:rsidRPr="007B5118">
        <w:rPr>
          <w:sz w:val="24"/>
        </w:rPr>
        <w:t>risk communities.</w:t>
      </w:r>
      <w:r w:rsidRPr="007B5118" w:rsidR="3987D4DF">
        <w:rPr>
          <w:sz w:val="24"/>
        </w:rPr>
        <w:t xml:space="preserve"> </w:t>
      </w:r>
      <w:r w:rsidRPr="007B5118">
        <w:rPr>
          <w:sz w:val="24"/>
        </w:rPr>
        <w:t xml:space="preserve">For the next cycle of evaluation, </w:t>
      </w:r>
      <w:r w:rsidRPr="007B5118" w:rsidR="3987D4DF">
        <w:rPr>
          <w:sz w:val="24"/>
        </w:rPr>
        <w:t xml:space="preserve">MCHB has </w:t>
      </w:r>
      <w:r w:rsidRPr="007B5118">
        <w:rPr>
          <w:sz w:val="24"/>
        </w:rPr>
        <w:t>partnered with Westat</w:t>
      </w:r>
      <w:r w:rsidRPr="007B5118" w:rsidR="149C6010">
        <w:rPr>
          <w:sz w:val="24"/>
        </w:rPr>
        <w:t xml:space="preserve"> (contract # 75R60219D00021)</w:t>
      </w:r>
      <w:r w:rsidRPr="007B5118">
        <w:rPr>
          <w:sz w:val="24"/>
        </w:rPr>
        <w:t xml:space="preserve"> to develop a feasible, cost</w:t>
      </w:r>
      <w:r w:rsidRPr="007B5118" w:rsidR="3987D4DF">
        <w:rPr>
          <w:sz w:val="24"/>
        </w:rPr>
        <w:t>-</w:t>
      </w:r>
      <w:r w:rsidRPr="007B5118">
        <w:rPr>
          <w:sz w:val="24"/>
        </w:rPr>
        <w:t>effective</w:t>
      </w:r>
      <w:r w:rsidRPr="007B5118" w:rsidR="64BC2E74">
        <w:rPr>
          <w:sz w:val="24"/>
        </w:rPr>
        <w:t xml:space="preserve"> </w:t>
      </w:r>
      <w:r w:rsidRPr="007B5118">
        <w:rPr>
          <w:sz w:val="24"/>
        </w:rPr>
        <w:t xml:space="preserve">evaluation design that can show </w:t>
      </w:r>
      <w:r w:rsidRPr="007B5118" w:rsidR="00F2388D">
        <w:rPr>
          <w:sz w:val="24"/>
        </w:rPr>
        <w:t xml:space="preserve">the HS programs’ </w:t>
      </w:r>
      <w:r w:rsidRPr="007B5118" w:rsidR="00995504">
        <w:rPr>
          <w:sz w:val="24"/>
        </w:rPr>
        <w:t>association with</w:t>
      </w:r>
      <w:r w:rsidRPr="007B5118" w:rsidR="00F2388D">
        <w:rPr>
          <w:sz w:val="24"/>
        </w:rPr>
        <w:t xml:space="preserve"> </w:t>
      </w:r>
      <w:r w:rsidRPr="007B5118">
        <w:rPr>
          <w:sz w:val="24"/>
        </w:rPr>
        <w:t>measurable change</w:t>
      </w:r>
      <w:r w:rsidRPr="007B5118" w:rsidR="00857E6F">
        <w:rPr>
          <w:sz w:val="24"/>
        </w:rPr>
        <w:t>s</w:t>
      </w:r>
      <w:r w:rsidRPr="007B5118">
        <w:rPr>
          <w:sz w:val="24"/>
        </w:rPr>
        <w:t xml:space="preserve"> </w:t>
      </w:r>
      <w:r w:rsidRPr="007B5118" w:rsidR="00F2388D">
        <w:rPr>
          <w:sz w:val="24"/>
        </w:rPr>
        <w:t xml:space="preserve">in </w:t>
      </w:r>
      <w:r w:rsidRPr="007B5118">
        <w:rPr>
          <w:sz w:val="24"/>
        </w:rPr>
        <w:t>infant and maternal health</w:t>
      </w:r>
      <w:r w:rsidRPr="007B5118" w:rsidR="64BC2E74">
        <w:rPr>
          <w:sz w:val="24"/>
        </w:rPr>
        <w:t xml:space="preserve"> </w:t>
      </w:r>
      <w:r w:rsidRPr="007B5118">
        <w:rPr>
          <w:sz w:val="24"/>
        </w:rPr>
        <w:t>outcomes</w:t>
      </w:r>
      <w:r w:rsidRPr="007B5118" w:rsidR="00BC6945">
        <w:rPr>
          <w:sz w:val="24"/>
        </w:rPr>
        <w:t xml:space="preserve"> in areas serviced by the HS program</w:t>
      </w:r>
      <w:r w:rsidRPr="007B5118" w:rsidR="13B1A0FB">
        <w:rPr>
          <w:sz w:val="24"/>
        </w:rPr>
        <w:t xml:space="preserve">. </w:t>
      </w:r>
      <w:r w:rsidRPr="007B5118" w:rsidR="3987D4DF">
        <w:rPr>
          <w:sz w:val="24"/>
        </w:rPr>
        <w:t xml:space="preserve">In </w:t>
      </w:r>
      <w:r w:rsidRPr="007B5118">
        <w:rPr>
          <w:sz w:val="24"/>
        </w:rPr>
        <w:t>the design process, the Westat team has closely collaborated with MCHB to</w:t>
      </w:r>
      <w:r w:rsidRPr="007B5118" w:rsidR="3987D4DF">
        <w:rPr>
          <w:sz w:val="24"/>
        </w:rPr>
        <w:t xml:space="preserve"> </w:t>
      </w:r>
      <w:r w:rsidRPr="007B5118">
        <w:rPr>
          <w:sz w:val="24"/>
        </w:rPr>
        <w:t>carefully consider and address those questions most relevant to MCHB and the future success of</w:t>
      </w:r>
      <w:r w:rsidRPr="007B5118" w:rsidR="627543BA">
        <w:rPr>
          <w:sz w:val="24"/>
        </w:rPr>
        <w:t xml:space="preserve"> </w:t>
      </w:r>
      <w:r w:rsidRPr="007B5118">
        <w:rPr>
          <w:sz w:val="24"/>
        </w:rPr>
        <w:t>the H</w:t>
      </w:r>
      <w:r w:rsidRPr="007B5118" w:rsidR="64BC2E74">
        <w:rPr>
          <w:sz w:val="24"/>
        </w:rPr>
        <w:t xml:space="preserve">ealthy </w:t>
      </w:r>
      <w:r w:rsidRPr="007B5118">
        <w:rPr>
          <w:sz w:val="24"/>
        </w:rPr>
        <w:t>S</w:t>
      </w:r>
      <w:r w:rsidRPr="007B5118" w:rsidR="64BC2E74">
        <w:rPr>
          <w:sz w:val="24"/>
        </w:rPr>
        <w:t>tart</w:t>
      </w:r>
      <w:r w:rsidRPr="007B5118">
        <w:rPr>
          <w:sz w:val="24"/>
        </w:rPr>
        <w:t xml:space="preserve"> program, including consideration of methods to address confounding of outcomes</w:t>
      </w:r>
      <w:r w:rsidRPr="007B5118" w:rsidR="64BC2E74">
        <w:rPr>
          <w:sz w:val="24"/>
        </w:rPr>
        <w:t>.</w:t>
      </w:r>
      <w:r w:rsidRPr="007B5118" w:rsidR="627543BA">
        <w:rPr>
          <w:sz w:val="24"/>
        </w:rPr>
        <w:t xml:space="preserve"> </w:t>
      </w:r>
      <w:r w:rsidRPr="007B5118">
        <w:rPr>
          <w:sz w:val="24"/>
        </w:rPr>
        <w:t>Further, as conversations on health equity have been elevated to center stage in this country</w:t>
      </w:r>
      <w:r w:rsidRPr="7435F173">
        <w:rPr>
          <w:sz w:val="24"/>
        </w:rPr>
        <w:t>, we</w:t>
      </w:r>
      <w:r w:rsidRPr="7435F173" w:rsidR="627543BA">
        <w:rPr>
          <w:sz w:val="24"/>
        </w:rPr>
        <w:t xml:space="preserve"> </w:t>
      </w:r>
      <w:r w:rsidRPr="7435F173">
        <w:rPr>
          <w:sz w:val="24"/>
        </w:rPr>
        <w:t>recognize that H</w:t>
      </w:r>
      <w:r w:rsidRPr="7435F173" w:rsidR="627543BA">
        <w:rPr>
          <w:sz w:val="24"/>
        </w:rPr>
        <w:t xml:space="preserve">ealthy Start </w:t>
      </w:r>
      <w:r w:rsidRPr="7435F173">
        <w:rPr>
          <w:sz w:val="24"/>
        </w:rPr>
        <w:t>is at the forefront of addressing prevalent, persistent flaws in our nation’s</w:t>
      </w:r>
      <w:r w:rsidRPr="7435F173" w:rsidR="627543BA">
        <w:rPr>
          <w:sz w:val="24"/>
        </w:rPr>
        <w:t xml:space="preserve"> </w:t>
      </w:r>
      <w:r w:rsidRPr="7435F173">
        <w:rPr>
          <w:sz w:val="24"/>
        </w:rPr>
        <w:t>systems and social structures that negatively impact social determinants of health and outcomes.</w:t>
      </w:r>
      <w:r w:rsidRPr="7435F173" w:rsidR="627543BA">
        <w:rPr>
          <w:sz w:val="24"/>
        </w:rPr>
        <w:t xml:space="preserve"> </w:t>
      </w:r>
      <w:r w:rsidRPr="7435F173">
        <w:rPr>
          <w:sz w:val="24"/>
        </w:rPr>
        <w:t xml:space="preserve">Health equity requires </w:t>
      </w:r>
      <w:r w:rsidRPr="7435F173" w:rsidR="64BC2E74">
        <w:rPr>
          <w:sz w:val="24"/>
        </w:rPr>
        <w:t xml:space="preserve">addressing </w:t>
      </w:r>
      <w:r w:rsidRPr="7435F173">
        <w:rPr>
          <w:sz w:val="24"/>
        </w:rPr>
        <w:t>obstacles to health such as poverty and discrimination and their</w:t>
      </w:r>
      <w:r w:rsidRPr="7435F173" w:rsidR="627543BA">
        <w:rPr>
          <w:sz w:val="24"/>
        </w:rPr>
        <w:t xml:space="preserve"> </w:t>
      </w:r>
      <w:r w:rsidRPr="7435F173">
        <w:rPr>
          <w:sz w:val="24"/>
        </w:rPr>
        <w:t xml:space="preserve">consequences. </w:t>
      </w:r>
    </w:p>
    <w:p w:rsidR="003F1A83" w:rsidP="003F1A83" w14:paraId="62CFB35B" w14:textId="77777777">
      <w:pPr>
        <w:rPr>
          <w:sz w:val="24"/>
        </w:rPr>
      </w:pPr>
    </w:p>
    <w:p w:rsidR="003F1A83" w:rsidP="003F1A83" w14:paraId="4760760C" w14:textId="7847888B">
      <w:pPr>
        <w:rPr>
          <w:sz w:val="24"/>
        </w:rPr>
      </w:pPr>
      <w:r w:rsidRPr="003F1A83">
        <w:rPr>
          <w:sz w:val="24"/>
        </w:rPr>
        <w:t>Th</w:t>
      </w:r>
      <w:r>
        <w:rPr>
          <w:sz w:val="24"/>
        </w:rPr>
        <w:t>e</w:t>
      </w:r>
      <w:r w:rsidRPr="003F1A83">
        <w:rPr>
          <w:sz w:val="24"/>
        </w:rPr>
        <w:t xml:space="preserve"> current evaluation is assessing program implementation, service utilization, health outcomes, and transformational changes in HS communities</w:t>
      </w:r>
      <w:r>
        <w:rPr>
          <w:sz w:val="24"/>
        </w:rPr>
        <w:t xml:space="preserve"> and </w:t>
      </w:r>
      <w:r w:rsidRPr="003F1A83">
        <w:rPr>
          <w:sz w:val="24"/>
        </w:rPr>
        <w:t xml:space="preserve">will </w:t>
      </w:r>
      <w:r>
        <w:rPr>
          <w:sz w:val="24"/>
        </w:rPr>
        <w:t>involve the following</w:t>
      </w:r>
      <w:r w:rsidR="00433F41">
        <w:rPr>
          <w:sz w:val="24"/>
        </w:rPr>
        <w:t xml:space="preserve"> </w:t>
      </w:r>
      <w:r>
        <w:rPr>
          <w:sz w:val="24"/>
        </w:rPr>
        <w:t>analyses and data sources:</w:t>
      </w:r>
    </w:p>
    <w:p w:rsidR="003F1A83" w:rsidP="003F1A83" w14:paraId="33BD26F6" w14:textId="77777777">
      <w:pPr>
        <w:rPr>
          <w:sz w:val="24"/>
        </w:rPr>
      </w:pPr>
    </w:p>
    <w:p w:rsidR="003F1A83" w:rsidP="003F1A83" w14:paraId="67364CEB" w14:textId="4B6810B5">
      <w:pPr>
        <w:pStyle w:val="ListParagraph"/>
        <w:numPr>
          <w:ilvl w:val="0"/>
          <w:numId w:val="47"/>
        </w:numPr>
        <w:rPr>
          <w:sz w:val="24"/>
        </w:rPr>
      </w:pPr>
      <w:r>
        <w:rPr>
          <w:sz w:val="24"/>
        </w:rPr>
        <w:t>HS program data</w:t>
      </w:r>
      <w:r w:rsidR="00CA7E27">
        <w:rPr>
          <w:sz w:val="24"/>
        </w:rPr>
        <w:t xml:space="preserve"> (from all 101 grantees)</w:t>
      </w:r>
      <w:r w:rsidR="00E42711">
        <w:rPr>
          <w:sz w:val="24"/>
        </w:rPr>
        <w:t xml:space="preserve"> will be used to </w:t>
      </w:r>
      <w:r w:rsidR="00E712E0">
        <w:rPr>
          <w:sz w:val="24"/>
        </w:rPr>
        <w:t xml:space="preserve">analyze the program’s </w:t>
      </w:r>
      <w:r w:rsidR="00E119B5">
        <w:rPr>
          <w:sz w:val="24"/>
        </w:rPr>
        <w:t xml:space="preserve">dosage </w:t>
      </w:r>
      <w:r w:rsidR="00995504">
        <w:rPr>
          <w:sz w:val="24"/>
        </w:rPr>
        <w:t>(referring to the duration or amount of program exposure)</w:t>
      </w:r>
      <w:r>
        <w:rPr>
          <w:rStyle w:val="FootnoteReference"/>
          <w:sz w:val="24"/>
          <w:vertAlign w:val="superscript"/>
        </w:rPr>
        <w:footnoteReference w:id="2"/>
      </w:r>
      <w:r w:rsidRPr="00206105" w:rsidR="00206105">
        <w:rPr>
          <w:sz w:val="24"/>
          <w:vertAlign w:val="superscript"/>
        </w:rPr>
        <w:t>,</w:t>
      </w:r>
      <w:r>
        <w:rPr>
          <w:rStyle w:val="FootnoteReference"/>
          <w:sz w:val="24"/>
          <w:vertAlign w:val="superscript"/>
        </w:rPr>
        <w:footnoteReference w:id="3"/>
      </w:r>
      <w:r w:rsidRPr="00B30B31" w:rsidR="00851C7A">
        <w:rPr>
          <w:sz w:val="24"/>
          <w:vertAlign w:val="superscript"/>
        </w:rPr>
        <w:t>,</w:t>
      </w:r>
      <w:r w:rsidR="00995504">
        <w:rPr>
          <w:sz w:val="24"/>
        </w:rPr>
        <w:t xml:space="preserve"> </w:t>
      </w:r>
      <w:r w:rsidR="00E712E0">
        <w:rPr>
          <w:sz w:val="24"/>
        </w:rPr>
        <w:t xml:space="preserve">and </w:t>
      </w:r>
      <w:r w:rsidR="00A12B68">
        <w:rPr>
          <w:sz w:val="24"/>
        </w:rPr>
        <w:t>measure</w:t>
      </w:r>
      <w:r w:rsidR="009B3149">
        <w:rPr>
          <w:sz w:val="24"/>
        </w:rPr>
        <w:t xml:space="preserve"> the association between program dosage and </w:t>
      </w:r>
      <w:r w:rsidR="00E42711">
        <w:rPr>
          <w:sz w:val="24"/>
        </w:rPr>
        <w:t xml:space="preserve">individual-level </w:t>
      </w:r>
      <w:r w:rsidR="00227BFA">
        <w:rPr>
          <w:sz w:val="24"/>
        </w:rPr>
        <w:t xml:space="preserve">health </w:t>
      </w:r>
      <w:r w:rsidR="00E42711">
        <w:rPr>
          <w:sz w:val="24"/>
        </w:rPr>
        <w:t xml:space="preserve">outcomes such as </w:t>
      </w:r>
      <w:r w:rsidRPr="008C6A88" w:rsidR="00E42711">
        <w:rPr>
          <w:sz w:val="24"/>
        </w:rPr>
        <w:t>birth outcomes, women’s health</w:t>
      </w:r>
      <w:r w:rsidR="00E42711">
        <w:rPr>
          <w:sz w:val="24"/>
        </w:rPr>
        <w:t>,</w:t>
      </w:r>
      <w:r w:rsidRPr="008C6A88" w:rsidR="00E42711">
        <w:rPr>
          <w:sz w:val="24"/>
        </w:rPr>
        <w:t xml:space="preserve"> and the health and well-being of infants, </w:t>
      </w:r>
      <w:r w:rsidR="00E42711">
        <w:rPr>
          <w:sz w:val="24"/>
        </w:rPr>
        <w:t>as well as disparities in health outcomes</w:t>
      </w:r>
      <w:r w:rsidR="002D5D3D">
        <w:rPr>
          <w:sz w:val="24"/>
        </w:rPr>
        <w:t>,</w:t>
      </w:r>
      <w:r w:rsidR="00E42711">
        <w:rPr>
          <w:sz w:val="24"/>
        </w:rPr>
        <w:t xml:space="preserve"> </w:t>
      </w:r>
      <w:r w:rsidR="004A6B52">
        <w:rPr>
          <w:sz w:val="24"/>
        </w:rPr>
        <w:t>with</w:t>
      </w:r>
      <w:r w:rsidR="00E712E0">
        <w:rPr>
          <w:sz w:val="24"/>
        </w:rPr>
        <w:t xml:space="preserve"> </w:t>
      </w:r>
      <w:r w:rsidR="00E712E0">
        <w:rPr>
          <w:sz w:val="24"/>
        </w:rPr>
        <w:t xml:space="preserve">additional participant data </w:t>
      </w:r>
      <w:r w:rsidR="00751E84">
        <w:rPr>
          <w:sz w:val="24"/>
        </w:rPr>
        <w:t xml:space="preserve">obtained </w:t>
      </w:r>
      <w:r w:rsidR="00E712E0">
        <w:rPr>
          <w:sz w:val="24"/>
        </w:rPr>
        <w:t xml:space="preserve">from (up to 9) </w:t>
      </w:r>
      <w:r w:rsidR="00E712E0">
        <w:rPr>
          <w:sz w:val="24"/>
        </w:rPr>
        <w:t xml:space="preserve">select grantees </w:t>
      </w:r>
      <w:r w:rsidR="00E42711">
        <w:rPr>
          <w:sz w:val="24"/>
        </w:rPr>
        <w:t xml:space="preserve">and </w:t>
      </w:r>
      <w:r w:rsidR="00786ECD">
        <w:rPr>
          <w:sz w:val="24"/>
        </w:rPr>
        <w:t>v</w:t>
      </w:r>
      <w:r>
        <w:rPr>
          <w:sz w:val="24"/>
        </w:rPr>
        <w:t xml:space="preserve">ital </w:t>
      </w:r>
      <w:r w:rsidR="00786ECD">
        <w:rPr>
          <w:sz w:val="24"/>
        </w:rPr>
        <w:t>r</w:t>
      </w:r>
      <w:r>
        <w:rPr>
          <w:sz w:val="24"/>
        </w:rPr>
        <w:t>ecords data</w:t>
      </w:r>
      <w:r w:rsidR="00CA7E27">
        <w:rPr>
          <w:sz w:val="24"/>
        </w:rPr>
        <w:t xml:space="preserve"> (from one state)</w:t>
      </w:r>
      <w:r>
        <w:rPr>
          <w:sz w:val="24"/>
        </w:rPr>
        <w:t xml:space="preserve"> </w:t>
      </w:r>
      <w:r w:rsidR="004A6B52">
        <w:rPr>
          <w:sz w:val="24"/>
        </w:rPr>
        <w:t xml:space="preserve">to </w:t>
      </w:r>
      <w:r w:rsidR="00995504">
        <w:rPr>
          <w:sz w:val="24"/>
        </w:rPr>
        <w:t>support</w:t>
      </w:r>
      <w:r w:rsidR="004A6B52">
        <w:rPr>
          <w:sz w:val="24"/>
        </w:rPr>
        <w:t xml:space="preserve"> </w:t>
      </w:r>
      <w:r w:rsidR="004A6B52">
        <w:rPr>
          <w:sz w:val="24"/>
        </w:rPr>
        <w:t>the</w:t>
      </w:r>
      <w:r w:rsidR="00E712E0">
        <w:rPr>
          <w:sz w:val="24"/>
        </w:rPr>
        <w:t xml:space="preserve"> </w:t>
      </w:r>
      <w:r w:rsidR="00995504">
        <w:rPr>
          <w:sz w:val="24"/>
        </w:rPr>
        <w:t xml:space="preserve">basic </w:t>
      </w:r>
      <w:r w:rsidR="00E712E0">
        <w:rPr>
          <w:sz w:val="24"/>
        </w:rPr>
        <w:t>dosage analysis</w:t>
      </w:r>
      <w:r w:rsidRPr="00857E6F">
        <w:rPr>
          <w:sz w:val="24"/>
        </w:rPr>
        <w:t>;</w:t>
      </w:r>
    </w:p>
    <w:p w:rsidR="00CC2C4D" w:rsidP="003F1A83" w14:paraId="7707009D" w14:textId="3038A77C">
      <w:pPr>
        <w:pStyle w:val="ListParagraph"/>
        <w:numPr>
          <w:ilvl w:val="0"/>
          <w:numId w:val="47"/>
        </w:numPr>
        <w:rPr>
          <w:sz w:val="24"/>
        </w:rPr>
      </w:pPr>
      <w:r>
        <w:rPr>
          <w:sz w:val="24"/>
        </w:rPr>
        <w:t xml:space="preserve">Program data </w:t>
      </w:r>
      <w:r w:rsidR="00751E84">
        <w:rPr>
          <w:sz w:val="24"/>
        </w:rPr>
        <w:t xml:space="preserve">(from all 101 grantees) </w:t>
      </w:r>
      <w:r>
        <w:rPr>
          <w:sz w:val="24"/>
        </w:rPr>
        <w:t>will also be used to assess participant characteristics, utilization of services, duration of participation</w:t>
      </w:r>
      <w:r w:rsidR="00433F41">
        <w:rPr>
          <w:sz w:val="24"/>
        </w:rPr>
        <w:t xml:space="preserve"> in HS</w:t>
      </w:r>
      <w:r w:rsidR="0055476D">
        <w:rPr>
          <w:sz w:val="24"/>
        </w:rPr>
        <w:t xml:space="preserve">, </w:t>
      </w:r>
      <w:r w:rsidR="00786ECD">
        <w:rPr>
          <w:sz w:val="24"/>
        </w:rPr>
        <w:t xml:space="preserve">and </w:t>
      </w:r>
      <w:r w:rsidR="0055476D">
        <w:rPr>
          <w:sz w:val="24"/>
        </w:rPr>
        <w:t xml:space="preserve">progress towards </w:t>
      </w:r>
      <w:r w:rsidR="00216524">
        <w:rPr>
          <w:sz w:val="24"/>
        </w:rPr>
        <w:t xml:space="preserve">HS </w:t>
      </w:r>
      <w:r w:rsidR="0055476D">
        <w:rPr>
          <w:sz w:val="24"/>
        </w:rPr>
        <w:t>program benchmarks</w:t>
      </w:r>
      <w:r>
        <w:rPr>
          <w:sz w:val="24"/>
        </w:rPr>
        <w:t xml:space="preserve">; </w:t>
      </w:r>
    </w:p>
    <w:p w:rsidR="003F1A83" w:rsidRPr="00857E6F" w:rsidP="00857E6F" w14:paraId="639B4AC0" w14:textId="12D3DAD7">
      <w:pPr>
        <w:pStyle w:val="ListParagraph"/>
        <w:numPr>
          <w:ilvl w:val="0"/>
          <w:numId w:val="47"/>
        </w:numPr>
        <w:rPr>
          <w:sz w:val="24"/>
        </w:rPr>
      </w:pPr>
      <w:r>
        <w:rPr>
          <w:sz w:val="24"/>
        </w:rPr>
        <w:t>A survey of all 101 HS Program Directors will be used to assess</w:t>
      </w:r>
      <w:r w:rsidR="00CD3B80">
        <w:rPr>
          <w:sz w:val="24"/>
        </w:rPr>
        <w:t xml:space="preserve"> organization-level factors such as</w:t>
      </w:r>
      <w:r>
        <w:rPr>
          <w:sz w:val="24"/>
        </w:rPr>
        <w:t xml:space="preserve"> the types of services and referrals provided by HS sites, implementation challenges and successes, </w:t>
      </w:r>
      <w:r w:rsidRPr="00857E6F">
        <w:rPr>
          <w:sz w:val="24"/>
        </w:rPr>
        <w:t>data collection, quality improvement and performance monitoring</w:t>
      </w:r>
      <w:r w:rsidR="00433F41">
        <w:rPr>
          <w:sz w:val="24"/>
        </w:rPr>
        <w:t xml:space="preserve">; </w:t>
      </w:r>
    </w:p>
    <w:p w:rsidR="003F1A83" w:rsidRPr="003F1A83" w:rsidP="003F1A83" w14:paraId="578FA328" w14:textId="47668402">
      <w:pPr>
        <w:numPr>
          <w:ilvl w:val="0"/>
          <w:numId w:val="47"/>
        </w:numPr>
        <w:rPr>
          <w:sz w:val="24"/>
        </w:rPr>
      </w:pPr>
      <w:r>
        <w:rPr>
          <w:sz w:val="24"/>
        </w:rPr>
        <w:t xml:space="preserve">Case studies, </w:t>
      </w:r>
      <w:r w:rsidR="00E66B14">
        <w:rPr>
          <w:sz w:val="24"/>
        </w:rPr>
        <w:t>which will</w:t>
      </w:r>
      <w:r w:rsidR="007F796F">
        <w:rPr>
          <w:sz w:val="24"/>
        </w:rPr>
        <w:t xml:space="preserve"> enable a deeper dive to </w:t>
      </w:r>
      <w:r w:rsidR="007D3788">
        <w:rPr>
          <w:sz w:val="24"/>
        </w:rPr>
        <w:t>examine</w:t>
      </w:r>
      <w:r w:rsidR="007F796F">
        <w:rPr>
          <w:sz w:val="24"/>
        </w:rPr>
        <w:t xml:space="preserve"> </w:t>
      </w:r>
      <w:r w:rsidR="00E66B14">
        <w:rPr>
          <w:sz w:val="24"/>
        </w:rPr>
        <w:t xml:space="preserve">program implementation </w:t>
      </w:r>
      <w:r w:rsidR="007F796F">
        <w:rPr>
          <w:sz w:val="24"/>
        </w:rPr>
        <w:t xml:space="preserve">strategies, </w:t>
      </w:r>
      <w:r>
        <w:rPr>
          <w:sz w:val="24"/>
        </w:rPr>
        <w:t xml:space="preserve">will be conducted with up to 15 grantees and include staff interviews, a Network survey, and </w:t>
      </w:r>
      <w:r w:rsidR="00433F41">
        <w:rPr>
          <w:sz w:val="24"/>
        </w:rPr>
        <w:t xml:space="preserve">a </w:t>
      </w:r>
      <w:r>
        <w:rPr>
          <w:sz w:val="24"/>
        </w:rPr>
        <w:t>Participant survey</w:t>
      </w:r>
      <w:r w:rsidR="007E2F91">
        <w:rPr>
          <w:sz w:val="24"/>
        </w:rPr>
        <w:t xml:space="preserve"> </w:t>
      </w:r>
      <w:r w:rsidR="00EF4D6C">
        <w:rPr>
          <w:sz w:val="24"/>
        </w:rPr>
        <w:t>to</w:t>
      </w:r>
      <w:r>
        <w:rPr>
          <w:sz w:val="24"/>
        </w:rPr>
        <w:t xml:space="preserve"> assess </w:t>
      </w:r>
      <w:r w:rsidR="00CE650A">
        <w:rPr>
          <w:sz w:val="24"/>
        </w:rPr>
        <w:t xml:space="preserve">organizational, community and individual level factors such as </w:t>
      </w:r>
      <w:r>
        <w:rPr>
          <w:sz w:val="24"/>
        </w:rPr>
        <w:t>implementation barriers and facilitators, types of collaborative activities, network membership, workforce development, and participant satisfaction.</w:t>
      </w:r>
    </w:p>
    <w:p w:rsidR="003F1A83" w:rsidRPr="005F026E" w:rsidP="7435F173" w14:paraId="30714B9D" w14:textId="77777777">
      <w:pPr>
        <w:ind w:firstLine="432"/>
        <w:rPr>
          <w:sz w:val="24"/>
        </w:rPr>
      </w:pPr>
    </w:p>
    <w:p w:rsidR="00460C13" w:rsidP="0097091A" w14:paraId="68549CBD" w14:textId="67E1981B">
      <w:pPr>
        <w:rPr>
          <w:sz w:val="24"/>
        </w:rPr>
      </w:pPr>
      <w:r>
        <w:rPr>
          <w:sz w:val="24"/>
        </w:rPr>
        <w:t xml:space="preserve">More detailed information regarding the evaluation questions, data sources and the analytic approach can be found below in Table A.1. </w:t>
      </w:r>
    </w:p>
    <w:p w:rsidR="008337CD" w:rsidRPr="005F026E" w:rsidP="0097091A" w14:paraId="5495297C" w14:textId="77777777">
      <w:pPr>
        <w:rPr>
          <w:sz w:val="24"/>
        </w:rPr>
      </w:pPr>
    </w:p>
    <w:p w:rsidR="005640E2" w:rsidRPr="005F026E" w:rsidP="00460C13" w14:paraId="23B30189" w14:textId="6981268D">
      <w:pPr>
        <w:pStyle w:val="ListParagraph"/>
        <w:numPr>
          <w:ilvl w:val="0"/>
          <w:numId w:val="43"/>
        </w:numPr>
        <w:ind w:left="432" w:hanging="432"/>
        <w:rPr>
          <w:b/>
          <w:bCs/>
          <w:sz w:val="24"/>
          <w:u w:val="single"/>
        </w:rPr>
      </w:pPr>
      <w:r w:rsidRPr="005F026E">
        <w:rPr>
          <w:b/>
          <w:bCs/>
          <w:sz w:val="24"/>
          <w:u w:val="single"/>
        </w:rPr>
        <w:t xml:space="preserve">Purpose and </w:t>
      </w:r>
      <w:r w:rsidRPr="005F026E" w:rsidR="00460C13">
        <w:rPr>
          <w:b/>
          <w:bCs/>
          <w:sz w:val="24"/>
          <w:u w:val="single"/>
        </w:rPr>
        <w:t>Use of Information Collected</w:t>
      </w:r>
      <w:r w:rsidRPr="005F026E" w:rsidR="001656CE">
        <w:rPr>
          <w:b/>
          <w:bCs/>
          <w:sz w:val="24"/>
          <w:u w:val="single"/>
        </w:rPr>
        <w:t xml:space="preserve"> </w:t>
      </w:r>
    </w:p>
    <w:p w:rsidR="007C2DB8" w:rsidRPr="007B5118" w:rsidP="007C2DB8" w14:paraId="623AD9EC" w14:textId="197B700D">
      <w:pPr>
        <w:ind w:firstLine="432"/>
        <w:rPr>
          <w:sz w:val="24"/>
        </w:rPr>
      </w:pPr>
      <w:r>
        <w:rPr>
          <w:sz w:val="24"/>
        </w:rPr>
        <w:t>T</w:t>
      </w:r>
      <w:r w:rsidRPr="000660FF">
        <w:rPr>
          <w:sz w:val="24"/>
        </w:rPr>
        <w:t xml:space="preserve">he goal of this </w:t>
      </w:r>
      <w:r w:rsidR="00EB34CA">
        <w:rPr>
          <w:sz w:val="24"/>
        </w:rPr>
        <w:t xml:space="preserve">evaluation, as stated above, </w:t>
      </w:r>
      <w:r w:rsidRPr="000660FF">
        <w:rPr>
          <w:sz w:val="24"/>
        </w:rPr>
        <w:t xml:space="preserve">is to provide </w:t>
      </w:r>
      <w:r>
        <w:rPr>
          <w:sz w:val="24"/>
        </w:rPr>
        <w:t>MCHB</w:t>
      </w:r>
      <w:r w:rsidRPr="000660FF">
        <w:rPr>
          <w:sz w:val="24"/>
        </w:rPr>
        <w:t xml:space="preserve"> with information to guide </w:t>
      </w:r>
      <w:r w:rsidRPr="007B5118">
        <w:rPr>
          <w:sz w:val="24"/>
        </w:rPr>
        <w:t>future program and policy decisions</w:t>
      </w:r>
      <w:r w:rsidRPr="007B5118">
        <w:t xml:space="preserve"> </w:t>
      </w:r>
      <w:r w:rsidRPr="007B5118">
        <w:rPr>
          <w:sz w:val="24"/>
        </w:rPr>
        <w:t>related</w:t>
      </w:r>
      <w:r w:rsidRPr="007B5118">
        <w:t xml:space="preserve"> </w:t>
      </w:r>
      <w:r w:rsidRPr="007B5118">
        <w:rPr>
          <w:sz w:val="24"/>
        </w:rPr>
        <w:t>to</w:t>
      </w:r>
      <w:r w:rsidRPr="007B5118">
        <w:t xml:space="preserve"> </w:t>
      </w:r>
      <w:r w:rsidRPr="007B5118">
        <w:rPr>
          <w:sz w:val="24"/>
        </w:rPr>
        <w:t xml:space="preserve">infant and maternal health in high-risk communities. </w:t>
      </w:r>
      <w:r w:rsidRPr="007B5118" w:rsidR="00F44E20">
        <w:rPr>
          <w:sz w:val="24"/>
        </w:rPr>
        <w:t xml:space="preserve">MCHB seeks to implement a mixed-methods evaluation to </w:t>
      </w:r>
      <w:r w:rsidRPr="007B5118">
        <w:rPr>
          <w:sz w:val="24"/>
        </w:rPr>
        <w:t xml:space="preserve">assess </w:t>
      </w:r>
      <w:r w:rsidRPr="007B5118" w:rsidR="007D3788">
        <w:rPr>
          <w:sz w:val="24"/>
        </w:rPr>
        <w:t xml:space="preserve">association </w:t>
      </w:r>
      <w:r w:rsidRPr="007B5118" w:rsidR="00BD1A92">
        <w:rPr>
          <w:sz w:val="24"/>
        </w:rPr>
        <w:t xml:space="preserve">between </w:t>
      </w:r>
      <w:r w:rsidRPr="007B5118">
        <w:rPr>
          <w:sz w:val="24"/>
        </w:rPr>
        <w:t xml:space="preserve">the </w:t>
      </w:r>
      <w:r w:rsidRPr="007B5118" w:rsidR="00F44E20">
        <w:rPr>
          <w:sz w:val="24"/>
        </w:rPr>
        <w:t xml:space="preserve">program </w:t>
      </w:r>
      <w:r w:rsidRPr="007B5118" w:rsidR="00BD1A92">
        <w:rPr>
          <w:sz w:val="24"/>
        </w:rPr>
        <w:t>and</w:t>
      </w:r>
      <w:r w:rsidRPr="007B5118" w:rsidR="00F749EC">
        <w:rPr>
          <w:sz w:val="24"/>
        </w:rPr>
        <w:t xml:space="preserve"> </w:t>
      </w:r>
      <w:r w:rsidRPr="007B5118" w:rsidR="00F44E20">
        <w:rPr>
          <w:sz w:val="24"/>
        </w:rPr>
        <w:t>individual</w:t>
      </w:r>
      <w:r w:rsidRPr="007B5118" w:rsidR="00216524">
        <w:rPr>
          <w:sz w:val="24"/>
        </w:rPr>
        <w:t xml:space="preserve">-level outcomes and </w:t>
      </w:r>
      <w:r w:rsidRPr="007B5118" w:rsidR="00B16884">
        <w:rPr>
          <w:sz w:val="24"/>
        </w:rPr>
        <w:t xml:space="preserve">examine </w:t>
      </w:r>
      <w:r w:rsidRPr="007B5118" w:rsidR="00216524">
        <w:rPr>
          <w:sz w:val="24"/>
        </w:rPr>
        <w:t>the role of</w:t>
      </w:r>
      <w:r w:rsidRPr="007B5118" w:rsidR="00F44E20">
        <w:rPr>
          <w:sz w:val="24"/>
        </w:rPr>
        <w:t xml:space="preserve"> organizational and community-level </w:t>
      </w:r>
      <w:r w:rsidRPr="007B5118" w:rsidR="003A2E47">
        <w:rPr>
          <w:sz w:val="24"/>
        </w:rPr>
        <w:t>factors on the success</w:t>
      </w:r>
      <w:r w:rsidRPr="007B5118" w:rsidR="00B2584A">
        <w:rPr>
          <w:sz w:val="24"/>
        </w:rPr>
        <w:t>es</w:t>
      </w:r>
      <w:r w:rsidRPr="007B5118" w:rsidR="003A2E47">
        <w:rPr>
          <w:sz w:val="24"/>
        </w:rPr>
        <w:t xml:space="preserve"> and challenges of HS activities </w:t>
      </w:r>
      <w:r w:rsidRPr="007B5118" w:rsidR="00EA38F8">
        <w:rPr>
          <w:sz w:val="24"/>
        </w:rPr>
        <w:t>noted</w:t>
      </w:r>
      <w:r w:rsidRPr="007B5118" w:rsidR="00433F41">
        <w:rPr>
          <w:sz w:val="24"/>
        </w:rPr>
        <w:t xml:space="preserve"> above</w:t>
      </w:r>
      <w:r w:rsidRPr="007B5118" w:rsidR="00F44E20">
        <w:rPr>
          <w:sz w:val="24"/>
        </w:rPr>
        <w:t xml:space="preserve">. </w:t>
      </w:r>
      <w:r w:rsidRPr="007B5118" w:rsidR="00862FD8">
        <w:rPr>
          <w:sz w:val="24"/>
        </w:rPr>
        <w:t xml:space="preserve">The evaluation </w:t>
      </w:r>
      <w:r w:rsidRPr="007B5118" w:rsidR="008C720E">
        <w:rPr>
          <w:sz w:val="24"/>
        </w:rPr>
        <w:t>centers on</w:t>
      </w:r>
      <w:r w:rsidRPr="007B5118" w:rsidR="00862FD8">
        <w:rPr>
          <w:sz w:val="24"/>
        </w:rPr>
        <w:t xml:space="preserve"> </w:t>
      </w:r>
      <w:r w:rsidRPr="007B5118" w:rsidR="00842D82">
        <w:rPr>
          <w:sz w:val="24"/>
        </w:rPr>
        <w:t>four components –</w:t>
      </w:r>
      <w:r w:rsidRPr="007B5118" w:rsidR="00B23859">
        <w:rPr>
          <w:sz w:val="24"/>
        </w:rPr>
        <w:t xml:space="preserve"> </w:t>
      </w:r>
      <w:r w:rsidRPr="007B5118" w:rsidR="00862FD8">
        <w:rPr>
          <w:sz w:val="24"/>
        </w:rPr>
        <w:t>implementation, utilization, outcome, and transformative. The implementation component will assess program activities/services directed at H</w:t>
      </w:r>
      <w:r w:rsidRPr="007B5118" w:rsidR="00C657F5">
        <w:rPr>
          <w:sz w:val="24"/>
        </w:rPr>
        <w:t xml:space="preserve">ealthy </w:t>
      </w:r>
      <w:r w:rsidRPr="007B5118" w:rsidR="00862FD8">
        <w:rPr>
          <w:sz w:val="24"/>
        </w:rPr>
        <w:t>S</w:t>
      </w:r>
      <w:r w:rsidRPr="007B5118" w:rsidR="00C657F5">
        <w:rPr>
          <w:sz w:val="24"/>
        </w:rPr>
        <w:t>tart (HS)</w:t>
      </w:r>
      <w:r w:rsidRPr="007B5118" w:rsidR="00862FD8">
        <w:rPr>
          <w:sz w:val="24"/>
        </w:rPr>
        <w:t xml:space="preserve"> participants, including facilitators and barriers faced by local HS programs. </w:t>
      </w:r>
      <w:r w:rsidRPr="007B5118" w:rsidR="008D345D">
        <w:rPr>
          <w:sz w:val="24"/>
        </w:rPr>
        <w:t xml:space="preserve">For example, </w:t>
      </w:r>
      <w:r w:rsidRPr="007B5118" w:rsidR="007F5AA5">
        <w:rPr>
          <w:sz w:val="24"/>
        </w:rPr>
        <w:t xml:space="preserve">a descriptive statistical analysis will be conducted of the data from each of the surveys to examine the types of services to which the Healthy Start programs refer participants, and the extent to which participants enroll in services for which they are eligible. </w:t>
      </w:r>
      <w:r w:rsidRPr="007B5118" w:rsidR="00862FD8">
        <w:rPr>
          <w:sz w:val="24"/>
        </w:rPr>
        <w:t>The utilization component will assess HS participants’ uptake of HS services, particularly by type of HS participant subgroup characterized by demographics</w:t>
      </w:r>
      <w:r w:rsidRPr="007B5118" w:rsidR="00112566">
        <w:rPr>
          <w:sz w:val="24"/>
        </w:rPr>
        <w:t xml:space="preserve"> and</w:t>
      </w:r>
      <w:r w:rsidRPr="007B5118" w:rsidR="00862FD8">
        <w:rPr>
          <w:sz w:val="24"/>
        </w:rPr>
        <w:t xml:space="preserve"> risk level. The outcome component will assess the HS programs’ </w:t>
      </w:r>
      <w:r w:rsidRPr="007B5118" w:rsidR="00B16884">
        <w:rPr>
          <w:sz w:val="24"/>
        </w:rPr>
        <w:t>association with</w:t>
      </w:r>
      <w:r w:rsidRPr="007B5118" w:rsidR="00862FD8">
        <w:rPr>
          <w:sz w:val="24"/>
        </w:rPr>
        <w:t xml:space="preserve"> </w:t>
      </w:r>
      <w:r w:rsidRPr="007B5118" w:rsidR="002E2B17">
        <w:rPr>
          <w:sz w:val="24"/>
        </w:rPr>
        <w:t xml:space="preserve">improved </w:t>
      </w:r>
      <w:r w:rsidRPr="007B5118" w:rsidR="00862FD8">
        <w:rPr>
          <w:sz w:val="24"/>
        </w:rPr>
        <w:t xml:space="preserve">maternal and child health outcomes. </w:t>
      </w:r>
      <w:r w:rsidRPr="007B5118" w:rsidR="00EF2572">
        <w:rPr>
          <w:sz w:val="24"/>
        </w:rPr>
        <w:t xml:space="preserve">The transformative component will examine how local HS programs engage with health systems and with other programs and policies at the local and state level to impact </w:t>
      </w:r>
      <w:r w:rsidRPr="007B5118" w:rsidR="00663ED7">
        <w:rPr>
          <w:sz w:val="24"/>
        </w:rPr>
        <w:t xml:space="preserve">positive </w:t>
      </w:r>
      <w:r w:rsidRPr="007B5118" w:rsidR="00EF2572">
        <w:rPr>
          <w:sz w:val="24"/>
        </w:rPr>
        <w:t>change in their community</w:t>
      </w:r>
      <w:r w:rsidRPr="007B5118" w:rsidR="00B81D3B">
        <w:rPr>
          <w:sz w:val="24"/>
        </w:rPr>
        <w:t xml:space="preserve">, </w:t>
      </w:r>
      <w:r w:rsidRPr="007B5118" w:rsidR="00196350">
        <w:rPr>
          <w:sz w:val="24"/>
        </w:rPr>
        <w:t>such as</w:t>
      </w:r>
      <w:r w:rsidRPr="007B5118" w:rsidR="00B81D3B">
        <w:rPr>
          <w:sz w:val="24"/>
        </w:rPr>
        <w:t xml:space="preserve"> the number and types of local community efforts that the HS programs </w:t>
      </w:r>
      <w:r w:rsidRPr="007B5118" w:rsidR="00B81D3B">
        <w:rPr>
          <w:sz w:val="24"/>
        </w:rPr>
        <w:t xml:space="preserve">participate </w:t>
      </w:r>
      <w:r w:rsidRPr="007B5118" w:rsidR="00083404">
        <w:rPr>
          <w:sz w:val="24"/>
        </w:rPr>
        <w:t xml:space="preserve">in </w:t>
      </w:r>
      <w:r w:rsidRPr="007B5118" w:rsidR="001E5EEA">
        <w:rPr>
          <w:sz w:val="24"/>
        </w:rPr>
        <w:t>to</w:t>
      </w:r>
      <w:r w:rsidRPr="007B5118" w:rsidR="00B81D3B">
        <w:rPr>
          <w:sz w:val="24"/>
        </w:rPr>
        <w:t xml:space="preserve"> address health equity and </w:t>
      </w:r>
      <w:r w:rsidRPr="007B5118">
        <w:rPr>
          <w:sz w:val="24"/>
        </w:rPr>
        <w:t>social determinants of health</w:t>
      </w:r>
      <w:r w:rsidRPr="007B5118" w:rsidR="00B555A7">
        <w:rPr>
          <w:sz w:val="24"/>
        </w:rPr>
        <w:t xml:space="preserve"> (SDoH)</w:t>
      </w:r>
      <w:r w:rsidRPr="007B5118" w:rsidR="00EF2572">
        <w:rPr>
          <w:sz w:val="24"/>
        </w:rPr>
        <w:t xml:space="preserve">. </w:t>
      </w:r>
    </w:p>
    <w:p w:rsidR="00862FD8" w:rsidP="007C2DB8" w14:paraId="7D366F4D" w14:textId="42BE8FAE">
      <w:pPr>
        <w:ind w:firstLine="432"/>
        <w:rPr>
          <w:sz w:val="24"/>
        </w:rPr>
      </w:pPr>
      <w:r w:rsidRPr="007B5118">
        <w:rPr>
          <w:sz w:val="24"/>
        </w:rPr>
        <w:t>T</w:t>
      </w:r>
      <w:r w:rsidRPr="007B5118" w:rsidR="00EF2572">
        <w:rPr>
          <w:sz w:val="24"/>
        </w:rPr>
        <w:t>he t</w:t>
      </w:r>
      <w:r w:rsidRPr="007B5118" w:rsidR="00A478A0">
        <w:rPr>
          <w:sz w:val="24"/>
        </w:rPr>
        <w:t>ransformative evaluation</w:t>
      </w:r>
      <w:r w:rsidRPr="007B5118">
        <w:rPr>
          <w:sz w:val="24"/>
        </w:rPr>
        <w:t xml:space="preserve"> </w:t>
      </w:r>
      <w:r w:rsidRPr="007B5118" w:rsidR="00EF2572">
        <w:rPr>
          <w:sz w:val="24"/>
        </w:rPr>
        <w:t>framework uses</w:t>
      </w:r>
      <w:r w:rsidRPr="007B5118" w:rsidR="00A478A0">
        <w:rPr>
          <w:sz w:val="24"/>
        </w:rPr>
        <w:t xml:space="preserve"> mixed methods</w:t>
      </w:r>
      <w:r w:rsidRPr="007B5118" w:rsidR="0001691A">
        <w:rPr>
          <w:sz w:val="24"/>
        </w:rPr>
        <w:t>,</w:t>
      </w:r>
      <w:r w:rsidRPr="007B5118" w:rsidR="00A478A0">
        <w:rPr>
          <w:sz w:val="24"/>
        </w:rPr>
        <w:t xml:space="preserve"> engages stakeholders</w:t>
      </w:r>
      <w:r w:rsidRPr="007B5118" w:rsidR="0001691A">
        <w:rPr>
          <w:sz w:val="24"/>
        </w:rPr>
        <w:t>,</w:t>
      </w:r>
      <w:r w:rsidRPr="007B5118" w:rsidR="00112566">
        <w:rPr>
          <w:sz w:val="24"/>
        </w:rPr>
        <w:t xml:space="preserve"> </w:t>
      </w:r>
      <w:r w:rsidRPr="007B5118" w:rsidR="00A478A0">
        <w:rPr>
          <w:sz w:val="24"/>
        </w:rPr>
        <w:t>includes research questions based on community needs</w:t>
      </w:r>
      <w:r w:rsidRPr="007B5118" w:rsidR="00112566">
        <w:rPr>
          <w:sz w:val="24"/>
        </w:rPr>
        <w:t>,</w:t>
      </w:r>
      <w:r w:rsidRPr="007B5118" w:rsidR="00A478A0">
        <w:rPr>
          <w:sz w:val="24"/>
        </w:rPr>
        <w:t xml:space="preserve"> and develops </w:t>
      </w:r>
      <w:r w:rsidRPr="007B5118" w:rsidR="00B70A49">
        <w:rPr>
          <w:sz w:val="24"/>
        </w:rPr>
        <w:t>collaborations</w:t>
      </w:r>
      <w:r w:rsidRPr="007B5118" w:rsidR="00A478A0">
        <w:rPr>
          <w:sz w:val="24"/>
        </w:rPr>
        <w:t xml:space="preserve"> based on trust and respect to help identify</w:t>
      </w:r>
      <w:r w:rsidRPr="007B5118" w:rsidR="00112566">
        <w:rPr>
          <w:sz w:val="24"/>
        </w:rPr>
        <w:t xml:space="preserve">, </w:t>
      </w:r>
      <w:r w:rsidRPr="007B5118" w:rsidR="00A478A0">
        <w:rPr>
          <w:sz w:val="24"/>
        </w:rPr>
        <w:t>understand, and reveal multiple, unique experiences with a program.</w:t>
      </w:r>
      <w:r w:rsidRPr="007B5118" w:rsidR="00663ED7">
        <w:rPr>
          <w:sz w:val="24"/>
        </w:rPr>
        <w:t xml:space="preserve"> The </w:t>
      </w:r>
      <w:r w:rsidRPr="007B5118" w:rsidR="0001691A">
        <w:rPr>
          <w:sz w:val="24"/>
        </w:rPr>
        <w:t xml:space="preserve">transformative </w:t>
      </w:r>
      <w:r w:rsidRPr="007B5118" w:rsidR="00663ED7">
        <w:rPr>
          <w:sz w:val="24"/>
        </w:rPr>
        <w:t>evaluation framework is aimed at improv</w:t>
      </w:r>
      <w:r w:rsidRPr="007B5118" w:rsidR="007951C9">
        <w:rPr>
          <w:sz w:val="24"/>
        </w:rPr>
        <w:t>ing</w:t>
      </w:r>
      <w:r w:rsidRPr="007B5118" w:rsidR="00663ED7">
        <w:rPr>
          <w:sz w:val="24"/>
        </w:rPr>
        <w:t xml:space="preserve"> responsiveness to marginalized communities’ needs a</w:t>
      </w:r>
      <w:r w:rsidR="00663ED7">
        <w:rPr>
          <w:sz w:val="24"/>
        </w:rPr>
        <w:t>nd to respect the multiple cultural positions that rest therein while working for positive transformation.</w:t>
      </w:r>
      <w:r>
        <w:rPr>
          <w:rStyle w:val="FootnoteReference"/>
          <w:sz w:val="24"/>
          <w:vertAlign w:val="superscript"/>
        </w:rPr>
        <w:footnoteReference w:id="4"/>
      </w:r>
      <w:r w:rsidR="007E20E3">
        <w:rPr>
          <w:sz w:val="24"/>
        </w:rPr>
        <w:t xml:space="preserve"> The questions in the </w:t>
      </w:r>
      <w:r w:rsidR="00E712E0">
        <w:rPr>
          <w:sz w:val="24"/>
        </w:rPr>
        <w:t xml:space="preserve">new </w:t>
      </w:r>
      <w:r w:rsidR="007E20E3">
        <w:rPr>
          <w:sz w:val="24"/>
        </w:rPr>
        <w:t>data collection instruments are designed to address such issues.</w:t>
      </w:r>
      <w:r w:rsidRPr="00EF2572" w:rsidR="00A478A0">
        <w:rPr>
          <w:sz w:val="24"/>
          <w:vertAlign w:val="superscript"/>
        </w:rPr>
        <w:t xml:space="preserve"> </w:t>
      </w:r>
    </w:p>
    <w:p w:rsidR="00C8478F" w:rsidRPr="007B5118" w:rsidP="000660FF" w14:paraId="2FEA51E3" w14:textId="6254172E">
      <w:pPr>
        <w:ind w:firstLine="432"/>
        <w:rPr>
          <w:sz w:val="24"/>
        </w:rPr>
      </w:pPr>
      <w:r>
        <w:rPr>
          <w:sz w:val="24"/>
        </w:rPr>
        <w:t>New d</w:t>
      </w:r>
      <w:r w:rsidRPr="000660FF" w:rsidR="00F44E20">
        <w:rPr>
          <w:sz w:val="24"/>
        </w:rPr>
        <w:t xml:space="preserve">ata collection instruments will include: 1) Healthy Start Program Survey, 2) Healthy Start </w:t>
      </w:r>
      <w:r w:rsidRPr="007B5118" w:rsidR="00F44E20">
        <w:rPr>
          <w:sz w:val="24"/>
        </w:rPr>
        <w:t>Network Survey, 3) Healthy Start Participant Survey</w:t>
      </w:r>
      <w:r w:rsidRPr="007B5118" w:rsidR="007C6C65">
        <w:rPr>
          <w:sz w:val="24"/>
        </w:rPr>
        <w:t xml:space="preserve">, and </w:t>
      </w:r>
      <w:r w:rsidRPr="007B5118" w:rsidR="00F44E20">
        <w:rPr>
          <w:sz w:val="24"/>
        </w:rPr>
        <w:t>4) Healthy Start Stakeholder Interview Guide</w:t>
      </w:r>
      <w:r w:rsidRPr="007B5118" w:rsidR="007C6C65">
        <w:rPr>
          <w:sz w:val="24"/>
        </w:rPr>
        <w:t xml:space="preserve">. </w:t>
      </w:r>
      <w:r w:rsidRPr="007B5118" w:rsidR="00F44E20">
        <w:rPr>
          <w:sz w:val="24"/>
        </w:rPr>
        <w:t>These instruments have been specifically designed to be non-duplicative</w:t>
      </w:r>
      <w:r w:rsidRPr="007B5118" w:rsidR="00C657F5">
        <w:rPr>
          <w:sz w:val="24"/>
        </w:rPr>
        <w:t>.</w:t>
      </w:r>
      <w:r w:rsidRPr="007B5118">
        <w:rPr>
          <w:sz w:val="24"/>
        </w:rPr>
        <w:t xml:space="preserve"> </w:t>
      </w:r>
      <w:r w:rsidRPr="007B5118" w:rsidR="00C657F5">
        <w:rPr>
          <w:sz w:val="24"/>
        </w:rPr>
        <w:t xml:space="preserve">In addition, </w:t>
      </w:r>
      <w:r w:rsidRPr="007B5118" w:rsidR="004C4751">
        <w:rPr>
          <w:sz w:val="24"/>
        </w:rPr>
        <w:t>secondary data</w:t>
      </w:r>
      <w:r w:rsidRPr="007B5118" w:rsidR="00B23859">
        <w:rPr>
          <w:sz w:val="24"/>
        </w:rPr>
        <w:t xml:space="preserve"> will be used</w:t>
      </w:r>
      <w:r w:rsidRPr="007B5118">
        <w:rPr>
          <w:sz w:val="24"/>
        </w:rPr>
        <w:t xml:space="preserve"> </w:t>
      </w:r>
      <w:r w:rsidRPr="007B5118" w:rsidR="004C4751">
        <w:rPr>
          <w:sz w:val="24"/>
        </w:rPr>
        <w:t xml:space="preserve">for the overall evaluation. </w:t>
      </w:r>
      <w:r w:rsidRPr="007B5118" w:rsidR="00EC227A">
        <w:rPr>
          <w:sz w:val="24"/>
        </w:rPr>
        <w:t xml:space="preserve">The secondary data sources include </w:t>
      </w:r>
      <w:r w:rsidRPr="007B5118" w:rsidR="006A4322">
        <w:rPr>
          <w:sz w:val="24"/>
        </w:rPr>
        <w:t xml:space="preserve">performance measures reported by HS grantees to HRSA’s Discretionary Grants Information System (DGIS); </w:t>
      </w:r>
      <w:r w:rsidRPr="007B5118" w:rsidR="00EC227A">
        <w:rPr>
          <w:sz w:val="24"/>
        </w:rPr>
        <w:t xml:space="preserve">de-identified HS participant data reported by HS grantees to HRSA’s Healthy Start Monitoring and Evaluation Data System (HSMED); </w:t>
      </w:r>
      <w:r w:rsidRPr="007B5118" w:rsidR="006A4322">
        <w:rPr>
          <w:sz w:val="24"/>
        </w:rPr>
        <w:t xml:space="preserve">data from up to nine HS grantees that collect, but do not report to HSMED, on the types and quantities of HS services received by HS participants; and </w:t>
      </w:r>
      <w:r w:rsidRPr="007B5118" w:rsidR="00EC227A">
        <w:rPr>
          <w:sz w:val="24"/>
        </w:rPr>
        <w:t xml:space="preserve">vital records data obtained from one state. </w:t>
      </w:r>
      <w:r w:rsidRPr="007B5118" w:rsidR="00CE55F7">
        <w:rPr>
          <w:sz w:val="24"/>
        </w:rPr>
        <w:t>HSMED data includes</w:t>
      </w:r>
      <w:r w:rsidRPr="007B5118" w:rsidR="008E2780">
        <w:rPr>
          <w:sz w:val="24"/>
        </w:rPr>
        <w:t xml:space="preserve"> information about</w:t>
      </w:r>
      <w:r w:rsidRPr="007B5118" w:rsidR="00760A1E">
        <w:rPr>
          <w:sz w:val="24"/>
        </w:rPr>
        <w:t xml:space="preserve"> participant demographics</w:t>
      </w:r>
      <w:r w:rsidRPr="007B5118" w:rsidR="00301C3E">
        <w:rPr>
          <w:sz w:val="24"/>
        </w:rPr>
        <w:t>;</w:t>
      </w:r>
      <w:r w:rsidRPr="007B5118" w:rsidR="00500FB3">
        <w:rPr>
          <w:sz w:val="24"/>
        </w:rPr>
        <w:t xml:space="preserve"> health care access and utilization</w:t>
      </w:r>
      <w:r w:rsidRPr="007B5118" w:rsidR="00301C3E">
        <w:rPr>
          <w:sz w:val="24"/>
        </w:rPr>
        <w:t>;</w:t>
      </w:r>
      <w:r w:rsidRPr="007B5118" w:rsidR="00500FB3">
        <w:rPr>
          <w:sz w:val="24"/>
        </w:rPr>
        <w:t xml:space="preserve"> </w:t>
      </w:r>
      <w:r w:rsidRPr="007B5118" w:rsidR="00FF0E9E">
        <w:rPr>
          <w:sz w:val="24"/>
        </w:rPr>
        <w:t>personal well-being</w:t>
      </w:r>
      <w:r w:rsidRPr="007B5118" w:rsidR="00301C3E">
        <w:rPr>
          <w:sz w:val="24"/>
        </w:rPr>
        <w:t>;</w:t>
      </w:r>
      <w:r w:rsidRPr="007B5118" w:rsidR="00FF0E9E">
        <w:rPr>
          <w:sz w:val="24"/>
        </w:rPr>
        <w:t xml:space="preserve"> </w:t>
      </w:r>
      <w:r w:rsidRPr="007B5118" w:rsidR="00597BF8">
        <w:rPr>
          <w:sz w:val="24"/>
        </w:rPr>
        <w:t>health behaviors</w:t>
      </w:r>
      <w:r w:rsidRPr="007B5118" w:rsidR="00301C3E">
        <w:rPr>
          <w:sz w:val="24"/>
        </w:rPr>
        <w:t>;</w:t>
      </w:r>
      <w:r w:rsidRPr="007B5118" w:rsidR="00597BF8">
        <w:rPr>
          <w:sz w:val="24"/>
        </w:rPr>
        <w:t xml:space="preserve"> pregnancy and childbirth history</w:t>
      </w:r>
      <w:r w:rsidRPr="007B5118" w:rsidR="00301C3E">
        <w:rPr>
          <w:sz w:val="24"/>
        </w:rPr>
        <w:t>;</w:t>
      </w:r>
      <w:r w:rsidRPr="007B5118" w:rsidR="00597BF8">
        <w:rPr>
          <w:sz w:val="24"/>
        </w:rPr>
        <w:t xml:space="preserve"> </w:t>
      </w:r>
      <w:r w:rsidRPr="007B5118" w:rsidR="00EB2100">
        <w:rPr>
          <w:sz w:val="24"/>
        </w:rPr>
        <w:t xml:space="preserve">mother and child </w:t>
      </w:r>
      <w:r w:rsidRPr="007B5118" w:rsidR="00194627">
        <w:rPr>
          <w:sz w:val="24"/>
        </w:rPr>
        <w:t>health history</w:t>
      </w:r>
      <w:r w:rsidRPr="007B5118" w:rsidR="00301C3E">
        <w:rPr>
          <w:sz w:val="24"/>
        </w:rPr>
        <w:t>;</w:t>
      </w:r>
      <w:r w:rsidRPr="007B5118" w:rsidR="00194627">
        <w:rPr>
          <w:sz w:val="24"/>
        </w:rPr>
        <w:t xml:space="preserve"> </w:t>
      </w:r>
      <w:r w:rsidRPr="007B5118" w:rsidR="00F66C93">
        <w:rPr>
          <w:sz w:val="24"/>
        </w:rPr>
        <w:t>home life</w:t>
      </w:r>
      <w:r w:rsidRPr="007B5118" w:rsidR="00301C3E">
        <w:rPr>
          <w:sz w:val="24"/>
        </w:rPr>
        <w:t>;</w:t>
      </w:r>
      <w:r w:rsidRPr="007B5118" w:rsidR="00FB2ED5">
        <w:rPr>
          <w:sz w:val="24"/>
        </w:rPr>
        <w:t xml:space="preserve"> </w:t>
      </w:r>
      <w:r w:rsidRPr="007B5118" w:rsidR="00301C3E">
        <w:rPr>
          <w:sz w:val="24"/>
        </w:rPr>
        <w:t xml:space="preserve">parenting practices; </w:t>
      </w:r>
      <w:r w:rsidRPr="007B5118" w:rsidR="008E2780">
        <w:rPr>
          <w:sz w:val="24"/>
        </w:rPr>
        <w:t xml:space="preserve">and pregnancy outcomes such as low birthweight, preterm birth, and infant mortality </w:t>
      </w:r>
      <w:r w:rsidRPr="007B5118" w:rsidR="00FB2ED5">
        <w:rPr>
          <w:sz w:val="24"/>
        </w:rPr>
        <w:t>for all participants across all 101 grantees</w:t>
      </w:r>
      <w:r w:rsidRPr="007B5118" w:rsidR="00F66C93">
        <w:rPr>
          <w:sz w:val="24"/>
        </w:rPr>
        <w:t>.</w:t>
      </w:r>
      <w:r w:rsidRPr="007B5118" w:rsidR="00FB2ED5">
        <w:rPr>
          <w:sz w:val="24"/>
        </w:rPr>
        <w:t xml:space="preserve"> </w:t>
      </w:r>
      <w:r w:rsidRPr="007B5118" w:rsidR="008E2780">
        <w:rPr>
          <w:sz w:val="24"/>
        </w:rPr>
        <w:t>HSMED</w:t>
      </w:r>
      <w:r w:rsidRPr="007B5118" w:rsidR="008205F8">
        <w:rPr>
          <w:sz w:val="24"/>
        </w:rPr>
        <w:t xml:space="preserve"> </w:t>
      </w:r>
      <w:r w:rsidRPr="007B5118" w:rsidR="00772E8B">
        <w:rPr>
          <w:sz w:val="24"/>
        </w:rPr>
        <w:t>will be</w:t>
      </w:r>
      <w:r w:rsidRPr="007B5118" w:rsidR="008205F8">
        <w:rPr>
          <w:sz w:val="24"/>
        </w:rPr>
        <w:t xml:space="preserve"> used to examine associations </w:t>
      </w:r>
      <w:r w:rsidRPr="007B5118" w:rsidR="009578A3">
        <w:rPr>
          <w:sz w:val="24"/>
        </w:rPr>
        <w:t xml:space="preserve">between exposure to the HS program and pregnancy outcomes </w:t>
      </w:r>
      <w:r w:rsidRPr="007B5118" w:rsidR="008205F8">
        <w:rPr>
          <w:sz w:val="24"/>
        </w:rPr>
        <w:t xml:space="preserve">and </w:t>
      </w:r>
      <w:r w:rsidRPr="007B5118" w:rsidR="009578A3">
        <w:rPr>
          <w:sz w:val="24"/>
        </w:rPr>
        <w:t xml:space="preserve">to </w:t>
      </w:r>
      <w:r w:rsidRPr="007B5118" w:rsidR="008205F8">
        <w:rPr>
          <w:sz w:val="24"/>
        </w:rPr>
        <w:t>analyze black/whi</w:t>
      </w:r>
      <w:r w:rsidRPr="007B5118" w:rsidR="008E2780">
        <w:rPr>
          <w:sz w:val="24"/>
        </w:rPr>
        <w:t>te</w:t>
      </w:r>
      <w:r w:rsidRPr="007B5118" w:rsidR="008205F8">
        <w:rPr>
          <w:sz w:val="24"/>
        </w:rPr>
        <w:t xml:space="preserve"> disparities in outcomes. </w:t>
      </w:r>
      <w:r w:rsidRPr="007B5118" w:rsidR="00CB20D1">
        <w:rPr>
          <w:sz w:val="24"/>
        </w:rPr>
        <w:t>OMB c</w:t>
      </w:r>
      <w:r w:rsidRPr="007B5118" w:rsidR="00EC227A">
        <w:rPr>
          <w:sz w:val="24"/>
        </w:rPr>
        <w:t xml:space="preserve">learance is not requested for these secondary data. </w:t>
      </w:r>
      <w:r w:rsidRPr="007B5118" w:rsidR="00BA6F75">
        <w:rPr>
          <w:sz w:val="24"/>
        </w:rPr>
        <w:t>T</w:t>
      </w:r>
      <w:r w:rsidRPr="007B5118" w:rsidR="00C657F5">
        <w:rPr>
          <w:sz w:val="24"/>
        </w:rPr>
        <w:t xml:space="preserve">ogether, the </w:t>
      </w:r>
      <w:r w:rsidRPr="007B5118" w:rsidR="00612A72">
        <w:rPr>
          <w:sz w:val="24"/>
        </w:rPr>
        <w:t>primary</w:t>
      </w:r>
      <w:r w:rsidRPr="007B5118" w:rsidR="00C657F5">
        <w:rPr>
          <w:sz w:val="24"/>
        </w:rPr>
        <w:t xml:space="preserve"> data collection instruments and t</w:t>
      </w:r>
      <w:r w:rsidRPr="007B5118" w:rsidR="00BA6F75">
        <w:rPr>
          <w:sz w:val="24"/>
        </w:rPr>
        <w:t>he secondary data will be used to address the evaluation questions</w:t>
      </w:r>
      <w:r w:rsidRPr="007B5118" w:rsidR="00C657F5">
        <w:rPr>
          <w:sz w:val="24"/>
        </w:rPr>
        <w:t>. These evaluation questions</w:t>
      </w:r>
      <w:r w:rsidRPr="007B5118" w:rsidR="00BA6F75">
        <w:rPr>
          <w:sz w:val="24"/>
        </w:rPr>
        <w:t xml:space="preserve"> are listed in Table A.1 below</w:t>
      </w:r>
      <w:r w:rsidRPr="007B5118" w:rsidR="00C657F5">
        <w:rPr>
          <w:sz w:val="24"/>
        </w:rPr>
        <w:t>,</w:t>
      </w:r>
      <w:r w:rsidRPr="007B5118" w:rsidR="00BA6F75">
        <w:rPr>
          <w:sz w:val="24"/>
        </w:rPr>
        <w:t xml:space="preserve"> </w:t>
      </w:r>
      <w:r w:rsidRPr="007B5118" w:rsidR="00956C7D">
        <w:rPr>
          <w:sz w:val="24"/>
        </w:rPr>
        <w:t xml:space="preserve">along with the data sources and </w:t>
      </w:r>
      <w:r w:rsidRPr="007B5118" w:rsidR="00BA6F75">
        <w:rPr>
          <w:sz w:val="24"/>
        </w:rPr>
        <w:t>a brief description of the associated analysis for a clearer understanding of the overall evaluation.</w:t>
      </w:r>
    </w:p>
    <w:p w:rsidR="00067876" w:rsidRPr="007B5118" w:rsidP="000660FF" w14:paraId="5AC5AFE2" w14:textId="0487149B">
      <w:pPr>
        <w:ind w:firstLine="432"/>
        <w:rPr>
          <w:sz w:val="24"/>
        </w:rPr>
      </w:pPr>
      <w:r w:rsidRPr="007B5118">
        <w:rPr>
          <w:sz w:val="24"/>
        </w:rPr>
        <w:t xml:space="preserve">All 101 HS grantees will be </w:t>
      </w:r>
      <w:r w:rsidRPr="007B5118" w:rsidR="0045072B">
        <w:rPr>
          <w:sz w:val="24"/>
        </w:rPr>
        <w:t>asked</w:t>
      </w:r>
      <w:r w:rsidRPr="007B5118">
        <w:rPr>
          <w:sz w:val="24"/>
        </w:rPr>
        <w:t xml:space="preserve"> to complete </w:t>
      </w:r>
      <w:r w:rsidRPr="007B5118" w:rsidR="00701D78">
        <w:rPr>
          <w:sz w:val="24"/>
        </w:rPr>
        <w:t xml:space="preserve">the </w:t>
      </w:r>
      <w:r w:rsidRPr="007B5118" w:rsidR="00B23859">
        <w:rPr>
          <w:sz w:val="24"/>
        </w:rPr>
        <w:t xml:space="preserve">new </w:t>
      </w:r>
      <w:r w:rsidRPr="007B5118" w:rsidR="00701D78">
        <w:rPr>
          <w:sz w:val="24"/>
        </w:rPr>
        <w:t>Program Survey</w:t>
      </w:r>
      <w:r w:rsidRPr="007B5118" w:rsidR="0045072B">
        <w:rPr>
          <w:sz w:val="24"/>
        </w:rPr>
        <w:t>,</w:t>
      </w:r>
      <w:r w:rsidRPr="007B5118">
        <w:rPr>
          <w:sz w:val="24"/>
        </w:rPr>
        <w:t xml:space="preserve"> and all 101 </w:t>
      </w:r>
      <w:r w:rsidRPr="007B5118" w:rsidR="0045072B">
        <w:rPr>
          <w:sz w:val="24"/>
        </w:rPr>
        <w:t xml:space="preserve">grantees </w:t>
      </w:r>
      <w:r w:rsidRPr="007B5118">
        <w:rPr>
          <w:sz w:val="24"/>
        </w:rPr>
        <w:t>already contribute data to</w:t>
      </w:r>
      <w:r w:rsidRPr="007B5118" w:rsidR="00701D78">
        <w:rPr>
          <w:sz w:val="24"/>
        </w:rPr>
        <w:t xml:space="preserve"> HSMED</w:t>
      </w:r>
      <w:r w:rsidRPr="007B5118" w:rsidR="008C720E">
        <w:rPr>
          <w:sz w:val="24"/>
        </w:rPr>
        <w:t xml:space="preserve"> and</w:t>
      </w:r>
      <w:r w:rsidRPr="007B5118" w:rsidR="00701D78">
        <w:rPr>
          <w:sz w:val="24"/>
        </w:rPr>
        <w:t xml:space="preserve"> DGIS</w:t>
      </w:r>
      <w:r w:rsidRPr="007B5118" w:rsidR="0045072B">
        <w:rPr>
          <w:sz w:val="24"/>
        </w:rPr>
        <w:t>,</w:t>
      </w:r>
      <w:r w:rsidRPr="007B5118">
        <w:rPr>
          <w:sz w:val="24"/>
        </w:rPr>
        <w:t xml:space="preserve"> which will be used for the evaluation.</w:t>
      </w:r>
      <w:r w:rsidRPr="007B5118" w:rsidR="0051577E">
        <w:rPr>
          <w:sz w:val="24"/>
        </w:rPr>
        <w:t xml:space="preserve"> From these</w:t>
      </w:r>
      <w:r w:rsidRPr="007B5118">
        <w:rPr>
          <w:sz w:val="24"/>
        </w:rPr>
        <w:t xml:space="preserve"> 101</w:t>
      </w:r>
      <w:r w:rsidRPr="007B5118" w:rsidR="0051577E">
        <w:rPr>
          <w:sz w:val="24"/>
        </w:rPr>
        <w:t xml:space="preserve"> grantees, a</w:t>
      </w:r>
      <w:r w:rsidRPr="007B5118">
        <w:rPr>
          <w:sz w:val="24"/>
        </w:rPr>
        <w:t xml:space="preserve"> </w:t>
      </w:r>
      <w:r w:rsidRPr="007B5118" w:rsidR="000B6C15">
        <w:rPr>
          <w:sz w:val="24"/>
        </w:rPr>
        <w:t xml:space="preserve">convenience sample of </w:t>
      </w:r>
      <w:r w:rsidRPr="007B5118">
        <w:rPr>
          <w:sz w:val="24"/>
        </w:rPr>
        <w:t xml:space="preserve">15 </w:t>
      </w:r>
      <w:r w:rsidRPr="007B5118" w:rsidR="00B23859">
        <w:rPr>
          <w:sz w:val="24"/>
        </w:rPr>
        <w:t xml:space="preserve">grantees </w:t>
      </w:r>
      <w:r w:rsidRPr="007B5118">
        <w:rPr>
          <w:sz w:val="24"/>
        </w:rPr>
        <w:t xml:space="preserve">will be selected as case study sites </w:t>
      </w:r>
      <w:r w:rsidRPr="007B5118" w:rsidR="00B23859">
        <w:rPr>
          <w:sz w:val="24"/>
        </w:rPr>
        <w:t>where data from</w:t>
      </w:r>
      <w:r w:rsidRPr="007B5118">
        <w:rPr>
          <w:sz w:val="24"/>
        </w:rPr>
        <w:t xml:space="preserve"> the </w:t>
      </w:r>
      <w:r w:rsidRPr="007B5118" w:rsidR="0045072B">
        <w:rPr>
          <w:sz w:val="24"/>
        </w:rPr>
        <w:t xml:space="preserve">Network Survey, </w:t>
      </w:r>
      <w:r w:rsidRPr="007B5118">
        <w:rPr>
          <w:sz w:val="24"/>
        </w:rPr>
        <w:t xml:space="preserve">Participant Survey, and </w:t>
      </w:r>
      <w:r w:rsidRPr="007B5118" w:rsidR="00B23859">
        <w:rPr>
          <w:sz w:val="24"/>
        </w:rPr>
        <w:t xml:space="preserve">the </w:t>
      </w:r>
      <w:r w:rsidRPr="007B5118">
        <w:rPr>
          <w:sz w:val="24"/>
        </w:rPr>
        <w:t xml:space="preserve">Stakeholder Interview Guide will be </w:t>
      </w:r>
      <w:r w:rsidRPr="007B5118" w:rsidR="00B23859">
        <w:rPr>
          <w:sz w:val="24"/>
        </w:rPr>
        <w:t>collecte</w:t>
      </w:r>
      <w:r w:rsidRPr="007B5118">
        <w:rPr>
          <w:sz w:val="24"/>
        </w:rPr>
        <w:t xml:space="preserve">d. </w:t>
      </w:r>
    </w:p>
    <w:p w:rsidR="00C9558D" w:rsidP="000660FF" w14:paraId="2FC9C8B2" w14:textId="77777777">
      <w:pPr>
        <w:ind w:firstLine="432"/>
        <w:rPr>
          <w:sz w:val="24"/>
        </w:rPr>
      </w:pPr>
      <w:r w:rsidRPr="007B5118">
        <w:rPr>
          <w:sz w:val="24"/>
        </w:rPr>
        <w:t xml:space="preserve">The </w:t>
      </w:r>
      <w:r w:rsidRPr="007B5118" w:rsidR="00B23859">
        <w:rPr>
          <w:sz w:val="24"/>
        </w:rPr>
        <w:t xml:space="preserve">sample of </w:t>
      </w:r>
      <w:r w:rsidRPr="007B5118">
        <w:rPr>
          <w:sz w:val="24"/>
        </w:rPr>
        <w:t xml:space="preserve">15 grantees </w:t>
      </w:r>
      <w:r w:rsidRPr="007B5118" w:rsidR="00B23859">
        <w:rPr>
          <w:sz w:val="24"/>
        </w:rPr>
        <w:t xml:space="preserve">selected </w:t>
      </w:r>
      <w:r w:rsidRPr="007B5118">
        <w:rPr>
          <w:sz w:val="24"/>
        </w:rPr>
        <w:t xml:space="preserve">will serve as illustrative case studies to </w:t>
      </w:r>
      <w:r w:rsidRPr="007B5118" w:rsidR="00A46A21">
        <w:rPr>
          <w:sz w:val="24"/>
        </w:rPr>
        <w:t xml:space="preserve">provide more context about </w:t>
      </w:r>
      <w:r w:rsidRPr="007B5118" w:rsidR="00560DD1">
        <w:rPr>
          <w:sz w:val="24"/>
        </w:rPr>
        <w:t xml:space="preserve">the implementation of </w:t>
      </w:r>
      <w:r w:rsidRPr="007B5118" w:rsidR="00A46A21">
        <w:rPr>
          <w:sz w:val="24"/>
        </w:rPr>
        <w:t>program activities</w:t>
      </w:r>
      <w:r w:rsidRPr="007B5118" w:rsidR="00560DD1">
        <w:rPr>
          <w:sz w:val="24"/>
        </w:rPr>
        <w:t xml:space="preserve"> and </w:t>
      </w:r>
      <w:r w:rsidRPr="007B5118" w:rsidR="00A46A21">
        <w:rPr>
          <w:sz w:val="24"/>
        </w:rPr>
        <w:t>evidence-based programs</w:t>
      </w:r>
      <w:r w:rsidRPr="007B5118" w:rsidR="00174932">
        <w:rPr>
          <w:sz w:val="24"/>
        </w:rPr>
        <w:t>,</w:t>
      </w:r>
      <w:r w:rsidRPr="007B5118" w:rsidR="00A46A21">
        <w:rPr>
          <w:sz w:val="24"/>
        </w:rPr>
        <w:t xml:space="preserve"> and </w:t>
      </w:r>
      <w:r w:rsidRPr="007B5118" w:rsidR="004577AF">
        <w:rPr>
          <w:sz w:val="24"/>
        </w:rPr>
        <w:t xml:space="preserve">about strategies, practices, and </w:t>
      </w:r>
      <w:r w:rsidRPr="007B5118" w:rsidR="00A46A21">
        <w:rPr>
          <w:sz w:val="24"/>
        </w:rPr>
        <w:t>processes that contribute to outcomes</w:t>
      </w:r>
      <w:r w:rsidRPr="007B5118">
        <w:rPr>
          <w:sz w:val="24"/>
        </w:rPr>
        <w:t>.</w:t>
      </w:r>
      <w:r w:rsidRPr="007B5118" w:rsidR="00794D62">
        <w:rPr>
          <w:sz w:val="24"/>
        </w:rPr>
        <w:t xml:space="preserve"> This approach of a collective case study of 15 grantees is undertaken to elicit common findings from different</w:t>
      </w:r>
      <w:r w:rsidRPr="007B5118" w:rsidR="00DF4348">
        <w:rPr>
          <w:sz w:val="24"/>
        </w:rPr>
        <w:t xml:space="preserve"> HS</w:t>
      </w:r>
      <w:r w:rsidRPr="007B5118" w:rsidR="00794D62">
        <w:rPr>
          <w:sz w:val="24"/>
        </w:rPr>
        <w:t xml:space="preserve"> programs that have performed well</w:t>
      </w:r>
      <w:r w:rsidRPr="007B5118" w:rsidR="00112D06">
        <w:rPr>
          <w:sz w:val="24"/>
        </w:rPr>
        <w:t>, have</w:t>
      </w:r>
      <w:r w:rsidRPr="007B5118" w:rsidR="00405CEB">
        <w:rPr>
          <w:sz w:val="24"/>
        </w:rPr>
        <w:t xml:space="preserve"> </w:t>
      </w:r>
      <w:r w:rsidRPr="007B5118" w:rsidR="003B7D80">
        <w:rPr>
          <w:sz w:val="24"/>
        </w:rPr>
        <w:t>high</w:t>
      </w:r>
      <w:r w:rsidRPr="007B5118" w:rsidR="00405CEB">
        <w:rPr>
          <w:sz w:val="24"/>
        </w:rPr>
        <w:t>er</w:t>
      </w:r>
      <w:r w:rsidRPr="007B5118" w:rsidR="003B7D80">
        <w:rPr>
          <w:sz w:val="24"/>
        </w:rPr>
        <w:t xml:space="preserve"> levels of participation</w:t>
      </w:r>
      <w:r w:rsidRPr="007B5118" w:rsidR="00AC793C">
        <w:rPr>
          <w:sz w:val="24"/>
        </w:rPr>
        <w:t>, in a diversity of settings,</w:t>
      </w:r>
      <w:r w:rsidRPr="007B5118" w:rsidR="009459FC">
        <w:rPr>
          <w:sz w:val="24"/>
        </w:rPr>
        <w:t xml:space="preserve"> and </w:t>
      </w:r>
      <w:r w:rsidRPr="007B5118" w:rsidR="003B7D80">
        <w:rPr>
          <w:sz w:val="24"/>
        </w:rPr>
        <w:t>may</w:t>
      </w:r>
      <w:r w:rsidRPr="007B5118" w:rsidR="00E4528F">
        <w:rPr>
          <w:sz w:val="24"/>
        </w:rPr>
        <w:t xml:space="preserve"> have more lessons learned regarding implementation successes and challenges than less experienced programs</w:t>
      </w:r>
      <w:r w:rsidRPr="007B5118" w:rsidR="00794D62">
        <w:rPr>
          <w:sz w:val="24"/>
        </w:rPr>
        <w:t>.</w:t>
      </w:r>
      <w:r w:rsidRPr="007B5118" w:rsidR="00FB01FC">
        <w:rPr>
          <w:sz w:val="24"/>
        </w:rPr>
        <w:t xml:space="preserve"> </w:t>
      </w:r>
      <w:r w:rsidRPr="007B5118" w:rsidR="00D53BDB">
        <w:rPr>
          <w:sz w:val="24"/>
        </w:rPr>
        <w:t>Therefore, c</w:t>
      </w:r>
      <w:r w:rsidRPr="007B5118">
        <w:rPr>
          <w:sz w:val="24"/>
        </w:rPr>
        <w:t xml:space="preserve">ase study sites will </w:t>
      </w:r>
      <w:r w:rsidRPr="007B5118" w:rsidR="008B3277">
        <w:rPr>
          <w:sz w:val="24"/>
        </w:rPr>
        <w:t>be selected to represent</w:t>
      </w:r>
      <w:r w:rsidRPr="007B5118">
        <w:rPr>
          <w:sz w:val="24"/>
        </w:rPr>
        <w:t xml:space="preserve"> experienced grantees with established C</w:t>
      </w:r>
      <w:r w:rsidRPr="007B5118" w:rsidR="000B6C15">
        <w:rPr>
          <w:sz w:val="24"/>
        </w:rPr>
        <w:t>ommunity Action Networks (CANs) and sufficient number</w:t>
      </w:r>
      <w:r w:rsidRPr="007B5118" w:rsidR="0084677E">
        <w:rPr>
          <w:sz w:val="24"/>
        </w:rPr>
        <w:t>s</w:t>
      </w:r>
      <w:r w:rsidRPr="007B5118" w:rsidR="000B6C15">
        <w:rPr>
          <w:sz w:val="24"/>
        </w:rPr>
        <w:t xml:space="preserve"> of current HS participants</w:t>
      </w:r>
      <w:r w:rsidRPr="007B5118" w:rsidR="00901967">
        <w:rPr>
          <w:sz w:val="24"/>
        </w:rPr>
        <w:t xml:space="preserve"> to provide the data needed for the evaluation</w:t>
      </w:r>
      <w:r w:rsidRPr="007B5118">
        <w:rPr>
          <w:sz w:val="24"/>
        </w:rPr>
        <w:t>.</w:t>
      </w:r>
      <w:r w:rsidRPr="007B5118" w:rsidR="000B6C15">
        <w:rPr>
          <w:sz w:val="24"/>
        </w:rPr>
        <w:t xml:space="preserve"> </w:t>
      </w:r>
      <w:r w:rsidRPr="007B5118" w:rsidR="00D51D1B">
        <w:rPr>
          <w:sz w:val="24"/>
        </w:rPr>
        <w:t>Priority will be given to select grantees that have attained at least 70 percent of the HS benchmarks</w:t>
      </w:r>
      <w:r w:rsidRPr="007B5118" w:rsidR="00450A76">
        <w:rPr>
          <w:sz w:val="24"/>
        </w:rPr>
        <w:t xml:space="preserve"> </w:t>
      </w:r>
      <w:r w:rsidRPr="007B5118" w:rsidR="006A4322">
        <w:rPr>
          <w:sz w:val="24"/>
        </w:rPr>
        <w:t xml:space="preserve">in the previous year </w:t>
      </w:r>
      <w:r w:rsidRPr="007B5118" w:rsidR="00450A76">
        <w:rPr>
          <w:sz w:val="24"/>
        </w:rPr>
        <w:t>and, in particular, attained the benchmarks related to the CANs</w:t>
      </w:r>
      <w:r w:rsidRPr="007B5118" w:rsidR="00D51D1B">
        <w:rPr>
          <w:sz w:val="24"/>
        </w:rPr>
        <w:t xml:space="preserve"> as reported in the DGIS. </w:t>
      </w:r>
      <w:r w:rsidRPr="007B5118" w:rsidR="000B6C15">
        <w:rPr>
          <w:sz w:val="24"/>
        </w:rPr>
        <w:t xml:space="preserve">Grantees from both urban and rural locations and from organizations that are both health </w:t>
      </w:r>
      <w:r w:rsidRPr="007B5118" w:rsidR="000B6C15">
        <w:rPr>
          <w:sz w:val="24"/>
        </w:rPr>
        <w:t xml:space="preserve">departments and non-health departments will be selected. </w:t>
      </w:r>
      <w:r w:rsidRPr="007B5118" w:rsidR="00D53BDB">
        <w:rPr>
          <w:sz w:val="24"/>
        </w:rPr>
        <w:t xml:space="preserve">Recent 2021 data from the DGIS and HSMED will be used to ensure that sites selected have the </w:t>
      </w:r>
      <w:r w:rsidRPr="007B5118" w:rsidR="008536E6">
        <w:rPr>
          <w:sz w:val="24"/>
        </w:rPr>
        <w:t>targeted</w:t>
      </w:r>
      <w:r w:rsidRPr="007B5118" w:rsidR="00D53BDB">
        <w:rPr>
          <w:sz w:val="24"/>
        </w:rPr>
        <w:t xml:space="preserve"> sample sizes</w:t>
      </w:r>
      <w:r w:rsidRPr="007B5118" w:rsidR="00B23859">
        <w:rPr>
          <w:sz w:val="24"/>
        </w:rPr>
        <w:t xml:space="preserve"> of respondents</w:t>
      </w:r>
      <w:r w:rsidRPr="007B5118" w:rsidR="00D53BDB">
        <w:rPr>
          <w:sz w:val="24"/>
        </w:rPr>
        <w:t xml:space="preserve"> for the two surveys. Grantees with 50 or more CAN members reported in the DGIS and </w:t>
      </w:r>
      <w:r w:rsidRPr="007B5118" w:rsidR="00A569A1">
        <w:rPr>
          <w:sz w:val="24"/>
        </w:rPr>
        <w:t>those</w:t>
      </w:r>
      <w:r w:rsidRPr="007B5118" w:rsidR="00D53BDB">
        <w:rPr>
          <w:sz w:val="24"/>
        </w:rPr>
        <w:t xml:space="preserve"> with 250 or more currently enrolled women participants and 20 or more male participants reported in HSMED will be used for the inclusion criteria of the case study sites.</w:t>
      </w:r>
    </w:p>
    <w:p w:rsidR="00794B08" w:rsidP="000660FF" w14:paraId="32D558CF" w14:textId="7D56CE2D">
      <w:pPr>
        <w:ind w:firstLine="432"/>
        <w:rPr>
          <w:sz w:val="24"/>
        </w:rPr>
      </w:pPr>
      <w:r w:rsidRPr="007B5118">
        <w:rPr>
          <w:sz w:val="24"/>
        </w:rPr>
        <w:t xml:space="preserve"> </w:t>
      </w:r>
      <w:r w:rsidRPr="007B5118" w:rsidR="005C3C7A">
        <w:rPr>
          <w:sz w:val="24"/>
        </w:rPr>
        <w:t xml:space="preserve">This </w:t>
      </w:r>
      <w:r w:rsidRPr="007B5118" w:rsidR="00794D62">
        <w:rPr>
          <w:sz w:val="24"/>
        </w:rPr>
        <w:t xml:space="preserve">collective </w:t>
      </w:r>
      <w:r w:rsidRPr="007B5118" w:rsidR="005C3C7A">
        <w:rPr>
          <w:sz w:val="24"/>
        </w:rPr>
        <w:t xml:space="preserve">case study approach of 15 </w:t>
      </w:r>
      <w:r w:rsidRPr="007B5118" w:rsidR="009E7536">
        <w:rPr>
          <w:sz w:val="24"/>
        </w:rPr>
        <w:t>more developed programs</w:t>
      </w:r>
      <w:r w:rsidRPr="007B5118" w:rsidR="005C3C7A">
        <w:rPr>
          <w:sz w:val="24"/>
        </w:rPr>
        <w:t xml:space="preserve"> will</w:t>
      </w:r>
      <w:r w:rsidR="005C3C7A">
        <w:rPr>
          <w:sz w:val="24"/>
        </w:rPr>
        <w:t xml:space="preserve"> allow the evaluation to </w:t>
      </w:r>
      <w:r w:rsidR="004929F9">
        <w:rPr>
          <w:sz w:val="24"/>
        </w:rPr>
        <w:t xml:space="preserve">obtain data to </w:t>
      </w:r>
      <w:r w:rsidR="004929F9">
        <w:rPr>
          <w:sz w:val="24"/>
        </w:rPr>
        <w:t>examine</w:t>
      </w:r>
      <w:r w:rsidR="005C3C7A">
        <w:rPr>
          <w:sz w:val="24"/>
        </w:rPr>
        <w:t xml:space="preserve"> patterns of similarities and differences across grantees and enhance the understanding of conditions that facilitate program activities</w:t>
      </w:r>
      <w:r w:rsidR="001061AB">
        <w:rPr>
          <w:sz w:val="24"/>
        </w:rPr>
        <w:t xml:space="preserve"> and services</w:t>
      </w:r>
      <w:r w:rsidR="005C3C7A">
        <w:rPr>
          <w:sz w:val="24"/>
        </w:rPr>
        <w:t xml:space="preserve">. </w:t>
      </w:r>
      <w:r w:rsidRPr="00920421" w:rsidR="00920421">
        <w:rPr>
          <w:sz w:val="24"/>
        </w:rPr>
        <w:t>This is an efficient, cost-effective approach for identifying strategies from successful programs, but it is subject to survivorship bias</w:t>
      </w:r>
      <w:r w:rsidR="00920421">
        <w:rPr>
          <w:sz w:val="24"/>
        </w:rPr>
        <w:t>.</w:t>
      </w:r>
      <w:r w:rsidR="00920421">
        <w:rPr>
          <w:sz w:val="24"/>
        </w:rPr>
        <w:t xml:space="preserve"> A</w:t>
      </w:r>
      <w:r w:rsidR="00920421">
        <w:rPr>
          <w:sz w:val="24"/>
        </w:rPr>
        <w:t xml:space="preserve">lthough it </w:t>
      </w:r>
      <w:r w:rsidRPr="00920421" w:rsidR="00920421">
        <w:rPr>
          <w:sz w:val="24"/>
        </w:rPr>
        <w:t>will not be representative of the full cohort</w:t>
      </w:r>
      <w:r w:rsidR="00920421">
        <w:rPr>
          <w:sz w:val="24"/>
        </w:rPr>
        <w:t xml:space="preserve">, it </w:t>
      </w:r>
      <w:r w:rsidRPr="00920421" w:rsidR="00920421">
        <w:rPr>
          <w:sz w:val="24"/>
        </w:rPr>
        <w:t xml:space="preserve">will provide insights into the functioning of grantees with higher levels of CAN participation and higher numbers of participants, </w:t>
      </w:r>
      <w:r w:rsidR="00920421">
        <w:rPr>
          <w:sz w:val="24"/>
        </w:rPr>
        <w:t xml:space="preserve">a goal which all </w:t>
      </w:r>
      <w:r w:rsidRPr="00920421" w:rsidR="00920421">
        <w:rPr>
          <w:sz w:val="24"/>
        </w:rPr>
        <w:t>sites are working towards</w:t>
      </w:r>
      <w:r w:rsidR="00920421">
        <w:rPr>
          <w:sz w:val="24"/>
        </w:rPr>
        <w:t xml:space="preserve">. </w:t>
      </w:r>
      <w:r w:rsidR="00E85AF1">
        <w:rPr>
          <w:sz w:val="24"/>
        </w:rPr>
        <w:t>B</w:t>
      </w:r>
      <w:r w:rsidRPr="00920421" w:rsidR="00920421">
        <w:rPr>
          <w:sz w:val="24"/>
        </w:rPr>
        <w:t>y only sampling from successful programs, and not the general population of HS grantees, these strategies may not be generalizable to all HS grantees</w:t>
      </w:r>
      <w:r w:rsidR="00920421">
        <w:rPr>
          <w:sz w:val="24"/>
        </w:rPr>
        <w:t xml:space="preserve">. </w:t>
      </w:r>
      <w:r w:rsidR="004844F7">
        <w:rPr>
          <w:sz w:val="24"/>
        </w:rPr>
        <w:t xml:space="preserve">While this approach may limit generalizability, the </w:t>
      </w:r>
      <w:r w:rsidR="00EB6BFB">
        <w:rPr>
          <w:sz w:val="24"/>
        </w:rPr>
        <w:t>goal</w:t>
      </w:r>
      <w:r w:rsidR="004844F7">
        <w:rPr>
          <w:sz w:val="24"/>
        </w:rPr>
        <w:t xml:space="preserve"> is to identify successful strategies and processes of addressing challenges in program implementation that can be shared and adopted by </w:t>
      </w:r>
      <w:r w:rsidR="00EB6BFB">
        <w:rPr>
          <w:sz w:val="24"/>
        </w:rPr>
        <w:t xml:space="preserve">less experienced grantees. </w:t>
      </w:r>
    </w:p>
    <w:p w:rsidR="008278CC" w:rsidRPr="007B5118" w:rsidP="000660FF" w14:paraId="3322FA30" w14:textId="475F6C95">
      <w:pPr>
        <w:ind w:firstLine="432"/>
        <w:rPr>
          <w:sz w:val="24"/>
        </w:rPr>
      </w:pPr>
      <w:r>
        <w:rPr>
          <w:sz w:val="24"/>
        </w:rPr>
        <w:t xml:space="preserve">A list of grantees </w:t>
      </w:r>
      <w:r w:rsidR="00067876">
        <w:rPr>
          <w:sz w:val="24"/>
        </w:rPr>
        <w:t xml:space="preserve">meeting the criteria </w:t>
      </w:r>
      <w:r>
        <w:rPr>
          <w:sz w:val="24"/>
        </w:rPr>
        <w:t>will be generated</w:t>
      </w:r>
      <w:r w:rsidR="008536E6">
        <w:rPr>
          <w:sz w:val="24"/>
        </w:rPr>
        <w:t>,</w:t>
      </w:r>
      <w:r>
        <w:rPr>
          <w:sz w:val="24"/>
        </w:rPr>
        <w:t xml:space="preserve"> and further input from the </w:t>
      </w:r>
      <w:r w:rsidR="008D60F5">
        <w:rPr>
          <w:sz w:val="24"/>
        </w:rPr>
        <w:t xml:space="preserve">MCHB </w:t>
      </w:r>
      <w:r>
        <w:rPr>
          <w:sz w:val="24"/>
        </w:rPr>
        <w:t>HS project officers will be obtained on these grantees to learn about their performance and responsiveness</w:t>
      </w:r>
      <w:r w:rsidR="00067876">
        <w:rPr>
          <w:sz w:val="24"/>
        </w:rPr>
        <w:t xml:space="preserve"> before </w:t>
      </w:r>
      <w:r w:rsidR="008536E6">
        <w:rPr>
          <w:sz w:val="24"/>
        </w:rPr>
        <w:t>selecting</w:t>
      </w:r>
      <w:r w:rsidR="00067876">
        <w:rPr>
          <w:sz w:val="24"/>
        </w:rPr>
        <w:t xml:space="preserve"> the </w:t>
      </w:r>
      <w:r w:rsidR="0088615B">
        <w:rPr>
          <w:sz w:val="24"/>
        </w:rPr>
        <w:t>15</w:t>
      </w:r>
      <w:r w:rsidR="00067876">
        <w:rPr>
          <w:sz w:val="24"/>
        </w:rPr>
        <w:t xml:space="preserve"> sites to request participation.</w:t>
      </w:r>
      <w:r>
        <w:rPr>
          <w:sz w:val="24"/>
        </w:rPr>
        <w:t xml:space="preserve"> </w:t>
      </w:r>
      <w:r w:rsidR="0088615B">
        <w:rPr>
          <w:sz w:val="24"/>
        </w:rPr>
        <w:t xml:space="preserve">Once the grantees agree to participate, they will be </w:t>
      </w:r>
      <w:r w:rsidR="008536E6">
        <w:rPr>
          <w:sz w:val="24"/>
        </w:rPr>
        <w:t>asked</w:t>
      </w:r>
      <w:r w:rsidR="0088615B">
        <w:rPr>
          <w:sz w:val="24"/>
        </w:rPr>
        <w:t xml:space="preserve"> to provide a list of their currently active CAN members </w:t>
      </w:r>
      <w:r w:rsidR="006564A5">
        <w:rPr>
          <w:sz w:val="24"/>
        </w:rPr>
        <w:t xml:space="preserve">with their email addresses </w:t>
      </w:r>
      <w:r w:rsidR="0088615B">
        <w:rPr>
          <w:sz w:val="24"/>
        </w:rPr>
        <w:t xml:space="preserve">and currently enrolled participants with </w:t>
      </w:r>
      <w:r w:rsidR="0079012B">
        <w:rPr>
          <w:sz w:val="24"/>
        </w:rPr>
        <w:t xml:space="preserve">their </w:t>
      </w:r>
      <w:r w:rsidRPr="000D7B5C" w:rsidR="0079012B">
        <w:rPr>
          <w:sz w:val="24"/>
        </w:rPr>
        <w:t xml:space="preserve">phone numbers and </w:t>
      </w:r>
      <w:r w:rsidRPr="000D7B5C" w:rsidR="0088615B">
        <w:rPr>
          <w:sz w:val="24"/>
        </w:rPr>
        <w:t>email ad</w:t>
      </w:r>
      <w:r w:rsidRPr="007B5118" w:rsidR="0088615B">
        <w:rPr>
          <w:sz w:val="24"/>
        </w:rPr>
        <w:t xml:space="preserve">dresses to which </w:t>
      </w:r>
      <w:r w:rsidRPr="007B5118">
        <w:rPr>
          <w:sz w:val="24"/>
        </w:rPr>
        <w:t xml:space="preserve">web </w:t>
      </w:r>
      <w:r w:rsidRPr="007B5118" w:rsidR="0088615B">
        <w:rPr>
          <w:sz w:val="24"/>
        </w:rPr>
        <w:t xml:space="preserve">survey links </w:t>
      </w:r>
      <w:r w:rsidRPr="007B5118" w:rsidR="00E80C53">
        <w:rPr>
          <w:sz w:val="24"/>
        </w:rPr>
        <w:t>can</w:t>
      </w:r>
      <w:r w:rsidRPr="007B5118" w:rsidR="0088615B">
        <w:rPr>
          <w:sz w:val="24"/>
        </w:rPr>
        <w:t xml:space="preserve"> be sent. </w:t>
      </w:r>
      <w:r w:rsidRPr="007B5118" w:rsidR="00BD0516">
        <w:rPr>
          <w:sz w:val="24"/>
        </w:rPr>
        <w:t>From these lists, the number of potential respondents identified for each survey will be randomly selected and contacted by email to complete the web surveys</w:t>
      </w:r>
      <w:r w:rsidRPr="007B5118" w:rsidR="008536E6">
        <w:rPr>
          <w:sz w:val="24"/>
        </w:rPr>
        <w:t>,</w:t>
      </w:r>
      <w:r w:rsidRPr="007B5118" w:rsidR="00DA7E83">
        <w:rPr>
          <w:sz w:val="24"/>
        </w:rPr>
        <w:t xml:space="preserve"> with weekly reminders </w:t>
      </w:r>
      <w:r w:rsidRPr="007B5118" w:rsidR="00E80C53">
        <w:rPr>
          <w:sz w:val="24"/>
        </w:rPr>
        <w:t xml:space="preserve">sent </w:t>
      </w:r>
      <w:r w:rsidRPr="007B5118" w:rsidR="00DA7E83">
        <w:rPr>
          <w:sz w:val="24"/>
        </w:rPr>
        <w:t>for survey completion. More potential respondents from the lists will be randomly selected and contacted and similar process followed to reach the targeted numbers for completion of each survey</w:t>
      </w:r>
      <w:r w:rsidRPr="007B5118" w:rsidR="00BD0516">
        <w:rPr>
          <w:sz w:val="24"/>
        </w:rPr>
        <w:t xml:space="preserve">. </w:t>
      </w:r>
    </w:p>
    <w:p w:rsidR="00701D78" w:rsidRPr="007B5118" w:rsidP="000660FF" w14:paraId="20321D4D" w14:textId="264545C8">
      <w:pPr>
        <w:ind w:firstLine="432"/>
        <w:rPr>
          <w:sz w:val="24"/>
        </w:rPr>
      </w:pPr>
      <w:r w:rsidRPr="007B5118">
        <w:rPr>
          <w:sz w:val="24"/>
        </w:rPr>
        <w:t xml:space="preserve">For the Participant Survey, if potential respondents have difficulty completing the survey over the web, </w:t>
      </w:r>
      <w:r w:rsidRPr="007B5118" w:rsidR="0047443E">
        <w:rPr>
          <w:sz w:val="24"/>
        </w:rPr>
        <w:t xml:space="preserve">the evaluation contractor will offer </w:t>
      </w:r>
      <w:r w:rsidRPr="007B5118">
        <w:rPr>
          <w:sz w:val="24"/>
        </w:rPr>
        <w:t>assistance to help them complete the survey over email or by telephone.</w:t>
      </w:r>
      <w:r w:rsidRPr="007B5118" w:rsidR="0079012B">
        <w:rPr>
          <w:sz w:val="24"/>
        </w:rPr>
        <w:t xml:space="preserve"> For th</w:t>
      </w:r>
      <w:r w:rsidRPr="007B5118" w:rsidR="002B7575">
        <w:rPr>
          <w:sz w:val="24"/>
        </w:rPr>
        <w:t>ose who are</w:t>
      </w:r>
      <w:r w:rsidRPr="007B5118" w:rsidR="0079012B">
        <w:rPr>
          <w:sz w:val="24"/>
        </w:rPr>
        <w:t xml:space="preserve"> non-responsive, the contractor will attempt to reach them by phone and will also ask the HS case managers for assistance with contacting the participants about the survey as needed.</w:t>
      </w:r>
      <w:r w:rsidRPr="007B5118" w:rsidR="008536E6">
        <w:rPr>
          <w:sz w:val="24"/>
        </w:rPr>
        <w:t xml:space="preserve"> The contractor will also ask the HS program staff to allow participants to use computers at their site to access the web survey when they come in for services, if needed.</w:t>
      </w:r>
    </w:p>
    <w:p w:rsidR="008D60F5" w:rsidRPr="007B5118" w:rsidP="008424D9" w14:paraId="35F8D28A" w14:textId="0AA3C862">
      <w:pPr>
        <w:ind w:firstLine="432"/>
        <w:rPr>
          <w:sz w:val="24"/>
        </w:rPr>
      </w:pPr>
      <w:r w:rsidRPr="007B5118">
        <w:rPr>
          <w:sz w:val="24"/>
        </w:rPr>
        <w:t xml:space="preserve">An initial, basic dosage analysis </w:t>
      </w:r>
      <w:r w:rsidRPr="007B5118" w:rsidR="0032771C">
        <w:rPr>
          <w:sz w:val="24"/>
        </w:rPr>
        <w:t xml:space="preserve">will </w:t>
      </w:r>
      <w:r w:rsidRPr="007B5118" w:rsidR="006B2F77">
        <w:rPr>
          <w:sz w:val="24"/>
        </w:rPr>
        <w:t xml:space="preserve">use HSMED data to </w:t>
      </w:r>
      <w:r w:rsidRPr="007B5118" w:rsidR="00E92166">
        <w:rPr>
          <w:sz w:val="24"/>
        </w:rPr>
        <w:t xml:space="preserve">measure the association </w:t>
      </w:r>
      <w:r w:rsidRPr="007B5118" w:rsidR="00A70EAC">
        <w:rPr>
          <w:sz w:val="24"/>
        </w:rPr>
        <w:t>of the HS program with health outcomes such as preterm birth, low birthweight, and infant death</w:t>
      </w:r>
      <w:r w:rsidRPr="007B5118" w:rsidR="007D48AD">
        <w:rPr>
          <w:sz w:val="24"/>
        </w:rPr>
        <w:t xml:space="preserve">. </w:t>
      </w:r>
      <w:r w:rsidR="005A3632">
        <w:rPr>
          <w:sz w:val="24"/>
        </w:rPr>
        <w:t xml:space="preserve">Basic </w:t>
      </w:r>
      <w:r w:rsidR="005A3632">
        <w:rPr>
          <w:sz w:val="24"/>
        </w:rPr>
        <w:t>d</w:t>
      </w:r>
      <w:r w:rsidRPr="007B5118" w:rsidR="00CD66FA">
        <w:rPr>
          <w:sz w:val="24"/>
        </w:rPr>
        <w:t xml:space="preserve">osage will be represented </w:t>
      </w:r>
      <w:r w:rsidRPr="007B5118" w:rsidR="00722FE6">
        <w:rPr>
          <w:sz w:val="24"/>
        </w:rPr>
        <w:t xml:space="preserve">by the </w:t>
      </w:r>
      <w:r w:rsidR="005A3632">
        <w:rPr>
          <w:sz w:val="24"/>
        </w:rPr>
        <w:t>duration of exposure to</w:t>
      </w:r>
      <w:r w:rsidR="005A3632">
        <w:rPr>
          <w:sz w:val="24"/>
        </w:rPr>
        <w:t xml:space="preserve"> the</w:t>
      </w:r>
      <w:r w:rsidRPr="007B5118" w:rsidR="00722FE6">
        <w:rPr>
          <w:sz w:val="24"/>
        </w:rPr>
        <w:t xml:space="preserve"> interaction and /or services the HS program supplies to a participant</w:t>
      </w:r>
      <w:r w:rsidRPr="007B5118" w:rsidR="00467616">
        <w:rPr>
          <w:sz w:val="24"/>
        </w:rPr>
        <w:t>. A</w:t>
      </w:r>
      <w:r w:rsidRPr="007B5118" w:rsidR="001469BD">
        <w:rPr>
          <w:sz w:val="24"/>
        </w:rPr>
        <w:t xml:space="preserve"> regression analysis </w:t>
      </w:r>
      <w:r w:rsidRPr="007B5118" w:rsidR="008F2D04">
        <w:rPr>
          <w:sz w:val="24"/>
        </w:rPr>
        <w:t>will be used to</w:t>
      </w:r>
      <w:r w:rsidRPr="007B5118" w:rsidR="001469BD">
        <w:rPr>
          <w:sz w:val="24"/>
        </w:rPr>
        <w:t xml:space="preserve"> capture changes in outcomes </w:t>
      </w:r>
      <w:r w:rsidRPr="007B5118" w:rsidR="007F5017">
        <w:rPr>
          <w:sz w:val="24"/>
        </w:rPr>
        <w:t xml:space="preserve">among participants with high doses relative to mothers with lower </w:t>
      </w:r>
      <w:r w:rsidRPr="007B5118" w:rsidR="007D17D9">
        <w:rPr>
          <w:sz w:val="24"/>
        </w:rPr>
        <w:t>doses</w:t>
      </w:r>
      <w:r w:rsidRPr="007B5118" w:rsidR="00C45CA2">
        <w:rPr>
          <w:sz w:val="24"/>
        </w:rPr>
        <w:t xml:space="preserve"> (</w:t>
      </w:r>
      <w:r w:rsidRPr="007B5118" w:rsidR="008424D9">
        <w:rPr>
          <w:sz w:val="24"/>
        </w:rPr>
        <w:t xml:space="preserve">see </w:t>
      </w:r>
      <w:r w:rsidRPr="007B5118" w:rsidR="00C45CA2">
        <w:rPr>
          <w:sz w:val="24"/>
        </w:rPr>
        <w:t>Statement B for more details re</w:t>
      </w:r>
      <w:r w:rsidRPr="007B5118" w:rsidR="008424D9">
        <w:rPr>
          <w:sz w:val="24"/>
        </w:rPr>
        <w:t xml:space="preserve">garding the </w:t>
      </w:r>
      <w:r w:rsidRPr="007B5118" w:rsidR="00343B7F">
        <w:rPr>
          <w:sz w:val="24"/>
        </w:rPr>
        <w:t xml:space="preserve">dosage </w:t>
      </w:r>
      <w:r w:rsidRPr="007B5118" w:rsidR="008424D9">
        <w:rPr>
          <w:sz w:val="24"/>
        </w:rPr>
        <w:t>analysis)</w:t>
      </w:r>
      <w:r w:rsidRPr="007B5118" w:rsidR="007D17D9">
        <w:rPr>
          <w:sz w:val="24"/>
        </w:rPr>
        <w:t xml:space="preserve">. </w:t>
      </w:r>
      <w:r w:rsidRPr="007B5118">
        <w:rPr>
          <w:sz w:val="24"/>
        </w:rPr>
        <w:t xml:space="preserve">In addition, as mentioned above, secondary data will be collected from up to 9 grantees </w:t>
      </w:r>
      <w:r w:rsidRPr="007B5118" w:rsidR="00120FD1">
        <w:rPr>
          <w:sz w:val="24"/>
        </w:rPr>
        <w:t xml:space="preserve">who are able to </w:t>
      </w:r>
      <w:r w:rsidRPr="007B5118">
        <w:rPr>
          <w:sz w:val="24"/>
        </w:rPr>
        <w:t>regularly collect additional data on the types and quantities</w:t>
      </w:r>
      <w:r w:rsidR="0082613E">
        <w:rPr>
          <w:sz w:val="24"/>
        </w:rPr>
        <w:t xml:space="preserve"> </w:t>
      </w:r>
      <w:r w:rsidRPr="007B5118">
        <w:rPr>
          <w:sz w:val="24"/>
        </w:rPr>
        <w:t xml:space="preserve">of HS services received by HS participants. </w:t>
      </w:r>
      <w:r w:rsidR="0030026D">
        <w:rPr>
          <w:sz w:val="24"/>
        </w:rPr>
        <w:t xml:space="preserve">These additional data on </w:t>
      </w:r>
      <w:r w:rsidR="0030026D">
        <w:rPr>
          <w:sz w:val="24"/>
        </w:rPr>
        <w:t xml:space="preserve">the </w:t>
      </w:r>
      <w:r w:rsidR="007F1EF8">
        <w:rPr>
          <w:sz w:val="24"/>
        </w:rPr>
        <w:t>quantity</w:t>
      </w:r>
      <w:r w:rsidR="0030026D">
        <w:rPr>
          <w:sz w:val="24"/>
        </w:rPr>
        <w:t xml:space="preserve"> of services represent amount of program </w:t>
      </w:r>
      <w:r w:rsidR="0030026D">
        <w:rPr>
          <w:sz w:val="24"/>
        </w:rPr>
        <w:t xml:space="preserve">exposure. </w:t>
      </w:r>
      <w:r w:rsidRPr="007B5118">
        <w:rPr>
          <w:sz w:val="24"/>
        </w:rPr>
        <w:t xml:space="preserve">These grantees will be selected </w:t>
      </w:r>
      <w:r w:rsidRPr="007B5118" w:rsidR="00CB20D1">
        <w:rPr>
          <w:sz w:val="24"/>
        </w:rPr>
        <w:t xml:space="preserve">and asked to participate </w:t>
      </w:r>
      <w:r w:rsidRPr="007B5118">
        <w:rPr>
          <w:sz w:val="24"/>
        </w:rPr>
        <w:t>based on their data systems, including the availability of the data and ease of access</w:t>
      </w:r>
      <w:r w:rsidRPr="007B5118" w:rsidR="00CB20D1">
        <w:rPr>
          <w:sz w:val="24"/>
        </w:rPr>
        <w:t>, as well as on input from the MCHB HS project officers</w:t>
      </w:r>
      <w:r w:rsidRPr="007B5118">
        <w:rPr>
          <w:sz w:val="24"/>
        </w:rPr>
        <w:t xml:space="preserve">. </w:t>
      </w:r>
      <w:r w:rsidR="00AA5F6F">
        <w:rPr>
          <w:sz w:val="24"/>
        </w:rPr>
        <w:t xml:space="preserve">This sample </w:t>
      </w:r>
      <w:r w:rsidR="0082613E">
        <w:rPr>
          <w:sz w:val="24"/>
        </w:rPr>
        <w:t xml:space="preserve">of </w:t>
      </w:r>
      <w:r w:rsidR="00AA5F6F">
        <w:rPr>
          <w:sz w:val="24"/>
        </w:rPr>
        <w:t>approximately 10%</w:t>
      </w:r>
      <w:r w:rsidR="005A3632">
        <w:rPr>
          <w:sz w:val="24"/>
        </w:rPr>
        <w:t xml:space="preserve"> of all grantees </w:t>
      </w:r>
      <w:r w:rsidR="0082613E">
        <w:rPr>
          <w:sz w:val="24"/>
        </w:rPr>
        <w:t>will be</w:t>
      </w:r>
      <w:r w:rsidR="005A3632">
        <w:rPr>
          <w:sz w:val="24"/>
        </w:rPr>
        <w:t xml:space="preserve"> </w:t>
      </w:r>
      <w:r w:rsidR="00AA5F6F">
        <w:rPr>
          <w:sz w:val="24"/>
        </w:rPr>
        <w:t xml:space="preserve">sufficient to </w:t>
      </w:r>
      <w:r w:rsidR="005A3632">
        <w:rPr>
          <w:sz w:val="24"/>
        </w:rPr>
        <w:t xml:space="preserve">support the basic dosage </w:t>
      </w:r>
      <w:r w:rsidR="005A3632">
        <w:rPr>
          <w:sz w:val="24"/>
        </w:rPr>
        <w:t>model</w:t>
      </w:r>
      <w:r w:rsidR="005A3632">
        <w:rPr>
          <w:sz w:val="24"/>
        </w:rPr>
        <w:t xml:space="preserve"> </w:t>
      </w:r>
      <w:r w:rsidR="0082613E">
        <w:rPr>
          <w:sz w:val="24"/>
        </w:rPr>
        <w:t>based on duration</w:t>
      </w:r>
      <w:r w:rsidR="007F1EF8">
        <w:rPr>
          <w:sz w:val="24"/>
        </w:rPr>
        <w:t xml:space="preserve"> of exposure</w:t>
      </w:r>
      <w:r w:rsidR="0082613E">
        <w:rPr>
          <w:sz w:val="24"/>
        </w:rPr>
        <w:t xml:space="preserve"> with</w:t>
      </w:r>
      <w:r w:rsidR="005A3632">
        <w:rPr>
          <w:sz w:val="24"/>
        </w:rPr>
        <w:t xml:space="preserve"> additional data on the amount of program exposure.</w:t>
      </w:r>
      <w:r w:rsidR="00AA5F6F">
        <w:rPr>
          <w:sz w:val="24"/>
        </w:rPr>
        <w:t xml:space="preserve"> </w:t>
      </w:r>
      <w:r w:rsidRPr="007B5118" w:rsidR="00CB20D1">
        <w:rPr>
          <w:sz w:val="24"/>
        </w:rPr>
        <w:t xml:space="preserve">Furthermore, </w:t>
      </w:r>
      <w:r w:rsidRPr="007B5118" w:rsidR="00CB20D1">
        <w:rPr>
          <w:sz w:val="24"/>
        </w:rPr>
        <w:t xml:space="preserve">vital records data will be collected from one state, which will be selected based on criteria developed with MCHB. </w:t>
      </w:r>
      <w:r w:rsidRPr="007B5118">
        <w:rPr>
          <w:sz w:val="24"/>
        </w:rPr>
        <w:t xml:space="preserve">These data are already being collected by </w:t>
      </w:r>
      <w:r w:rsidRPr="007B5118" w:rsidR="00DF3E9A">
        <w:rPr>
          <w:sz w:val="24"/>
        </w:rPr>
        <w:t xml:space="preserve">the </w:t>
      </w:r>
      <w:r w:rsidRPr="007B5118">
        <w:rPr>
          <w:sz w:val="24"/>
        </w:rPr>
        <w:t xml:space="preserve">grantees and the state, and the contractor will ask for access to these data to be used in the </w:t>
      </w:r>
      <w:r w:rsidRPr="007B5118" w:rsidR="004929F9">
        <w:rPr>
          <w:sz w:val="24"/>
        </w:rPr>
        <w:t xml:space="preserve">outcome </w:t>
      </w:r>
      <w:r w:rsidRPr="007B5118">
        <w:rPr>
          <w:sz w:val="24"/>
        </w:rPr>
        <w:t xml:space="preserve">evaluation </w:t>
      </w:r>
      <w:r w:rsidRPr="007B5118" w:rsidR="004929F9">
        <w:rPr>
          <w:sz w:val="24"/>
        </w:rPr>
        <w:t xml:space="preserve">component to </w:t>
      </w:r>
      <w:r w:rsidRPr="007B5118">
        <w:rPr>
          <w:sz w:val="24"/>
        </w:rPr>
        <w:t>s</w:t>
      </w:r>
      <w:r w:rsidRPr="007B5118" w:rsidR="004929F9">
        <w:rPr>
          <w:sz w:val="24"/>
        </w:rPr>
        <w:t>upport the dosage analysis conducted with data from</w:t>
      </w:r>
      <w:r w:rsidRPr="007B5118" w:rsidR="000B680A">
        <w:rPr>
          <w:sz w:val="24"/>
        </w:rPr>
        <w:t xml:space="preserve"> HSMED</w:t>
      </w:r>
      <w:r w:rsidRPr="007B5118">
        <w:rPr>
          <w:sz w:val="24"/>
        </w:rPr>
        <w:t xml:space="preserve">. </w:t>
      </w:r>
      <w:r w:rsidRPr="007B5118" w:rsidR="00734A51">
        <w:rPr>
          <w:sz w:val="24"/>
        </w:rPr>
        <w:t xml:space="preserve">The previous evaluation taught </w:t>
      </w:r>
      <w:r w:rsidRPr="007B5118" w:rsidR="003A732F">
        <w:rPr>
          <w:sz w:val="24"/>
        </w:rPr>
        <w:t xml:space="preserve">us </w:t>
      </w:r>
      <w:r w:rsidRPr="007B5118" w:rsidR="002E1C68">
        <w:rPr>
          <w:sz w:val="24"/>
        </w:rPr>
        <w:t xml:space="preserve">that </w:t>
      </w:r>
      <w:r w:rsidRPr="007B5118" w:rsidR="003A732F">
        <w:rPr>
          <w:sz w:val="24"/>
        </w:rPr>
        <w:t xml:space="preserve">it is not </w:t>
      </w:r>
      <w:r w:rsidRPr="007B5118" w:rsidR="00C512FE">
        <w:rPr>
          <w:sz w:val="24"/>
        </w:rPr>
        <w:t>feasible</w:t>
      </w:r>
      <w:r w:rsidRPr="007B5118" w:rsidR="003A732F">
        <w:rPr>
          <w:sz w:val="24"/>
        </w:rPr>
        <w:t xml:space="preserve"> to </w:t>
      </w:r>
      <w:r w:rsidRPr="007B5118" w:rsidR="00C653A8">
        <w:rPr>
          <w:sz w:val="24"/>
        </w:rPr>
        <w:t>obtain</w:t>
      </w:r>
      <w:r w:rsidRPr="007B5118" w:rsidR="003A732F">
        <w:rPr>
          <w:sz w:val="24"/>
        </w:rPr>
        <w:t xml:space="preserve"> data use agreements with all states</w:t>
      </w:r>
      <w:r w:rsidRPr="007B5118" w:rsidR="00FA01A4">
        <w:rPr>
          <w:sz w:val="24"/>
        </w:rPr>
        <w:t>. T</w:t>
      </w:r>
      <w:r w:rsidRPr="007B5118" w:rsidR="003A732F">
        <w:rPr>
          <w:sz w:val="24"/>
        </w:rPr>
        <w:t xml:space="preserve">his </w:t>
      </w:r>
      <w:r w:rsidRPr="007B5118" w:rsidR="000B5303">
        <w:rPr>
          <w:sz w:val="24"/>
        </w:rPr>
        <w:t>parallel analysis</w:t>
      </w:r>
      <w:r w:rsidRPr="007B5118" w:rsidR="0095740C">
        <w:rPr>
          <w:sz w:val="24"/>
        </w:rPr>
        <w:t xml:space="preserve"> limits the number of data use agreements </w:t>
      </w:r>
      <w:r w:rsidRPr="007B5118" w:rsidR="00C512FE">
        <w:rPr>
          <w:sz w:val="24"/>
        </w:rPr>
        <w:t xml:space="preserve">required </w:t>
      </w:r>
      <w:r w:rsidRPr="007B5118" w:rsidR="008C0E0B">
        <w:rPr>
          <w:sz w:val="24"/>
        </w:rPr>
        <w:t>while helping to</w:t>
      </w:r>
      <w:r w:rsidRPr="007B5118" w:rsidR="0095740C">
        <w:rPr>
          <w:sz w:val="24"/>
        </w:rPr>
        <w:t xml:space="preserve"> ensure </w:t>
      </w:r>
      <w:r w:rsidRPr="007B5118" w:rsidR="000A09B7">
        <w:rPr>
          <w:sz w:val="24"/>
        </w:rPr>
        <w:t xml:space="preserve">the </w:t>
      </w:r>
      <w:r w:rsidRPr="007B5118" w:rsidR="0095740C">
        <w:rPr>
          <w:sz w:val="24"/>
        </w:rPr>
        <w:t xml:space="preserve">consistency </w:t>
      </w:r>
      <w:r w:rsidRPr="007B5118" w:rsidR="000A09B7">
        <w:rPr>
          <w:sz w:val="24"/>
        </w:rPr>
        <w:t>of</w:t>
      </w:r>
      <w:r w:rsidRPr="007B5118" w:rsidR="00A1563C">
        <w:rPr>
          <w:sz w:val="24"/>
        </w:rPr>
        <w:t xml:space="preserve"> the </w:t>
      </w:r>
      <w:r w:rsidRPr="007B5118" w:rsidR="005703A5">
        <w:rPr>
          <w:sz w:val="24"/>
        </w:rPr>
        <w:t xml:space="preserve">basic </w:t>
      </w:r>
      <w:r w:rsidRPr="007B5118" w:rsidR="00A1563C">
        <w:rPr>
          <w:sz w:val="24"/>
        </w:rPr>
        <w:t>dosage model.</w:t>
      </w:r>
      <w:r w:rsidRPr="007B5118" w:rsidR="004E2B43">
        <w:t xml:space="preserve"> </w:t>
      </w:r>
      <w:r w:rsidRPr="007B5118" w:rsidR="004E2B43">
        <w:rPr>
          <w:sz w:val="24"/>
        </w:rPr>
        <w:t>If both analyses show a positive effect of participating in the program, our confidence in the dosage analysis results is strengthened</w:t>
      </w:r>
      <w:r w:rsidRPr="007B5118" w:rsidR="008F3865">
        <w:rPr>
          <w:sz w:val="24"/>
        </w:rPr>
        <w:t>.</w:t>
      </w:r>
      <w:r w:rsidRPr="007B5118" w:rsidR="00A1563C">
        <w:rPr>
          <w:sz w:val="24"/>
        </w:rPr>
        <w:t xml:space="preserve"> </w:t>
      </w:r>
    </w:p>
    <w:p w:rsidR="00C8478F" w:rsidP="00D553A6" w14:paraId="4865BDA4" w14:textId="60146059">
      <w:pPr>
        <w:pStyle w:val="BulletLastSS"/>
        <w:numPr>
          <w:ilvl w:val="0"/>
          <w:numId w:val="0"/>
        </w:numPr>
        <w:ind w:firstLine="432"/>
      </w:pPr>
      <w:r w:rsidRPr="007B5118">
        <w:t xml:space="preserve">Information collected through these activities </w:t>
      </w:r>
      <w:r w:rsidRPr="007B5118" w:rsidR="65A6B21C">
        <w:t xml:space="preserve">together </w:t>
      </w:r>
      <w:r w:rsidRPr="007B5118">
        <w:t xml:space="preserve">will be used to evaluate </w:t>
      </w:r>
      <w:r w:rsidRPr="007B5118" w:rsidR="00B41825">
        <w:t xml:space="preserve">improvements in </w:t>
      </w:r>
      <w:r w:rsidRPr="007B5118">
        <w:t>perinatal health</w:t>
      </w:r>
      <w:r>
        <w:t xml:space="preserve"> among disadvantaged populations</w:t>
      </w:r>
      <w:r w:rsidR="00B41825">
        <w:t xml:space="preserve"> served by the Healthy Start program</w:t>
      </w:r>
      <w:r>
        <w:t>. The mixed-</w:t>
      </w:r>
      <w:r w:rsidR="72668042">
        <w:t xml:space="preserve">methods </w:t>
      </w:r>
      <w:r>
        <w:t xml:space="preserve">data collection approach will capture both quantitative measures of program activities, outputs, and outcomes as well as qualitative impressions of program implementation and lessons learned. This data collection approach will generate results useful to policymakers and practitioners, informing them about the implementation and value of Healthy Start as an intervention working at multiple levels </w:t>
      </w:r>
      <w:r w:rsidR="00B41825">
        <w:t xml:space="preserve">in diverse communities </w:t>
      </w:r>
      <w:r>
        <w:t>to reduce infant mortality, and maternal mortality and morbidity.</w:t>
      </w:r>
      <w:r w:rsidR="11C28D74">
        <w:t xml:space="preserve"> </w:t>
      </w:r>
    </w:p>
    <w:p w:rsidR="00C852E8" w:rsidP="00FE5F44" w14:paraId="4C5A30B1" w14:textId="77777777">
      <w:pPr>
        <w:pStyle w:val="MarkforTableHeading"/>
        <w:rPr>
          <w:rFonts w:ascii="Times New Roman" w:hAnsi="Times New Roman"/>
          <w:b/>
          <w:bCs/>
          <w:sz w:val="24"/>
        </w:rPr>
      </w:pPr>
    </w:p>
    <w:p w:rsidR="00C852E8" w:rsidP="00FE5F44" w14:paraId="54F7DB85" w14:textId="77777777">
      <w:pPr>
        <w:pStyle w:val="MarkforTableHeading"/>
        <w:rPr>
          <w:rFonts w:ascii="Times New Roman" w:hAnsi="Times New Roman"/>
          <w:b/>
          <w:bCs/>
          <w:sz w:val="24"/>
        </w:rPr>
      </w:pPr>
    </w:p>
    <w:p w:rsidR="00C852E8" w:rsidP="00FE5F44" w14:paraId="65A09AFC" w14:textId="77777777">
      <w:pPr>
        <w:pStyle w:val="MarkforTableHeading"/>
        <w:rPr>
          <w:rFonts w:ascii="Times New Roman" w:hAnsi="Times New Roman"/>
          <w:b/>
          <w:bCs/>
          <w:sz w:val="24"/>
        </w:rPr>
      </w:pPr>
    </w:p>
    <w:p w:rsidR="00C852E8" w:rsidP="00FE5F44" w14:paraId="18F237D9" w14:textId="77777777">
      <w:pPr>
        <w:pStyle w:val="MarkforTableHeading"/>
        <w:rPr>
          <w:rFonts w:ascii="Times New Roman" w:hAnsi="Times New Roman"/>
          <w:b/>
          <w:bCs/>
          <w:sz w:val="24"/>
        </w:rPr>
      </w:pPr>
    </w:p>
    <w:p w:rsidR="00C852E8" w:rsidP="00FE5F44" w14:paraId="44C0B3F1" w14:textId="77777777">
      <w:pPr>
        <w:pStyle w:val="MarkforTableHeading"/>
        <w:rPr>
          <w:rFonts w:ascii="Times New Roman" w:hAnsi="Times New Roman"/>
          <w:b/>
          <w:bCs/>
          <w:sz w:val="24"/>
        </w:rPr>
      </w:pPr>
    </w:p>
    <w:p w:rsidR="00C852E8" w:rsidP="00FE5F44" w14:paraId="7E370C24" w14:textId="77777777">
      <w:pPr>
        <w:pStyle w:val="MarkforTableHeading"/>
        <w:rPr>
          <w:rFonts w:ascii="Times New Roman" w:hAnsi="Times New Roman"/>
          <w:b/>
          <w:bCs/>
          <w:sz w:val="24"/>
        </w:rPr>
      </w:pPr>
    </w:p>
    <w:p w:rsidR="00C852E8" w:rsidP="00FE5F44" w14:paraId="5CB07AB6" w14:textId="77777777">
      <w:pPr>
        <w:pStyle w:val="MarkforTableHeading"/>
        <w:rPr>
          <w:rFonts w:ascii="Times New Roman" w:hAnsi="Times New Roman"/>
          <w:b/>
          <w:bCs/>
          <w:sz w:val="24"/>
        </w:rPr>
      </w:pPr>
    </w:p>
    <w:p w:rsidR="00C852E8" w:rsidP="00FE5F44" w14:paraId="07E04910" w14:textId="77777777">
      <w:pPr>
        <w:pStyle w:val="MarkforTableHeading"/>
        <w:rPr>
          <w:rFonts w:ascii="Times New Roman" w:hAnsi="Times New Roman"/>
          <w:b/>
          <w:bCs/>
          <w:sz w:val="24"/>
        </w:rPr>
      </w:pPr>
    </w:p>
    <w:p w:rsidR="00C852E8" w:rsidP="00FE5F44" w14:paraId="0DC527C7" w14:textId="77777777">
      <w:pPr>
        <w:pStyle w:val="MarkforTableHeading"/>
        <w:rPr>
          <w:rFonts w:ascii="Times New Roman" w:hAnsi="Times New Roman"/>
          <w:b/>
          <w:bCs/>
          <w:sz w:val="24"/>
        </w:rPr>
      </w:pPr>
    </w:p>
    <w:p w:rsidR="00C852E8" w:rsidP="00FE5F44" w14:paraId="1ECDE80C" w14:textId="77777777">
      <w:pPr>
        <w:pStyle w:val="MarkforTableHeading"/>
        <w:rPr>
          <w:rFonts w:ascii="Times New Roman" w:hAnsi="Times New Roman"/>
          <w:b/>
          <w:bCs/>
          <w:sz w:val="24"/>
        </w:rPr>
      </w:pPr>
    </w:p>
    <w:p w:rsidR="00C852E8" w:rsidP="00FE5F44" w14:paraId="294C8A2D" w14:textId="77777777">
      <w:pPr>
        <w:pStyle w:val="MarkforTableHeading"/>
        <w:rPr>
          <w:rFonts w:ascii="Times New Roman" w:hAnsi="Times New Roman"/>
          <w:b/>
          <w:bCs/>
          <w:sz w:val="24"/>
        </w:rPr>
      </w:pPr>
    </w:p>
    <w:p w:rsidR="00C852E8" w:rsidP="00FE5F44" w14:paraId="7128EE3C" w14:textId="77777777">
      <w:pPr>
        <w:pStyle w:val="MarkforTableHeading"/>
        <w:rPr>
          <w:rFonts w:ascii="Times New Roman" w:hAnsi="Times New Roman"/>
          <w:b/>
          <w:bCs/>
          <w:sz w:val="24"/>
        </w:rPr>
      </w:pPr>
    </w:p>
    <w:p w:rsidR="00C852E8" w:rsidP="00FE5F44" w14:paraId="0B3583B3" w14:textId="77777777">
      <w:pPr>
        <w:pStyle w:val="MarkforTableHeading"/>
        <w:rPr>
          <w:rFonts w:ascii="Times New Roman" w:hAnsi="Times New Roman"/>
          <w:b/>
          <w:bCs/>
          <w:sz w:val="24"/>
        </w:rPr>
      </w:pPr>
    </w:p>
    <w:p w:rsidR="00C852E8" w:rsidP="00FE5F44" w14:paraId="2481FB18" w14:textId="77777777">
      <w:pPr>
        <w:pStyle w:val="MarkforTableHeading"/>
        <w:rPr>
          <w:rFonts w:ascii="Times New Roman" w:hAnsi="Times New Roman"/>
          <w:b/>
          <w:bCs/>
          <w:sz w:val="24"/>
        </w:rPr>
      </w:pPr>
    </w:p>
    <w:p w:rsidR="00C852E8" w:rsidP="00FE5F44" w14:paraId="73922D62" w14:textId="77777777">
      <w:pPr>
        <w:pStyle w:val="MarkforTableHeading"/>
        <w:rPr>
          <w:rFonts w:ascii="Times New Roman" w:hAnsi="Times New Roman"/>
          <w:b/>
          <w:bCs/>
          <w:sz w:val="24"/>
        </w:rPr>
      </w:pPr>
    </w:p>
    <w:p w:rsidR="00C852E8" w:rsidP="00FE5F44" w14:paraId="51062FCF" w14:textId="77777777">
      <w:pPr>
        <w:pStyle w:val="MarkforTableHeading"/>
        <w:rPr>
          <w:rFonts w:ascii="Times New Roman" w:hAnsi="Times New Roman"/>
          <w:b/>
          <w:bCs/>
          <w:sz w:val="24"/>
        </w:rPr>
      </w:pPr>
    </w:p>
    <w:p w:rsidR="00C852E8" w:rsidP="00FE5F44" w14:paraId="0F5088A6" w14:textId="77777777">
      <w:pPr>
        <w:pStyle w:val="MarkforTableHeading"/>
        <w:rPr>
          <w:rFonts w:ascii="Times New Roman" w:hAnsi="Times New Roman"/>
          <w:b/>
          <w:bCs/>
          <w:sz w:val="24"/>
        </w:rPr>
      </w:pPr>
    </w:p>
    <w:p w:rsidR="00C852E8" w:rsidP="00FE5F44" w14:paraId="354447A8" w14:textId="77777777">
      <w:pPr>
        <w:pStyle w:val="MarkforTableHeading"/>
        <w:rPr>
          <w:rFonts w:ascii="Times New Roman" w:hAnsi="Times New Roman"/>
          <w:b/>
          <w:bCs/>
          <w:sz w:val="24"/>
        </w:rPr>
      </w:pPr>
    </w:p>
    <w:p w:rsidR="00C852E8" w:rsidP="00FE5F44" w14:paraId="61E3515A" w14:textId="77777777">
      <w:pPr>
        <w:pStyle w:val="MarkforTableHeading"/>
        <w:rPr>
          <w:rFonts w:ascii="Times New Roman" w:hAnsi="Times New Roman"/>
          <w:b/>
          <w:bCs/>
          <w:sz w:val="24"/>
        </w:rPr>
      </w:pPr>
    </w:p>
    <w:p w:rsidR="00C852E8" w:rsidP="00FE5F44" w14:paraId="1EC626C9" w14:textId="77777777">
      <w:pPr>
        <w:pStyle w:val="MarkforTableHeading"/>
        <w:rPr>
          <w:rFonts w:ascii="Times New Roman" w:hAnsi="Times New Roman"/>
          <w:b/>
          <w:bCs/>
          <w:sz w:val="24"/>
        </w:rPr>
      </w:pPr>
    </w:p>
    <w:p w:rsidR="00C852E8" w:rsidP="00FE5F44" w14:paraId="70352091" w14:textId="77777777">
      <w:pPr>
        <w:pStyle w:val="MarkforTableHeading"/>
        <w:rPr>
          <w:rFonts w:ascii="Times New Roman" w:hAnsi="Times New Roman"/>
          <w:b/>
          <w:bCs/>
          <w:sz w:val="24"/>
        </w:rPr>
      </w:pPr>
    </w:p>
    <w:p w:rsidR="00C852E8" w:rsidP="00FE5F44" w14:paraId="542A6BB4" w14:textId="77777777">
      <w:pPr>
        <w:pStyle w:val="MarkforTableHeading"/>
        <w:rPr>
          <w:rFonts w:ascii="Times New Roman" w:hAnsi="Times New Roman"/>
          <w:b/>
          <w:bCs/>
          <w:sz w:val="24"/>
        </w:rPr>
      </w:pPr>
    </w:p>
    <w:p w:rsidR="00C852E8" w:rsidP="00FE5F44" w14:paraId="1E43D28B" w14:textId="77777777">
      <w:pPr>
        <w:pStyle w:val="MarkforTableHeading"/>
        <w:rPr>
          <w:rFonts w:ascii="Times New Roman" w:hAnsi="Times New Roman"/>
          <w:b/>
          <w:bCs/>
          <w:sz w:val="24"/>
        </w:rPr>
      </w:pPr>
    </w:p>
    <w:p w:rsidR="00C852E8" w:rsidP="00FE5F44" w14:paraId="189ADCB3" w14:textId="77777777">
      <w:pPr>
        <w:pStyle w:val="MarkforTableHeading"/>
        <w:rPr>
          <w:rFonts w:ascii="Times New Roman" w:hAnsi="Times New Roman"/>
          <w:b/>
          <w:bCs/>
          <w:sz w:val="24"/>
        </w:rPr>
      </w:pPr>
    </w:p>
    <w:p w:rsidR="00FE5F44" w:rsidP="00FE5F44" w14:paraId="55BE4BEF" w14:textId="46071419">
      <w:pPr>
        <w:pStyle w:val="MarkforTableHeading"/>
        <w:rPr>
          <w:rFonts w:ascii="Times New Roman" w:hAnsi="Times New Roman"/>
          <w:b/>
          <w:bCs/>
          <w:sz w:val="24"/>
        </w:rPr>
      </w:pPr>
      <w:r w:rsidRPr="00661CFD">
        <w:rPr>
          <w:rFonts w:ascii="Times New Roman" w:hAnsi="Times New Roman"/>
          <w:b/>
          <w:bCs/>
          <w:sz w:val="24"/>
        </w:rPr>
        <w:t xml:space="preserve">Table </w:t>
      </w:r>
      <w:r w:rsidRPr="00F865AC">
        <w:rPr>
          <w:rFonts w:ascii="Times New Roman" w:hAnsi="Times New Roman"/>
          <w:b/>
          <w:bCs/>
          <w:sz w:val="24"/>
        </w:rPr>
        <w:t>A.1</w:t>
      </w:r>
      <w:r w:rsidR="00B60849">
        <w:rPr>
          <w:rFonts w:ascii="Times New Roman" w:hAnsi="Times New Roman"/>
          <w:b/>
          <w:bCs/>
          <w:sz w:val="24"/>
        </w:rPr>
        <w:t>.</w:t>
      </w:r>
      <w:r w:rsidRPr="00661CFD">
        <w:rPr>
          <w:rFonts w:ascii="Times New Roman" w:hAnsi="Times New Roman"/>
          <w:b/>
          <w:bCs/>
          <w:sz w:val="24"/>
        </w:rPr>
        <w:t xml:space="preserve"> </w:t>
      </w:r>
      <w:r w:rsidR="00B60849">
        <w:rPr>
          <w:rFonts w:ascii="Times New Roman" w:hAnsi="Times New Roman"/>
          <w:b/>
          <w:bCs/>
          <w:sz w:val="24"/>
        </w:rPr>
        <w:t xml:space="preserve">Data Sources and </w:t>
      </w:r>
      <w:r w:rsidRPr="00661CFD">
        <w:rPr>
          <w:rFonts w:ascii="Times New Roman" w:hAnsi="Times New Roman"/>
          <w:b/>
          <w:bCs/>
          <w:sz w:val="24"/>
        </w:rPr>
        <w:t xml:space="preserve">Analytic Approach for the Healthy Start </w:t>
      </w:r>
      <w:r>
        <w:rPr>
          <w:rFonts w:ascii="Times New Roman" w:hAnsi="Times New Roman"/>
          <w:b/>
          <w:bCs/>
          <w:sz w:val="24"/>
        </w:rPr>
        <w:t xml:space="preserve">(HS) </w:t>
      </w:r>
      <w:r w:rsidRPr="00661CFD">
        <w:rPr>
          <w:rFonts w:ascii="Times New Roman" w:hAnsi="Times New Roman"/>
          <w:b/>
          <w:bCs/>
          <w:sz w:val="24"/>
        </w:rPr>
        <w:t>Evaluation Question</w:t>
      </w:r>
      <w:r>
        <w:rPr>
          <w:rFonts w:ascii="Times New Roman" w:hAnsi="Times New Roman"/>
          <w:b/>
          <w:bCs/>
          <w:sz w:val="24"/>
        </w:rPr>
        <w:t>s</w:t>
      </w:r>
    </w:p>
    <w:tbl>
      <w:tblPr>
        <w:tblStyle w:val="TableWestatStandardFormat"/>
        <w:tblW w:w="515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1709"/>
        <w:gridCol w:w="2612"/>
        <w:gridCol w:w="1173"/>
        <w:gridCol w:w="4137"/>
      </w:tblGrid>
      <w:tr w14:paraId="4FDFE13F" w14:textId="77777777" w:rsidTr="0008621F">
        <w:tblPrEx>
          <w:tblW w:w="515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cantSplit w:val="0"/>
        </w:trPr>
        <w:tc>
          <w:tcPr>
            <w:tcW w:w="887" w:type="pct"/>
            <w:tcBorders>
              <w:left w:val="single" w:sz="4" w:space="0" w:color="auto"/>
              <w:right w:val="single" w:sz="4" w:space="0" w:color="auto"/>
            </w:tcBorders>
            <w:shd w:val="clear" w:color="auto" w:fill="D9D9D9" w:themeFill="background1" w:themeFillShade="D9"/>
            <w:vAlign w:val="bottom"/>
            <w:hideMark/>
          </w:tcPr>
          <w:p w:rsidR="0008621F" w:rsidRPr="0022639B" w:rsidP="0008621F" w14:paraId="4689D7D2" w14:textId="77777777">
            <w:pPr>
              <w:pStyle w:val="TH-TableHeading"/>
              <w:rPr>
                <w:rFonts w:ascii="Times New Roman" w:hAnsi="Times New Roman"/>
              </w:rPr>
            </w:pPr>
            <w:r w:rsidRPr="0022639B">
              <w:rPr>
                <w:rFonts w:ascii="Times New Roman" w:hAnsi="Times New Roman"/>
              </w:rPr>
              <w:t>Type of Evaluation</w:t>
            </w:r>
          </w:p>
        </w:tc>
        <w:tc>
          <w:tcPr>
            <w:tcW w:w="1356" w:type="pct"/>
            <w:tcBorders>
              <w:left w:val="single" w:sz="4" w:space="0" w:color="auto"/>
              <w:right w:val="single" w:sz="4" w:space="0" w:color="auto"/>
            </w:tcBorders>
            <w:shd w:val="clear" w:color="auto" w:fill="D9D9D9" w:themeFill="background1" w:themeFillShade="D9"/>
            <w:vAlign w:val="bottom"/>
            <w:hideMark/>
          </w:tcPr>
          <w:p w:rsidR="0008621F" w:rsidRPr="0022639B" w:rsidP="0008621F" w14:paraId="31296E2E" w14:textId="77777777">
            <w:pPr>
              <w:pStyle w:val="TH-TableHeading"/>
              <w:rPr>
                <w:rFonts w:ascii="Times New Roman" w:hAnsi="Times New Roman"/>
              </w:rPr>
            </w:pPr>
            <w:r w:rsidRPr="0022639B">
              <w:rPr>
                <w:rFonts w:ascii="Times New Roman" w:hAnsi="Times New Roman"/>
              </w:rPr>
              <w:t xml:space="preserve">Evaluation </w:t>
            </w:r>
          </w:p>
          <w:p w:rsidR="0008621F" w:rsidRPr="0022639B" w:rsidP="0008621F" w14:paraId="1D749ADA" w14:textId="77777777">
            <w:pPr>
              <w:pStyle w:val="TH-TableHeading"/>
              <w:rPr>
                <w:rFonts w:ascii="Times New Roman" w:hAnsi="Times New Roman"/>
              </w:rPr>
            </w:pPr>
            <w:r w:rsidRPr="0022639B">
              <w:rPr>
                <w:rFonts w:ascii="Times New Roman" w:hAnsi="Times New Roman"/>
              </w:rPr>
              <w:t>Sub-</w:t>
            </w:r>
            <w:r>
              <w:rPr>
                <w:rFonts w:ascii="Times New Roman" w:hAnsi="Times New Roman"/>
              </w:rPr>
              <w:t>Q</w:t>
            </w:r>
            <w:r w:rsidRPr="0022639B">
              <w:rPr>
                <w:rFonts w:ascii="Times New Roman" w:hAnsi="Times New Roman"/>
              </w:rPr>
              <w:t>uestion</w:t>
            </w:r>
          </w:p>
        </w:tc>
        <w:tc>
          <w:tcPr>
            <w:tcW w:w="609" w:type="pct"/>
            <w:tcBorders>
              <w:left w:val="single" w:sz="4" w:space="0" w:color="auto"/>
              <w:right w:val="single" w:sz="4" w:space="0" w:color="auto"/>
            </w:tcBorders>
            <w:shd w:val="clear" w:color="auto" w:fill="D9D9D9" w:themeFill="background1" w:themeFillShade="D9"/>
          </w:tcPr>
          <w:p w:rsidR="0008621F" w:rsidRPr="0022639B" w:rsidP="0008621F" w14:paraId="1D656341" w14:textId="77777777">
            <w:pPr>
              <w:pStyle w:val="TH-TableHeading"/>
              <w:rPr>
                <w:rFonts w:ascii="Times New Roman" w:hAnsi="Times New Roman"/>
              </w:rPr>
            </w:pPr>
          </w:p>
          <w:p w:rsidR="0008621F" w:rsidRPr="0022639B" w:rsidP="0008621F" w14:paraId="559D8815" w14:textId="77777777">
            <w:pPr>
              <w:pStyle w:val="TH-TableHeading"/>
              <w:rPr>
                <w:rFonts w:ascii="Times New Roman" w:hAnsi="Times New Roman"/>
              </w:rPr>
            </w:pPr>
            <w:r w:rsidRPr="0022639B">
              <w:rPr>
                <w:rFonts w:ascii="Times New Roman" w:hAnsi="Times New Roman"/>
              </w:rPr>
              <w:t xml:space="preserve">Data Sources </w:t>
            </w:r>
          </w:p>
        </w:tc>
        <w:tc>
          <w:tcPr>
            <w:tcW w:w="2148" w:type="pct"/>
            <w:tcBorders>
              <w:left w:val="single" w:sz="4" w:space="0" w:color="auto"/>
              <w:right w:val="single" w:sz="4" w:space="0" w:color="auto"/>
            </w:tcBorders>
            <w:shd w:val="clear" w:color="auto" w:fill="D9D9D9" w:themeFill="background1" w:themeFillShade="D9"/>
            <w:vAlign w:val="bottom"/>
          </w:tcPr>
          <w:p w:rsidR="0008621F" w:rsidRPr="0022639B" w:rsidP="0008621F" w14:paraId="177A74CF" w14:textId="209B1E7C">
            <w:pPr>
              <w:pStyle w:val="TH-TableHeading"/>
              <w:rPr>
                <w:rFonts w:ascii="Times New Roman" w:hAnsi="Times New Roman"/>
              </w:rPr>
            </w:pPr>
            <w:r w:rsidRPr="0022639B">
              <w:rPr>
                <w:rFonts w:ascii="Times New Roman" w:hAnsi="Times New Roman"/>
              </w:rPr>
              <w:t>Analy</w:t>
            </w:r>
            <w:r>
              <w:rPr>
                <w:rFonts w:ascii="Times New Roman" w:hAnsi="Times New Roman"/>
              </w:rPr>
              <w:t>tic Approaches</w:t>
            </w:r>
            <w:r w:rsidR="00FB01FC">
              <w:rPr>
                <w:rFonts w:ascii="Times New Roman" w:hAnsi="Times New Roman"/>
              </w:rPr>
              <w:t xml:space="preserve"> </w:t>
            </w:r>
            <w:r>
              <w:rPr>
                <w:rFonts w:ascii="Times New Roman" w:hAnsi="Times New Roman"/>
              </w:rPr>
              <w:t xml:space="preserve"> </w:t>
            </w:r>
          </w:p>
        </w:tc>
      </w:tr>
      <w:tr w14:paraId="1F5EC50A" w14:textId="77777777" w:rsidTr="0008621F">
        <w:tblPrEx>
          <w:tblW w:w="5150" w:type="pct"/>
          <w:tblInd w:w="-5" w:type="dxa"/>
          <w:tblLayout w:type="fixed"/>
          <w:tblLook w:val="04A0"/>
        </w:tblPrEx>
        <w:trPr>
          <w:cantSplit w:val="0"/>
        </w:trPr>
        <w:tc>
          <w:tcPr>
            <w:tcW w:w="5000" w:type="pct"/>
            <w:gridSpan w:val="4"/>
            <w:shd w:val="clear" w:color="auto" w:fill="EEECE1" w:themeFill="background2"/>
          </w:tcPr>
          <w:p w:rsidR="0008621F" w:rsidRPr="0022639B" w:rsidP="00F865AC" w14:paraId="5AD102A1" w14:textId="45D861C6">
            <w:pPr>
              <w:pStyle w:val="TH-TableHeading"/>
              <w:numPr>
                <w:ilvl w:val="0"/>
                <w:numId w:val="46"/>
              </w:numPr>
              <w:jc w:val="left"/>
              <w:rPr>
                <w:rFonts w:ascii="Times New Roman" w:hAnsi="Times New Roman"/>
              </w:rPr>
            </w:pPr>
            <w:r>
              <w:rPr>
                <w:rFonts w:ascii="Times New Roman" w:hAnsi="Times New Roman"/>
              </w:rPr>
              <w:t>Evaluation Question</w:t>
            </w:r>
            <w:r w:rsidRPr="004A7C1C">
              <w:rPr>
                <w:rFonts w:ascii="Times New Roman" w:hAnsi="Times New Roman"/>
              </w:rPr>
              <w:t>: To what extent is HS associated with improved health status among participants served by HS programs?</w:t>
            </w:r>
          </w:p>
        </w:tc>
      </w:tr>
      <w:tr w14:paraId="5DFED909" w14:textId="77777777" w:rsidTr="0008621F">
        <w:tblPrEx>
          <w:tblW w:w="5150" w:type="pct"/>
          <w:tblInd w:w="-5" w:type="dxa"/>
          <w:tblLayout w:type="fixed"/>
          <w:tblLook w:val="04A0"/>
        </w:tblPrEx>
        <w:trPr>
          <w:cantSplit w:val="0"/>
        </w:trPr>
        <w:tc>
          <w:tcPr>
            <w:tcW w:w="887" w:type="pct"/>
          </w:tcPr>
          <w:p w:rsidR="0008621F" w:rsidP="0008621F" w14:paraId="11B9CF5A" w14:textId="77777777">
            <w:pPr>
              <w:pStyle w:val="TH-TableHeading"/>
              <w:rPr>
                <w:rFonts w:ascii="Times New Roman" w:hAnsi="Times New Roman"/>
              </w:rPr>
            </w:pPr>
          </w:p>
          <w:p w:rsidR="0008621F" w:rsidP="0008621F" w14:paraId="20546472" w14:textId="77777777">
            <w:pPr>
              <w:pStyle w:val="TH-TableHeading"/>
              <w:rPr>
                <w:rFonts w:ascii="Times New Roman" w:hAnsi="Times New Roman"/>
              </w:rPr>
            </w:pPr>
          </w:p>
          <w:p w:rsidR="0008621F" w:rsidP="0008621F" w14:paraId="609E3E75" w14:textId="77777777">
            <w:pPr>
              <w:pStyle w:val="TH-TableHeading"/>
              <w:rPr>
                <w:rFonts w:ascii="Times New Roman" w:hAnsi="Times New Roman"/>
              </w:rPr>
            </w:pPr>
          </w:p>
          <w:p w:rsidR="0008621F" w:rsidP="0008621F" w14:paraId="31CEEE90" w14:textId="77777777">
            <w:pPr>
              <w:pStyle w:val="TH-TableHeading"/>
              <w:rPr>
                <w:rFonts w:ascii="Times New Roman" w:hAnsi="Times New Roman"/>
              </w:rPr>
            </w:pPr>
          </w:p>
          <w:p w:rsidR="0008621F" w:rsidP="0008621F" w14:paraId="6AA2DEE7" w14:textId="77777777">
            <w:pPr>
              <w:pStyle w:val="TH-TableHeading"/>
              <w:rPr>
                <w:rFonts w:ascii="Times New Roman" w:hAnsi="Times New Roman"/>
              </w:rPr>
            </w:pPr>
          </w:p>
          <w:p w:rsidR="0008621F" w:rsidP="0008621F" w14:paraId="054E46E6" w14:textId="77777777">
            <w:pPr>
              <w:pStyle w:val="TH-TableHeading"/>
              <w:rPr>
                <w:rFonts w:ascii="Times New Roman" w:hAnsi="Times New Roman"/>
              </w:rPr>
            </w:pPr>
          </w:p>
          <w:p w:rsidR="0008621F" w:rsidP="0008621F" w14:paraId="27028626" w14:textId="77777777">
            <w:pPr>
              <w:pStyle w:val="TH-TableHeading"/>
              <w:rPr>
                <w:rFonts w:ascii="Times New Roman" w:hAnsi="Times New Roman"/>
              </w:rPr>
            </w:pPr>
          </w:p>
          <w:p w:rsidR="0008621F" w:rsidRPr="0022639B" w:rsidP="0008621F" w14:paraId="26E13A2C" w14:textId="77777777">
            <w:pPr>
              <w:pStyle w:val="TH-TableHeading"/>
              <w:jc w:val="left"/>
              <w:rPr>
                <w:rFonts w:ascii="Times New Roman" w:hAnsi="Times New Roman"/>
              </w:rPr>
            </w:pPr>
            <w:r>
              <w:rPr>
                <w:rFonts w:ascii="Times New Roman" w:hAnsi="Times New Roman"/>
              </w:rPr>
              <w:t>Outcome</w:t>
            </w:r>
          </w:p>
        </w:tc>
        <w:tc>
          <w:tcPr>
            <w:tcW w:w="1356" w:type="pct"/>
          </w:tcPr>
          <w:p w:rsidR="0008621F" w:rsidRPr="004A7C1C" w:rsidP="0008621F" w14:paraId="29815FB6" w14:textId="08C11173">
            <w:pPr>
              <w:pStyle w:val="TX-TableText"/>
              <w:rPr>
                <w:rFonts w:ascii="Times New Roman" w:hAnsi="Times New Roman"/>
              </w:rPr>
            </w:pPr>
            <w:r>
              <w:rPr>
                <w:rFonts w:ascii="Times New Roman" w:hAnsi="Times New Roman"/>
              </w:rPr>
              <w:t>1a.</w:t>
            </w:r>
            <w:r w:rsidR="00491E58">
              <w:rPr>
                <w:rFonts w:ascii="Times New Roman" w:hAnsi="Times New Roman"/>
              </w:rPr>
              <w:t xml:space="preserve"> </w:t>
            </w:r>
            <w:r w:rsidRPr="004A7C1C">
              <w:rPr>
                <w:rFonts w:ascii="Times New Roman" w:hAnsi="Times New Roman"/>
              </w:rPr>
              <w:t xml:space="preserve">To what extent </w:t>
            </w:r>
            <w:r w:rsidR="002354C9">
              <w:rPr>
                <w:rFonts w:ascii="Times New Roman" w:hAnsi="Times New Roman"/>
              </w:rPr>
              <w:t xml:space="preserve">did </w:t>
            </w:r>
            <w:r w:rsidRPr="004A7C1C">
              <w:rPr>
                <w:rFonts w:ascii="Times New Roman" w:hAnsi="Times New Roman"/>
              </w:rPr>
              <w:t>infant health and perinatal outcomes</w:t>
            </w:r>
            <w:r w:rsidR="00D07322">
              <w:rPr>
                <w:rFonts w:ascii="Times New Roman" w:hAnsi="Times New Roman"/>
              </w:rPr>
              <w:t xml:space="preserve"> improve in communities served by HS</w:t>
            </w:r>
            <w:r w:rsidRPr="004A7C1C">
              <w:rPr>
                <w:rFonts w:ascii="Times New Roman" w:hAnsi="Times New Roman"/>
              </w:rPr>
              <w:t>?</w:t>
            </w:r>
          </w:p>
          <w:p w:rsidR="0008621F" w:rsidRPr="004A7C1C" w:rsidP="0008621F" w14:paraId="634185A8" w14:textId="77777777">
            <w:pPr>
              <w:pStyle w:val="TX-TableText"/>
              <w:rPr>
                <w:rFonts w:ascii="Times New Roman" w:hAnsi="Times New Roman"/>
              </w:rPr>
            </w:pPr>
          </w:p>
          <w:p w:rsidR="0008621F" w:rsidP="0008621F" w14:paraId="63B1753E" w14:textId="200F6373">
            <w:pPr>
              <w:pStyle w:val="TX-TableText"/>
              <w:rPr>
                <w:rFonts w:ascii="Times New Roman" w:hAnsi="Times New Roman"/>
              </w:rPr>
            </w:pPr>
            <w:r>
              <w:rPr>
                <w:rFonts w:ascii="Times New Roman" w:hAnsi="Times New Roman"/>
              </w:rPr>
              <w:t>1a</w:t>
            </w:r>
            <w:r w:rsidR="009650EE">
              <w:rPr>
                <w:rFonts w:ascii="Times New Roman" w:hAnsi="Times New Roman"/>
              </w:rPr>
              <w:t xml:space="preserve"> </w:t>
            </w:r>
            <w:r>
              <w:rPr>
                <w:rFonts w:ascii="Times New Roman" w:hAnsi="Times New Roman"/>
              </w:rPr>
              <w:t>i.</w:t>
            </w:r>
            <w:r w:rsidR="00491E58">
              <w:rPr>
                <w:rFonts w:ascii="Times New Roman" w:hAnsi="Times New Roman"/>
              </w:rPr>
              <w:t xml:space="preserve"> </w:t>
            </w:r>
            <w:r w:rsidRPr="004A7C1C">
              <w:rPr>
                <w:rFonts w:ascii="Times New Roman" w:hAnsi="Times New Roman"/>
              </w:rPr>
              <w:t>To what extent</w:t>
            </w:r>
            <w:r w:rsidR="00FB01FC">
              <w:rPr>
                <w:rFonts w:ascii="Times New Roman" w:hAnsi="Times New Roman"/>
              </w:rPr>
              <w:t xml:space="preserve"> </w:t>
            </w:r>
            <w:r w:rsidR="00365A2A">
              <w:rPr>
                <w:rFonts w:ascii="Times New Roman" w:hAnsi="Times New Roman"/>
              </w:rPr>
              <w:t xml:space="preserve">were </w:t>
            </w:r>
            <w:r w:rsidRPr="004A7C1C">
              <w:rPr>
                <w:rFonts w:ascii="Times New Roman" w:hAnsi="Times New Roman"/>
              </w:rPr>
              <w:t>disparities in infant health and perinatal outcomes</w:t>
            </w:r>
            <w:r w:rsidR="00365A2A">
              <w:rPr>
                <w:rFonts w:ascii="Times New Roman" w:hAnsi="Times New Roman"/>
              </w:rPr>
              <w:t xml:space="preserve"> reduced in communities served by HS</w:t>
            </w:r>
            <w:r w:rsidRPr="004A7C1C">
              <w:rPr>
                <w:rFonts w:ascii="Times New Roman" w:hAnsi="Times New Roman"/>
              </w:rPr>
              <w:t>?</w:t>
            </w:r>
          </w:p>
          <w:p w:rsidR="0008621F" w:rsidP="0008621F" w14:paraId="29EBA4FD" w14:textId="77777777">
            <w:pPr>
              <w:pStyle w:val="TX-TableText"/>
              <w:rPr>
                <w:rFonts w:ascii="Times New Roman" w:hAnsi="Times New Roman"/>
              </w:rPr>
            </w:pPr>
          </w:p>
          <w:p w:rsidR="0008621F" w:rsidP="0008621F" w14:paraId="5025531A" w14:textId="72EA400E">
            <w:pPr>
              <w:pStyle w:val="TX-TableText"/>
              <w:rPr>
                <w:rFonts w:ascii="Times New Roman" w:hAnsi="Times New Roman"/>
              </w:rPr>
            </w:pPr>
            <w:r>
              <w:rPr>
                <w:rFonts w:ascii="Times New Roman" w:hAnsi="Times New Roman"/>
              </w:rPr>
              <w:t xml:space="preserve">1b. </w:t>
            </w:r>
            <w:r>
              <w:rPr>
                <w:rFonts w:ascii="Times New Roman" w:hAnsi="Times New Roman"/>
              </w:rPr>
              <w:t xml:space="preserve">To what </w:t>
            </w:r>
            <w:r w:rsidRPr="004A7C1C">
              <w:rPr>
                <w:rFonts w:ascii="Times New Roman" w:hAnsi="Times New Roman"/>
              </w:rPr>
              <w:t>extent did maternal health indicators</w:t>
            </w:r>
            <w:r w:rsidR="00365A2A">
              <w:rPr>
                <w:rFonts w:ascii="Times New Roman" w:hAnsi="Times New Roman"/>
              </w:rPr>
              <w:t xml:space="preserve"> improve in communities served by HS</w:t>
            </w:r>
            <w:r w:rsidRPr="004A7C1C">
              <w:rPr>
                <w:rFonts w:ascii="Times New Roman" w:hAnsi="Times New Roman"/>
              </w:rPr>
              <w:t>?</w:t>
            </w:r>
          </w:p>
          <w:p w:rsidR="0008621F" w:rsidP="0008621F" w14:paraId="42F1FA71" w14:textId="77777777">
            <w:pPr>
              <w:pStyle w:val="TX-TableText"/>
              <w:rPr>
                <w:rFonts w:ascii="Times New Roman" w:hAnsi="Times New Roman"/>
              </w:rPr>
            </w:pPr>
          </w:p>
          <w:p w:rsidR="0008621F" w:rsidRPr="0022639B" w:rsidP="0008621F" w14:paraId="58218D67" w14:textId="1FA843B6">
            <w:pPr>
              <w:pStyle w:val="TX-TableText"/>
              <w:rPr>
                <w:rFonts w:ascii="Times New Roman" w:hAnsi="Times New Roman"/>
              </w:rPr>
            </w:pPr>
            <w:r>
              <w:rPr>
                <w:rFonts w:ascii="Times New Roman" w:hAnsi="Times New Roman"/>
              </w:rPr>
              <w:t xml:space="preserve">1c. </w:t>
            </w:r>
            <w:r w:rsidRPr="004A7C1C">
              <w:rPr>
                <w:rFonts w:ascii="Times New Roman" w:hAnsi="Times New Roman"/>
              </w:rPr>
              <w:t>To what extent did child health indicators</w:t>
            </w:r>
            <w:r w:rsidR="00365A2A">
              <w:rPr>
                <w:rFonts w:ascii="Times New Roman" w:hAnsi="Times New Roman"/>
              </w:rPr>
              <w:t xml:space="preserve"> improve in communities served by HS</w:t>
            </w:r>
            <w:r w:rsidRPr="004A7C1C">
              <w:rPr>
                <w:rFonts w:ascii="Times New Roman" w:hAnsi="Times New Roman"/>
              </w:rPr>
              <w:t>?</w:t>
            </w:r>
          </w:p>
        </w:tc>
        <w:tc>
          <w:tcPr>
            <w:tcW w:w="609" w:type="pct"/>
          </w:tcPr>
          <w:p w:rsidR="0008621F" w:rsidP="0008621F" w14:paraId="1A3A85C8" w14:textId="5BC3A31D">
            <w:pPr>
              <w:pStyle w:val="TH-TableHeading"/>
              <w:jc w:val="left"/>
              <w:rPr>
                <w:rFonts w:ascii="Times New Roman" w:hAnsi="Times New Roman"/>
                <w:b w:val="0"/>
                <w:bCs/>
              </w:rPr>
            </w:pPr>
            <w:r>
              <w:rPr>
                <w:rFonts w:ascii="Times New Roman" w:hAnsi="Times New Roman"/>
                <w:b w:val="0"/>
                <w:bCs/>
              </w:rPr>
              <w:t>HSMED</w:t>
            </w:r>
          </w:p>
          <w:p w:rsidR="0008621F" w:rsidP="0008621F" w14:paraId="522B0992" w14:textId="58E3EA6D">
            <w:pPr>
              <w:pStyle w:val="TH-TableHeading"/>
              <w:jc w:val="left"/>
              <w:rPr>
                <w:rFonts w:ascii="Times New Roman" w:hAnsi="Times New Roman"/>
                <w:b w:val="0"/>
                <w:bCs/>
              </w:rPr>
            </w:pPr>
            <w:r>
              <w:rPr>
                <w:rFonts w:ascii="Times New Roman" w:hAnsi="Times New Roman"/>
                <w:b w:val="0"/>
                <w:bCs/>
              </w:rPr>
              <w:t>(</w:t>
            </w:r>
            <w:r w:rsidRPr="00F8658E">
              <w:rPr>
                <w:rFonts w:ascii="Times New Roman" w:hAnsi="Times New Roman"/>
                <w:b w:val="0"/>
                <w:bCs/>
                <w:i/>
              </w:rPr>
              <w:t>secondary data</w:t>
            </w:r>
            <w:r>
              <w:rPr>
                <w:rFonts w:ascii="Times New Roman" w:hAnsi="Times New Roman"/>
                <w:b w:val="0"/>
                <w:bCs/>
              </w:rPr>
              <w:t>)</w:t>
            </w:r>
            <w:r w:rsidR="001639D0">
              <w:rPr>
                <w:rFonts w:ascii="Times New Roman" w:hAnsi="Times New Roman"/>
                <w:b w:val="0"/>
                <w:bCs/>
              </w:rPr>
              <w:t xml:space="preserve"> – all 101 grantees</w:t>
            </w:r>
          </w:p>
          <w:p w:rsidR="0008621F" w:rsidP="0008621F" w14:paraId="581AFD8E" w14:textId="77777777">
            <w:pPr>
              <w:pStyle w:val="TH-TableHeading"/>
              <w:jc w:val="left"/>
              <w:rPr>
                <w:rFonts w:ascii="Times New Roman" w:hAnsi="Times New Roman"/>
                <w:b w:val="0"/>
                <w:bCs/>
              </w:rPr>
            </w:pPr>
          </w:p>
          <w:p w:rsidR="0008621F" w:rsidP="0008621F" w14:paraId="1E7E106C" w14:textId="183F37BF">
            <w:pPr>
              <w:pStyle w:val="TH-TableHeading"/>
              <w:jc w:val="left"/>
              <w:rPr>
                <w:rFonts w:ascii="Times New Roman" w:hAnsi="Times New Roman"/>
                <w:b w:val="0"/>
                <w:bCs/>
              </w:rPr>
            </w:pPr>
            <w:r>
              <w:rPr>
                <w:rFonts w:ascii="Times New Roman" w:hAnsi="Times New Roman"/>
                <w:b w:val="0"/>
                <w:bCs/>
              </w:rPr>
              <w:t xml:space="preserve">Additional participant </w:t>
            </w:r>
            <w:r w:rsidR="00DA02F9">
              <w:rPr>
                <w:rFonts w:ascii="Times New Roman" w:hAnsi="Times New Roman"/>
                <w:b w:val="0"/>
                <w:bCs/>
              </w:rPr>
              <w:t>data from</w:t>
            </w:r>
            <w:r>
              <w:rPr>
                <w:rFonts w:ascii="Times New Roman" w:hAnsi="Times New Roman"/>
                <w:b w:val="0"/>
                <w:bCs/>
              </w:rPr>
              <w:t xml:space="preserve"> </w:t>
            </w:r>
            <w:r w:rsidR="001639D0">
              <w:rPr>
                <w:rFonts w:ascii="Times New Roman" w:hAnsi="Times New Roman"/>
                <w:b w:val="0"/>
                <w:bCs/>
              </w:rPr>
              <w:t xml:space="preserve">(up to 9) </w:t>
            </w:r>
            <w:r w:rsidR="004A70F6">
              <w:rPr>
                <w:rFonts w:ascii="Times New Roman" w:hAnsi="Times New Roman"/>
                <w:b w:val="0"/>
                <w:bCs/>
              </w:rPr>
              <w:t>select</w:t>
            </w:r>
            <w:r w:rsidR="00FB01FC">
              <w:rPr>
                <w:rFonts w:ascii="Times New Roman" w:hAnsi="Times New Roman"/>
                <w:b w:val="0"/>
                <w:bCs/>
              </w:rPr>
              <w:t xml:space="preserve"> </w:t>
            </w:r>
            <w:r>
              <w:rPr>
                <w:rFonts w:ascii="Times New Roman" w:hAnsi="Times New Roman"/>
                <w:b w:val="0"/>
                <w:bCs/>
              </w:rPr>
              <w:t xml:space="preserve">grantees </w:t>
            </w:r>
            <w:r w:rsidR="00DA02F9">
              <w:rPr>
                <w:rFonts w:ascii="Times New Roman" w:hAnsi="Times New Roman"/>
                <w:b w:val="0"/>
                <w:bCs/>
              </w:rPr>
              <w:t xml:space="preserve">for enhanced dosage analysis </w:t>
            </w:r>
            <w:r>
              <w:rPr>
                <w:rFonts w:ascii="Times New Roman" w:hAnsi="Times New Roman"/>
                <w:b w:val="0"/>
                <w:bCs/>
              </w:rPr>
              <w:t>(</w:t>
            </w:r>
            <w:r w:rsidRPr="00205B65">
              <w:rPr>
                <w:rFonts w:ascii="Times New Roman" w:hAnsi="Times New Roman"/>
                <w:b w:val="0"/>
                <w:bCs/>
                <w:i/>
              </w:rPr>
              <w:t>secondary data</w:t>
            </w:r>
            <w:r>
              <w:rPr>
                <w:rFonts w:ascii="Times New Roman" w:hAnsi="Times New Roman"/>
                <w:b w:val="0"/>
                <w:bCs/>
              </w:rPr>
              <w:t>)</w:t>
            </w:r>
          </w:p>
          <w:p w:rsidR="0008621F" w:rsidP="0008621F" w14:paraId="09CFFA36" w14:textId="77777777">
            <w:pPr>
              <w:pStyle w:val="TH-TableHeading"/>
              <w:jc w:val="left"/>
              <w:rPr>
                <w:rFonts w:ascii="Times New Roman" w:hAnsi="Times New Roman"/>
                <w:b w:val="0"/>
                <w:bCs/>
              </w:rPr>
            </w:pPr>
          </w:p>
          <w:p w:rsidR="003254AD" w:rsidP="0008621F" w14:paraId="5A0A2AAB" w14:textId="77777777">
            <w:pPr>
              <w:pStyle w:val="TH-TableHeading"/>
              <w:jc w:val="left"/>
              <w:rPr>
                <w:rFonts w:ascii="Times New Roman" w:hAnsi="Times New Roman"/>
                <w:b w:val="0"/>
                <w:bCs/>
              </w:rPr>
            </w:pPr>
          </w:p>
          <w:p w:rsidR="0008621F" w:rsidRPr="0022639B" w:rsidP="0008621F" w14:paraId="0ABE906F" w14:textId="11C8A90E">
            <w:pPr>
              <w:pStyle w:val="TH-TableHeading"/>
              <w:jc w:val="left"/>
              <w:rPr>
                <w:rFonts w:ascii="Times New Roman" w:hAnsi="Times New Roman"/>
                <w:b w:val="0"/>
                <w:bCs/>
              </w:rPr>
            </w:pPr>
            <w:r>
              <w:rPr>
                <w:rFonts w:ascii="Times New Roman" w:hAnsi="Times New Roman"/>
                <w:b w:val="0"/>
                <w:bCs/>
              </w:rPr>
              <w:t>Vital Records from 1 state (</w:t>
            </w:r>
            <w:r w:rsidRPr="00F8658E">
              <w:rPr>
                <w:rFonts w:ascii="Times New Roman" w:hAnsi="Times New Roman"/>
                <w:b w:val="0"/>
                <w:bCs/>
                <w:i/>
              </w:rPr>
              <w:t>secondary data</w:t>
            </w:r>
            <w:r>
              <w:rPr>
                <w:rFonts w:ascii="Times New Roman" w:hAnsi="Times New Roman"/>
                <w:b w:val="0"/>
                <w:bCs/>
              </w:rPr>
              <w:t>)</w:t>
            </w:r>
          </w:p>
        </w:tc>
        <w:tc>
          <w:tcPr>
            <w:tcW w:w="2148" w:type="pct"/>
          </w:tcPr>
          <w:p w:rsidR="0008621F" w:rsidRPr="004A7C1C" w:rsidP="0008621F" w14:paraId="4BB7A93F" w14:textId="5BAD68B2">
            <w:pPr>
              <w:pStyle w:val="TH-TableHeading"/>
              <w:jc w:val="left"/>
              <w:rPr>
                <w:rFonts w:ascii="Times New Roman" w:hAnsi="Times New Roman"/>
                <w:b w:val="0"/>
                <w:bCs/>
              </w:rPr>
            </w:pPr>
            <w:bookmarkStart w:id="0" w:name="_Hlk139990638"/>
            <w:r w:rsidRPr="004A7C1C">
              <w:rPr>
                <w:rFonts w:ascii="Times New Roman" w:hAnsi="Times New Roman"/>
                <w:b w:val="0"/>
                <w:bCs/>
              </w:rPr>
              <w:t>Dosage analysis</w:t>
            </w:r>
            <w:r w:rsidR="00DA02F9">
              <w:rPr>
                <w:rFonts w:ascii="Times New Roman" w:hAnsi="Times New Roman"/>
                <w:b w:val="0"/>
                <w:bCs/>
              </w:rPr>
              <w:t xml:space="preserve"> (basic and enhanced)</w:t>
            </w:r>
            <w:r w:rsidRPr="004A7C1C">
              <w:rPr>
                <w:rFonts w:ascii="Times New Roman" w:hAnsi="Times New Roman"/>
                <w:b w:val="0"/>
                <w:bCs/>
              </w:rPr>
              <w:t xml:space="preserve"> that projects how outcomes </w:t>
            </w:r>
            <w:r w:rsidR="00FD0A52">
              <w:rPr>
                <w:rFonts w:ascii="Times New Roman" w:hAnsi="Times New Roman"/>
                <w:b w:val="0"/>
                <w:bCs/>
              </w:rPr>
              <w:t xml:space="preserve">(e.g., prematurity, birthweight) </w:t>
            </w:r>
            <w:r w:rsidRPr="004A7C1C">
              <w:rPr>
                <w:rFonts w:ascii="Times New Roman" w:hAnsi="Times New Roman"/>
                <w:b w:val="0"/>
                <w:bCs/>
              </w:rPr>
              <w:t>differ from what they would have been absent HS</w:t>
            </w:r>
            <w:r>
              <w:rPr>
                <w:rFonts w:ascii="Times New Roman" w:hAnsi="Times New Roman"/>
                <w:b w:val="0"/>
                <w:bCs/>
              </w:rPr>
              <w:t>.</w:t>
            </w:r>
            <w:bookmarkEnd w:id="0"/>
            <w:r>
              <w:t xml:space="preserve"> </w:t>
            </w:r>
            <w:r>
              <w:rPr>
                <w:rFonts w:ascii="Times New Roman" w:hAnsi="Times New Roman"/>
                <w:b w:val="0"/>
                <w:bCs/>
              </w:rPr>
              <w:t xml:space="preserve">Dosage analysis </w:t>
            </w:r>
            <w:r w:rsidRPr="005E5E81">
              <w:rPr>
                <w:rFonts w:ascii="Times New Roman" w:hAnsi="Times New Roman"/>
                <w:b w:val="0"/>
                <w:bCs/>
              </w:rPr>
              <w:t>use</w:t>
            </w:r>
            <w:r>
              <w:rPr>
                <w:rFonts w:ascii="Times New Roman" w:hAnsi="Times New Roman"/>
                <w:b w:val="0"/>
                <w:bCs/>
              </w:rPr>
              <w:t>s</w:t>
            </w:r>
            <w:r w:rsidRPr="005E5E81">
              <w:rPr>
                <w:rFonts w:ascii="Times New Roman" w:hAnsi="Times New Roman"/>
                <w:b w:val="0"/>
                <w:bCs/>
              </w:rPr>
              <w:t xml:space="preserve"> HS participants as their own comparison group to avoid the selection bias issues </w:t>
            </w:r>
            <w:r>
              <w:rPr>
                <w:rFonts w:ascii="Times New Roman" w:hAnsi="Times New Roman"/>
                <w:b w:val="0"/>
                <w:bCs/>
              </w:rPr>
              <w:t>inherent in</w:t>
            </w:r>
            <w:r w:rsidRPr="005E5E81">
              <w:rPr>
                <w:rFonts w:ascii="Times New Roman" w:hAnsi="Times New Roman"/>
                <w:b w:val="0"/>
                <w:bCs/>
              </w:rPr>
              <w:t xml:space="preserve"> many quasi-experimental impact analysis designs.</w:t>
            </w:r>
            <w:r w:rsidR="00C35C10">
              <w:rPr>
                <w:rFonts w:ascii="Times New Roman" w:hAnsi="Times New Roman"/>
                <w:b w:val="0"/>
                <w:bCs/>
              </w:rPr>
              <w:t xml:space="preserve"> </w:t>
            </w:r>
            <w:r w:rsidR="00D17B49">
              <w:rPr>
                <w:rFonts w:ascii="Times New Roman" w:hAnsi="Times New Roman"/>
                <w:b w:val="0"/>
                <w:bCs/>
              </w:rPr>
              <w:t xml:space="preserve">Baseline data is less crucial when </w:t>
            </w:r>
            <w:r w:rsidR="00C35C10">
              <w:rPr>
                <w:rFonts w:ascii="Times New Roman" w:hAnsi="Times New Roman"/>
                <w:b w:val="0"/>
                <w:bCs/>
              </w:rPr>
              <w:t xml:space="preserve">HS participants </w:t>
            </w:r>
            <w:r w:rsidR="00D17B49">
              <w:rPr>
                <w:rFonts w:ascii="Times New Roman" w:hAnsi="Times New Roman"/>
                <w:b w:val="0"/>
                <w:bCs/>
              </w:rPr>
              <w:t xml:space="preserve">serve </w:t>
            </w:r>
            <w:r w:rsidR="00C35C10">
              <w:rPr>
                <w:rFonts w:ascii="Times New Roman" w:hAnsi="Times New Roman"/>
                <w:b w:val="0"/>
                <w:bCs/>
              </w:rPr>
              <w:t>as their own comparison group</w:t>
            </w:r>
            <w:r w:rsidR="00D17B49">
              <w:rPr>
                <w:rFonts w:ascii="Times New Roman" w:hAnsi="Times New Roman"/>
                <w:b w:val="0"/>
                <w:bCs/>
              </w:rPr>
              <w:t>.</w:t>
            </w:r>
            <w:r w:rsidR="00C35C10">
              <w:rPr>
                <w:rFonts w:ascii="Times New Roman" w:hAnsi="Times New Roman"/>
                <w:b w:val="0"/>
                <w:bCs/>
              </w:rPr>
              <w:t xml:space="preserve"> </w:t>
            </w:r>
            <w:r w:rsidR="00DA02F9">
              <w:rPr>
                <w:rFonts w:ascii="Times New Roman" w:hAnsi="Times New Roman"/>
                <w:b w:val="0"/>
                <w:bCs/>
              </w:rPr>
              <w:t>Basic dosage model will use duration in HS</w:t>
            </w:r>
            <w:r w:rsidR="00DD3386">
              <w:rPr>
                <w:rFonts w:ascii="Times New Roman" w:hAnsi="Times New Roman"/>
                <w:b w:val="0"/>
                <w:bCs/>
              </w:rPr>
              <w:t xml:space="preserve"> </w:t>
            </w:r>
            <w:r w:rsidR="00DA02F9">
              <w:rPr>
                <w:rFonts w:ascii="Times New Roman" w:hAnsi="Times New Roman"/>
                <w:b w:val="0"/>
                <w:bCs/>
              </w:rPr>
              <w:t xml:space="preserve">as </w:t>
            </w:r>
            <w:r w:rsidR="00DD3386">
              <w:rPr>
                <w:rFonts w:ascii="Times New Roman" w:hAnsi="Times New Roman"/>
                <w:b w:val="0"/>
                <w:bCs/>
              </w:rPr>
              <w:t xml:space="preserve">a </w:t>
            </w:r>
            <w:r w:rsidR="00DA02F9">
              <w:rPr>
                <w:rFonts w:ascii="Times New Roman" w:hAnsi="Times New Roman"/>
                <w:b w:val="0"/>
                <w:bCs/>
              </w:rPr>
              <w:t xml:space="preserve">proxy for program dosage </w:t>
            </w:r>
            <w:r w:rsidR="00DD3386">
              <w:rPr>
                <w:rFonts w:ascii="Times New Roman" w:hAnsi="Times New Roman"/>
                <w:b w:val="0"/>
                <w:bCs/>
              </w:rPr>
              <w:t xml:space="preserve">(i.e., </w:t>
            </w:r>
            <w:r w:rsidR="007978CF">
              <w:rPr>
                <w:rFonts w:ascii="Times New Roman" w:hAnsi="Times New Roman"/>
                <w:b w:val="0"/>
                <w:bCs/>
              </w:rPr>
              <w:t>duration</w:t>
            </w:r>
            <w:r w:rsidR="00DD3386">
              <w:rPr>
                <w:rFonts w:ascii="Times New Roman" w:hAnsi="Times New Roman"/>
                <w:b w:val="0"/>
                <w:bCs/>
              </w:rPr>
              <w:t xml:space="preserve"> of exposure to HS services) </w:t>
            </w:r>
            <w:r w:rsidR="00DA02F9">
              <w:rPr>
                <w:rFonts w:ascii="Times New Roman" w:hAnsi="Times New Roman"/>
                <w:b w:val="0"/>
                <w:bCs/>
              </w:rPr>
              <w:t xml:space="preserve">and enhanced dosage model will </w:t>
            </w:r>
            <w:r w:rsidR="00DD3386">
              <w:rPr>
                <w:rFonts w:ascii="Times New Roman" w:hAnsi="Times New Roman"/>
                <w:b w:val="0"/>
                <w:bCs/>
              </w:rPr>
              <w:t>strengthen inferences of association</w:t>
            </w:r>
            <w:r w:rsidR="00A71566">
              <w:rPr>
                <w:rFonts w:ascii="Times New Roman" w:hAnsi="Times New Roman"/>
                <w:b w:val="0"/>
                <w:bCs/>
              </w:rPr>
              <w:t>s</w:t>
            </w:r>
            <w:r w:rsidR="00DD3386">
              <w:rPr>
                <w:rFonts w:ascii="Times New Roman" w:hAnsi="Times New Roman"/>
                <w:b w:val="0"/>
                <w:bCs/>
              </w:rPr>
              <w:t xml:space="preserve"> of HS services with outcomes </w:t>
            </w:r>
            <w:r w:rsidR="00D16D4D">
              <w:rPr>
                <w:rFonts w:ascii="Times New Roman" w:hAnsi="Times New Roman"/>
                <w:b w:val="0"/>
                <w:bCs/>
              </w:rPr>
              <w:t>us</w:t>
            </w:r>
            <w:r w:rsidR="00DD3386">
              <w:rPr>
                <w:rFonts w:ascii="Times New Roman" w:hAnsi="Times New Roman"/>
                <w:b w:val="0"/>
                <w:bCs/>
              </w:rPr>
              <w:t>ing</w:t>
            </w:r>
            <w:r w:rsidR="00D16D4D">
              <w:rPr>
                <w:rFonts w:ascii="Times New Roman" w:hAnsi="Times New Roman"/>
                <w:b w:val="0"/>
                <w:bCs/>
              </w:rPr>
              <w:t xml:space="preserve"> </w:t>
            </w:r>
            <w:r w:rsidR="00DA02F9">
              <w:rPr>
                <w:rFonts w:ascii="Times New Roman" w:hAnsi="Times New Roman"/>
                <w:b w:val="0"/>
                <w:bCs/>
              </w:rPr>
              <w:t>additional data on quantities of services</w:t>
            </w:r>
            <w:r w:rsidR="00B931B7">
              <w:rPr>
                <w:rFonts w:ascii="Times New Roman" w:hAnsi="Times New Roman"/>
                <w:b w:val="0"/>
                <w:bCs/>
              </w:rPr>
              <w:t xml:space="preserve"> (i.e., amount of exposure to HS services)</w:t>
            </w:r>
            <w:r w:rsidR="00DA02F9">
              <w:rPr>
                <w:rFonts w:ascii="Times New Roman" w:hAnsi="Times New Roman"/>
                <w:b w:val="0"/>
                <w:bCs/>
              </w:rPr>
              <w:t xml:space="preserve"> received.</w:t>
            </w:r>
          </w:p>
          <w:p w:rsidR="0008621F" w:rsidP="0008621F" w14:paraId="5FE4B532" w14:textId="77777777">
            <w:pPr>
              <w:pStyle w:val="TH-TableHeading"/>
              <w:jc w:val="left"/>
              <w:rPr>
                <w:rFonts w:ascii="Times New Roman" w:hAnsi="Times New Roman"/>
                <w:b w:val="0"/>
                <w:bCs/>
              </w:rPr>
            </w:pPr>
          </w:p>
          <w:p w:rsidR="0008621F" w:rsidRPr="00EC2481" w:rsidP="000F7AAE" w14:paraId="25F909EF" w14:textId="720BE871">
            <w:pPr>
              <w:pStyle w:val="TH-TableHeading"/>
              <w:jc w:val="left"/>
              <w:rPr>
                <w:rFonts w:ascii="Times New Roman" w:hAnsi="Times New Roman"/>
                <w:b w:val="0"/>
                <w:bCs/>
              </w:rPr>
            </w:pPr>
            <w:r w:rsidRPr="007B5118">
              <w:rPr>
                <w:rFonts w:ascii="Times New Roman" w:hAnsi="Times New Roman"/>
                <w:b w:val="0"/>
                <w:bCs/>
              </w:rPr>
              <w:t xml:space="preserve">Propensity score matching (PSM) analysis to </w:t>
            </w:r>
            <w:r w:rsidRPr="007B5118" w:rsidR="000F7AAE">
              <w:rPr>
                <w:rFonts w:ascii="Times New Roman" w:hAnsi="Times New Roman"/>
                <w:b w:val="0"/>
                <w:bCs/>
              </w:rPr>
              <w:t xml:space="preserve">support dosage analysis results </w:t>
            </w:r>
            <w:r w:rsidRPr="007B5118">
              <w:rPr>
                <w:rFonts w:ascii="Times New Roman" w:hAnsi="Times New Roman"/>
                <w:b w:val="0"/>
                <w:bCs/>
              </w:rPr>
              <w:t>(1 state).</w:t>
            </w:r>
            <w:r>
              <w:rPr>
                <w:rFonts w:ascii="Times New Roman" w:hAnsi="Times New Roman"/>
                <w:b w:val="0"/>
                <w:bCs/>
              </w:rPr>
              <w:t xml:space="preserve"> C</w:t>
            </w:r>
            <w:r w:rsidRPr="005E5E81">
              <w:rPr>
                <w:rFonts w:ascii="Times New Roman" w:hAnsi="Times New Roman"/>
                <w:b w:val="0"/>
                <w:bCs/>
              </w:rPr>
              <w:t>omparison group analys</w:t>
            </w:r>
            <w:r>
              <w:rPr>
                <w:rFonts w:ascii="Times New Roman" w:hAnsi="Times New Roman"/>
                <w:b w:val="0"/>
                <w:bCs/>
              </w:rPr>
              <w:t>es</w:t>
            </w:r>
            <w:r w:rsidRPr="005E5E81">
              <w:rPr>
                <w:rFonts w:ascii="Times New Roman" w:hAnsi="Times New Roman"/>
                <w:b w:val="0"/>
                <w:bCs/>
              </w:rPr>
              <w:t xml:space="preserve"> based on PSM check the robustness of the dosage analysis findings and guide selection of the best dosage model specifications</w:t>
            </w:r>
            <w:r>
              <w:rPr>
                <w:rFonts w:ascii="Times New Roman" w:hAnsi="Times New Roman"/>
                <w:b w:val="0"/>
                <w:bCs/>
              </w:rPr>
              <w:t>.</w:t>
            </w:r>
          </w:p>
        </w:tc>
      </w:tr>
      <w:tr w14:paraId="747C1CAF" w14:textId="77777777" w:rsidTr="0008621F">
        <w:tblPrEx>
          <w:tblW w:w="5150" w:type="pct"/>
          <w:tblInd w:w="-5" w:type="dxa"/>
          <w:tblLayout w:type="fixed"/>
          <w:tblLook w:val="04A0"/>
        </w:tblPrEx>
        <w:trPr>
          <w:cantSplit w:val="0"/>
        </w:trPr>
        <w:tc>
          <w:tcPr>
            <w:tcW w:w="5000" w:type="pct"/>
            <w:gridSpan w:val="4"/>
            <w:shd w:val="clear" w:color="auto" w:fill="EEECE1" w:themeFill="background2"/>
          </w:tcPr>
          <w:p w:rsidR="0008621F" w:rsidRPr="0022639B" w:rsidP="00F865AC" w14:paraId="14D9057D" w14:textId="7E01DB7B">
            <w:pPr>
              <w:pStyle w:val="TH-TableHeading"/>
              <w:numPr>
                <w:ilvl w:val="0"/>
                <w:numId w:val="46"/>
              </w:numPr>
              <w:jc w:val="left"/>
              <w:rPr>
                <w:rFonts w:ascii="Times New Roman" w:hAnsi="Times New Roman"/>
              </w:rPr>
            </w:pPr>
            <w:r w:rsidRPr="0022639B">
              <w:rPr>
                <w:rFonts w:ascii="Times New Roman" w:hAnsi="Times New Roman"/>
              </w:rPr>
              <w:t>Evaluation Question: To what extent do local HS programs reach women who are high</w:t>
            </w:r>
            <w:r>
              <w:rPr>
                <w:rFonts w:ascii="Times New Roman" w:hAnsi="Times New Roman"/>
              </w:rPr>
              <w:t>-</w:t>
            </w:r>
            <w:r w:rsidRPr="0022639B">
              <w:rPr>
                <w:rFonts w:ascii="Times New Roman" w:hAnsi="Times New Roman"/>
              </w:rPr>
              <w:t>risk for poor reproductive health outcomes?</w:t>
            </w:r>
          </w:p>
          <w:p w:rsidR="0008621F" w:rsidRPr="0022639B" w:rsidP="0008621F" w14:paraId="64B4505E" w14:textId="77777777">
            <w:pPr>
              <w:pStyle w:val="TH-TableHeading"/>
              <w:jc w:val="left"/>
              <w:rPr>
                <w:rFonts w:ascii="Times New Roman" w:hAnsi="Times New Roman"/>
                <w:b w:val="0"/>
                <w:bCs/>
              </w:rPr>
            </w:pPr>
          </w:p>
        </w:tc>
      </w:tr>
      <w:tr w14:paraId="1109EA7B" w14:textId="77777777" w:rsidTr="0008621F">
        <w:tblPrEx>
          <w:tblW w:w="5150" w:type="pct"/>
          <w:tblInd w:w="-5" w:type="dxa"/>
          <w:tblLayout w:type="fixed"/>
          <w:tblLook w:val="04A0"/>
        </w:tblPrEx>
        <w:trPr>
          <w:cantSplit w:val="0"/>
        </w:trPr>
        <w:tc>
          <w:tcPr>
            <w:tcW w:w="887" w:type="pct"/>
          </w:tcPr>
          <w:p w:rsidR="0008621F" w:rsidRPr="0022639B" w:rsidP="0008621F" w14:paraId="58654D0D" w14:textId="77777777">
            <w:pPr>
              <w:pStyle w:val="TH-TableHeading"/>
              <w:jc w:val="left"/>
              <w:rPr>
                <w:rFonts w:ascii="Times New Roman" w:hAnsi="Times New Roman"/>
              </w:rPr>
            </w:pPr>
            <w:r w:rsidRPr="0022639B">
              <w:rPr>
                <w:rFonts w:ascii="Times New Roman" w:hAnsi="Times New Roman"/>
              </w:rPr>
              <w:t>Implementation</w:t>
            </w:r>
          </w:p>
        </w:tc>
        <w:tc>
          <w:tcPr>
            <w:tcW w:w="1356" w:type="pct"/>
          </w:tcPr>
          <w:p w:rsidR="0008621F" w:rsidRPr="0022639B" w:rsidP="0008621F" w14:paraId="4149BFB8" w14:textId="64761A45">
            <w:pPr>
              <w:pStyle w:val="TX-TableText"/>
              <w:rPr>
                <w:rFonts w:ascii="Times New Roman" w:hAnsi="Times New Roman"/>
              </w:rPr>
            </w:pPr>
            <w:r>
              <w:rPr>
                <w:rFonts w:ascii="Times New Roman" w:hAnsi="Times New Roman"/>
              </w:rPr>
              <w:t>2</w:t>
            </w:r>
            <w:r w:rsidR="009650EE">
              <w:rPr>
                <w:rFonts w:ascii="Times New Roman" w:hAnsi="Times New Roman"/>
              </w:rPr>
              <w:t xml:space="preserve"> </w:t>
            </w:r>
            <w:r>
              <w:rPr>
                <w:rFonts w:ascii="Times New Roman" w:hAnsi="Times New Roman"/>
              </w:rPr>
              <w:t xml:space="preserve">a. </w:t>
            </w:r>
            <w:r w:rsidRPr="0022639B">
              <w:rPr>
                <w:rFonts w:ascii="Times New Roman" w:hAnsi="Times New Roman"/>
              </w:rPr>
              <w:t>How do local HS programs define “high-risk?”</w:t>
            </w:r>
          </w:p>
        </w:tc>
        <w:tc>
          <w:tcPr>
            <w:tcW w:w="609" w:type="pct"/>
          </w:tcPr>
          <w:p w:rsidR="0008621F" w:rsidRPr="0022639B" w:rsidP="0008621F" w14:paraId="454CC112" w14:textId="3025F5A4">
            <w:pPr>
              <w:pStyle w:val="TH-TableHeading"/>
              <w:jc w:val="left"/>
              <w:rPr>
                <w:rFonts w:ascii="Times New Roman" w:hAnsi="Times New Roman"/>
                <w:b w:val="0"/>
                <w:bCs/>
              </w:rPr>
            </w:pPr>
            <w:r w:rsidRPr="0022639B">
              <w:rPr>
                <w:rFonts w:ascii="Times New Roman" w:hAnsi="Times New Roman"/>
                <w:b w:val="0"/>
                <w:bCs/>
              </w:rPr>
              <w:t xml:space="preserve">Program Survey </w:t>
            </w:r>
            <w:r w:rsidR="005B49D8">
              <w:rPr>
                <w:rFonts w:ascii="Times New Roman" w:hAnsi="Times New Roman"/>
                <w:b w:val="0"/>
                <w:bCs/>
              </w:rPr>
              <w:t xml:space="preserve">- </w:t>
            </w:r>
            <w:r w:rsidR="001639D0">
              <w:rPr>
                <w:rFonts w:ascii="Times New Roman" w:hAnsi="Times New Roman"/>
                <w:b w:val="0"/>
                <w:bCs/>
              </w:rPr>
              <w:t>all 101 grantees</w:t>
            </w:r>
          </w:p>
        </w:tc>
        <w:tc>
          <w:tcPr>
            <w:tcW w:w="2148" w:type="pct"/>
          </w:tcPr>
          <w:p w:rsidR="0008621F" w:rsidRPr="00EC2481" w:rsidP="0008621F" w14:paraId="2C97B777" w14:textId="40A0E247">
            <w:pPr>
              <w:pStyle w:val="TH-TableHeading"/>
              <w:jc w:val="left"/>
              <w:rPr>
                <w:rFonts w:ascii="Times New Roman" w:hAnsi="Times New Roman"/>
                <w:b w:val="0"/>
                <w:bCs/>
              </w:rPr>
            </w:pPr>
            <w:r w:rsidRPr="00EC2481">
              <w:rPr>
                <w:rFonts w:ascii="Times New Roman" w:hAnsi="Times New Roman"/>
                <w:b w:val="0"/>
                <w:bCs/>
              </w:rPr>
              <w:t>Descriptive statistical analys</w:t>
            </w:r>
            <w:r>
              <w:rPr>
                <w:rFonts w:ascii="Times New Roman" w:hAnsi="Times New Roman"/>
                <w:b w:val="0"/>
                <w:bCs/>
              </w:rPr>
              <w:t>i</w:t>
            </w:r>
            <w:r w:rsidRPr="00EC2481">
              <w:rPr>
                <w:rFonts w:ascii="Times New Roman" w:hAnsi="Times New Roman"/>
                <w:b w:val="0"/>
                <w:bCs/>
              </w:rPr>
              <w:t xml:space="preserve">s </w:t>
            </w:r>
            <w:r>
              <w:rPr>
                <w:rFonts w:ascii="Times New Roman" w:hAnsi="Times New Roman"/>
                <w:b w:val="0"/>
                <w:bCs/>
              </w:rPr>
              <w:t xml:space="preserve">of the data from the survey </w:t>
            </w:r>
            <w:r w:rsidRPr="00EC2481">
              <w:rPr>
                <w:rFonts w:ascii="Times New Roman" w:hAnsi="Times New Roman"/>
                <w:b w:val="0"/>
                <w:bCs/>
              </w:rPr>
              <w:t xml:space="preserve">to examine the high-risk criteria (e.g., medical and social risk) used and the variation in the criteria across the HS programs. </w:t>
            </w:r>
          </w:p>
          <w:p w:rsidR="0008621F" w:rsidRPr="00EC2481" w:rsidP="0008621F" w14:paraId="53662799" w14:textId="77777777">
            <w:pPr>
              <w:pStyle w:val="TH-TableHeading"/>
              <w:jc w:val="left"/>
              <w:rPr>
                <w:rFonts w:ascii="Times New Roman" w:hAnsi="Times New Roman"/>
                <w:b w:val="0"/>
                <w:bCs/>
              </w:rPr>
            </w:pPr>
          </w:p>
        </w:tc>
      </w:tr>
      <w:tr w14:paraId="619FB654" w14:textId="77777777" w:rsidTr="0008621F">
        <w:tblPrEx>
          <w:tblW w:w="5150" w:type="pct"/>
          <w:tblInd w:w="-5" w:type="dxa"/>
          <w:tblLayout w:type="fixed"/>
          <w:tblLook w:val="04A0"/>
        </w:tblPrEx>
        <w:trPr>
          <w:cantSplit w:val="0"/>
        </w:trPr>
        <w:tc>
          <w:tcPr>
            <w:tcW w:w="887" w:type="pct"/>
            <w:vAlign w:val="center"/>
          </w:tcPr>
          <w:p w:rsidR="0008621F" w:rsidRPr="0022639B" w:rsidP="0008621F" w14:paraId="4475389D" w14:textId="77777777">
            <w:pPr>
              <w:pStyle w:val="TX-TableText"/>
              <w:rPr>
                <w:rFonts w:ascii="Times New Roman" w:hAnsi="Times New Roman"/>
                <w:b/>
              </w:rPr>
            </w:pPr>
            <w:r>
              <w:rPr>
                <w:rFonts w:ascii="Times New Roman" w:hAnsi="Times New Roman"/>
                <w:b/>
              </w:rPr>
              <w:t>Utilization</w:t>
            </w:r>
          </w:p>
        </w:tc>
        <w:tc>
          <w:tcPr>
            <w:tcW w:w="1356" w:type="pct"/>
          </w:tcPr>
          <w:p w:rsidR="0008621F" w:rsidP="0008621F" w14:paraId="6009C742" w14:textId="43E49F10">
            <w:pPr>
              <w:pStyle w:val="TX-TableText"/>
              <w:rPr>
                <w:rFonts w:ascii="Times New Roman" w:hAnsi="Times New Roman"/>
              </w:rPr>
            </w:pPr>
            <w:r>
              <w:rPr>
                <w:rFonts w:ascii="Times New Roman" w:hAnsi="Times New Roman"/>
              </w:rPr>
              <w:t>2</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 </w:t>
            </w:r>
            <w:r w:rsidRPr="007B3A08">
              <w:rPr>
                <w:rFonts w:ascii="Times New Roman" w:hAnsi="Times New Roman"/>
              </w:rPr>
              <w:t>What are the characteristics of HS women overall?</w:t>
            </w:r>
          </w:p>
          <w:p w:rsidR="0008621F" w:rsidP="0008621F" w14:paraId="722E2237" w14:textId="77777777">
            <w:pPr>
              <w:pStyle w:val="TX-TableText"/>
              <w:rPr>
                <w:rFonts w:ascii="Times New Roman" w:hAnsi="Times New Roman"/>
              </w:rPr>
            </w:pPr>
          </w:p>
          <w:p w:rsidR="0008621F" w:rsidP="0008621F" w14:paraId="6EE37FC1" w14:textId="28CAEF22">
            <w:pPr>
              <w:pStyle w:val="TX-TableText"/>
              <w:rPr>
                <w:rFonts w:ascii="Times New Roman" w:hAnsi="Times New Roman"/>
              </w:rPr>
            </w:pPr>
            <w:r>
              <w:rPr>
                <w:rFonts w:ascii="Times New Roman" w:hAnsi="Times New Roman"/>
              </w:rPr>
              <w:t>2</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ii. </w:t>
            </w:r>
            <w:r w:rsidRPr="007B3A08">
              <w:rPr>
                <w:rFonts w:ascii="Times New Roman" w:hAnsi="Times New Roman"/>
              </w:rPr>
              <w:t>To what extent do local HS programs reach high-risk women as intended?</w:t>
            </w:r>
          </w:p>
          <w:p w:rsidR="0008621F" w:rsidP="0008621F" w14:paraId="28A8FEFC" w14:textId="77777777">
            <w:pPr>
              <w:pStyle w:val="TX-TableText"/>
              <w:rPr>
                <w:rFonts w:ascii="Times New Roman" w:hAnsi="Times New Roman"/>
              </w:rPr>
            </w:pPr>
          </w:p>
          <w:p w:rsidR="0008621F" w:rsidRPr="00F617C7" w:rsidP="0008621F" w14:paraId="764AC45D" w14:textId="066B0173">
            <w:pPr>
              <w:pStyle w:val="TX-TableText"/>
              <w:rPr>
                <w:rFonts w:ascii="Times New Roman" w:hAnsi="Times New Roman"/>
              </w:rPr>
            </w:pPr>
            <w:r>
              <w:rPr>
                <w:rFonts w:ascii="Times New Roman" w:hAnsi="Times New Roman"/>
              </w:rPr>
              <w:t>2</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iii. </w:t>
            </w:r>
            <w:r w:rsidRPr="00F617C7">
              <w:rPr>
                <w:rFonts w:ascii="Times New Roman" w:hAnsi="Times New Roman"/>
              </w:rPr>
              <w:t>What are the risk profiles of participants served?</w:t>
            </w:r>
          </w:p>
          <w:p w:rsidR="0008621F" w:rsidRPr="00F617C7" w:rsidP="0008621F" w14:paraId="2D5C142E" w14:textId="77777777">
            <w:pPr>
              <w:pStyle w:val="TX-TableText"/>
              <w:rPr>
                <w:rFonts w:ascii="Times New Roman" w:hAnsi="Times New Roman"/>
              </w:rPr>
            </w:pPr>
          </w:p>
          <w:p w:rsidR="0008621F" w:rsidP="0008621F" w14:paraId="407EEDDF" w14:textId="1633C3BC">
            <w:pPr>
              <w:pStyle w:val="TX-TableText"/>
              <w:rPr>
                <w:rFonts w:ascii="Times New Roman" w:hAnsi="Times New Roman"/>
              </w:rPr>
            </w:pPr>
            <w:r>
              <w:rPr>
                <w:rFonts w:ascii="Times New Roman" w:hAnsi="Times New Roman"/>
              </w:rPr>
              <w:t>2</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iv. </w:t>
            </w:r>
            <w:r>
              <w:rPr>
                <w:rFonts w:ascii="Times New Roman" w:hAnsi="Times New Roman"/>
              </w:rPr>
              <w:t xml:space="preserve">How long does each subgroup (based on risk </w:t>
            </w:r>
            <w:r>
              <w:rPr>
                <w:rFonts w:ascii="Times New Roman" w:hAnsi="Times New Roman"/>
              </w:rPr>
              <w:t xml:space="preserve">status) </w:t>
            </w:r>
            <w:r w:rsidRPr="00F617C7">
              <w:rPr>
                <w:rFonts w:ascii="Times New Roman" w:hAnsi="Times New Roman"/>
              </w:rPr>
              <w:t>stay in the HS program?</w:t>
            </w:r>
          </w:p>
          <w:p w:rsidR="0008621F" w:rsidP="0008621F" w14:paraId="60785096" w14:textId="77777777">
            <w:pPr>
              <w:pStyle w:val="TX-TableText"/>
              <w:rPr>
                <w:rFonts w:ascii="Times New Roman" w:hAnsi="Times New Roman"/>
              </w:rPr>
            </w:pPr>
          </w:p>
          <w:p w:rsidR="0008621F" w:rsidRPr="0022639B" w:rsidP="0008621F" w14:paraId="02B87CC3" w14:textId="25916C47">
            <w:pPr>
              <w:pStyle w:val="TX-TableText"/>
              <w:rPr>
                <w:rFonts w:ascii="Times New Roman" w:hAnsi="Times New Roman"/>
              </w:rPr>
            </w:pPr>
          </w:p>
        </w:tc>
        <w:tc>
          <w:tcPr>
            <w:tcW w:w="609" w:type="pct"/>
            <w:shd w:val="clear" w:color="auto" w:fill="FFFFFF" w:themeFill="background1"/>
          </w:tcPr>
          <w:p w:rsidR="0008621F" w:rsidP="0008621F" w14:paraId="7A96F863" w14:textId="77777777">
            <w:pPr>
              <w:pStyle w:val="TX-TableText"/>
              <w:rPr>
                <w:rFonts w:ascii="Times New Roman" w:hAnsi="Times New Roman"/>
              </w:rPr>
            </w:pPr>
          </w:p>
          <w:p w:rsidR="0008621F" w:rsidP="0008621F" w14:paraId="0CC3ECF9" w14:textId="77777777">
            <w:pPr>
              <w:pStyle w:val="TX-TableText"/>
              <w:rPr>
                <w:rFonts w:ascii="Times New Roman" w:hAnsi="Times New Roman"/>
              </w:rPr>
            </w:pPr>
          </w:p>
          <w:p w:rsidR="0008621F" w:rsidP="0008621F" w14:paraId="5366D25D" w14:textId="77777777">
            <w:pPr>
              <w:pStyle w:val="TX-TableText"/>
              <w:rPr>
                <w:rFonts w:ascii="Times New Roman" w:hAnsi="Times New Roman"/>
              </w:rPr>
            </w:pPr>
          </w:p>
          <w:p w:rsidR="0008621F" w:rsidP="0008621F" w14:paraId="2AA125AF" w14:textId="77777777">
            <w:pPr>
              <w:pStyle w:val="TX-TableText"/>
              <w:rPr>
                <w:rFonts w:ascii="Times New Roman" w:hAnsi="Times New Roman"/>
              </w:rPr>
            </w:pPr>
          </w:p>
          <w:p w:rsidR="0008621F" w:rsidP="0008621F" w14:paraId="032F73A2" w14:textId="77777777">
            <w:pPr>
              <w:pStyle w:val="TX-TableText"/>
              <w:rPr>
                <w:rFonts w:ascii="Times New Roman" w:hAnsi="Times New Roman"/>
              </w:rPr>
            </w:pPr>
          </w:p>
          <w:p w:rsidR="0008621F" w:rsidRPr="0022639B" w:rsidP="0008621F" w14:paraId="4E73C526" w14:textId="117502DA">
            <w:pPr>
              <w:pStyle w:val="TX-TableText"/>
              <w:rPr>
                <w:rFonts w:ascii="Times New Roman" w:hAnsi="Times New Roman"/>
              </w:rPr>
            </w:pPr>
            <w:r>
              <w:rPr>
                <w:rFonts w:ascii="Times New Roman" w:hAnsi="Times New Roman"/>
              </w:rPr>
              <w:t>HSMED (</w:t>
            </w:r>
            <w:r w:rsidRPr="00F8658E">
              <w:rPr>
                <w:rFonts w:ascii="Times New Roman" w:hAnsi="Times New Roman"/>
                <w:i/>
              </w:rPr>
              <w:t>secondary data</w:t>
            </w:r>
            <w:r>
              <w:rPr>
                <w:rFonts w:ascii="Times New Roman" w:hAnsi="Times New Roman"/>
              </w:rPr>
              <w:t>)</w:t>
            </w:r>
            <w:r w:rsidR="001639D0">
              <w:rPr>
                <w:rFonts w:ascii="Times New Roman" w:hAnsi="Times New Roman"/>
              </w:rPr>
              <w:t xml:space="preserve"> - all 101 grantees</w:t>
            </w:r>
          </w:p>
        </w:tc>
        <w:tc>
          <w:tcPr>
            <w:tcW w:w="2148" w:type="pct"/>
            <w:shd w:val="clear" w:color="auto" w:fill="FFFFFF" w:themeFill="background1"/>
          </w:tcPr>
          <w:p w:rsidR="0008621F" w:rsidP="0008621F" w14:paraId="4A5F1E98" w14:textId="77777777">
            <w:pPr>
              <w:pStyle w:val="TX-TableText"/>
              <w:rPr>
                <w:rFonts w:ascii="Times New Roman" w:hAnsi="Times New Roman"/>
              </w:rPr>
            </w:pPr>
          </w:p>
          <w:p w:rsidR="0008621F" w:rsidP="0008621F" w14:paraId="3E258B41" w14:textId="77777777">
            <w:pPr>
              <w:pStyle w:val="TX-TableText"/>
              <w:rPr>
                <w:rFonts w:ascii="Times New Roman" w:hAnsi="Times New Roman"/>
              </w:rPr>
            </w:pPr>
          </w:p>
          <w:p w:rsidR="0008621F" w:rsidP="0008621F" w14:paraId="415C14E1" w14:textId="77777777">
            <w:pPr>
              <w:pStyle w:val="TX-TableText"/>
              <w:rPr>
                <w:rFonts w:ascii="Times New Roman" w:hAnsi="Times New Roman"/>
              </w:rPr>
            </w:pPr>
          </w:p>
          <w:p w:rsidR="0008621F" w:rsidRPr="00E85E11" w:rsidP="0008621F" w14:paraId="0499D488" w14:textId="4D7F8338">
            <w:pPr>
              <w:pStyle w:val="TX-TableText"/>
              <w:rPr>
                <w:rFonts w:ascii="Times New Roman" w:hAnsi="Times New Roman"/>
              </w:rPr>
            </w:pPr>
            <w:r w:rsidRPr="00E85E11">
              <w:rPr>
                <w:rFonts w:ascii="Times New Roman" w:hAnsi="Times New Roman"/>
              </w:rPr>
              <w:t>Descriptive statistical analysis</w:t>
            </w:r>
            <w:r w:rsidR="00E85E11">
              <w:rPr>
                <w:rFonts w:ascii="Times New Roman" w:hAnsi="Times New Roman"/>
              </w:rPr>
              <w:t xml:space="preserve"> to identify demographic </w:t>
            </w:r>
            <w:r w:rsidR="00FD0A52">
              <w:rPr>
                <w:rFonts w:ascii="Times New Roman" w:hAnsi="Times New Roman"/>
              </w:rPr>
              <w:t xml:space="preserve">(e.g., age, race/ethnicity, education, income) </w:t>
            </w:r>
            <w:r w:rsidR="00E85E11">
              <w:rPr>
                <w:rFonts w:ascii="Times New Roman" w:hAnsi="Times New Roman"/>
              </w:rPr>
              <w:t>and</w:t>
            </w:r>
            <w:r w:rsidR="00A90BAB">
              <w:rPr>
                <w:rFonts w:ascii="Times New Roman" w:hAnsi="Times New Roman"/>
              </w:rPr>
              <w:t xml:space="preserve"> high</w:t>
            </w:r>
            <w:r w:rsidR="00E85E11">
              <w:rPr>
                <w:rFonts w:ascii="Times New Roman" w:hAnsi="Times New Roman"/>
              </w:rPr>
              <w:t xml:space="preserve"> risk characteristics </w:t>
            </w:r>
            <w:r w:rsidR="00FD0A52">
              <w:rPr>
                <w:rFonts w:ascii="Times New Roman" w:hAnsi="Times New Roman"/>
              </w:rPr>
              <w:t xml:space="preserve">(substance use, </w:t>
            </w:r>
            <w:r w:rsidR="00A90BAB">
              <w:rPr>
                <w:rFonts w:ascii="Times New Roman" w:hAnsi="Times New Roman"/>
              </w:rPr>
              <w:t xml:space="preserve">poor prior pregnancy outcomes, chronic </w:t>
            </w:r>
            <w:r w:rsidR="00FD0A52">
              <w:rPr>
                <w:rFonts w:ascii="Times New Roman" w:hAnsi="Times New Roman"/>
              </w:rPr>
              <w:t>medical conditions</w:t>
            </w:r>
            <w:r w:rsidR="00A90BAB">
              <w:rPr>
                <w:rFonts w:ascii="Times New Roman" w:hAnsi="Times New Roman"/>
              </w:rPr>
              <w:t>, depression, domestic violence, late prenatal care entry</w:t>
            </w:r>
            <w:r w:rsidR="00FD0A52">
              <w:rPr>
                <w:rFonts w:ascii="Times New Roman" w:hAnsi="Times New Roman"/>
              </w:rPr>
              <w:t xml:space="preserve">) </w:t>
            </w:r>
            <w:r w:rsidR="00E85E11">
              <w:rPr>
                <w:rFonts w:ascii="Times New Roman" w:hAnsi="Times New Roman"/>
              </w:rPr>
              <w:t xml:space="preserve">of HS women </w:t>
            </w:r>
            <w:r w:rsidR="00A90BAB">
              <w:rPr>
                <w:rFonts w:ascii="Times New Roman" w:hAnsi="Times New Roman"/>
              </w:rPr>
              <w:t>to</w:t>
            </w:r>
            <w:r w:rsidR="00E85E11">
              <w:rPr>
                <w:rFonts w:ascii="Times New Roman" w:hAnsi="Times New Roman"/>
              </w:rPr>
              <w:t xml:space="preserve"> develop risk profiles.</w:t>
            </w:r>
          </w:p>
          <w:p w:rsidR="0008621F" w:rsidRPr="002C72CE" w:rsidP="0008621F" w14:paraId="1C7B2240" w14:textId="77777777">
            <w:pPr>
              <w:pStyle w:val="TX-TableText"/>
              <w:rPr>
                <w:rFonts w:ascii="Times New Roman" w:hAnsi="Times New Roman"/>
                <w:highlight w:val="yellow"/>
              </w:rPr>
            </w:pPr>
          </w:p>
          <w:p w:rsidR="0008621F" w:rsidRPr="002C72CE" w:rsidP="0008621F" w14:paraId="3ADDB79C" w14:textId="77777777">
            <w:pPr>
              <w:pStyle w:val="TX-TableText"/>
              <w:rPr>
                <w:rFonts w:ascii="Times New Roman" w:hAnsi="Times New Roman"/>
                <w:highlight w:val="yellow"/>
              </w:rPr>
            </w:pPr>
          </w:p>
          <w:p w:rsidR="0008621F" w:rsidRPr="002C72CE" w:rsidP="0008621F" w14:paraId="66D9A4A6" w14:textId="77777777">
            <w:pPr>
              <w:pStyle w:val="TX-TableText"/>
              <w:rPr>
                <w:rFonts w:ascii="Times New Roman" w:hAnsi="Times New Roman"/>
                <w:highlight w:val="yellow"/>
              </w:rPr>
            </w:pPr>
          </w:p>
          <w:p w:rsidR="0008621F" w:rsidRPr="006716CD" w:rsidP="0008621F" w14:paraId="468E715C" w14:textId="163F61A5">
            <w:pPr>
              <w:pStyle w:val="TX-TableText"/>
              <w:rPr>
                <w:rFonts w:ascii="Times New Roman" w:hAnsi="Times New Roman"/>
              </w:rPr>
            </w:pPr>
          </w:p>
        </w:tc>
      </w:tr>
      <w:tr w14:paraId="765E6554" w14:textId="77777777" w:rsidTr="0008621F">
        <w:tblPrEx>
          <w:tblW w:w="5150" w:type="pct"/>
          <w:tblInd w:w="-5" w:type="dxa"/>
          <w:tblLayout w:type="fixed"/>
          <w:tblLook w:val="04A0"/>
        </w:tblPrEx>
        <w:trPr>
          <w:cantSplit w:val="0"/>
        </w:trPr>
        <w:tc>
          <w:tcPr>
            <w:tcW w:w="5000" w:type="pct"/>
            <w:gridSpan w:val="4"/>
            <w:shd w:val="clear" w:color="auto" w:fill="EEECE1" w:themeFill="background2"/>
          </w:tcPr>
          <w:p w:rsidR="0008621F" w:rsidRPr="0022639B" w:rsidP="00F865AC" w14:paraId="4722A189" w14:textId="59AE75F4">
            <w:pPr>
              <w:pStyle w:val="TX-TableText"/>
              <w:numPr>
                <w:ilvl w:val="0"/>
                <w:numId w:val="46"/>
              </w:numPr>
              <w:rPr>
                <w:rFonts w:ascii="Times New Roman" w:hAnsi="Times New Roman"/>
                <w:b/>
                <w:bCs/>
              </w:rPr>
            </w:pPr>
            <w:r w:rsidRPr="0022639B">
              <w:rPr>
                <w:rFonts w:ascii="Times New Roman" w:hAnsi="Times New Roman"/>
                <w:b/>
                <w:bCs/>
              </w:rPr>
              <w:t xml:space="preserve">Evaluation Question: In providing a set of core HS services, how are HS programs addressing participants needs? </w:t>
            </w:r>
          </w:p>
          <w:p w:rsidR="0008621F" w:rsidRPr="0022639B" w:rsidP="0008621F" w14:paraId="169BE9A0" w14:textId="77777777">
            <w:pPr>
              <w:pStyle w:val="TX-TableText"/>
              <w:rPr>
                <w:rFonts w:ascii="Times New Roman" w:hAnsi="Times New Roman"/>
                <w:b/>
                <w:bCs/>
              </w:rPr>
            </w:pPr>
          </w:p>
        </w:tc>
      </w:tr>
      <w:tr w14:paraId="29E0DC30" w14:textId="77777777" w:rsidTr="0008621F">
        <w:tblPrEx>
          <w:tblW w:w="5150" w:type="pct"/>
          <w:tblInd w:w="-5" w:type="dxa"/>
          <w:tblLayout w:type="fixed"/>
          <w:tblLook w:val="04A0"/>
        </w:tblPrEx>
        <w:trPr>
          <w:cantSplit w:val="0"/>
        </w:trPr>
        <w:tc>
          <w:tcPr>
            <w:tcW w:w="887" w:type="pct"/>
          </w:tcPr>
          <w:p w:rsidR="0008621F" w:rsidRPr="0022639B" w:rsidP="0008621F" w14:paraId="1E624F4A" w14:textId="77777777">
            <w:pPr>
              <w:pStyle w:val="TX-TableText"/>
              <w:rPr>
                <w:rFonts w:ascii="Times New Roman" w:hAnsi="Times New Roman"/>
                <w:b/>
              </w:rPr>
            </w:pPr>
            <w:r>
              <w:rPr>
                <w:rFonts w:ascii="Times New Roman" w:hAnsi="Times New Roman"/>
                <w:b/>
              </w:rPr>
              <w:t>Utilization</w:t>
            </w:r>
          </w:p>
        </w:tc>
        <w:tc>
          <w:tcPr>
            <w:tcW w:w="1356" w:type="pct"/>
          </w:tcPr>
          <w:p w:rsidR="0008621F" w:rsidP="0008621F" w14:paraId="3C888274" w14:textId="2AD623DD">
            <w:pPr>
              <w:pStyle w:val="TX-TableText"/>
              <w:rPr>
                <w:rFonts w:ascii="Times New Roman" w:hAnsi="Times New Roman"/>
              </w:rPr>
            </w:pPr>
            <w:r>
              <w:rPr>
                <w:rFonts w:ascii="Times New Roman" w:hAnsi="Times New Roman"/>
              </w:rPr>
              <w:t>3</w:t>
            </w:r>
            <w:r w:rsidR="009650EE">
              <w:rPr>
                <w:rFonts w:ascii="Times New Roman" w:hAnsi="Times New Roman"/>
              </w:rPr>
              <w:t xml:space="preserve"> </w:t>
            </w:r>
            <w:r>
              <w:rPr>
                <w:rFonts w:ascii="Times New Roman" w:hAnsi="Times New Roman"/>
              </w:rPr>
              <w:t xml:space="preserve">a. </w:t>
            </w:r>
            <w:r w:rsidRPr="00F8658E">
              <w:rPr>
                <w:rFonts w:ascii="Times New Roman" w:hAnsi="Times New Roman"/>
              </w:rPr>
              <w:t xml:space="preserve">What types of HS services does each subgroup use? </w:t>
            </w:r>
          </w:p>
        </w:tc>
        <w:tc>
          <w:tcPr>
            <w:tcW w:w="609" w:type="pct"/>
            <w:shd w:val="clear" w:color="auto" w:fill="FFFFFF" w:themeFill="background1"/>
          </w:tcPr>
          <w:p w:rsidR="0008621F" w:rsidRPr="0022639B" w:rsidP="0008621F" w14:paraId="5C017B4C" w14:textId="0B496EC5">
            <w:pPr>
              <w:pStyle w:val="TX-TableText"/>
              <w:rPr>
                <w:rFonts w:ascii="Times New Roman" w:hAnsi="Times New Roman"/>
              </w:rPr>
            </w:pPr>
            <w:r>
              <w:rPr>
                <w:rFonts w:ascii="Times New Roman" w:hAnsi="Times New Roman"/>
              </w:rPr>
              <w:t xml:space="preserve">HSMED </w:t>
            </w:r>
            <w:r w:rsidRPr="005F26A4">
              <w:rPr>
                <w:rFonts w:ascii="Times New Roman" w:hAnsi="Times New Roman"/>
              </w:rPr>
              <w:t>(</w:t>
            </w:r>
            <w:r w:rsidRPr="005F26A4">
              <w:rPr>
                <w:rFonts w:ascii="Times New Roman" w:hAnsi="Times New Roman"/>
                <w:i/>
              </w:rPr>
              <w:t>secondary data</w:t>
            </w:r>
            <w:r w:rsidRPr="005F26A4">
              <w:rPr>
                <w:rFonts w:ascii="Times New Roman" w:hAnsi="Times New Roman"/>
              </w:rPr>
              <w:t>)</w:t>
            </w:r>
            <w:r w:rsidR="001639D0">
              <w:rPr>
                <w:rFonts w:ascii="Times New Roman" w:hAnsi="Times New Roman"/>
              </w:rPr>
              <w:t xml:space="preserve"> – all 101 grantees</w:t>
            </w:r>
          </w:p>
        </w:tc>
        <w:tc>
          <w:tcPr>
            <w:tcW w:w="2148" w:type="pct"/>
          </w:tcPr>
          <w:p w:rsidR="00E85E11" w:rsidRPr="00E85E11" w:rsidP="00E85E11" w14:paraId="108BF57D" w14:textId="1998F6D2">
            <w:pPr>
              <w:pStyle w:val="TX-TableText"/>
              <w:rPr>
                <w:rFonts w:ascii="Times New Roman" w:hAnsi="Times New Roman"/>
              </w:rPr>
            </w:pPr>
            <w:r w:rsidRPr="00E85E11">
              <w:rPr>
                <w:rFonts w:ascii="Times New Roman" w:hAnsi="Times New Roman"/>
              </w:rPr>
              <w:t>Descriptive statistical analysis</w:t>
            </w:r>
            <w:r>
              <w:rPr>
                <w:rFonts w:ascii="Times New Roman" w:hAnsi="Times New Roman"/>
              </w:rPr>
              <w:t xml:space="preserve"> to identify health services (e.g., usual sources of care, preventive </w:t>
            </w:r>
            <w:r w:rsidR="00FD0A52">
              <w:rPr>
                <w:rFonts w:ascii="Times New Roman" w:hAnsi="Times New Roman"/>
              </w:rPr>
              <w:t xml:space="preserve">care, prenatal/postpartum </w:t>
            </w:r>
            <w:r w:rsidR="00CB488F">
              <w:rPr>
                <w:rFonts w:ascii="Times New Roman" w:hAnsi="Times New Roman"/>
              </w:rPr>
              <w:t>visits</w:t>
            </w:r>
            <w:r w:rsidR="00FD0A52">
              <w:rPr>
                <w:rFonts w:ascii="Times New Roman" w:hAnsi="Times New Roman"/>
              </w:rPr>
              <w:t>, screening and referral</w:t>
            </w:r>
            <w:r w:rsidR="00CB488F">
              <w:rPr>
                <w:rFonts w:ascii="Times New Roman" w:hAnsi="Times New Roman"/>
              </w:rPr>
              <w:t xml:space="preserve"> for depression</w:t>
            </w:r>
            <w:r w:rsidR="00FD0A52">
              <w:rPr>
                <w:rFonts w:ascii="Times New Roman" w:hAnsi="Times New Roman"/>
              </w:rPr>
              <w:t xml:space="preserve">) </w:t>
            </w:r>
            <w:r w:rsidR="000E33F4">
              <w:rPr>
                <w:rFonts w:ascii="Times New Roman" w:hAnsi="Times New Roman"/>
              </w:rPr>
              <w:t>used</w:t>
            </w:r>
            <w:r w:rsidR="00FD0A52">
              <w:rPr>
                <w:rFonts w:ascii="Times New Roman" w:hAnsi="Times New Roman"/>
              </w:rPr>
              <w:t xml:space="preserve"> by HS participants.</w:t>
            </w:r>
          </w:p>
          <w:p w:rsidR="0008621F" w:rsidP="0008621F" w14:paraId="3FE406AC" w14:textId="77777777">
            <w:pPr>
              <w:pStyle w:val="TX-TableText"/>
              <w:rPr>
                <w:rFonts w:ascii="Times New Roman" w:hAnsi="Times New Roman"/>
              </w:rPr>
            </w:pPr>
          </w:p>
        </w:tc>
      </w:tr>
      <w:tr w14:paraId="7F277F24" w14:textId="77777777" w:rsidTr="0008621F">
        <w:tblPrEx>
          <w:tblW w:w="5150" w:type="pct"/>
          <w:tblInd w:w="-5" w:type="dxa"/>
          <w:tblLayout w:type="fixed"/>
          <w:tblLook w:val="04A0"/>
        </w:tblPrEx>
        <w:trPr>
          <w:cantSplit w:val="0"/>
        </w:trPr>
        <w:tc>
          <w:tcPr>
            <w:tcW w:w="887" w:type="pct"/>
            <w:hideMark/>
          </w:tcPr>
          <w:p w:rsidR="0008621F" w:rsidRPr="0022639B" w:rsidP="0008621F" w14:paraId="326BDFE6" w14:textId="77777777">
            <w:pPr>
              <w:pStyle w:val="TX-TableText"/>
              <w:rPr>
                <w:rFonts w:ascii="Times New Roman" w:hAnsi="Times New Roman"/>
              </w:rPr>
            </w:pPr>
            <w:r w:rsidRPr="0022639B">
              <w:rPr>
                <w:rFonts w:ascii="Times New Roman" w:hAnsi="Times New Roman"/>
                <w:b/>
              </w:rPr>
              <w:t>Implementation</w:t>
            </w:r>
          </w:p>
        </w:tc>
        <w:tc>
          <w:tcPr>
            <w:tcW w:w="1356" w:type="pct"/>
            <w:hideMark/>
          </w:tcPr>
          <w:p w:rsidR="0008621F" w:rsidRPr="0022639B" w:rsidP="0008621F" w14:paraId="6F7958D0" w14:textId="5BCDCAE2">
            <w:pPr>
              <w:pStyle w:val="TX-TableText"/>
              <w:rPr>
                <w:rFonts w:ascii="Times New Roman" w:hAnsi="Times New Roman"/>
              </w:rPr>
            </w:pPr>
            <w:r>
              <w:rPr>
                <w:rFonts w:ascii="Times New Roman" w:hAnsi="Times New Roman"/>
              </w:rPr>
              <w:t>3</w:t>
            </w:r>
            <w:r w:rsidR="009650EE">
              <w:rPr>
                <w:rFonts w:ascii="Times New Roman" w:hAnsi="Times New Roman"/>
              </w:rPr>
              <w:t xml:space="preserve"> </w:t>
            </w:r>
            <w:r>
              <w:rPr>
                <w:rFonts w:ascii="Times New Roman" w:hAnsi="Times New Roman"/>
              </w:rPr>
              <w:t xml:space="preserve">b. </w:t>
            </w:r>
            <w:r>
              <w:rPr>
                <w:rFonts w:ascii="Times New Roman" w:hAnsi="Times New Roman"/>
              </w:rPr>
              <w:t>To</w:t>
            </w:r>
            <w:r w:rsidRPr="0022639B">
              <w:rPr>
                <w:rFonts w:ascii="Times New Roman" w:hAnsi="Times New Roman"/>
              </w:rPr>
              <w:t xml:space="preserve"> which services/ programs do HS programs refer and assist participants?</w:t>
            </w:r>
          </w:p>
          <w:p w:rsidR="0008621F" w:rsidRPr="0022639B" w:rsidP="0008621F" w14:paraId="1D5110BC" w14:textId="77777777">
            <w:pPr>
              <w:pStyle w:val="TX-TableText"/>
              <w:rPr>
                <w:rFonts w:ascii="Times New Roman" w:hAnsi="Times New Roman"/>
              </w:rPr>
            </w:pPr>
          </w:p>
          <w:p w:rsidR="0008621F" w:rsidP="0008621F" w14:paraId="49FBC8CC" w14:textId="047EB4DD">
            <w:pPr>
              <w:pStyle w:val="TX-TableText"/>
              <w:rPr>
                <w:rFonts w:ascii="Times New Roman" w:hAnsi="Times New Roman"/>
              </w:rPr>
            </w:pPr>
            <w:r>
              <w:rPr>
                <w:rFonts w:ascii="Times New Roman" w:hAnsi="Times New Roman"/>
              </w:rPr>
              <w:t>3</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 </w:t>
            </w:r>
            <w:r w:rsidRPr="0022639B">
              <w:rPr>
                <w:rFonts w:ascii="Times New Roman" w:hAnsi="Times New Roman"/>
              </w:rPr>
              <w:t xml:space="preserve">To what extent are HS participants enrolled </w:t>
            </w:r>
            <w:r>
              <w:rPr>
                <w:rFonts w:ascii="Times New Roman" w:hAnsi="Times New Roman"/>
              </w:rPr>
              <w:t xml:space="preserve">in </w:t>
            </w:r>
            <w:r w:rsidRPr="0022639B">
              <w:rPr>
                <w:rFonts w:ascii="Times New Roman" w:hAnsi="Times New Roman"/>
              </w:rPr>
              <w:t>services for which they are eligible?</w:t>
            </w:r>
          </w:p>
          <w:p w:rsidR="0008621F" w:rsidRPr="0022639B" w:rsidP="0008621F" w14:paraId="5B532568" w14:textId="77777777">
            <w:pPr>
              <w:pStyle w:val="TX-TableText"/>
              <w:rPr>
                <w:rFonts w:ascii="Times New Roman" w:hAnsi="Times New Roman"/>
              </w:rPr>
            </w:pPr>
          </w:p>
        </w:tc>
        <w:tc>
          <w:tcPr>
            <w:tcW w:w="609" w:type="pct"/>
            <w:shd w:val="clear" w:color="auto" w:fill="FFFFFF" w:themeFill="background1"/>
          </w:tcPr>
          <w:p w:rsidR="0008621F" w:rsidRPr="0022639B" w:rsidP="0008621F" w14:paraId="1FCEE4D2" w14:textId="292C170A">
            <w:pPr>
              <w:pStyle w:val="TX-TableText"/>
              <w:rPr>
                <w:rFonts w:ascii="Times New Roman" w:hAnsi="Times New Roman"/>
              </w:rPr>
            </w:pPr>
            <w:r w:rsidRPr="0022639B">
              <w:rPr>
                <w:rFonts w:ascii="Times New Roman" w:hAnsi="Times New Roman"/>
              </w:rPr>
              <w:t>Program Survey</w:t>
            </w:r>
            <w:r w:rsidR="008E5B78">
              <w:rPr>
                <w:rFonts w:ascii="Times New Roman" w:hAnsi="Times New Roman"/>
              </w:rPr>
              <w:t xml:space="preserve"> – all 101 grantees</w:t>
            </w:r>
          </w:p>
          <w:p w:rsidR="0008621F" w:rsidRPr="0022639B" w:rsidP="0008621F" w14:paraId="5F2CFE31" w14:textId="77777777">
            <w:pPr>
              <w:pStyle w:val="TX-TableText"/>
              <w:rPr>
                <w:rFonts w:ascii="Times New Roman" w:hAnsi="Times New Roman"/>
              </w:rPr>
            </w:pPr>
          </w:p>
          <w:p w:rsidR="0008621F" w:rsidRPr="0022639B" w:rsidP="0008621F" w14:paraId="5C207697" w14:textId="4118A41E">
            <w:pPr>
              <w:pStyle w:val="TX-TableText"/>
              <w:rPr>
                <w:rFonts w:ascii="Times New Roman" w:hAnsi="Times New Roman"/>
              </w:rPr>
            </w:pPr>
            <w:r w:rsidRPr="0022639B">
              <w:rPr>
                <w:rFonts w:ascii="Times New Roman" w:hAnsi="Times New Roman"/>
              </w:rPr>
              <w:t xml:space="preserve">Participant Survey </w:t>
            </w:r>
            <w:r w:rsidR="008E5B78">
              <w:rPr>
                <w:rFonts w:ascii="Times New Roman" w:hAnsi="Times New Roman"/>
              </w:rPr>
              <w:t>– up to 15 grantees</w:t>
            </w:r>
          </w:p>
          <w:p w:rsidR="0008621F" w:rsidRPr="0022639B" w:rsidP="0008621F" w14:paraId="6472620F" w14:textId="77777777">
            <w:pPr>
              <w:pStyle w:val="TX-TableText"/>
              <w:rPr>
                <w:rFonts w:ascii="Times New Roman" w:hAnsi="Times New Roman"/>
              </w:rPr>
            </w:pPr>
          </w:p>
          <w:p w:rsidR="0008621F" w:rsidRPr="0022639B" w:rsidP="0008621F" w14:paraId="1328C62C" w14:textId="77777777">
            <w:pPr>
              <w:pStyle w:val="TX-TableText"/>
              <w:rPr>
                <w:rFonts w:ascii="Times New Roman" w:hAnsi="Times New Roman"/>
              </w:rPr>
            </w:pPr>
          </w:p>
        </w:tc>
        <w:tc>
          <w:tcPr>
            <w:tcW w:w="2148" w:type="pct"/>
          </w:tcPr>
          <w:p w:rsidR="0008621F" w:rsidP="0008621F" w14:paraId="1E474EF8" w14:textId="77777777">
            <w:pPr>
              <w:pStyle w:val="TX-TableText"/>
              <w:rPr>
                <w:rFonts w:ascii="Times New Roman" w:hAnsi="Times New Roman"/>
              </w:rPr>
            </w:pPr>
            <w:r>
              <w:rPr>
                <w:rFonts w:ascii="Times New Roman" w:hAnsi="Times New Roman"/>
              </w:rPr>
              <w:t>D</w:t>
            </w:r>
            <w:r w:rsidRPr="0022639B">
              <w:rPr>
                <w:rFonts w:ascii="Times New Roman" w:hAnsi="Times New Roman"/>
              </w:rPr>
              <w:t>escriptive statistic</w:t>
            </w:r>
            <w:r>
              <w:rPr>
                <w:rFonts w:ascii="Times New Roman" w:hAnsi="Times New Roman"/>
              </w:rPr>
              <w:t xml:space="preserve">al analysis of the data from each of the surveys to examine the types of services to which the Healthy Start programs refer and assist participants, and the extent to which participants enroll in services for which they are eligible </w:t>
            </w:r>
            <w:r w:rsidRPr="00F4165A">
              <w:rPr>
                <w:rFonts w:ascii="Times New Roman" w:hAnsi="Times New Roman"/>
              </w:rPr>
              <w:t xml:space="preserve">(e.g., behavioral health, housing, WIC, employment)? </w:t>
            </w:r>
          </w:p>
          <w:p w:rsidR="0008621F" w:rsidRPr="0022639B" w:rsidP="0008621F" w14:paraId="30AD306C" w14:textId="77777777">
            <w:pPr>
              <w:pStyle w:val="TX-TableText"/>
              <w:rPr>
                <w:rFonts w:ascii="Times New Roman" w:hAnsi="Times New Roman"/>
              </w:rPr>
            </w:pPr>
          </w:p>
        </w:tc>
      </w:tr>
      <w:tr w14:paraId="625AB144" w14:textId="77777777" w:rsidTr="0008621F">
        <w:tblPrEx>
          <w:tblW w:w="5150" w:type="pct"/>
          <w:tblInd w:w="-5" w:type="dxa"/>
          <w:tblLayout w:type="fixed"/>
          <w:tblLook w:val="04A0"/>
        </w:tblPrEx>
        <w:trPr>
          <w:cantSplit w:val="0"/>
        </w:trPr>
        <w:tc>
          <w:tcPr>
            <w:tcW w:w="5000" w:type="pct"/>
            <w:gridSpan w:val="4"/>
            <w:shd w:val="clear" w:color="auto" w:fill="EEECE1" w:themeFill="background2"/>
            <w:vAlign w:val="center"/>
          </w:tcPr>
          <w:p w:rsidR="0008621F" w:rsidRPr="0022639B" w:rsidP="00F865AC" w14:paraId="2945751A" w14:textId="3E2E3FD5">
            <w:pPr>
              <w:pStyle w:val="TX-TableText"/>
              <w:numPr>
                <w:ilvl w:val="0"/>
                <w:numId w:val="46"/>
              </w:numPr>
              <w:rPr>
                <w:rFonts w:ascii="Times New Roman" w:hAnsi="Times New Roman"/>
                <w:b/>
                <w:bCs/>
              </w:rPr>
            </w:pPr>
            <w:r w:rsidRPr="0022639B">
              <w:rPr>
                <w:rFonts w:ascii="Times New Roman" w:hAnsi="Times New Roman"/>
                <w:b/>
                <w:bCs/>
              </w:rPr>
              <w:t xml:space="preserve">Evaluation Question: </w:t>
            </w:r>
            <w:r>
              <w:rPr>
                <w:rFonts w:ascii="Times New Roman" w:hAnsi="Times New Roman"/>
                <w:b/>
                <w:bCs/>
              </w:rPr>
              <w:t xml:space="preserve">To what extent are HS programs meeting HS benchmarks? </w:t>
            </w:r>
            <w:r w:rsidRPr="0022639B">
              <w:rPr>
                <w:rFonts w:ascii="Times New Roman" w:hAnsi="Times New Roman"/>
                <w:b/>
                <w:bCs/>
              </w:rPr>
              <w:t xml:space="preserve">What activities are associated with improving HS benchmarks? </w:t>
            </w:r>
          </w:p>
          <w:p w:rsidR="0008621F" w:rsidRPr="0022639B" w:rsidP="0008621F" w14:paraId="68AA2502" w14:textId="77777777">
            <w:pPr>
              <w:pStyle w:val="TX-TableText"/>
              <w:rPr>
                <w:rFonts w:ascii="Times New Roman" w:hAnsi="Times New Roman"/>
              </w:rPr>
            </w:pPr>
            <w:r w:rsidRPr="0022639B">
              <w:rPr>
                <w:rFonts w:ascii="Times New Roman" w:hAnsi="Times New Roman"/>
              </w:rPr>
              <w:t xml:space="preserve"> </w:t>
            </w:r>
          </w:p>
        </w:tc>
      </w:tr>
      <w:tr w14:paraId="491A6727" w14:textId="77777777" w:rsidTr="0008621F">
        <w:tblPrEx>
          <w:tblW w:w="5150" w:type="pct"/>
          <w:tblInd w:w="-5" w:type="dxa"/>
          <w:tblLayout w:type="fixed"/>
          <w:tblLook w:val="04A0"/>
        </w:tblPrEx>
        <w:trPr>
          <w:cantSplit w:val="0"/>
          <w:trHeight w:val="908"/>
        </w:trPr>
        <w:tc>
          <w:tcPr>
            <w:tcW w:w="887" w:type="pct"/>
            <w:vAlign w:val="center"/>
          </w:tcPr>
          <w:p w:rsidR="0008621F" w:rsidRPr="0022639B" w:rsidP="0008621F" w14:paraId="4C4F5AFD" w14:textId="77777777">
            <w:pPr>
              <w:pStyle w:val="TX-TableText"/>
              <w:rPr>
                <w:rFonts w:ascii="Times New Roman" w:hAnsi="Times New Roman"/>
                <w:b/>
              </w:rPr>
            </w:pPr>
            <w:r>
              <w:rPr>
                <w:rFonts w:ascii="Times New Roman" w:hAnsi="Times New Roman"/>
                <w:b/>
              </w:rPr>
              <w:t>Implementation (performance measures)</w:t>
            </w:r>
          </w:p>
        </w:tc>
        <w:tc>
          <w:tcPr>
            <w:tcW w:w="1356" w:type="pct"/>
          </w:tcPr>
          <w:p w:rsidR="0008621F" w:rsidRPr="0022639B" w:rsidP="0008621F" w14:paraId="1B627B39" w14:textId="19675668">
            <w:pPr>
              <w:pStyle w:val="TX-TableText"/>
              <w:rPr>
                <w:rFonts w:ascii="Times New Roman" w:hAnsi="Times New Roman"/>
              </w:rPr>
            </w:pPr>
            <w:r>
              <w:rPr>
                <w:rFonts w:ascii="Times New Roman" w:hAnsi="Times New Roman"/>
              </w:rPr>
              <w:t>4</w:t>
            </w:r>
            <w:r w:rsidR="009650EE">
              <w:rPr>
                <w:rFonts w:ascii="Times New Roman" w:hAnsi="Times New Roman"/>
              </w:rPr>
              <w:t xml:space="preserve"> </w:t>
            </w:r>
            <w:r>
              <w:rPr>
                <w:rFonts w:ascii="Times New Roman" w:hAnsi="Times New Roman"/>
              </w:rPr>
              <w:t xml:space="preserve">a. </w:t>
            </w:r>
            <w:r>
              <w:rPr>
                <w:rFonts w:ascii="Times New Roman" w:hAnsi="Times New Roman"/>
              </w:rPr>
              <w:t>To what extent do HS grantees reach all the national program benchmarks?</w:t>
            </w:r>
          </w:p>
        </w:tc>
        <w:tc>
          <w:tcPr>
            <w:tcW w:w="609" w:type="pct"/>
          </w:tcPr>
          <w:p w:rsidR="0008621F" w:rsidRPr="00643F82" w:rsidP="0008621F" w14:paraId="2C1DEEFC" w14:textId="18BE9028">
            <w:pPr>
              <w:pStyle w:val="TX-TableText"/>
              <w:rPr>
                <w:rFonts w:ascii="Times New Roman" w:hAnsi="Times New Roman"/>
              </w:rPr>
            </w:pPr>
            <w:r>
              <w:rPr>
                <w:rFonts w:ascii="Times New Roman" w:hAnsi="Times New Roman"/>
              </w:rPr>
              <w:t>DGIS (</w:t>
            </w:r>
            <w:r w:rsidRPr="00F8658E">
              <w:rPr>
                <w:rFonts w:ascii="Times New Roman" w:hAnsi="Times New Roman"/>
                <w:i/>
              </w:rPr>
              <w:t>secondary data</w:t>
            </w:r>
            <w:r>
              <w:rPr>
                <w:rFonts w:ascii="Times New Roman" w:hAnsi="Times New Roman"/>
              </w:rPr>
              <w:t>)</w:t>
            </w:r>
            <w:r w:rsidR="008E5B78">
              <w:rPr>
                <w:rFonts w:ascii="Times New Roman" w:hAnsi="Times New Roman"/>
              </w:rPr>
              <w:t xml:space="preserve"> – all 101 grantees</w:t>
            </w:r>
          </w:p>
        </w:tc>
        <w:tc>
          <w:tcPr>
            <w:tcW w:w="2148" w:type="pct"/>
          </w:tcPr>
          <w:p w:rsidR="0008621F" w:rsidRPr="00643F82" w:rsidP="0008621F" w14:paraId="1365F2A5" w14:textId="77777777">
            <w:pPr>
              <w:pStyle w:val="TX-TableText"/>
              <w:rPr>
                <w:rFonts w:ascii="Times New Roman" w:hAnsi="Times New Roman"/>
                <w:bCs/>
              </w:rPr>
            </w:pPr>
            <w:r>
              <w:rPr>
                <w:rFonts w:ascii="Times New Roman" w:hAnsi="Times New Roman"/>
                <w:bCs/>
              </w:rPr>
              <w:t>Descriptive statistical analysis of secondary data to identify annual benchmarks met/not met by grantees.</w:t>
            </w:r>
          </w:p>
        </w:tc>
      </w:tr>
      <w:tr w14:paraId="3D1C1697" w14:textId="77777777" w:rsidTr="0008621F">
        <w:tblPrEx>
          <w:tblW w:w="5150" w:type="pct"/>
          <w:tblInd w:w="-5" w:type="dxa"/>
          <w:tblLayout w:type="fixed"/>
          <w:tblLook w:val="04A0"/>
        </w:tblPrEx>
        <w:trPr>
          <w:cantSplit w:val="0"/>
          <w:trHeight w:val="908"/>
        </w:trPr>
        <w:tc>
          <w:tcPr>
            <w:tcW w:w="887" w:type="pct"/>
            <w:vAlign w:val="center"/>
          </w:tcPr>
          <w:p w:rsidR="0008621F" w:rsidRPr="0022639B" w:rsidP="0008621F" w14:paraId="14F41A63" w14:textId="77777777">
            <w:pPr>
              <w:pStyle w:val="TX-TableText"/>
              <w:rPr>
                <w:rFonts w:ascii="Times New Roman" w:hAnsi="Times New Roman"/>
                <w:b/>
              </w:rPr>
            </w:pPr>
            <w:r w:rsidRPr="0022639B">
              <w:rPr>
                <w:rFonts w:ascii="Times New Roman" w:hAnsi="Times New Roman"/>
                <w:b/>
              </w:rPr>
              <w:t xml:space="preserve">Implementation </w:t>
            </w:r>
          </w:p>
        </w:tc>
        <w:tc>
          <w:tcPr>
            <w:tcW w:w="1356" w:type="pct"/>
          </w:tcPr>
          <w:p w:rsidR="0008621F" w:rsidRPr="0022639B" w:rsidP="0008621F" w14:paraId="73A50BEC" w14:textId="403EAEC5">
            <w:pPr>
              <w:pStyle w:val="TX-TableText"/>
              <w:rPr>
                <w:rFonts w:ascii="Times New Roman" w:hAnsi="Times New Roman"/>
              </w:rPr>
            </w:pPr>
            <w:r>
              <w:rPr>
                <w:rFonts w:ascii="Times New Roman" w:hAnsi="Times New Roman"/>
              </w:rPr>
              <w:t>4</w:t>
            </w:r>
            <w:r w:rsidR="009650EE">
              <w:rPr>
                <w:rFonts w:ascii="Times New Roman" w:hAnsi="Times New Roman"/>
              </w:rPr>
              <w:t xml:space="preserve"> </w:t>
            </w:r>
            <w:r>
              <w:rPr>
                <w:rFonts w:ascii="Times New Roman" w:hAnsi="Times New Roman"/>
              </w:rPr>
              <w:t xml:space="preserve">b. </w:t>
            </w:r>
            <w:r w:rsidRPr="0022639B">
              <w:rPr>
                <w:rFonts w:ascii="Times New Roman" w:hAnsi="Times New Roman"/>
              </w:rPr>
              <w:t>What are the barriers/challenges to implementing program activities?</w:t>
            </w:r>
          </w:p>
          <w:p w:rsidR="0008621F" w:rsidRPr="0022639B" w:rsidP="0008621F" w14:paraId="1DC75346" w14:textId="77777777">
            <w:pPr>
              <w:pStyle w:val="TX-TableText"/>
              <w:rPr>
                <w:rFonts w:ascii="Times New Roman" w:hAnsi="Times New Roman"/>
              </w:rPr>
            </w:pPr>
          </w:p>
          <w:p w:rsidR="0008621F" w:rsidRPr="0022639B" w:rsidP="0008621F" w14:paraId="02D265B2" w14:textId="15C9B942">
            <w:pPr>
              <w:pStyle w:val="TX-TableText"/>
              <w:rPr>
                <w:rFonts w:ascii="Times New Roman" w:hAnsi="Times New Roman"/>
              </w:rPr>
            </w:pPr>
            <w:r>
              <w:rPr>
                <w:rFonts w:ascii="Times New Roman" w:hAnsi="Times New Roman"/>
              </w:rPr>
              <w:t>4</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 </w:t>
            </w:r>
            <w:r w:rsidRPr="0022639B">
              <w:rPr>
                <w:rFonts w:ascii="Times New Roman" w:hAnsi="Times New Roman"/>
              </w:rPr>
              <w:t>What are the challenges for specific targeted initiatives</w:t>
            </w:r>
            <w:r>
              <w:rPr>
                <w:rFonts w:ascii="Times New Roman" w:hAnsi="Times New Roman"/>
              </w:rPr>
              <w:t xml:space="preserve">? </w:t>
            </w:r>
          </w:p>
        </w:tc>
        <w:tc>
          <w:tcPr>
            <w:tcW w:w="609" w:type="pct"/>
          </w:tcPr>
          <w:p w:rsidR="0008621F" w:rsidRPr="00643F82" w:rsidP="0008621F" w14:paraId="5C941928" w14:textId="69AE2491">
            <w:pPr>
              <w:pStyle w:val="TX-TableText"/>
              <w:rPr>
                <w:rFonts w:ascii="Times New Roman" w:hAnsi="Times New Roman"/>
              </w:rPr>
            </w:pPr>
            <w:r w:rsidRPr="00643F82">
              <w:rPr>
                <w:rFonts w:ascii="Times New Roman" w:hAnsi="Times New Roman"/>
              </w:rPr>
              <w:t>Program Survey</w:t>
            </w:r>
            <w:r w:rsidR="00CD2910">
              <w:rPr>
                <w:rFonts w:ascii="Times New Roman" w:hAnsi="Times New Roman"/>
              </w:rPr>
              <w:t xml:space="preserve"> – all 101 grantees</w:t>
            </w:r>
          </w:p>
          <w:p w:rsidR="0008621F" w:rsidRPr="00643F82" w:rsidP="0008621F" w14:paraId="3895F5EA" w14:textId="77777777">
            <w:pPr>
              <w:pStyle w:val="TX-TableText"/>
              <w:rPr>
                <w:rFonts w:ascii="Times New Roman" w:hAnsi="Times New Roman"/>
              </w:rPr>
            </w:pPr>
          </w:p>
          <w:p w:rsidR="0008621F" w:rsidRPr="00643F82" w:rsidP="0008621F" w14:paraId="6C07EF71" w14:textId="62D1752E">
            <w:pPr>
              <w:pStyle w:val="TX-TableText"/>
              <w:rPr>
                <w:rFonts w:ascii="Times New Roman" w:hAnsi="Times New Roman"/>
              </w:rPr>
            </w:pPr>
            <w:r w:rsidRPr="00643F82">
              <w:rPr>
                <w:rFonts w:ascii="Times New Roman" w:hAnsi="Times New Roman"/>
              </w:rPr>
              <w:t>Participant Survey</w:t>
            </w:r>
            <w:r w:rsidR="00CD2910">
              <w:rPr>
                <w:rFonts w:ascii="Times New Roman" w:hAnsi="Times New Roman"/>
              </w:rPr>
              <w:t xml:space="preserve"> – up to 15 grantees</w:t>
            </w:r>
          </w:p>
          <w:p w:rsidR="0008621F" w:rsidRPr="00643F82" w:rsidP="0008621F" w14:paraId="0779AF4D" w14:textId="77777777">
            <w:pPr>
              <w:pStyle w:val="TX-TableText"/>
              <w:rPr>
                <w:rFonts w:ascii="Times New Roman" w:hAnsi="Times New Roman"/>
              </w:rPr>
            </w:pPr>
          </w:p>
          <w:p w:rsidR="0008621F" w:rsidRPr="00643F82" w:rsidP="0008621F" w14:paraId="6246CA27" w14:textId="47CB856D">
            <w:pPr>
              <w:pStyle w:val="TX-TableText"/>
              <w:rPr>
                <w:rFonts w:ascii="Times New Roman" w:hAnsi="Times New Roman"/>
              </w:rPr>
            </w:pPr>
            <w:r w:rsidRPr="00643F82">
              <w:rPr>
                <w:rFonts w:ascii="Times New Roman" w:hAnsi="Times New Roman"/>
              </w:rPr>
              <w:t xml:space="preserve">Stakeholder Interviews </w:t>
            </w:r>
            <w:r w:rsidR="00CD2910">
              <w:rPr>
                <w:rFonts w:ascii="Times New Roman" w:hAnsi="Times New Roman"/>
              </w:rPr>
              <w:t>– up to 15 grantees</w:t>
            </w:r>
          </w:p>
        </w:tc>
        <w:tc>
          <w:tcPr>
            <w:tcW w:w="2148" w:type="pct"/>
          </w:tcPr>
          <w:p w:rsidR="0008621F" w:rsidP="0008621F" w14:paraId="50C62850" w14:textId="77777777">
            <w:pPr>
              <w:pStyle w:val="TX-TableText"/>
              <w:rPr>
                <w:rFonts w:ascii="Times New Roman" w:hAnsi="Times New Roman"/>
                <w:bCs/>
              </w:rPr>
            </w:pPr>
            <w:r w:rsidRPr="00643F82">
              <w:rPr>
                <w:rFonts w:ascii="Times New Roman" w:hAnsi="Times New Roman"/>
                <w:bCs/>
              </w:rPr>
              <w:t xml:space="preserve">Descriptive statistical analysis </w:t>
            </w:r>
            <w:r>
              <w:rPr>
                <w:rFonts w:ascii="Times New Roman" w:hAnsi="Times New Roman"/>
                <w:bCs/>
              </w:rPr>
              <w:t xml:space="preserve">of data from each of the surveys </w:t>
            </w:r>
            <w:r w:rsidRPr="00643F82">
              <w:rPr>
                <w:rFonts w:ascii="Times New Roman" w:hAnsi="Times New Roman"/>
                <w:bCs/>
              </w:rPr>
              <w:t xml:space="preserve">to identify </w:t>
            </w:r>
            <w:r>
              <w:rPr>
                <w:rFonts w:ascii="Times New Roman" w:hAnsi="Times New Roman"/>
                <w:bCs/>
              </w:rPr>
              <w:t xml:space="preserve">the </w:t>
            </w:r>
            <w:r w:rsidRPr="00643F82">
              <w:rPr>
                <w:rFonts w:ascii="Times New Roman" w:hAnsi="Times New Roman"/>
                <w:bCs/>
              </w:rPr>
              <w:t>barriers/challenges to implementing program activities</w:t>
            </w:r>
            <w:r>
              <w:rPr>
                <w:rFonts w:ascii="Times New Roman" w:hAnsi="Times New Roman"/>
                <w:bCs/>
              </w:rPr>
              <w:t>.</w:t>
            </w:r>
          </w:p>
          <w:p w:rsidR="0008621F" w:rsidP="0008621F" w14:paraId="5D055F5A" w14:textId="77777777">
            <w:pPr>
              <w:pStyle w:val="TX-TableText"/>
              <w:rPr>
                <w:rFonts w:ascii="Times New Roman" w:hAnsi="Times New Roman"/>
                <w:bCs/>
              </w:rPr>
            </w:pPr>
          </w:p>
          <w:p w:rsidR="0008621F" w:rsidRPr="00643F82" w:rsidP="0008621F" w14:paraId="3227D4D1" w14:textId="77777777">
            <w:pPr>
              <w:pStyle w:val="TX-TableText"/>
              <w:rPr>
                <w:rFonts w:ascii="Times New Roman" w:hAnsi="Times New Roman"/>
              </w:rPr>
            </w:pPr>
            <w:r>
              <w:rPr>
                <w:rFonts w:ascii="Times New Roman" w:hAnsi="Times New Roman"/>
                <w:bCs/>
              </w:rPr>
              <w:t>Content analysis of interview data to examine</w:t>
            </w:r>
            <w:r w:rsidRPr="00643F82">
              <w:rPr>
                <w:rFonts w:ascii="Times New Roman" w:hAnsi="Times New Roman"/>
                <w:bCs/>
              </w:rPr>
              <w:t xml:space="preserve"> the specific challenges/barriers for targeted initiatives</w:t>
            </w:r>
            <w:r>
              <w:rPr>
                <w:rFonts w:ascii="Times New Roman" w:hAnsi="Times New Roman"/>
                <w:bCs/>
              </w:rPr>
              <w:t xml:space="preserve"> (</w:t>
            </w:r>
            <w:r w:rsidRPr="00F4165A">
              <w:rPr>
                <w:rFonts w:ascii="Times New Roman" w:hAnsi="Times New Roman"/>
                <w:bCs/>
              </w:rPr>
              <w:t>e.g., fatherhood initiative, maternal health, Community Action Network (CAN)</w:t>
            </w:r>
            <w:r>
              <w:rPr>
                <w:rFonts w:ascii="Times New Roman" w:hAnsi="Times New Roman"/>
                <w:bCs/>
              </w:rPr>
              <w:t>)</w:t>
            </w:r>
            <w:r w:rsidRPr="00643F82">
              <w:rPr>
                <w:rFonts w:ascii="Times New Roman" w:hAnsi="Times New Roman"/>
                <w:bCs/>
              </w:rPr>
              <w:t xml:space="preserve"> and other barriers/challenges identified in open-ended questions.</w:t>
            </w:r>
          </w:p>
        </w:tc>
      </w:tr>
      <w:tr w14:paraId="6B642E4E" w14:textId="77777777" w:rsidTr="0008621F">
        <w:tblPrEx>
          <w:tblW w:w="5150" w:type="pct"/>
          <w:tblInd w:w="-5" w:type="dxa"/>
          <w:tblLayout w:type="fixed"/>
          <w:tblLook w:val="04A0"/>
        </w:tblPrEx>
        <w:trPr>
          <w:cantSplit w:val="0"/>
        </w:trPr>
        <w:tc>
          <w:tcPr>
            <w:tcW w:w="887" w:type="pct"/>
            <w:vAlign w:val="center"/>
          </w:tcPr>
          <w:p w:rsidR="0008621F" w:rsidRPr="0022639B" w:rsidP="0008621F" w14:paraId="799B6F53" w14:textId="77777777">
            <w:pPr>
              <w:pStyle w:val="TX-TableText"/>
              <w:rPr>
                <w:rFonts w:ascii="Times New Roman" w:hAnsi="Times New Roman"/>
                <w:b/>
              </w:rPr>
            </w:pPr>
            <w:r w:rsidRPr="0022639B">
              <w:rPr>
                <w:rFonts w:ascii="Times New Roman" w:hAnsi="Times New Roman"/>
                <w:b/>
              </w:rPr>
              <w:t>Implementation</w:t>
            </w:r>
          </w:p>
        </w:tc>
        <w:tc>
          <w:tcPr>
            <w:tcW w:w="1356" w:type="pct"/>
          </w:tcPr>
          <w:p w:rsidR="0008621F" w:rsidP="0008621F" w14:paraId="5B0AC680" w14:textId="33756BB5">
            <w:pPr>
              <w:pStyle w:val="TX-TableText"/>
              <w:rPr>
                <w:rFonts w:ascii="Times New Roman" w:hAnsi="Times New Roman"/>
              </w:rPr>
            </w:pPr>
            <w:r>
              <w:rPr>
                <w:rFonts w:ascii="Times New Roman" w:hAnsi="Times New Roman"/>
              </w:rPr>
              <w:t>4</w:t>
            </w:r>
            <w:r w:rsidR="009650EE">
              <w:rPr>
                <w:rFonts w:ascii="Times New Roman" w:hAnsi="Times New Roman"/>
              </w:rPr>
              <w:t xml:space="preserve"> </w:t>
            </w:r>
            <w:r>
              <w:rPr>
                <w:rFonts w:ascii="Times New Roman" w:hAnsi="Times New Roman"/>
              </w:rPr>
              <w:t xml:space="preserve">c. </w:t>
            </w:r>
            <w:r w:rsidRPr="0022639B">
              <w:rPr>
                <w:rFonts w:ascii="Times New Roman" w:hAnsi="Times New Roman"/>
              </w:rPr>
              <w:t>What specific activities, including quality improvement, did HS programs conduct to improve benchmarks overall and for each specific benchmark?</w:t>
            </w:r>
          </w:p>
          <w:p w:rsidR="0008621F" w:rsidRPr="0022639B" w:rsidP="0008621F" w14:paraId="476E0660" w14:textId="77777777">
            <w:pPr>
              <w:pStyle w:val="TX-TableText"/>
              <w:rPr>
                <w:rFonts w:ascii="Times New Roman" w:hAnsi="Times New Roman"/>
              </w:rPr>
            </w:pPr>
          </w:p>
        </w:tc>
        <w:tc>
          <w:tcPr>
            <w:tcW w:w="609" w:type="pct"/>
          </w:tcPr>
          <w:p w:rsidR="0008621F" w:rsidP="0008621F" w14:paraId="62F75D9A" w14:textId="7D67D830">
            <w:pPr>
              <w:pStyle w:val="TX-TableText"/>
              <w:rPr>
                <w:rFonts w:ascii="Times New Roman" w:hAnsi="Times New Roman"/>
              </w:rPr>
            </w:pPr>
            <w:r>
              <w:rPr>
                <w:rFonts w:ascii="Times New Roman" w:hAnsi="Times New Roman"/>
              </w:rPr>
              <w:t xml:space="preserve">Program Survey </w:t>
            </w:r>
            <w:r w:rsidR="00CD2910">
              <w:rPr>
                <w:rFonts w:ascii="Times New Roman" w:hAnsi="Times New Roman"/>
              </w:rPr>
              <w:t>– all 101 grantees</w:t>
            </w:r>
          </w:p>
          <w:p w:rsidR="0008621F" w:rsidP="0008621F" w14:paraId="46CEB6C9" w14:textId="77777777">
            <w:pPr>
              <w:pStyle w:val="TX-TableText"/>
              <w:rPr>
                <w:rFonts w:ascii="Times New Roman" w:hAnsi="Times New Roman"/>
              </w:rPr>
            </w:pPr>
          </w:p>
          <w:p w:rsidR="0008621F" w:rsidRPr="0022639B" w:rsidP="0008621F" w14:paraId="03470EB2" w14:textId="56A4F338">
            <w:pPr>
              <w:pStyle w:val="TX-TableText"/>
              <w:rPr>
                <w:rFonts w:ascii="Times New Roman" w:hAnsi="Times New Roman"/>
              </w:rPr>
            </w:pPr>
            <w:r w:rsidRPr="009E62CA">
              <w:rPr>
                <w:rFonts w:ascii="Times New Roman" w:hAnsi="Times New Roman"/>
              </w:rPr>
              <w:t>Stakeholder Interviews</w:t>
            </w:r>
            <w:r w:rsidR="00CD2910">
              <w:rPr>
                <w:rFonts w:ascii="Times New Roman" w:hAnsi="Times New Roman"/>
              </w:rPr>
              <w:t xml:space="preserve"> </w:t>
            </w:r>
            <w:r w:rsidR="00CD2910">
              <w:rPr>
                <w:rFonts w:ascii="Times New Roman" w:hAnsi="Times New Roman"/>
              </w:rPr>
              <w:t>– up to 15 grantees</w:t>
            </w:r>
          </w:p>
        </w:tc>
        <w:tc>
          <w:tcPr>
            <w:tcW w:w="2148" w:type="pct"/>
          </w:tcPr>
          <w:p w:rsidR="0008621F" w:rsidP="0008621F" w14:paraId="580B75B0" w14:textId="77777777">
            <w:pPr>
              <w:pStyle w:val="TX-TableText"/>
              <w:rPr>
                <w:rFonts w:ascii="Times New Roman" w:hAnsi="Times New Roman"/>
              </w:rPr>
            </w:pPr>
            <w:r w:rsidRPr="009E62CA">
              <w:rPr>
                <w:rFonts w:ascii="Times New Roman" w:hAnsi="Times New Roman"/>
              </w:rPr>
              <w:t>Descriptive statistical analysis</w:t>
            </w:r>
            <w:r>
              <w:rPr>
                <w:rFonts w:ascii="Times New Roman" w:hAnsi="Times New Roman"/>
              </w:rPr>
              <w:t xml:space="preserve"> of data from the survey </w:t>
            </w:r>
            <w:r w:rsidRPr="009E62CA">
              <w:rPr>
                <w:rFonts w:ascii="Times New Roman" w:hAnsi="Times New Roman"/>
              </w:rPr>
              <w:t>to identify and rank (by how well they work) the activities conducted to improve the HS benchmark</w:t>
            </w:r>
            <w:r>
              <w:rPr>
                <w:rFonts w:ascii="Times New Roman" w:hAnsi="Times New Roman"/>
              </w:rPr>
              <w:t>s overall.</w:t>
            </w:r>
          </w:p>
          <w:p w:rsidR="0008621F" w:rsidP="0008621F" w14:paraId="4AAED587" w14:textId="77777777">
            <w:pPr>
              <w:pStyle w:val="TX-TableText"/>
              <w:rPr>
                <w:rFonts w:ascii="Times New Roman" w:hAnsi="Times New Roman"/>
              </w:rPr>
            </w:pPr>
          </w:p>
          <w:p w:rsidR="0008621F" w:rsidP="0008621F" w14:paraId="30427ECD" w14:textId="77777777">
            <w:pPr>
              <w:pStyle w:val="TX-TableText"/>
              <w:rPr>
                <w:rFonts w:ascii="Times New Roman" w:hAnsi="Times New Roman"/>
              </w:rPr>
            </w:pPr>
            <w:r>
              <w:rPr>
                <w:rFonts w:ascii="Times New Roman" w:hAnsi="Times New Roman"/>
              </w:rPr>
              <w:t xml:space="preserve">Content analysis of interview data to examine activities that worked well to improve specific </w:t>
            </w:r>
            <w:r w:rsidRPr="009E62CA">
              <w:rPr>
                <w:rFonts w:ascii="Times New Roman" w:hAnsi="Times New Roman"/>
              </w:rPr>
              <w:t>benchmark</w:t>
            </w:r>
            <w:r>
              <w:rPr>
                <w:rFonts w:ascii="Times New Roman" w:hAnsi="Times New Roman"/>
              </w:rPr>
              <w:t>s</w:t>
            </w:r>
            <w:r w:rsidRPr="009E62CA">
              <w:rPr>
                <w:rFonts w:ascii="Times New Roman" w:hAnsi="Times New Roman"/>
              </w:rPr>
              <w:t>.</w:t>
            </w:r>
            <w:r>
              <w:rPr>
                <w:rFonts w:ascii="Times New Roman" w:hAnsi="Times New Roman"/>
              </w:rPr>
              <w:t xml:space="preserve"> </w:t>
            </w:r>
          </w:p>
          <w:p w:rsidR="0008621F" w:rsidRPr="00A65B2C" w:rsidP="0008621F" w14:paraId="02074163" w14:textId="77777777">
            <w:pPr>
              <w:pStyle w:val="TX-TableText"/>
              <w:rPr>
                <w:rFonts w:ascii="Times New Roman" w:hAnsi="Times New Roman"/>
                <w:bCs/>
              </w:rPr>
            </w:pPr>
          </w:p>
        </w:tc>
      </w:tr>
      <w:tr w14:paraId="060CA179" w14:textId="77777777" w:rsidTr="0008621F">
        <w:tblPrEx>
          <w:tblW w:w="5150" w:type="pct"/>
          <w:tblInd w:w="-5" w:type="dxa"/>
          <w:tblLayout w:type="fixed"/>
          <w:tblLook w:val="04A0"/>
        </w:tblPrEx>
        <w:trPr>
          <w:cantSplit w:val="0"/>
        </w:trPr>
        <w:tc>
          <w:tcPr>
            <w:tcW w:w="5000" w:type="pct"/>
            <w:gridSpan w:val="4"/>
            <w:shd w:val="clear" w:color="auto" w:fill="EEECE1" w:themeFill="background2"/>
            <w:vAlign w:val="center"/>
          </w:tcPr>
          <w:p w:rsidR="0008621F" w:rsidRPr="0022639B" w:rsidP="00F865AC" w14:paraId="7D516124" w14:textId="631515A6">
            <w:pPr>
              <w:pStyle w:val="TX-TableText"/>
              <w:numPr>
                <w:ilvl w:val="0"/>
                <w:numId w:val="46"/>
              </w:numPr>
              <w:rPr>
                <w:rFonts w:ascii="Times New Roman" w:hAnsi="Times New Roman"/>
                <w:b/>
                <w:iCs/>
              </w:rPr>
            </w:pPr>
            <w:r w:rsidRPr="0022639B">
              <w:rPr>
                <w:rFonts w:ascii="Times New Roman" w:hAnsi="Times New Roman"/>
                <w:b/>
                <w:iCs/>
              </w:rPr>
              <w:t>Evaluation Question: To what extent do local HS programs, including the C</w:t>
            </w:r>
            <w:r>
              <w:rPr>
                <w:rFonts w:ascii="Times New Roman" w:hAnsi="Times New Roman"/>
                <w:b/>
                <w:iCs/>
              </w:rPr>
              <w:t>ommunity Action Networks (C</w:t>
            </w:r>
            <w:r w:rsidRPr="0022639B">
              <w:rPr>
                <w:rFonts w:ascii="Times New Roman" w:hAnsi="Times New Roman"/>
                <w:b/>
                <w:iCs/>
              </w:rPr>
              <w:t>ANs</w:t>
            </w:r>
            <w:r>
              <w:rPr>
                <w:rFonts w:ascii="Times New Roman" w:hAnsi="Times New Roman"/>
                <w:b/>
                <w:iCs/>
              </w:rPr>
              <w:t>)</w:t>
            </w:r>
            <w:r w:rsidRPr="0022639B">
              <w:rPr>
                <w:rFonts w:ascii="Times New Roman" w:hAnsi="Times New Roman"/>
                <w:b/>
                <w:iCs/>
              </w:rPr>
              <w:t xml:space="preserve">, engage in activities with collaborators to advance the goals of HS? </w:t>
            </w:r>
          </w:p>
          <w:p w:rsidR="0008621F" w:rsidRPr="0022639B" w:rsidP="0008621F" w14:paraId="3608AE1F" w14:textId="77777777">
            <w:pPr>
              <w:pStyle w:val="TX-TableText"/>
              <w:rPr>
                <w:rFonts w:ascii="Times New Roman" w:hAnsi="Times New Roman"/>
              </w:rPr>
            </w:pPr>
          </w:p>
        </w:tc>
      </w:tr>
      <w:tr w14:paraId="2EA43D0B" w14:textId="77777777" w:rsidTr="0008621F">
        <w:tblPrEx>
          <w:tblW w:w="5150" w:type="pct"/>
          <w:tblInd w:w="-5" w:type="dxa"/>
          <w:tblLayout w:type="fixed"/>
          <w:tblLook w:val="04A0"/>
        </w:tblPrEx>
        <w:trPr>
          <w:cantSplit w:val="0"/>
        </w:trPr>
        <w:tc>
          <w:tcPr>
            <w:tcW w:w="887" w:type="pct"/>
            <w:vAlign w:val="center"/>
            <w:hideMark/>
          </w:tcPr>
          <w:p w:rsidR="0008621F" w:rsidRPr="0022639B" w:rsidP="0008621F" w14:paraId="2D9B5A01" w14:textId="77777777">
            <w:pPr>
              <w:pStyle w:val="TX-TableText"/>
              <w:rPr>
                <w:rFonts w:ascii="Times New Roman" w:hAnsi="Times New Roman"/>
                <w:iCs/>
              </w:rPr>
            </w:pPr>
            <w:r w:rsidRPr="0022639B">
              <w:rPr>
                <w:rFonts w:ascii="Times New Roman" w:hAnsi="Times New Roman"/>
                <w:b/>
                <w:iCs/>
              </w:rPr>
              <w:t>Implementation</w:t>
            </w:r>
          </w:p>
        </w:tc>
        <w:tc>
          <w:tcPr>
            <w:tcW w:w="1356" w:type="pct"/>
            <w:hideMark/>
          </w:tcPr>
          <w:p w:rsidR="0008621F" w:rsidRPr="0022639B" w:rsidP="0008621F" w14:paraId="3BD890EF" w14:textId="796D6F56">
            <w:pPr>
              <w:pStyle w:val="TX-TableText"/>
              <w:rPr>
                <w:rFonts w:ascii="Times New Roman" w:hAnsi="Times New Roman"/>
              </w:rPr>
            </w:pPr>
            <w:r>
              <w:rPr>
                <w:rFonts w:ascii="Times New Roman" w:hAnsi="Times New Roman"/>
              </w:rPr>
              <w:t>5</w:t>
            </w:r>
            <w:r w:rsidR="009650EE">
              <w:rPr>
                <w:rFonts w:ascii="Times New Roman" w:hAnsi="Times New Roman"/>
              </w:rPr>
              <w:t xml:space="preserve"> </w:t>
            </w:r>
            <w:r>
              <w:rPr>
                <w:rFonts w:ascii="Times New Roman" w:hAnsi="Times New Roman"/>
              </w:rPr>
              <w:t xml:space="preserve">a. </w:t>
            </w:r>
            <w:r w:rsidRPr="0022639B">
              <w:rPr>
                <w:rFonts w:ascii="Times New Roman" w:hAnsi="Times New Roman"/>
              </w:rPr>
              <w:t xml:space="preserve">What are the facilitators and barriers to the implementation of </w:t>
            </w:r>
            <w:r>
              <w:rPr>
                <w:rFonts w:ascii="Times New Roman" w:hAnsi="Times New Roman"/>
              </w:rPr>
              <w:t xml:space="preserve">the </w:t>
            </w:r>
            <w:r w:rsidRPr="0022639B">
              <w:rPr>
                <w:rFonts w:ascii="Times New Roman" w:hAnsi="Times New Roman"/>
              </w:rPr>
              <w:t xml:space="preserve">CANs? </w:t>
            </w:r>
          </w:p>
        </w:tc>
        <w:tc>
          <w:tcPr>
            <w:tcW w:w="609" w:type="pct"/>
          </w:tcPr>
          <w:p w:rsidR="0008621F" w:rsidP="0008621F" w14:paraId="7E3CFFFB" w14:textId="3B89ABD0">
            <w:pPr>
              <w:pStyle w:val="TX-TableText"/>
              <w:rPr>
                <w:rFonts w:ascii="Times New Roman" w:hAnsi="Times New Roman"/>
              </w:rPr>
            </w:pPr>
            <w:r w:rsidRPr="0022639B">
              <w:rPr>
                <w:rFonts w:ascii="Times New Roman" w:hAnsi="Times New Roman"/>
              </w:rPr>
              <w:t>Program Survey</w:t>
            </w:r>
            <w:r w:rsidR="005B49D8">
              <w:rPr>
                <w:rFonts w:ascii="Times New Roman" w:hAnsi="Times New Roman"/>
              </w:rPr>
              <w:t xml:space="preserve"> – all 101 grantees</w:t>
            </w:r>
          </w:p>
          <w:p w:rsidR="0008621F" w:rsidP="0008621F" w14:paraId="05353440" w14:textId="77777777">
            <w:pPr>
              <w:pStyle w:val="TX-TableText"/>
              <w:rPr>
                <w:rFonts w:ascii="Times New Roman" w:hAnsi="Times New Roman"/>
              </w:rPr>
            </w:pPr>
          </w:p>
          <w:p w:rsidR="0008621F" w:rsidP="0008621F" w14:paraId="65223CA9" w14:textId="24D028A4">
            <w:pPr>
              <w:pStyle w:val="TX-TableText"/>
              <w:rPr>
                <w:rFonts w:ascii="Times New Roman" w:hAnsi="Times New Roman"/>
              </w:rPr>
            </w:pPr>
            <w:r>
              <w:rPr>
                <w:rFonts w:ascii="Times New Roman" w:hAnsi="Times New Roman"/>
              </w:rPr>
              <w:t>Network Survey</w:t>
            </w:r>
            <w:r w:rsidR="005B49D8">
              <w:rPr>
                <w:rFonts w:ascii="Times New Roman" w:hAnsi="Times New Roman"/>
              </w:rPr>
              <w:t xml:space="preserve"> – up to 15 grantees</w:t>
            </w:r>
          </w:p>
          <w:p w:rsidR="0008621F" w:rsidP="0008621F" w14:paraId="6D7E0F2F" w14:textId="77777777">
            <w:pPr>
              <w:pStyle w:val="TX-TableText"/>
              <w:rPr>
                <w:rFonts w:ascii="Times New Roman" w:hAnsi="Times New Roman"/>
              </w:rPr>
            </w:pPr>
          </w:p>
          <w:p w:rsidR="0008621F" w:rsidP="0008621F" w14:paraId="18197E94" w14:textId="77777777">
            <w:pPr>
              <w:pStyle w:val="TX-TableText"/>
              <w:rPr>
                <w:rFonts w:ascii="Times New Roman" w:hAnsi="Times New Roman"/>
              </w:rPr>
            </w:pPr>
          </w:p>
          <w:p w:rsidR="0008621F" w:rsidRPr="0022639B" w:rsidP="0008621F" w14:paraId="2519BB06" w14:textId="09BBE4EC">
            <w:pPr>
              <w:pStyle w:val="TX-TableText"/>
              <w:rPr>
                <w:rFonts w:ascii="Times New Roman" w:hAnsi="Times New Roman"/>
              </w:rPr>
            </w:pPr>
            <w:r>
              <w:rPr>
                <w:rFonts w:ascii="Times New Roman" w:hAnsi="Times New Roman"/>
              </w:rPr>
              <w:t>Stakeholder Interviews</w:t>
            </w:r>
            <w:r w:rsidR="005B49D8">
              <w:rPr>
                <w:rFonts w:ascii="Times New Roman" w:hAnsi="Times New Roman"/>
              </w:rPr>
              <w:t xml:space="preserve"> – up to 15 grantees</w:t>
            </w:r>
          </w:p>
          <w:p w:rsidR="0008621F" w:rsidRPr="0022639B" w:rsidP="0008621F" w14:paraId="6728A50D" w14:textId="77777777">
            <w:pPr>
              <w:pStyle w:val="TX-TableText"/>
              <w:rPr>
                <w:rFonts w:ascii="Times New Roman" w:hAnsi="Times New Roman"/>
              </w:rPr>
            </w:pPr>
          </w:p>
        </w:tc>
        <w:tc>
          <w:tcPr>
            <w:tcW w:w="2148" w:type="pct"/>
            <w:vAlign w:val="center"/>
          </w:tcPr>
          <w:p w:rsidR="0008621F" w:rsidP="0008621F" w14:paraId="1D50D5B1" w14:textId="77777777">
            <w:pPr>
              <w:pStyle w:val="TX-TableText"/>
              <w:rPr>
                <w:rFonts w:ascii="Times New Roman" w:hAnsi="Times New Roman"/>
              </w:rPr>
            </w:pPr>
            <w:r>
              <w:rPr>
                <w:rFonts w:ascii="Times New Roman" w:hAnsi="Times New Roman"/>
              </w:rPr>
              <w:t>D</w:t>
            </w:r>
            <w:r w:rsidRPr="001A7C7F">
              <w:rPr>
                <w:rFonts w:ascii="Times New Roman" w:hAnsi="Times New Roman"/>
              </w:rPr>
              <w:t>escriptive statistical analysis</w:t>
            </w:r>
            <w:r>
              <w:rPr>
                <w:rFonts w:ascii="Times New Roman" w:hAnsi="Times New Roman"/>
              </w:rPr>
              <w:t xml:space="preserve"> of data from each survey to </w:t>
            </w:r>
            <w:r w:rsidRPr="001A7C7F">
              <w:rPr>
                <w:rFonts w:ascii="Times New Roman" w:hAnsi="Times New Roman"/>
              </w:rPr>
              <w:t xml:space="preserve">identify </w:t>
            </w:r>
            <w:r>
              <w:rPr>
                <w:rFonts w:ascii="Times New Roman" w:hAnsi="Times New Roman"/>
              </w:rPr>
              <w:t>overall</w:t>
            </w:r>
            <w:r w:rsidRPr="001A7C7F">
              <w:rPr>
                <w:rFonts w:ascii="Times New Roman" w:hAnsi="Times New Roman"/>
              </w:rPr>
              <w:t xml:space="preserve"> facilitators/barriers </w:t>
            </w:r>
            <w:r>
              <w:rPr>
                <w:rFonts w:ascii="Times New Roman" w:hAnsi="Times New Roman"/>
              </w:rPr>
              <w:t xml:space="preserve">of CAN activities undertaken to </w:t>
            </w:r>
            <w:r w:rsidRPr="001A7C7F">
              <w:rPr>
                <w:rFonts w:ascii="Times New Roman" w:hAnsi="Times New Roman"/>
              </w:rPr>
              <w:t>advance HS</w:t>
            </w:r>
            <w:r>
              <w:rPr>
                <w:rFonts w:ascii="Times New Roman" w:hAnsi="Times New Roman"/>
              </w:rPr>
              <w:t xml:space="preserve"> goals</w:t>
            </w:r>
            <w:r w:rsidRPr="001A7C7F">
              <w:rPr>
                <w:rFonts w:ascii="Times New Roman" w:hAnsi="Times New Roman"/>
              </w:rPr>
              <w:t xml:space="preserve">? </w:t>
            </w:r>
          </w:p>
          <w:p w:rsidR="0008621F" w:rsidP="0008621F" w14:paraId="4122A557" w14:textId="77777777">
            <w:pPr>
              <w:pStyle w:val="TX-TableText"/>
              <w:rPr>
                <w:rFonts w:ascii="Times New Roman" w:hAnsi="Times New Roman"/>
              </w:rPr>
            </w:pPr>
          </w:p>
          <w:p w:rsidR="0008621F" w:rsidRPr="001A7C7F" w:rsidP="0008621F" w14:paraId="692DE3BA" w14:textId="77777777">
            <w:pPr>
              <w:pStyle w:val="TX-TableText"/>
              <w:rPr>
                <w:rFonts w:ascii="Times New Roman" w:hAnsi="Times New Roman"/>
              </w:rPr>
            </w:pPr>
            <w:r>
              <w:rPr>
                <w:rFonts w:ascii="Times New Roman" w:hAnsi="Times New Roman"/>
              </w:rPr>
              <w:t>C</w:t>
            </w:r>
            <w:r w:rsidRPr="001A7C7F">
              <w:rPr>
                <w:rFonts w:ascii="Times New Roman" w:hAnsi="Times New Roman"/>
              </w:rPr>
              <w:t xml:space="preserve">ontent analysis </w:t>
            </w:r>
            <w:r>
              <w:rPr>
                <w:rFonts w:ascii="Times New Roman" w:hAnsi="Times New Roman"/>
              </w:rPr>
              <w:t xml:space="preserve">of data from interviews </w:t>
            </w:r>
            <w:r w:rsidRPr="001A7C7F">
              <w:rPr>
                <w:rFonts w:ascii="Times New Roman" w:hAnsi="Times New Roman"/>
              </w:rPr>
              <w:t xml:space="preserve">to </w:t>
            </w:r>
            <w:r>
              <w:rPr>
                <w:rFonts w:ascii="Times New Roman" w:hAnsi="Times New Roman"/>
              </w:rPr>
              <w:t>examine specific facilitators/barriers to the implementation of CAN activities.</w:t>
            </w:r>
          </w:p>
          <w:p w:rsidR="0008621F" w:rsidRPr="00BF2236" w:rsidP="0008621F" w14:paraId="208650B5" w14:textId="77777777">
            <w:pPr>
              <w:pStyle w:val="TX-TableText"/>
              <w:rPr>
                <w:rFonts w:ascii="Times New Roman" w:hAnsi="Times New Roman"/>
                <w:highlight w:val="yellow"/>
              </w:rPr>
            </w:pPr>
          </w:p>
          <w:p w:rsidR="0008621F" w:rsidRPr="0022639B" w:rsidP="0008621F" w14:paraId="5BD2E613" w14:textId="77777777">
            <w:pPr>
              <w:pStyle w:val="TX-TableText"/>
              <w:rPr>
                <w:rFonts w:ascii="Times New Roman" w:hAnsi="Times New Roman"/>
              </w:rPr>
            </w:pPr>
          </w:p>
          <w:p w:rsidR="0008621F" w:rsidRPr="0022639B" w:rsidP="0008621F" w14:paraId="44D15B31" w14:textId="77777777">
            <w:pPr>
              <w:pStyle w:val="TX-TableText"/>
              <w:rPr>
                <w:rFonts w:ascii="Times New Roman" w:hAnsi="Times New Roman"/>
              </w:rPr>
            </w:pPr>
          </w:p>
        </w:tc>
      </w:tr>
      <w:tr w14:paraId="77021E51" w14:textId="77777777" w:rsidTr="0008621F">
        <w:tblPrEx>
          <w:tblW w:w="5150" w:type="pct"/>
          <w:tblInd w:w="-5" w:type="dxa"/>
          <w:tblLayout w:type="fixed"/>
          <w:tblLook w:val="04A0"/>
        </w:tblPrEx>
        <w:trPr>
          <w:cantSplit w:val="0"/>
        </w:trPr>
        <w:tc>
          <w:tcPr>
            <w:tcW w:w="887" w:type="pct"/>
            <w:vAlign w:val="center"/>
          </w:tcPr>
          <w:p w:rsidR="0008621F" w:rsidRPr="0022639B" w:rsidP="0008621F" w14:paraId="6DC6AB75" w14:textId="77777777">
            <w:pPr>
              <w:pStyle w:val="TX-TableText"/>
              <w:rPr>
                <w:rFonts w:ascii="Times New Roman" w:hAnsi="Times New Roman"/>
                <w:b/>
                <w:iCs/>
              </w:rPr>
            </w:pPr>
            <w:r w:rsidRPr="0022639B">
              <w:rPr>
                <w:rFonts w:ascii="Times New Roman" w:hAnsi="Times New Roman"/>
                <w:b/>
                <w:iCs/>
              </w:rPr>
              <w:t xml:space="preserve">Implementation </w:t>
            </w:r>
          </w:p>
          <w:p w:rsidR="0008621F" w:rsidRPr="0022639B" w:rsidP="0008621F" w14:paraId="79AC86E2" w14:textId="77777777">
            <w:pPr>
              <w:pStyle w:val="TX-TableText"/>
              <w:rPr>
                <w:rFonts w:ascii="Times New Roman" w:hAnsi="Times New Roman"/>
                <w:b/>
                <w:iCs/>
                <w:highlight w:val="yellow"/>
              </w:rPr>
            </w:pPr>
          </w:p>
          <w:p w:rsidR="0008621F" w:rsidRPr="0022639B" w:rsidP="0008621F" w14:paraId="6ABF9525" w14:textId="77777777">
            <w:pPr>
              <w:pStyle w:val="TX-TableText"/>
              <w:rPr>
                <w:rFonts w:ascii="Times New Roman" w:hAnsi="Times New Roman"/>
                <w:b/>
                <w:iCs/>
                <w:highlight w:val="yellow"/>
              </w:rPr>
            </w:pPr>
          </w:p>
          <w:p w:rsidR="0008621F" w:rsidRPr="0022639B" w:rsidP="0008621F" w14:paraId="52C98ED2" w14:textId="77777777">
            <w:pPr>
              <w:pStyle w:val="TX-TableText"/>
              <w:rPr>
                <w:rFonts w:ascii="Times New Roman" w:hAnsi="Times New Roman"/>
                <w:b/>
                <w:iCs/>
                <w:highlight w:val="yellow"/>
              </w:rPr>
            </w:pPr>
          </w:p>
          <w:p w:rsidR="0008621F" w:rsidRPr="0022639B" w:rsidP="0008621F" w14:paraId="1978FB16" w14:textId="77777777">
            <w:pPr>
              <w:pStyle w:val="TX-TableText"/>
              <w:rPr>
                <w:rFonts w:ascii="Times New Roman" w:hAnsi="Times New Roman"/>
                <w:b/>
                <w:iCs/>
                <w:highlight w:val="yellow"/>
              </w:rPr>
            </w:pPr>
          </w:p>
          <w:p w:rsidR="0008621F" w:rsidRPr="0022639B" w:rsidP="0008621F" w14:paraId="51454AF1" w14:textId="77777777">
            <w:pPr>
              <w:pStyle w:val="TX-TableText"/>
              <w:rPr>
                <w:rFonts w:ascii="Times New Roman" w:hAnsi="Times New Roman"/>
                <w:b/>
                <w:iCs/>
                <w:highlight w:val="yellow"/>
              </w:rPr>
            </w:pPr>
          </w:p>
          <w:p w:rsidR="0008621F" w:rsidRPr="0022639B" w:rsidP="0008621F" w14:paraId="6A58D21F" w14:textId="77777777">
            <w:pPr>
              <w:pStyle w:val="TX-TableText"/>
              <w:rPr>
                <w:rFonts w:ascii="Times New Roman" w:hAnsi="Times New Roman"/>
                <w:b/>
                <w:iCs/>
                <w:highlight w:val="yellow"/>
              </w:rPr>
            </w:pPr>
          </w:p>
        </w:tc>
        <w:tc>
          <w:tcPr>
            <w:tcW w:w="1356" w:type="pct"/>
          </w:tcPr>
          <w:p w:rsidR="0008621F" w:rsidRPr="0022639B" w:rsidP="0008621F" w14:paraId="6C81CF8B" w14:textId="67AC147C">
            <w:pPr>
              <w:pStyle w:val="TX-TableText"/>
              <w:rPr>
                <w:rFonts w:ascii="Times New Roman" w:hAnsi="Times New Roman"/>
                <w:highlight w:val="yellow"/>
              </w:rPr>
            </w:pPr>
            <w:r>
              <w:rPr>
                <w:rFonts w:ascii="Times New Roman" w:hAnsi="Times New Roman"/>
              </w:rPr>
              <w:t>5</w:t>
            </w:r>
            <w:r w:rsidR="009650EE">
              <w:rPr>
                <w:rFonts w:ascii="Times New Roman" w:hAnsi="Times New Roman"/>
              </w:rPr>
              <w:t xml:space="preserve"> </w:t>
            </w:r>
            <w:r>
              <w:rPr>
                <w:rFonts w:ascii="Times New Roman" w:hAnsi="Times New Roman"/>
              </w:rPr>
              <w:t xml:space="preserve">b. </w:t>
            </w:r>
            <w:r w:rsidRPr="0022639B">
              <w:rPr>
                <w:rFonts w:ascii="Times New Roman" w:hAnsi="Times New Roman"/>
              </w:rPr>
              <w:t>How do local HS programs, including the CANs, coordinate, collaborate and integrate with reproductive, child, and family health activities in their community to provide services from preconception through early childhood care and education?</w:t>
            </w:r>
          </w:p>
        </w:tc>
        <w:tc>
          <w:tcPr>
            <w:tcW w:w="609" w:type="pct"/>
          </w:tcPr>
          <w:p w:rsidR="0008621F" w:rsidP="0008621F" w14:paraId="4B03F0FF" w14:textId="22842A1E">
            <w:pPr>
              <w:pStyle w:val="TX-TableText"/>
              <w:rPr>
                <w:rFonts w:ascii="Times New Roman" w:hAnsi="Times New Roman"/>
              </w:rPr>
            </w:pPr>
            <w:r w:rsidRPr="0022639B">
              <w:rPr>
                <w:rFonts w:ascii="Times New Roman" w:hAnsi="Times New Roman"/>
              </w:rPr>
              <w:t>Program Survey</w:t>
            </w:r>
            <w:r w:rsidR="005B49D8">
              <w:rPr>
                <w:rFonts w:ascii="Times New Roman" w:hAnsi="Times New Roman"/>
              </w:rPr>
              <w:t xml:space="preserve"> – all 101 grantees</w:t>
            </w:r>
          </w:p>
          <w:p w:rsidR="0008621F" w:rsidP="0008621F" w14:paraId="714136E2" w14:textId="77777777">
            <w:pPr>
              <w:pStyle w:val="TX-TableText"/>
              <w:rPr>
                <w:rFonts w:ascii="Times New Roman" w:hAnsi="Times New Roman"/>
              </w:rPr>
            </w:pPr>
          </w:p>
          <w:p w:rsidR="0008621F" w:rsidP="0008621F" w14:paraId="6DE36A8B" w14:textId="2A1951D0">
            <w:pPr>
              <w:pStyle w:val="TX-TableText"/>
              <w:rPr>
                <w:rFonts w:ascii="Times New Roman" w:hAnsi="Times New Roman"/>
              </w:rPr>
            </w:pPr>
            <w:r w:rsidRPr="0022639B">
              <w:rPr>
                <w:rFonts w:ascii="Times New Roman" w:hAnsi="Times New Roman"/>
              </w:rPr>
              <w:t xml:space="preserve">Network Survey </w:t>
            </w:r>
            <w:r w:rsidR="005B49D8">
              <w:rPr>
                <w:rFonts w:ascii="Times New Roman" w:hAnsi="Times New Roman"/>
              </w:rPr>
              <w:t>– up to 15 grantees</w:t>
            </w:r>
          </w:p>
          <w:p w:rsidR="0008621F" w:rsidP="0008621F" w14:paraId="487B4CCF" w14:textId="77777777">
            <w:pPr>
              <w:pStyle w:val="TX-TableText"/>
              <w:rPr>
                <w:rFonts w:ascii="Times New Roman" w:hAnsi="Times New Roman"/>
                <w:highlight w:val="yellow"/>
              </w:rPr>
            </w:pPr>
          </w:p>
          <w:p w:rsidR="0008621F" w:rsidRPr="0022639B" w:rsidP="0008621F" w14:paraId="3D3E73D8" w14:textId="77777777">
            <w:pPr>
              <w:pStyle w:val="TX-TableText"/>
              <w:rPr>
                <w:rFonts w:ascii="Times New Roman" w:hAnsi="Times New Roman"/>
                <w:highlight w:val="yellow"/>
              </w:rPr>
            </w:pPr>
          </w:p>
        </w:tc>
        <w:tc>
          <w:tcPr>
            <w:tcW w:w="2148" w:type="pct"/>
            <w:vAlign w:val="center"/>
          </w:tcPr>
          <w:p w:rsidR="0008621F" w:rsidP="0008621F" w14:paraId="1FEF0CB9" w14:textId="77777777">
            <w:pPr>
              <w:pStyle w:val="TX-TableText"/>
              <w:rPr>
                <w:rFonts w:ascii="Times New Roman" w:hAnsi="Times New Roman"/>
              </w:rPr>
            </w:pPr>
            <w:r w:rsidRPr="0022639B">
              <w:rPr>
                <w:rFonts w:ascii="Times New Roman" w:hAnsi="Times New Roman"/>
              </w:rPr>
              <w:t>Descriptive statistical analysis</w:t>
            </w:r>
            <w:r>
              <w:rPr>
                <w:rFonts w:ascii="Times New Roman" w:hAnsi="Times New Roman"/>
              </w:rPr>
              <w:t xml:space="preserve"> of data from the two surveys to identify the t</w:t>
            </w:r>
            <w:r w:rsidRPr="0022639B">
              <w:rPr>
                <w:rFonts w:ascii="Times New Roman" w:hAnsi="Times New Roman"/>
              </w:rPr>
              <w:t>ype</w:t>
            </w:r>
            <w:r>
              <w:rPr>
                <w:rFonts w:ascii="Times New Roman" w:hAnsi="Times New Roman"/>
              </w:rPr>
              <w:t>s</w:t>
            </w:r>
            <w:r w:rsidRPr="0022639B">
              <w:rPr>
                <w:rFonts w:ascii="Times New Roman" w:hAnsi="Times New Roman"/>
              </w:rPr>
              <w:t xml:space="preserve"> of </w:t>
            </w:r>
            <w:r>
              <w:rPr>
                <w:rFonts w:ascii="Times New Roman" w:hAnsi="Times New Roman"/>
              </w:rPr>
              <w:t xml:space="preserve">coordinated/ </w:t>
            </w:r>
            <w:r w:rsidRPr="0022639B">
              <w:rPr>
                <w:rFonts w:ascii="Times New Roman" w:hAnsi="Times New Roman"/>
              </w:rPr>
              <w:t xml:space="preserve">collaborative </w:t>
            </w:r>
            <w:r>
              <w:rPr>
                <w:rFonts w:ascii="Times New Roman" w:hAnsi="Times New Roman"/>
              </w:rPr>
              <w:t xml:space="preserve">community </w:t>
            </w:r>
            <w:r w:rsidRPr="0022639B">
              <w:rPr>
                <w:rFonts w:ascii="Times New Roman" w:hAnsi="Times New Roman"/>
              </w:rPr>
              <w:t>activities</w:t>
            </w:r>
            <w:r>
              <w:rPr>
                <w:rFonts w:ascii="Times New Roman" w:hAnsi="Times New Roman"/>
              </w:rPr>
              <w:t xml:space="preserve"> that the HS programs and the CANs participate in and their patterns of referrals.</w:t>
            </w:r>
          </w:p>
          <w:p w:rsidR="0008621F" w:rsidP="0008621F" w14:paraId="30C7D439" w14:textId="77777777">
            <w:pPr>
              <w:pStyle w:val="TX-TableText"/>
              <w:rPr>
                <w:rFonts w:ascii="Times New Roman" w:hAnsi="Times New Roman"/>
              </w:rPr>
            </w:pPr>
          </w:p>
          <w:p w:rsidR="0008621F" w:rsidP="0008621F" w14:paraId="7D255F54" w14:textId="77777777">
            <w:pPr>
              <w:pStyle w:val="TX-TableText"/>
              <w:rPr>
                <w:rFonts w:ascii="Times New Roman" w:hAnsi="Times New Roman"/>
              </w:rPr>
            </w:pPr>
            <w:r>
              <w:rPr>
                <w:rFonts w:ascii="Times New Roman" w:hAnsi="Times New Roman"/>
              </w:rPr>
              <w:t>Network analysis from the Network Survey data to identify the n</w:t>
            </w:r>
            <w:r w:rsidRPr="0022639B">
              <w:rPr>
                <w:rFonts w:ascii="Times New Roman" w:hAnsi="Times New Roman"/>
              </w:rPr>
              <w:t>umber and type</w:t>
            </w:r>
            <w:r>
              <w:rPr>
                <w:rFonts w:ascii="Times New Roman" w:hAnsi="Times New Roman"/>
              </w:rPr>
              <w:t>s</w:t>
            </w:r>
            <w:r w:rsidRPr="0022639B">
              <w:rPr>
                <w:rFonts w:ascii="Times New Roman" w:hAnsi="Times New Roman"/>
              </w:rPr>
              <w:t xml:space="preserve"> of organizations with established </w:t>
            </w:r>
            <w:r>
              <w:rPr>
                <w:rFonts w:ascii="Times New Roman" w:hAnsi="Times New Roman"/>
              </w:rPr>
              <w:t xml:space="preserve">HS </w:t>
            </w:r>
            <w:r w:rsidRPr="0022639B">
              <w:rPr>
                <w:rFonts w:ascii="Times New Roman" w:hAnsi="Times New Roman"/>
              </w:rPr>
              <w:t>partnerships</w:t>
            </w:r>
            <w:r>
              <w:rPr>
                <w:rFonts w:ascii="Times New Roman" w:hAnsi="Times New Roman"/>
              </w:rPr>
              <w:t>, the v</w:t>
            </w:r>
            <w:r w:rsidRPr="0022639B">
              <w:rPr>
                <w:rFonts w:ascii="Times New Roman" w:hAnsi="Times New Roman"/>
              </w:rPr>
              <w:t>olume of interactions on specific program activities (i.e., sharing of resources, improving access to services, building capacity)</w:t>
            </w:r>
            <w:r>
              <w:rPr>
                <w:rFonts w:ascii="Times New Roman" w:hAnsi="Times New Roman"/>
              </w:rPr>
              <w:t xml:space="preserve">, and the level of cohesion and centralization across the activities. </w:t>
            </w:r>
          </w:p>
          <w:p w:rsidR="0008621F" w:rsidRPr="0022639B" w:rsidP="0008621F" w14:paraId="1DC70471" w14:textId="77777777">
            <w:pPr>
              <w:pStyle w:val="TX-TableText"/>
              <w:rPr>
                <w:rFonts w:ascii="Times New Roman" w:hAnsi="Times New Roman"/>
                <w:highlight w:val="yellow"/>
              </w:rPr>
            </w:pPr>
          </w:p>
        </w:tc>
      </w:tr>
      <w:tr w14:paraId="5EB293FB" w14:textId="77777777" w:rsidTr="0008621F">
        <w:tblPrEx>
          <w:tblW w:w="5150" w:type="pct"/>
          <w:tblInd w:w="-5" w:type="dxa"/>
          <w:tblLayout w:type="fixed"/>
          <w:tblLook w:val="04A0"/>
        </w:tblPrEx>
        <w:trPr>
          <w:cantSplit w:val="0"/>
        </w:trPr>
        <w:tc>
          <w:tcPr>
            <w:tcW w:w="887" w:type="pct"/>
            <w:vAlign w:val="center"/>
            <w:hideMark/>
          </w:tcPr>
          <w:p w:rsidR="0008621F" w:rsidRPr="0022639B" w:rsidP="0008621F" w14:paraId="2751FD44" w14:textId="77777777">
            <w:pPr>
              <w:pStyle w:val="TX-TableText"/>
              <w:rPr>
                <w:rFonts w:ascii="Times New Roman" w:hAnsi="Times New Roman"/>
                <w:b/>
              </w:rPr>
            </w:pPr>
            <w:r w:rsidRPr="0022639B">
              <w:rPr>
                <w:rFonts w:ascii="Times New Roman" w:hAnsi="Times New Roman"/>
                <w:b/>
              </w:rPr>
              <w:t>Implementation</w:t>
            </w:r>
          </w:p>
        </w:tc>
        <w:tc>
          <w:tcPr>
            <w:tcW w:w="1356" w:type="pct"/>
            <w:hideMark/>
          </w:tcPr>
          <w:p w:rsidR="0008621F" w:rsidRPr="0022639B" w:rsidP="0008621F" w14:paraId="0F6DECA7" w14:textId="1D7F6883">
            <w:pPr>
              <w:pStyle w:val="TX-TableText"/>
              <w:rPr>
                <w:rFonts w:ascii="Times New Roman" w:hAnsi="Times New Roman"/>
              </w:rPr>
            </w:pPr>
            <w:r>
              <w:rPr>
                <w:rFonts w:ascii="Times New Roman" w:hAnsi="Times New Roman"/>
              </w:rPr>
              <w:t>5</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 </w:t>
            </w:r>
            <w:r w:rsidRPr="0022639B">
              <w:rPr>
                <w:rFonts w:ascii="Times New Roman" w:hAnsi="Times New Roman"/>
              </w:rPr>
              <w:t>To what extent are local HS programs part of/drivers of their local community development agencies?</w:t>
            </w:r>
          </w:p>
          <w:p w:rsidR="0008621F" w:rsidRPr="0022639B" w:rsidP="0008621F" w14:paraId="071C7912" w14:textId="77777777">
            <w:pPr>
              <w:pStyle w:val="TX-TableText"/>
              <w:rPr>
                <w:rFonts w:ascii="Times New Roman" w:hAnsi="Times New Roman"/>
              </w:rPr>
            </w:pPr>
          </w:p>
          <w:p w:rsidR="0008621F" w:rsidRPr="0022639B" w:rsidP="0008621F" w14:paraId="6A5D5611" w14:textId="5505396C">
            <w:pPr>
              <w:pStyle w:val="TX-TableText"/>
              <w:rPr>
                <w:rFonts w:ascii="Times New Roman" w:hAnsi="Times New Roman"/>
              </w:rPr>
            </w:pPr>
            <w:r>
              <w:rPr>
                <w:rFonts w:ascii="Times New Roman" w:hAnsi="Times New Roman"/>
              </w:rPr>
              <w:t>5</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ii. </w:t>
            </w:r>
            <w:r w:rsidRPr="0022639B">
              <w:rPr>
                <w:rFonts w:ascii="Times New Roman" w:hAnsi="Times New Roman"/>
              </w:rPr>
              <w:t>How does the CAN contribute to the local HS program?</w:t>
            </w:r>
          </w:p>
          <w:p w:rsidR="0008621F" w:rsidRPr="0022639B" w:rsidP="0008621F" w14:paraId="19BBC2AA" w14:textId="77777777">
            <w:pPr>
              <w:pStyle w:val="TX-TableText"/>
              <w:rPr>
                <w:rFonts w:ascii="Times New Roman" w:hAnsi="Times New Roman"/>
              </w:rPr>
            </w:pPr>
          </w:p>
          <w:p w:rsidR="0008621F" w:rsidRPr="0022639B" w:rsidP="0008621F" w14:paraId="5327AA3B" w14:textId="0D47BC5F">
            <w:pPr>
              <w:pStyle w:val="TX-TableText"/>
              <w:rPr>
                <w:rFonts w:ascii="Times New Roman" w:hAnsi="Times New Roman"/>
              </w:rPr>
            </w:pPr>
            <w:r>
              <w:rPr>
                <w:rFonts w:ascii="Times New Roman" w:hAnsi="Times New Roman"/>
              </w:rPr>
              <w:t>5</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iii. </w:t>
            </w:r>
            <w:r w:rsidRPr="0022639B">
              <w:rPr>
                <w:rFonts w:ascii="Times New Roman" w:hAnsi="Times New Roman"/>
              </w:rPr>
              <w:t>What are the characteristics of a CAN?</w:t>
            </w:r>
          </w:p>
        </w:tc>
        <w:tc>
          <w:tcPr>
            <w:tcW w:w="609" w:type="pct"/>
            <w:hideMark/>
          </w:tcPr>
          <w:p w:rsidR="0008621F" w:rsidRPr="0022639B" w:rsidP="0008621F" w14:paraId="33BA754C" w14:textId="3588E128">
            <w:pPr>
              <w:pStyle w:val="TX-TableText"/>
              <w:rPr>
                <w:rFonts w:ascii="Times New Roman" w:hAnsi="Times New Roman"/>
              </w:rPr>
            </w:pPr>
            <w:r w:rsidRPr="0022639B">
              <w:rPr>
                <w:rFonts w:ascii="Times New Roman" w:hAnsi="Times New Roman"/>
              </w:rPr>
              <w:t>Program Survey</w:t>
            </w:r>
            <w:r w:rsidR="005B49D8">
              <w:rPr>
                <w:rFonts w:ascii="Times New Roman" w:hAnsi="Times New Roman"/>
              </w:rPr>
              <w:t xml:space="preserve"> – all 101 grantees</w:t>
            </w:r>
          </w:p>
          <w:p w:rsidR="0008621F" w:rsidRPr="0022639B" w:rsidP="0008621F" w14:paraId="1332B29D" w14:textId="77777777">
            <w:pPr>
              <w:pStyle w:val="TX-TableText"/>
              <w:rPr>
                <w:rFonts w:ascii="Times New Roman" w:hAnsi="Times New Roman"/>
              </w:rPr>
            </w:pPr>
          </w:p>
          <w:p w:rsidR="0008621F" w:rsidP="0008621F" w14:paraId="1AFAE7E3" w14:textId="77777777">
            <w:pPr>
              <w:pStyle w:val="TX-TableText"/>
              <w:rPr>
                <w:rFonts w:ascii="Times New Roman" w:hAnsi="Times New Roman"/>
              </w:rPr>
            </w:pPr>
          </w:p>
          <w:p w:rsidR="0008621F" w:rsidP="0008621F" w14:paraId="269EA172" w14:textId="77777777">
            <w:pPr>
              <w:pStyle w:val="TX-TableText"/>
              <w:rPr>
                <w:rFonts w:ascii="Times New Roman" w:hAnsi="Times New Roman"/>
              </w:rPr>
            </w:pPr>
          </w:p>
          <w:p w:rsidR="0008621F" w:rsidRPr="0022639B" w:rsidP="0008621F" w14:paraId="2EA44BCF" w14:textId="49EB7E20">
            <w:pPr>
              <w:pStyle w:val="TX-TableText"/>
              <w:rPr>
                <w:rFonts w:ascii="Times New Roman" w:hAnsi="Times New Roman"/>
              </w:rPr>
            </w:pPr>
            <w:r w:rsidRPr="0022639B">
              <w:rPr>
                <w:rFonts w:ascii="Times New Roman" w:hAnsi="Times New Roman"/>
              </w:rPr>
              <w:t xml:space="preserve">Network Survey </w:t>
            </w:r>
            <w:r w:rsidR="005B49D8">
              <w:rPr>
                <w:rFonts w:ascii="Times New Roman" w:hAnsi="Times New Roman"/>
              </w:rPr>
              <w:t>– up to 15 grantees</w:t>
            </w:r>
          </w:p>
          <w:p w:rsidR="0008621F" w:rsidRPr="0022639B" w:rsidP="0008621F" w14:paraId="6FFD2348" w14:textId="77777777">
            <w:pPr>
              <w:pStyle w:val="TX-TableText"/>
              <w:rPr>
                <w:rFonts w:ascii="Times New Roman" w:hAnsi="Times New Roman"/>
              </w:rPr>
            </w:pPr>
          </w:p>
          <w:p w:rsidR="0008621F" w:rsidP="0008621F" w14:paraId="5D3F6E40" w14:textId="77777777">
            <w:pPr>
              <w:pStyle w:val="TX-TableText"/>
              <w:rPr>
                <w:rFonts w:ascii="Times New Roman" w:hAnsi="Times New Roman"/>
              </w:rPr>
            </w:pPr>
          </w:p>
          <w:p w:rsidR="0008621F" w:rsidP="0008621F" w14:paraId="65757912" w14:textId="77777777">
            <w:pPr>
              <w:pStyle w:val="TX-TableText"/>
              <w:rPr>
                <w:rFonts w:ascii="Times New Roman" w:hAnsi="Times New Roman"/>
              </w:rPr>
            </w:pPr>
          </w:p>
          <w:p w:rsidR="0008621F" w:rsidP="0008621F" w14:paraId="66B28FFD" w14:textId="77777777">
            <w:pPr>
              <w:pStyle w:val="TX-TableText"/>
              <w:rPr>
                <w:rFonts w:ascii="Times New Roman" w:hAnsi="Times New Roman"/>
              </w:rPr>
            </w:pPr>
          </w:p>
          <w:p w:rsidR="0008621F" w:rsidP="0008621F" w14:paraId="6B4ABEB0" w14:textId="77777777">
            <w:pPr>
              <w:pStyle w:val="TX-TableText"/>
              <w:rPr>
                <w:rFonts w:ascii="Times New Roman" w:hAnsi="Times New Roman"/>
              </w:rPr>
            </w:pPr>
          </w:p>
          <w:p w:rsidR="0008621F" w:rsidRPr="0022639B" w:rsidP="0008621F" w14:paraId="2D8267B7" w14:textId="2730031B">
            <w:pPr>
              <w:pStyle w:val="TX-TableText"/>
              <w:rPr>
                <w:rFonts w:ascii="Times New Roman" w:hAnsi="Times New Roman"/>
              </w:rPr>
            </w:pPr>
            <w:r w:rsidRPr="0022639B">
              <w:rPr>
                <w:rFonts w:ascii="Times New Roman" w:hAnsi="Times New Roman"/>
              </w:rPr>
              <w:t xml:space="preserve">Stakeholder Interviews </w:t>
            </w:r>
            <w:r w:rsidR="005B49D8">
              <w:rPr>
                <w:rFonts w:ascii="Times New Roman" w:hAnsi="Times New Roman"/>
              </w:rPr>
              <w:t>– up to 15 grantees</w:t>
            </w:r>
          </w:p>
        </w:tc>
        <w:tc>
          <w:tcPr>
            <w:tcW w:w="2148" w:type="pct"/>
          </w:tcPr>
          <w:p w:rsidR="0008621F" w:rsidP="0008621F" w14:paraId="7ED1A208" w14:textId="77777777">
            <w:pPr>
              <w:pStyle w:val="TX-TableText"/>
              <w:rPr>
                <w:rFonts w:ascii="Times New Roman" w:hAnsi="Times New Roman"/>
              </w:rPr>
            </w:pPr>
            <w:r w:rsidRPr="00DA6103">
              <w:rPr>
                <w:rFonts w:ascii="Times New Roman" w:hAnsi="Times New Roman"/>
              </w:rPr>
              <w:t xml:space="preserve">Descriptive statistical analysis </w:t>
            </w:r>
            <w:r>
              <w:rPr>
                <w:rFonts w:ascii="Times New Roman" w:hAnsi="Times New Roman"/>
              </w:rPr>
              <w:t xml:space="preserve">of data from the two surveys </w:t>
            </w:r>
            <w:r w:rsidRPr="00DA6103">
              <w:rPr>
                <w:rFonts w:ascii="Times New Roman" w:hAnsi="Times New Roman"/>
              </w:rPr>
              <w:t xml:space="preserve">to identify </w:t>
            </w:r>
            <w:r>
              <w:rPr>
                <w:rFonts w:ascii="Times New Roman" w:hAnsi="Times New Roman"/>
              </w:rPr>
              <w:t xml:space="preserve">HS staff’s </w:t>
            </w:r>
            <w:r w:rsidRPr="00DA6103">
              <w:rPr>
                <w:rFonts w:ascii="Times New Roman" w:hAnsi="Times New Roman"/>
              </w:rPr>
              <w:t>memberships/</w:t>
            </w:r>
            <w:r>
              <w:rPr>
                <w:rFonts w:ascii="Times New Roman" w:hAnsi="Times New Roman"/>
              </w:rPr>
              <w:t xml:space="preserve"> </w:t>
            </w:r>
            <w:r w:rsidRPr="00DA6103">
              <w:rPr>
                <w:rFonts w:ascii="Times New Roman" w:hAnsi="Times New Roman"/>
              </w:rPr>
              <w:t>affiliations on community boards and other collaboratives (e.g.,</w:t>
            </w:r>
            <w:r>
              <w:rPr>
                <w:rFonts w:ascii="Times New Roman" w:hAnsi="Times New Roman"/>
              </w:rPr>
              <w:t xml:space="preserve"> </w:t>
            </w:r>
            <w:r w:rsidRPr="00DA6103">
              <w:rPr>
                <w:rFonts w:ascii="Times New Roman" w:hAnsi="Times New Roman"/>
              </w:rPr>
              <w:t>health, social service, religious, philanthropy)</w:t>
            </w:r>
            <w:r>
              <w:rPr>
                <w:rFonts w:ascii="Times New Roman" w:hAnsi="Times New Roman"/>
              </w:rPr>
              <w:t>.</w:t>
            </w:r>
          </w:p>
          <w:p w:rsidR="0008621F" w:rsidP="0008621F" w14:paraId="4B4202D8" w14:textId="77777777">
            <w:pPr>
              <w:pStyle w:val="TX-TableText"/>
              <w:rPr>
                <w:rFonts w:ascii="Times New Roman" w:hAnsi="Times New Roman"/>
              </w:rPr>
            </w:pPr>
          </w:p>
          <w:p w:rsidR="0008621F" w:rsidP="0008621F" w14:paraId="3E73EEB6" w14:textId="77777777">
            <w:pPr>
              <w:pStyle w:val="TX-TableText"/>
              <w:rPr>
                <w:rFonts w:ascii="Times New Roman" w:hAnsi="Times New Roman"/>
              </w:rPr>
            </w:pPr>
            <w:r>
              <w:rPr>
                <w:rFonts w:ascii="Times New Roman" w:hAnsi="Times New Roman"/>
              </w:rPr>
              <w:t xml:space="preserve">Network analysis of data from the Network Survey to identify </w:t>
            </w:r>
            <w:r w:rsidRPr="00DA6103">
              <w:rPr>
                <w:rFonts w:ascii="Times New Roman" w:hAnsi="Times New Roman"/>
              </w:rPr>
              <w:t>key network players (e.g., broker</w:t>
            </w:r>
            <w:r>
              <w:rPr>
                <w:rFonts w:ascii="Times New Roman" w:hAnsi="Times New Roman"/>
              </w:rPr>
              <w:t>s</w:t>
            </w:r>
            <w:r w:rsidRPr="00DA6103">
              <w:rPr>
                <w:rFonts w:ascii="Times New Roman" w:hAnsi="Times New Roman"/>
              </w:rPr>
              <w:t>, leaders)</w:t>
            </w:r>
            <w:r>
              <w:rPr>
                <w:rFonts w:ascii="Times New Roman" w:hAnsi="Times New Roman"/>
              </w:rPr>
              <w:t xml:space="preserve"> and their contributions to HS, and examine how well CANs function </w:t>
            </w:r>
            <w:r w:rsidRPr="00D8009E">
              <w:rPr>
                <w:rFonts w:ascii="Times New Roman" w:hAnsi="Times New Roman"/>
              </w:rPr>
              <w:t>(e.g., low, medium, high</w:t>
            </w:r>
            <w:r>
              <w:rPr>
                <w:rFonts w:ascii="Times New Roman" w:hAnsi="Times New Roman"/>
              </w:rPr>
              <w:t>).</w:t>
            </w:r>
          </w:p>
          <w:p w:rsidR="0008621F" w:rsidP="0008621F" w14:paraId="00999895" w14:textId="77777777">
            <w:pPr>
              <w:pStyle w:val="TX-TableText"/>
              <w:rPr>
                <w:rFonts w:ascii="Times New Roman" w:hAnsi="Times New Roman"/>
              </w:rPr>
            </w:pPr>
          </w:p>
          <w:p w:rsidR="0008621F" w:rsidP="0008621F" w14:paraId="1F7F4527" w14:textId="77777777">
            <w:pPr>
              <w:pStyle w:val="TX-TableText"/>
              <w:rPr>
                <w:rFonts w:ascii="Times New Roman" w:hAnsi="Times New Roman"/>
              </w:rPr>
            </w:pPr>
            <w:r>
              <w:rPr>
                <w:rFonts w:ascii="Times New Roman" w:hAnsi="Times New Roman"/>
              </w:rPr>
              <w:t>C</w:t>
            </w:r>
            <w:r w:rsidRPr="00DA6103">
              <w:rPr>
                <w:rFonts w:ascii="Times New Roman" w:hAnsi="Times New Roman"/>
              </w:rPr>
              <w:t xml:space="preserve">ontent analysis </w:t>
            </w:r>
            <w:r>
              <w:rPr>
                <w:rFonts w:ascii="Times New Roman" w:hAnsi="Times New Roman"/>
              </w:rPr>
              <w:t>of data from the interviews to identify types of specific community efforts and</w:t>
            </w:r>
            <w:r w:rsidRPr="00DA6103">
              <w:rPr>
                <w:rFonts w:ascii="Times New Roman" w:hAnsi="Times New Roman"/>
              </w:rPr>
              <w:t xml:space="preserve"> contributions of the CAN to HS.</w:t>
            </w:r>
          </w:p>
          <w:p w:rsidR="0008621F" w:rsidRPr="001F18D6" w:rsidP="0008621F" w14:paraId="708CA569" w14:textId="77777777">
            <w:pPr>
              <w:pStyle w:val="TX-TableText"/>
              <w:rPr>
                <w:sz w:val="18"/>
                <w:szCs w:val="18"/>
              </w:rPr>
            </w:pPr>
          </w:p>
        </w:tc>
      </w:tr>
      <w:tr w14:paraId="436549F5" w14:textId="77777777" w:rsidTr="0008621F">
        <w:tblPrEx>
          <w:tblW w:w="5150" w:type="pct"/>
          <w:tblInd w:w="-5" w:type="dxa"/>
          <w:tblLayout w:type="fixed"/>
          <w:tblLook w:val="04A0"/>
        </w:tblPrEx>
        <w:trPr>
          <w:cantSplit w:val="0"/>
        </w:trPr>
        <w:tc>
          <w:tcPr>
            <w:tcW w:w="887" w:type="pct"/>
            <w:vAlign w:val="center"/>
            <w:hideMark/>
          </w:tcPr>
          <w:p w:rsidR="0008621F" w:rsidRPr="0022639B" w:rsidP="0008621F" w14:paraId="03E3FCE6" w14:textId="77777777">
            <w:pPr>
              <w:pStyle w:val="TX-TableText"/>
              <w:rPr>
                <w:rFonts w:ascii="Times New Roman" w:hAnsi="Times New Roman"/>
                <w:b/>
              </w:rPr>
            </w:pPr>
            <w:r w:rsidRPr="0022639B">
              <w:rPr>
                <w:rFonts w:ascii="Times New Roman" w:hAnsi="Times New Roman"/>
                <w:b/>
              </w:rPr>
              <w:t>Implementation</w:t>
            </w:r>
          </w:p>
        </w:tc>
        <w:tc>
          <w:tcPr>
            <w:tcW w:w="1356" w:type="pct"/>
            <w:hideMark/>
          </w:tcPr>
          <w:p w:rsidR="0008621F" w:rsidRPr="0022639B" w:rsidP="0008621F" w14:paraId="5C69A891" w14:textId="2EDB7DD1">
            <w:pPr>
              <w:pStyle w:val="TX-TableText"/>
              <w:rPr>
                <w:rFonts w:ascii="Times New Roman" w:hAnsi="Times New Roman"/>
              </w:rPr>
            </w:pPr>
            <w:r>
              <w:rPr>
                <w:rFonts w:ascii="Times New Roman" w:hAnsi="Times New Roman"/>
              </w:rPr>
              <w:t>5</w:t>
            </w:r>
            <w:r w:rsidR="009650EE">
              <w:rPr>
                <w:rFonts w:ascii="Times New Roman" w:hAnsi="Times New Roman"/>
              </w:rPr>
              <w:t xml:space="preserve"> </w:t>
            </w:r>
            <w:r>
              <w:rPr>
                <w:rFonts w:ascii="Times New Roman" w:hAnsi="Times New Roman"/>
              </w:rPr>
              <w:t xml:space="preserve">c. </w:t>
            </w:r>
            <w:r w:rsidRPr="0022639B">
              <w:rPr>
                <w:rFonts w:ascii="Times New Roman" w:hAnsi="Times New Roman"/>
              </w:rPr>
              <w:t>How extensively do local HS programs actively participate in, engage with, and contribute to their state public health and other programs, policies</w:t>
            </w:r>
            <w:r>
              <w:rPr>
                <w:rFonts w:ascii="Times New Roman" w:hAnsi="Times New Roman"/>
              </w:rPr>
              <w:t>,</w:t>
            </w:r>
            <w:r w:rsidRPr="0022639B">
              <w:rPr>
                <w:rFonts w:ascii="Times New Roman" w:hAnsi="Times New Roman"/>
              </w:rPr>
              <w:t xml:space="preserve"> and how sustainable are these efforts?</w:t>
            </w:r>
          </w:p>
          <w:p w:rsidR="0008621F" w:rsidRPr="0022639B" w:rsidP="0008621F" w14:paraId="5C74B889" w14:textId="77777777">
            <w:pPr>
              <w:pStyle w:val="TX-TableText"/>
              <w:rPr>
                <w:rFonts w:ascii="Times New Roman" w:hAnsi="Times New Roman"/>
              </w:rPr>
            </w:pPr>
          </w:p>
          <w:p w:rsidR="0008621F" w:rsidRPr="0022639B" w:rsidP="0008621F" w14:paraId="04D85543" w14:textId="77777777">
            <w:pPr>
              <w:pStyle w:val="TX-TableText"/>
              <w:rPr>
                <w:rFonts w:ascii="Times New Roman" w:hAnsi="Times New Roman"/>
              </w:rPr>
            </w:pPr>
          </w:p>
        </w:tc>
        <w:tc>
          <w:tcPr>
            <w:tcW w:w="609" w:type="pct"/>
            <w:shd w:val="clear" w:color="auto" w:fill="FFFFFF" w:themeFill="background1"/>
            <w:hideMark/>
          </w:tcPr>
          <w:p w:rsidR="0008621F" w:rsidRPr="0022639B" w:rsidP="0008621F" w14:paraId="7A4B979F" w14:textId="2A690071">
            <w:pPr>
              <w:pStyle w:val="TX-TableText"/>
              <w:rPr>
                <w:rFonts w:ascii="Times New Roman" w:hAnsi="Times New Roman"/>
              </w:rPr>
            </w:pPr>
            <w:r w:rsidRPr="0022639B">
              <w:rPr>
                <w:rFonts w:ascii="Times New Roman" w:hAnsi="Times New Roman"/>
              </w:rPr>
              <w:t>Program Survey</w:t>
            </w:r>
            <w:r w:rsidR="005B49D8">
              <w:rPr>
                <w:rFonts w:ascii="Times New Roman" w:hAnsi="Times New Roman"/>
              </w:rPr>
              <w:t xml:space="preserve"> – all 101 grantees</w:t>
            </w:r>
          </w:p>
        </w:tc>
        <w:tc>
          <w:tcPr>
            <w:tcW w:w="2148" w:type="pct"/>
            <w:shd w:val="clear" w:color="auto" w:fill="FFFFFF" w:themeFill="background1"/>
          </w:tcPr>
          <w:p w:rsidR="0008621F" w:rsidRPr="00DA6103" w:rsidP="0008621F" w14:paraId="41049603" w14:textId="5982E9FE">
            <w:pPr>
              <w:pStyle w:val="TX-TableText"/>
              <w:rPr>
                <w:rFonts w:ascii="Times New Roman" w:hAnsi="Times New Roman"/>
              </w:rPr>
            </w:pPr>
            <w:r w:rsidRPr="006716CD">
              <w:rPr>
                <w:rFonts w:ascii="Times New Roman" w:hAnsi="Times New Roman"/>
              </w:rPr>
              <w:t>Descriptive statistical analysis</w:t>
            </w:r>
            <w:r>
              <w:rPr>
                <w:rFonts w:ascii="Times New Roman" w:hAnsi="Times New Roman"/>
              </w:rPr>
              <w:t xml:space="preserve"> of the data from the survey to identify the</w:t>
            </w:r>
            <w:r w:rsidRPr="00DA6103">
              <w:rPr>
                <w:rFonts w:ascii="Times New Roman" w:hAnsi="Times New Roman"/>
              </w:rPr>
              <w:t xml:space="preserve"> maternal and child </w:t>
            </w:r>
            <w:r>
              <w:rPr>
                <w:rFonts w:ascii="Times New Roman" w:hAnsi="Times New Roman"/>
              </w:rPr>
              <w:t xml:space="preserve">programs, services and policies </w:t>
            </w:r>
            <w:r w:rsidRPr="00DA6103">
              <w:rPr>
                <w:rFonts w:ascii="Times New Roman" w:hAnsi="Times New Roman"/>
              </w:rPr>
              <w:t xml:space="preserve">in </w:t>
            </w:r>
            <w:r>
              <w:rPr>
                <w:rFonts w:ascii="Times New Roman" w:hAnsi="Times New Roman"/>
              </w:rPr>
              <w:t xml:space="preserve">the HS </w:t>
            </w:r>
            <w:r w:rsidRPr="00DA6103">
              <w:rPr>
                <w:rFonts w:ascii="Times New Roman" w:hAnsi="Times New Roman"/>
              </w:rPr>
              <w:t>communit</w:t>
            </w:r>
            <w:r>
              <w:rPr>
                <w:rFonts w:ascii="Times New Roman" w:hAnsi="Times New Roman"/>
              </w:rPr>
              <w:t>ies (</w:t>
            </w:r>
            <w:r w:rsidRPr="00D24641">
              <w:rPr>
                <w:rFonts w:ascii="Times New Roman" w:hAnsi="Times New Roman"/>
              </w:rPr>
              <w:t>e.g., fetal, infant and maternal mortality review committees, Title V, Medicaid</w:t>
            </w:r>
            <w:r>
              <w:rPr>
                <w:rFonts w:ascii="Times New Roman" w:hAnsi="Times New Roman"/>
              </w:rPr>
              <w:t xml:space="preserve">), how </w:t>
            </w:r>
            <w:r w:rsidRPr="00DA6103">
              <w:rPr>
                <w:rFonts w:ascii="Times New Roman" w:hAnsi="Times New Roman"/>
              </w:rPr>
              <w:t xml:space="preserve">HS </w:t>
            </w:r>
            <w:r>
              <w:rPr>
                <w:rFonts w:ascii="Times New Roman" w:hAnsi="Times New Roman"/>
              </w:rPr>
              <w:t xml:space="preserve">is </w:t>
            </w:r>
            <w:r w:rsidRPr="00DA6103">
              <w:rPr>
                <w:rFonts w:ascii="Times New Roman" w:hAnsi="Times New Roman"/>
              </w:rPr>
              <w:t xml:space="preserve">represented in these </w:t>
            </w:r>
            <w:r>
              <w:rPr>
                <w:rFonts w:ascii="Times New Roman" w:hAnsi="Times New Roman"/>
              </w:rPr>
              <w:t>initiatives (e.g., committee memberships and attendance at meetings), and how data are shared and used across these initiatives.</w:t>
            </w:r>
            <w:r w:rsidR="00FB01FC">
              <w:rPr>
                <w:rFonts w:ascii="Times New Roman" w:hAnsi="Times New Roman"/>
              </w:rPr>
              <w:t xml:space="preserve"> </w:t>
            </w:r>
            <w:r>
              <w:rPr>
                <w:rFonts w:ascii="Times New Roman" w:hAnsi="Times New Roman"/>
              </w:rPr>
              <w:t xml:space="preserve"> </w:t>
            </w:r>
          </w:p>
          <w:p w:rsidR="0008621F" w:rsidRPr="006716CD" w:rsidP="0008621F" w14:paraId="67FBD69E" w14:textId="77777777">
            <w:pPr>
              <w:pStyle w:val="TX-TableText"/>
              <w:rPr>
                <w:rFonts w:ascii="Times New Roman" w:hAnsi="Times New Roman"/>
              </w:rPr>
            </w:pPr>
          </w:p>
        </w:tc>
      </w:tr>
      <w:tr w14:paraId="2B3E32E0" w14:textId="77777777" w:rsidTr="0008621F">
        <w:tblPrEx>
          <w:tblW w:w="5150" w:type="pct"/>
          <w:tblInd w:w="-5" w:type="dxa"/>
          <w:tblLayout w:type="fixed"/>
          <w:tblLook w:val="04A0"/>
        </w:tblPrEx>
        <w:trPr>
          <w:cantSplit w:val="0"/>
        </w:trPr>
        <w:tc>
          <w:tcPr>
            <w:tcW w:w="5000" w:type="pct"/>
            <w:gridSpan w:val="4"/>
            <w:tcBorders>
              <w:top w:val="single" w:sz="4" w:space="0" w:color="auto"/>
              <w:left w:val="single" w:sz="4" w:space="0" w:color="auto"/>
              <w:right w:val="single" w:sz="4" w:space="0" w:color="auto"/>
            </w:tcBorders>
            <w:shd w:val="clear" w:color="auto" w:fill="EEECE1" w:themeFill="background2"/>
          </w:tcPr>
          <w:p w:rsidR="0008621F" w:rsidRPr="000E33F4" w:rsidP="00F865AC" w14:paraId="40D7A0BC" w14:textId="61CFBAD5">
            <w:pPr>
              <w:pStyle w:val="TX-TableText"/>
              <w:keepNext/>
              <w:keepLines/>
              <w:numPr>
                <w:ilvl w:val="0"/>
                <w:numId w:val="46"/>
              </w:numPr>
              <w:rPr>
                <w:rFonts w:ascii="Times New Roman" w:hAnsi="Times New Roman"/>
                <w:b/>
              </w:rPr>
            </w:pPr>
            <w:r w:rsidRPr="000E33F4">
              <w:rPr>
                <w:rFonts w:ascii="Times New Roman" w:hAnsi="Times New Roman"/>
                <w:b/>
              </w:rPr>
              <w:t xml:space="preserve">Evaluation Question: To what extent do local HS programs engage in activities aimed at advancing health equity and addressing the social determinants of health in their communities? </w:t>
            </w:r>
          </w:p>
        </w:tc>
      </w:tr>
      <w:tr w14:paraId="5522AAF5" w14:textId="77777777" w:rsidTr="0008621F">
        <w:tblPrEx>
          <w:tblW w:w="5150" w:type="pct"/>
          <w:tblInd w:w="-5" w:type="dxa"/>
          <w:tblLayout w:type="fixed"/>
          <w:tblLook w:val="04A0"/>
        </w:tblPrEx>
        <w:trPr>
          <w:cantSplit w:val="0"/>
        </w:trPr>
        <w:tc>
          <w:tcPr>
            <w:tcW w:w="887" w:type="pct"/>
            <w:vAlign w:val="center"/>
            <w:hideMark/>
          </w:tcPr>
          <w:p w:rsidR="0008621F" w:rsidRPr="0022639B" w:rsidP="0008621F" w14:paraId="0C328868" w14:textId="77777777">
            <w:pPr>
              <w:pStyle w:val="TX-TableText"/>
              <w:rPr>
                <w:rFonts w:ascii="Times New Roman" w:hAnsi="Times New Roman"/>
              </w:rPr>
            </w:pPr>
            <w:r w:rsidRPr="0022639B">
              <w:rPr>
                <w:rFonts w:ascii="Times New Roman" w:hAnsi="Times New Roman"/>
                <w:b/>
              </w:rPr>
              <w:t>Transformative</w:t>
            </w:r>
            <w:r w:rsidRPr="0022639B">
              <w:rPr>
                <w:rFonts w:ascii="Times New Roman" w:hAnsi="Times New Roman"/>
              </w:rPr>
              <w:t xml:space="preserve"> </w:t>
            </w:r>
          </w:p>
        </w:tc>
        <w:tc>
          <w:tcPr>
            <w:tcW w:w="1356" w:type="pct"/>
            <w:hideMark/>
          </w:tcPr>
          <w:p w:rsidR="0008621F" w:rsidRPr="0022639B" w:rsidP="0008621F" w14:paraId="09A7A6C5" w14:textId="3C94CAEF">
            <w:pPr>
              <w:pStyle w:val="TX-TableText"/>
              <w:rPr>
                <w:rFonts w:ascii="Times New Roman" w:hAnsi="Times New Roman"/>
              </w:rPr>
            </w:pPr>
            <w:r>
              <w:rPr>
                <w:rFonts w:ascii="Times New Roman" w:hAnsi="Times New Roman"/>
              </w:rPr>
              <w:t>6</w:t>
            </w:r>
            <w:r w:rsidR="009650EE">
              <w:rPr>
                <w:rFonts w:ascii="Times New Roman" w:hAnsi="Times New Roman"/>
              </w:rPr>
              <w:t xml:space="preserve"> </w:t>
            </w:r>
            <w:r>
              <w:rPr>
                <w:rFonts w:ascii="Times New Roman" w:hAnsi="Times New Roman"/>
              </w:rPr>
              <w:t xml:space="preserve">a. </w:t>
            </w:r>
            <w:r w:rsidRPr="0022639B">
              <w:rPr>
                <w:rFonts w:ascii="Times New Roman" w:hAnsi="Times New Roman"/>
              </w:rPr>
              <w:t>How do local HS programs define health equity?</w:t>
            </w:r>
          </w:p>
          <w:p w:rsidR="0008621F" w:rsidRPr="0022639B" w:rsidP="0008621F" w14:paraId="7FB594C0" w14:textId="77777777">
            <w:pPr>
              <w:pStyle w:val="TX-TableText"/>
              <w:rPr>
                <w:rFonts w:ascii="Times New Roman" w:hAnsi="Times New Roman"/>
              </w:rPr>
            </w:pPr>
          </w:p>
          <w:p w:rsidR="0008621F" w:rsidRPr="0022639B" w:rsidP="0008621F" w14:paraId="74188B00" w14:textId="77777777">
            <w:pPr>
              <w:pStyle w:val="TX-TableText"/>
              <w:rPr>
                <w:rFonts w:ascii="Times New Roman" w:hAnsi="Times New Roman"/>
              </w:rPr>
            </w:pPr>
          </w:p>
          <w:p w:rsidR="0008621F" w:rsidRPr="0022639B" w:rsidP="0008621F" w14:paraId="6C996593" w14:textId="06BF0D2C">
            <w:pPr>
              <w:pStyle w:val="TX-TableText"/>
              <w:rPr>
                <w:rFonts w:ascii="Times New Roman" w:hAnsi="Times New Roman"/>
              </w:rPr>
            </w:pPr>
            <w:r>
              <w:rPr>
                <w:rFonts w:ascii="Times New Roman" w:hAnsi="Times New Roman"/>
              </w:rPr>
              <w:t>6</w:t>
            </w:r>
            <w:r w:rsidR="009650EE">
              <w:rPr>
                <w:rFonts w:ascii="Times New Roman" w:hAnsi="Times New Roman"/>
              </w:rPr>
              <w:t xml:space="preserve"> </w:t>
            </w:r>
            <w:r>
              <w:rPr>
                <w:rFonts w:ascii="Times New Roman" w:hAnsi="Times New Roman"/>
              </w:rPr>
              <w:t>a</w:t>
            </w:r>
            <w:r w:rsidR="009650EE">
              <w:rPr>
                <w:rFonts w:ascii="Times New Roman" w:hAnsi="Times New Roman"/>
              </w:rPr>
              <w:t xml:space="preserve"> </w:t>
            </w:r>
            <w:r>
              <w:rPr>
                <w:rFonts w:ascii="Times New Roman" w:hAnsi="Times New Roman"/>
              </w:rPr>
              <w:t xml:space="preserve">i. </w:t>
            </w:r>
            <w:r w:rsidRPr="0022639B">
              <w:rPr>
                <w:rFonts w:ascii="Times New Roman" w:hAnsi="Times New Roman"/>
              </w:rPr>
              <w:t>What do HS sites do to address health equity for their staff, clients, and communities?</w:t>
            </w:r>
          </w:p>
        </w:tc>
        <w:tc>
          <w:tcPr>
            <w:tcW w:w="609" w:type="pct"/>
          </w:tcPr>
          <w:p w:rsidR="0008621F" w:rsidP="0008621F" w14:paraId="53DAABDE" w14:textId="6246A0D3">
            <w:pPr>
              <w:pStyle w:val="TX-TableText"/>
              <w:rPr>
                <w:rFonts w:ascii="Times New Roman" w:hAnsi="Times New Roman"/>
                <w:color w:val="000000" w:themeColor="text1"/>
              </w:rPr>
            </w:pPr>
            <w:r w:rsidRPr="0022639B">
              <w:rPr>
                <w:rFonts w:ascii="Times New Roman" w:hAnsi="Times New Roman"/>
                <w:color w:val="000000" w:themeColor="text1"/>
              </w:rPr>
              <w:t>Program Survey</w:t>
            </w:r>
            <w:r w:rsidR="005B49D8">
              <w:rPr>
                <w:rFonts w:ascii="Times New Roman" w:hAnsi="Times New Roman"/>
                <w:color w:val="000000" w:themeColor="text1"/>
              </w:rPr>
              <w:t xml:space="preserve"> – all 101 grantees</w:t>
            </w:r>
          </w:p>
          <w:p w:rsidR="0008621F" w:rsidP="0008621F" w14:paraId="07003A0B" w14:textId="77777777">
            <w:pPr>
              <w:pStyle w:val="TX-TableText"/>
              <w:rPr>
                <w:rFonts w:ascii="Times New Roman" w:hAnsi="Times New Roman"/>
                <w:color w:val="000000" w:themeColor="text1"/>
              </w:rPr>
            </w:pPr>
          </w:p>
          <w:p w:rsidR="0008621F" w:rsidP="0008621F" w14:paraId="2EBF7C08" w14:textId="7AF902ED">
            <w:pPr>
              <w:pStyle w:val="TX-TableText"/>
              <w:rPr>
                <w:rFonts w:ascii="Times New Roman" w:hAnsi="Times New Roman"/>
                <w:color w:val="000000" w:themeColor="text1"/>
              </w:rPr>
            </w:pPr>
            <w:r>
              <w:rPr>
                <w:rFonts w:ascii="Times New Roman" w:hAnsi="Times New Roman"/>
                <w:color w:val="000000" w:themeColor="text1"/>
              </w:rPr>
              <w:t>Participant Survey</w:t>
            </w:r>
            <w:r w:rsidR="005B49D8">
              <w:rPr>
                <w:rFonts w:ascii="Times New Roman" w:hAnsi="Times New Roman"/>
                <w:color w:val="000000" w:themeColor="text1"/>
              </w:rPr>
              <w:t xml:space="preserve"> – up to 15 grantees</w:t>
            </w:r>
          </w:p>
          <w:p w:rsidR="0008621F" w:rsidP="0008621F" w14:paraId="0306160D" w14:textId="77777777">
            <w:pPr>
              <w:pStyle w:val="TX-TableText"/>
              <w:rPr>
                <w:rFonts w:ascii="Times New Roman" w:hAnsi="Times New Roman"/>
                <w:color w:val="000000" w:themeColor="text1"/>
              </w:rPr>
            </w:pPr>
          </w:p>
          <w:p w:rsidR="0008621F" w:rsidP="0008621F" w14:paraId="1B88ADB8" w14:textId="77777777">
            <w:pPr>
              <w:pStyle w:val="TX-TableText"/>
              <w:rPr>
                <w:rFonts w:ascii="Times New Roman" w:hAnsi="Times New Roman"/>
                <w:color w:val="000000" w:themeColor="text1"/>
              </w:rPr>
            </w:pPr>
          </w:p>
          <w:p w:rsidR="0008621F" w:rsidP="0008621F" w14:paraId="657D19C6" w14:textId="77777777">
            <w:pPr>
              <w:pStyle w:val="TX-TableText"/>
              <w:rPr>
                <w:rFonts w:ascii="Times New Roman" w:hAnsi="Times New Roman"/>
                <w:color w:val="000000" w:themeColor="text1"/>
              </w:rPr>
            </w:pPr>
          </w:p>
          <w:p w:rsidR="0008621F" w:rsidP="0008621F" w14:paraId="0B52BF0A" w14:textId="77777777">
            <w:pPr>
              <w:pStyle w:val="TX-TableText"/>
              <w:rPr>
                <w:rFonts w:ascii="Times New Roman" w:hAnsi="Times New Roman"/>
                <w:color w:val="000000" w:themeColor="text1"/>
              </w:rPr>
            </w:pPr>
          </w:p>
          <w:p w:rsidR="0008621F" w:rsidP="0008621F" w14:paraId="00778AA6" w14:textId="77777777">
            <w:pPr>
              <w:pStyle w:val="TX-TableText"/>
              <w:rPr>
                <w:rFonts w:ascii="Times New Roman" w:hAnsi="Times New Roman"/>
                <w:color w:val="000000" w:themeColor="text1"/>
              </w:rPr>
            </w:pPr>
          </w:p>
          <w:p w:rsidR="0008621F" w:rsidP="0008621F" w14:paraId="050EB5A2" w14:textId="77777777">
            <w:pPr>
              <w:pStyle w:val="TX-TableText"/>
              <w:rPr>
                <w:rFonts w:ascii="Times New Roman" w:hAnsi="Times New Roman"/>
                <w:color w:val="000000" w:themeColor="text1"/>
              </w:rPr>
            </w:pPr>
          </w:p>
          <w:p w:rsidR="0008621F" w:rsidP="0008621F" w14:paraId="205ACB97" w14:textId="77777777">
            <w:pPr>
              <w:pStyle w:val="TX-TableText"/>
              <w:rPr>
                <w:rFonts w:ascii="Times New Roman" w:hAnsi="Times New Roman"/>
                <w:color w:val="000000" w:themeColor="text1"/>
              </w:rPr>
            </w:pPr>
          </w:p>
          <w:p w:rsidR="0008621F" w:rsidP="0008621F" w14:paraId="5641269F" w14:textId="23FFF78C">
            <w:pPr>
              <w:pStyle w:val="TX-TableText"/>
              <w:rPr>
                <w:rFonts w:ascii="Times New Roman" w:hAnsi="Times New Roman"/>
                <w:color w:val="000000" w:themeColor="text1"/>
              </w:rPr>
            </w:pPr>
            <w:r w:rsidRPr="0022639B">
              <w:rPr>
                <w:rFonts w:ascii="Times New Roman" w:hAnsi="Times New Roman"/>
                <w:color w:val="000000" w:themeColor="text1"/>
              </w:rPr>
              <w:t xml:space="preserve">Stakeholder Interviews </w:t>
            </w:r>
            <w:r w:rsidR="005B49D8">
              <w:rPr>
                <w:rFonts w:ascii="Times New Roman" w:hAnsi="Times New Roman"/>
                <w:color w:val="000000" w:themeColor="text1"/>
              </w:rPr>
              <w:t>– up to 15 grantees</w:t>
            </w:r>
          </w:p>
          <w:p w:rsidR="0008621F" w:rsidP="0008621F" w14:paraId="1C73763F" w14:textId="77777777">
            <w:pPr>
              <w:pStyle w:val="TX-TableText"/>
              <w:rPr>
                <w:rFonts w:ascii="Times New Roman" w:hAnsi="Times New Roman"/>
                <w:color w:val="000000" w:themeColor="text1"/>
              </w:rPr>
            </w:pPr>
          </w:p>
          <w:p w:rsidR="0008621F" w:rsidRPr="0022639B" w:rsidP="0008621F" w14:paraId="148C0DD4" w14:textId="77777777">
            <w:pPr>
              <w:pStyle w:val="TX-TableText"/>
              <w:rPr>
                <w:rFonts w:ascii="Times New Roman" w:hAnsi="Times New Roman"/>
                <w:color w:val="000000" w:themeColor="text1"/>
              </w:rPr>
            </w:pPr>
          </w:p>
          <w:p w:rsidR="0008621F" w:rsidRPr="0022639B" w:rsidP="0008621F" w14:paraId="5BFB47AB" w14:textId="77777777">
            <w:pPr>
              <w:pStyle w:val="TX-TableText"/>
              <w:rPr>
                <w:rFonts w:ascii="Times New Roman" w:hAnsi="Times New Roman"/>
                <w:color w:val="000000" w:themeColor="text1"/>
              </w:rPr>
            </w:pPr>
          </w:p>
        </w:tc>
        <w:tc>
          <w:tcPr>
            <w:tcW w:w="2148" w:type="pct"/>
          </w:tcPr>
          <w:p w:rsidR="0008621F" w:rsidP="0008621F" w14:paraId="51F95A2A" w14:textId="4F39E74B">
            <w:pPr>
              <w:pStyle w:val="TX-TableText"/>
              <w:rPr>
                <w:rFonts w:ascii="Times New Roman" w:hAnsi="Times New Roman"/>
              </w:rPr>
            </w:pPr>
            <w:r w:rsidRPr="005823E8">
              <w:rPr>
                <w:rFonts w:ascii="Times New Roman" w:hAnsi="Times New Roman"/>
                <w:color w:val="000000" w:themeColor="text1"/>
              </w:rPr>
              <w:t xml:space="preserve">Descriptive statistical analysis </w:t>
            </w:r>
            <w:r>
              <w:rPr>
                <w:rFonts w:ascii="Times New Roman" w:hAnsi="Times New Roman"/>
                <w:color w:val="000000" w:themeColor="text1"/>
              </w:rPr>
              <w:t xml:space="preserve">of data from each of the surveys </w:t>
            </w:r>
            <w:r w:rsidRPr="005823E8">
              <w:rPr>
                <w:rFonts w:ascii="Times New Roman" w:hAnsi="Times New Roman"/>
                <w:color w:val="000000" w:themeColor="text1"/>
              </w:rPr>
              <w:t>to identify healthy equity definitions used by the HS programs</w:t>
            </w:r>
            <w:r>
              <w:rPr>
                <w:rFonts w:ascii="Times New Roman" w:hAnsi="Times New Roman"/>
                <w:color w:val="000000" w:themeColor="text1"/>
              </w:rPr>
              <w:t xml:space="preserve">, the </w:t>
            </w:r>
            <w:r w:rsidRPr="005823E8">
              <w:rPr>
                <w:rFonts w:ascii="Times New Roman" w:hAnsi="Times New Roman"/>
                <w:color w:val="000000" w:themeColor="text1"/>
              </w:rPr>
              <w:t xml:space="preserve">variation in the definitions </w:t>
            </w:r>
            <w:r w:rsidRPr="005823E8">
              <w:rPr>
                <w:rFonts w:ascii="Times New Roman" w:hAnsi="Times New Roman"/>
              </w:rPr>
              <w:t>used across the HS programs</w:t>
            </w:r>
            <w:r>
              <w:rPr>
                <w:rFonts w:ascii="Times New Roman" w:hAnsi="Times New Roman"/>
              </w:rPr>
              <w:t xml:space="preserve">, </w:t>
            </w:r>
            <w:r w:rsidRPr="005823E8">
              <w:rPr>
                <w:rFonts w:ascii="Times New Roman" w:hAnsi="Times New Roman"/>
              </w:rPr>
              <w:t>HS efforts to address health equity (e.g., equity training</w:t>
            </w:r>
            <w:r>
              <w:rPr>
                <w:rFonts w:ascii="Times New Roman" w:hAnsi="Times New Roman"/>
              </w:rPr>
              <w:t>s;</w:t>
            </w:r>
            <w:r w:rsidRPr="005823E8">
              <w:rPr>
                <w:rFonts w:ascii="Times New Roman" w:hAnsi="Times New Roman"/>
              </w:rPr>
              <w:t xml:space="preserve"> diverse </w:t>
            </w:r>
            <w:r>
              <w:rPr>
                <w:rFonts w:ascii="Times New Roman" w:hAnsi="Times New Roman"/>
              </w:rPr>
              <w:t xml:space="preserve">HS </w:t>
            </w:r>
            <w:r w:rsidRPr="005823E8">
              <w:rPr>
                <w:rFonts w:ascii="Times New Roman" w:hAnsi="Times New Roman"/>
              </w:rPr>
              <w:t>workforce</w:t>
            </w:r>
            <w:r>
              <w:rPr>
                <w:rFonts w:ascii="Times New Roman" w:hAnsi="Times New Roman"/>
              </w:rPr>
              <w:t>;</w:t>
            </w:r>
            <w:r w:rsidRPr="005823E8">
              <w:rPr>
                <w:rFonts w:ascii="Times New Roman" w:hAnsi="Times New Roman"/>
              </w:rPr>
              <w:t xml:space="preserve"> program policies/procedures; participant services</w:t>
            </w:r>
            <w:r>
              <w:rPr>
                <w:rFonts w:ascii="Times New Roman" w:hAnsi="Times New Roman"/>
              </w:rPr>
              <w:t xml:space="preserve">; efforts to increase </w:t>
            </w:r>
            <w:r w:rsidRPr="005823E8">
              <w:rPr>
                <w:rFonts w:ascii="Times New Roman" w:hAnsi="Times New Roman"/>
              </w:rPr>
              <w:t>participants’ perceptions/</w:t>
            </w:r>
            <w:r>
              <w:rPr>
                <w:rFonts w:ascii="Times New Roman" w:hAnsi="Times New Roman"/>
              </w:rPr>
              <w:t xml:space="preserve"> </w:t>
            </w:r>
            <w:r w:rsidRPr="005823E8">
              <w:rPr>
                <w:rFonts w:ascii="Times New Roman" w:hAnsi="Times New Roman"/>
              </w:rPr>
              <w:t>satisfaction with respectful, non-discriminatory care from HS and the community</w:t>
            </w:r>
            <w:r>
              <w:rPr>
                <w:rFonts w:ascii="Times New Roman" w:hAnsi="Times New Roman"/>
              </w:rPr>
              <w:t>)</w:t>
            </w:r>
            <w:r w:rsidRPr="005823E8">
              <w:rPr>
                <w:rFonts w:ascii="Times New Roman" w:hAnsi="Times New Roman"/>
              </w:rPr>
              <w:t xml:space="preserve"> and other health equity </w:t>
            </w:r>
            <w:r>
              <w:rPr>
                <w:rFonts w:ascii="Times New Roman" w:hAnsi="Times New Roman"/>
              </w:rPr>
              <w:t>efforts raised by respondents.</w:t>
            </w:r>
            <w:r w:rsidR="00FB01FC">
              <w:rPr>
                <w:rFonts w:ascii="Times New Roman" w:hAnsi="Times New Roman"/>
              </w:rPr>
              <w:t xml:space="preserve"> </w:t>
            </w:r>
          </w:p>
          <w:p w:rsidR="0008621F" w:rsidP="0008621F" w14:paraId="6604DE70" w14:textId="77777777">
            <w:pPr>
              <w:pStyle w:val="TX-TableText"/>
              <w:rPr>
                <w:rFonts w:ascii="Times New Roman" w:hAnsi="Times New Roman"/>
                <w:color w:val="000000" w:themeColor="text1"/>
              </w:rPr>
            </w:pPr>
          </w:p>
          <w:p w:rsidR="0008621F" w:rsidP="0008621F" w14:paraId="63D65F14" w14:textId="77777777">
            <w:pPr>
              <w:pStyle w:val="TX-TableText"/>
              <w:rPr>
                <w:rFonts w:ascii="Times New Roman" w:hAnsi="Times New Roman"/>
              </w:rPr>
            </w:pPr>
            <w:r>
              <w:rPr>
                <w:rFonts w:ascii="Times New Roman" w:hAnsi="Times New Roman"/>
              </w:rPr>
              <w:t>Content analysis of data from the interviews to identify HS e</w:t>
            </w:r>
            <w:r w:rsidRPr="005823E8">
              <w:rPr>
                <w:rFonts w:ascii="Times New Roman" w:hAnsi="Times New Roman"/>
              </w:rPr>
              <w:t>fforts to address health equity (</w:t>
            </w:r>
            <w:r>
              <w:rPr>
                <w:rFonts w:ascii="Times New Roman" w:hAnsi="Times New Roman"/>
              </w:rPr>
              <w:t xml:space="preserve">See examples above). </w:t>
            </w:r>
          </w:p>
          <w:p w:rsidR="0008621F" w:rsidRPr="005823E8" w:rsidP="0008621F" w14:paraId="320A6DCA" w14:textId="77777777">
            <w:pPr>
              <w:pStyle w:val="TX-TableText"/>
              <w:rPr>
                <w:color w:val="000000" w:themeColor="text1"/>
                <w:sz w:val="18"/>
                <w:szCs w:val="18"/>
              </w:rPr>
            </w:pPr>
          </w:p>
        </w:tc>
      </w:tr>
      <w:tr w14:paraId="24B0A90D" w14:textId="77777777" w:rsidTr="0008621F">
        <w:tblPrEx>
          <w:tblW w:w="5150" w:type="pct"/>
          <w:tblInd w:w="-5" w:type="dxa"/>
          <w:tblLayout w:type="fixed"/>
          <w:tblLook w:val="04A0"/>
        </w:tblPrEx>
        <w:trPr>
          <w:cantSplit w:val="0"/>
          <w:trHeight w:val="5219"/>
        </w:trPr>
        <w:tc>
          <w:tcPr>
            <w:tcW w:w="887" w:type="pct"/>
            <w:vAlign w:val="center"/>
            <w:hideMark/>
          </w:tcPr>
          <w:p w:rsidR="0008621F" w:rsidRPr="0022639B" w:rsidP="0008621F" w14:paraId="2E056B45" w14:textId="77777777">
            <w:pPr>
              <w:pStyle w:val="TX-TableText"/>
              <w:rPr>
                <w:rFonts w:ascii="Times New Roman" w:hAnsi="Times New Roman"/>
              </w:rPr>
            </w:pPr>
            <w:r w:rsidRPr="0022639B">
              <w:rPr>
                <w:rFonts w:ascii="Times New Roman" w:hAnsi="Times New Roman"/>
                <w:b/>
              </w:rPr>
              <w:t>Transformative</w:t>
            </w:r>
          </w:p>
        </w:tc>
        <w:tc>
          <w:tcPr>
            <w:tcW w:w="1356" w:type="pct"/>
            <w:hideMark/>
          </w:tcPr>
          <w:p w:rsidR="0008621F" w:rsidRPr="0022639B" w:rsidP="0008621F" w14:paraId="20F10FFC" w14:textId="1FEE18AE">
            <w:pPr>
              <w:pStyle w:val="TX-TableText"/>
              <w:rPr>
                <w:rFonts w:ascii="Times New Roman" w:hAnsi="Times New Roman"/>
              </w:rPr>
            </w:pPr>
            <w:r>
              <w:rPr>
                <w:rFonts w:ascii="Times New Roman" w:hAnsi="Times New Roman"/>
              </w:rPr>
              <w:t>6</w:t>
            </w:r>
            <w:r w:rsidR="009650EE">
              <w:rPr>
                <w:rFonts w:ascii="Times New Roman" w:hAnsi="Times New Roman"/>
              </w:rPr>
              <w:t xml:space="preserve"> </w:t>
            </w:r>
            <w:r>
              <w:rPr>
                <w:rFonts w:ascii="Times New Roman" w:hAnsi="Times New Roman"/>
              </w:rPr>
              <w:t xml:space="preserve">b. </w:t>
            </w:r>
            <w:r w:rsidRPr="0022639B">
              <w:rPr>
                <w:rFonts w:ascii="Times New Roman" w:hAnsi="Times New Roman"/>
              </w:rPr>
              <w:t>To what extent do local HS programs participate organizationally in local community efforts that address health equity</w:t>
            </w:r>
            <w:r>
              <w:rPr>
                <w:rFonts w:ascii="Times New Roman" w:hAnsi="Times New Roman"/>
              </w:rPr>
              <w:t>?</w:t>
            </w:r>
            <w:r w:rsidRPr="0022639B">
              <w:rPr>
                <w:rFonts w:ascii="Times New Roman" w:hAnsi="Times New Roman"/>
              </w:rPr>
              <w:t xml:space="preserve"> </w:t>
            </w:r>
          </w:p>
          <w:p w:rsidR="0008621F" w:rsidRPr="0022639B" w:rsidP="0008621F" w14:paraId="5AFEE8D3" w14:textId="77777777">
            <w:pPr>
              <w:pStyle w:val="TX-TableText"/>
              <w:rPr>
                <w:rFonts w:ascii="Times New Roman" w:hAnsi="Times New Roman"/>
              </w:rPr>
            </w:pPr>
          </w:p>
          <w:p w:rsidR="0008621F" w:rsidRPr="0022639B" w:rsidP="0008621F" w14:paraId="0036BBED" w14:textId="2D9CC063">
            <w:pPr>
              <w:pStyle w:val="TX-TableText"/>
              <w:rPr>
                <w:rFonts w:ascii="Times New Roman" w:hAnsi="Times New Roman"/>
              </w:rPr>
            </w:pPr>
            <w:r>
              <w:rPr>
                <w:rFonts w:ascii="Times New Roman" w:hAnsi="Times New Roman"/>
              </w:rPr>
              <w:t>6</w:t>
            </w:r>
            <w:r w:rsidR="009650EE">
              <w:rPr>
                <w:rFonts w:ascii="Times New Roman" w:hAnsi="Times New Roman"/>
              </w:rPr>
              <w:t xml:space="preserve"> </w:t>
            </w:r>
            <w:r>
              <w:rPr>
                <w:rFonts w:ascii="Times New Roman" w:hAnsi="Times New Roman"/>
              </w:rPr>
              <w:t>b</w:t>
            </w:r>
            <w:r w:rsidR="009650EE">
              <w:rPr>
                <w:rFonts w:ascii="Times New Roman" w:hAnsi="Times New Roman"/>
              </w:rPr>
              <w:t xml:space="preserve"> </w:t>
            </w:r>
            <w:r>
              <w:rPr>
                <w:rFonts w:ascii="Times New Roman" w:hAnsi="Times New Roman"/>
              </w:rPr>
              <w:t xml:space="preserve">i. </w:t>
            </w:r>
            <w:r w:rsidRPr="0022639B">
              <w:rPr>
                <w:rFonts w:ascii="Times New Roman" w:hAnsi="Times New Roman"/>
              </w:rPr>
              <w:t xml:space="preserve">To what extent do HS programs participate organizationally in local community efforts </w:t>
            </w:r>
            <w:r>
              <w:rPr>
                <w:rFonts w:ascii="Times New Roman" w:hAnsi="Times New Roman"/>
              </w:rPr>
              <w:t xml:space="preserve">that </w:t>
            </w:r>
            <w:r w:rsidRPr="0022639B">
              <w:rPr>
                <w:rFonts w:ascii="Times New Roman" w:hAnsi="Times New Roman"/>
              </w:rPr>
              <w:t>address social determinants of health</w:t>
            </w:r>
            <w:r>
              <w:rPr>
                <w:rFonts w:ascii="Times New Roman" w:hAnsi="Times New Roman"/>
              </w:rPr>
              <w:t xml:space="preserve">? </w:t>
            </w:r>
          </w:p>
        </w:tc>
        <w:tc>
          <w:tcPr>
            <w:tcW w:w="609" w:type="pct"/>
            <w:hideMark/>
          </w:tcPr>
          <w:p w:rsidR="0008621F" w:rsidP="0008621F" w14:paraId="4ED41B55" w14:textId="622246B3">
            <w:pPr>
              <w:pStyle w:val="TX-TableText"/>
              <w:rPr>
                <w:rFonts w:ascii="Times New Roman" w:hAnsi="Times New Roman"/>
              </w:rPr>
            </w:pPr>
            <w:r w:rsidRPr="0022639B">
              <w:rPr>
                <w:rFonts w:ascii="Times New Roman" w:hAnsi="Times New Roman"/>
              </w:rPr>
              <w:t>Program Survey</w:t>
            </w:r>
            <w:r>
              <w:rPr>
                <w:rFonts w:ascii="Times New Roman" w:hAnsi="Times New Roman"/>
              </w:rPr>
              <w:t xml:space="preserve"> </w:t>
            </w:r>
            <w:r w:rsidR="005B49D8">
              <w:rPr>
                <w:rFonts w:ascii="Times New Roman" w:hAnsi="Times New Roman"/>
              </w:rPr>
              <w:t>– all 101 grantees</w:t>
            </w:r>
          </w:p>
          <w:p w:rsidR="0008621F" w:rsidP="0008621F" w14:paraId="3A297A7A" w14:textId="77777777">
            <w:pPr>
              <w:pStyle w:val="TX-TableText"/>
              <w:rPr>
                <w:rFonts w:ascii="Times New Roman" w:hAnsi="Times New Roman"/>
              </w:rPr>
            </w:pPr>
          </w:p>
          <w:p w:rsidR="0008621F" w:rsidP="0008621F" w14:paraId="644C6014" w14:textId="767B7BE6">
            <w:pPr>
              <w:pStyle w:val="TX-TableText"/>
              <w:rPr>
                <w:rFonts w:ascii="Times New Roman" w:hAnsi="Times New Roman"/>
              </w:rPr>
            </w:pPr>
            <w:r w:rsidRPr="0022639B">
              <w:rPr>
                <w:rFonts w:ascii="Times New Roman" w:hAnsi="Times New Roman"/>
              </w:rPr>
              <w:t>Network Survey</w:t>
            </w:r>
            <w:r w:rsidR="005B49D8">
              <w:rPr>
                <w:rFonts w:ascii="Times New Roman" w:hAnsi="Times New Roman"/>
              </w:rPr>
              <w:t xml:space="preserve"> – up to 15 grantees</w:t>
            </w:r>
          </w:p>
          <w:p w:rsidR="0008621F" w:rsidP="0008621F" w14:paraId="610EBD39" w14:textId="77777777">
            <w:pPr>
              <w:pStyle w:val="TX-TableText"/>
              <w:rPr>
                <w:rFonts w:ascii="Times New Roman" w:hAnsi="Times New Roman"/>
              </w:rPr>
            </w:pPr>
          </w:p>
          <w:p w:rsidR="0008621F" w:rsidP="0008621F" w14:paraId="0D7E2B5F" w14:textId="77777777">
            <w:pPr>
              <w:pStyle w:val="TX-TableText"/>
              <w:rPr>
                <w:rFonts w:ascii="Times New Roman" w:hAnsi="Times New Roman"/>
              </w:rPr>
            </w:pPr>
          </w:p>
          <w:p w:rsidR="0008621F" w:rsidP="0008621F" w14:paraId="3C52920F" w14:textId="77777777">
            <w:pPr>
              <w:pStyle w:val="TX-TableText"/>
              <w:rPr>
                <w:rFonts w:ascii="Times New Roman" w:hAnsi="Times New Roman"/>
              </w:rPr>
            </w:pPr>
          </w:p>
          <w:p w:rsidR="0008621F" w:rsidP="0008621F" w14:paraId="5C25B843" w14:textId="77777777">
            <w:pPr>
              <w:pStyle w:val="TX-TableText"/>
              <w:rPr>
                <w:rFonts w:ascii="Times New Roman" w:hAnsi="Times New Roman"/>
              </w:rPr>
            </w:pPr>
          </w:p>
          <w:p w:rsidR="0008621F" w:rsidP="0008621F" w14:paraId="2E1ABF2D" w14:textId="0E329F7D">
            <w:pPr>
              <w:pStyle w:val="TX-TableText"/>
              <w:rPr>
                <w:rFonts w:ascii="Times New Roman" w:hAnsi="Times New Roman"/>
              </w:rPr>
            </w:pPr>
            <w:r w:rsidRPr="0022639B">
              <w:rPr>
                <w:rFonts w:ascii="Times New Roman" w:hAnsi="Times New Roman"/>
              </w:rPr>
              <w:t xml:space="preserve">Stakeholder Interviews </w:t>
            </w:r>
            <w:r w:rsidR="005B49D8">
              <w:rPr>
                <w:rFonts w:ascii="Times New Roman" w:hAnsi="Times New Roman"/>
              </w:rPr>
              <w:t>– up to 15 grantees</w:t>
            </w:r>
          </w:p>
          <w:p w:rsidR="0008621F" w:rsidRPr="0022639B" w:rsidP="0008621F" w14:paraId="5324FD35" w14:textId="77777777">
            <w:pPr>
              <w:pStyle w:val="TX-TableText"/>
              <w:rPr>
                <w:rFonts w:ascii="Times New Roman" w:hAnsi="Times New Roman"/>
              </w:rPr>
            </w:pPr>
          </w:p>
        </w:tc>
        <w:tc>
          <w:tcPr>
            <w:tcW w:w="2148" w:type="pct"/>
          </w:tcPr>
          <w:p w:rsidR="0008621F" w:rsidP="0008621F" w14:paraId="4D12CE9E" w14:textId="77777777">
            <w:pPr>
              <w:pStyle w:val="TX-TableText"/>
              <w:rPr>
                <w:rFonts w:ascii="Times New Roman" w:hAnsi="Times New Roman"/>
              </w:rPr>
            </w:pPr>
            <w:r w:rsidRPr="006716CD">
              <w:rPr>
                <w:rFonts w:ascii="Times New Roman" w:hAnsi="Times New Roman"/>
              </w:rPr>
              <w:t>Descriptive statistical analysis</w:t>
            </w:r>
            <w:r>
              <w:rPr>
                <w:rFonts w:ascii="Times New Roman" w:hAnsi="Times New Roman"/>
              </w:rPr>
              <w:t xml:space="preserve"> of the surveys </w:t>
            </w:r>
          </w:p>
          <w:p w:rsidR="0008621F" w:rsidP="0008621F" w14:paraId="658D609B" w14:textId="55583F5A">
            <w:pPr>
              <w:pStyle w:val="TX-TableText"/>
              <w:rPr>
                <w:rFonts w:ascii="Times New Roman" w:hAnsi="Times New Roman"/>
              </w:rPr>
            </w:pPr>
            <w:r>
              <w:rPr>
                <w:rFonts w:ascii="Times New Roman" w:hAnsi="Times New Roman"/>
              </w:rPr>
              <w:t>to identify the number</w:t>
            </w:r>
            <w:r w:rsidRPr="0022639B">
              <w:rPr>
                <w:rFonts w:ascii="Times New Roman" w:hAnsi="Times New Roman"/>
              </w:rPr>
              <w:t xml:space="preserve"> and type</w:t>
            </w:r>
            <w:r>
              <w:rPr>
                <w:rFonts w:ascii="Times New Roman" w:hAnsi="Times New Roman"/>
              </w:rPr>
              <w:t>s</w:t>
            </w:r>
            <w:r w:rsidRPr="0022639B">
              <w:rPr>
                <w:rFonts w:ascii="Times New Roman" w:hAnsi="Times New Roman"/>
              </w:rPr>
              <w:t xml:space="preserve"> of </w:t>
            </w:r>
            <w:r>
              <w:rPr>
                <w:rFonts w:ascii="Times New Roman" w:hAnsi="Times New Roman"/>
              </w:rPr>
              <w:t>local community efforts that the HS programs participate in that address health equity topics (</w:t>
            </w:r>
            <w:r w:rsidRPr="0022639B">
              <w:rPr>
                <w:rFonts w:ascii="Times New Roman" w:hAnsi="Times New Roman"/>
              </w:rPr>
              <w:t>e.g., structural and implicit bias and unequal treatment)</w:t>
            </w:r>
            <w:r>
              <w:rPr>
                <w:rFonts w:ascii="Times New Roman" w:hAnsi="Times New Roman"/>
              </w:rPr>
              <w:t>, SDoH topics (</w:t>
            </w:r>
            <w:r w:rsidRPr="0022639B">
              <w:rPr>
                <w:rFonts w:ascii="Times New Roman" w:hAnsi="Times New Roman"/>
              </w:rPr>
              <w:t xml:space="preserve">e.g., transportation, housing, food, recreation, environmental issues, immigration, </w:t>
            </w:r>
            <w:r>
              <w:rPr>
                <w:rFonts w:ascii="Times New Roman" w:hAnsi="Times New Roman"/>
              </w:rPr>
              <w:t>and new federal programs such as the Rescue Plan), and satisfaction with participation in these efforts.</w:t>
            </w:r>
            <w:r w:rsidR="00FB01FC">
              <w:rPr>
                <w:rFonts w:ascii="Times New Roman" w:hAnsi="Times New Roman"/>
              </w:rPr>
              <w:t xml:space="preserve"> </w:t>
            </w:r>
          </w:p>
          <w:p w:rsidR="0008621F" w:rsidP="0008621F" w14:paraId="7BC01902" w14:textId="77777777">
            <w:pPr>
              <w:pStyle w:val="TX-TableText"/>
              <w:rPr>
                <w:rFonts w:ascii="Times New Roman" w:hAnsi="Times New Roman"/>
              </w:rPr>
            </w:pPr>
          </w:p>
          <w:p w:rsidR="0008621F" w:rsidP="0008621F" w14:paraId="138C67DA" w14:textId="77777777">
            <w:pPr>
              <w:pStyle w:val="TX-TableText"/>
              <w:rPr>
                <w:rFonts w:ascii="Times New Roman" w:hAnsi="Times New Roman"/>
              </w:rPr>
            </w:pPr>
            <w:r>
              <w:rPr>
                <w:rFonts w:ascii="Times New Roman" w:hAnsi="Times New Roman"/>
              </w:rPr>
              <w:t xml:space="preserve">Content analysis of data from the interviews to </w:t>
            </w:r>
          </w:p>
          <w:p w:rsidR="0008621F" w:rsidP="0008621F" w14:paraId="0C78CF12" w14:textId="05181BE5">
            <w:pPr>
              <w:pStyle w:val="TX-TableText"/>
              <w:rPr>
                <w:rFonts w:ascii="Times New Roman" w:hAnsi="Times New Roman"/>
              </w:rPr>
            </w:pPr>
            <w:r>
              <w:rPr>
                <w:rFonts w:ascii="Times New Roman" w:hAnsi="Times New Roman"/>
              </w:rPr>
              <w:t>to identify the number</w:t>
            </w:r>
            <w:r w:rsidRPr="0022639B">
              <w:rPr>
                <w:rFonts w:ascii="Times New Roman" w:hAnsi="Times New Roman"/>
              </w:rPr>
              <w:t xml:space="preserve"> and type</w:t>
            </w:r>
            <w:r>
              <w:rPr>
                <w:rFonts w:ascii="Times New Roman" w:hAnsi="Times New Roman"/>
              </w:rPr>
              <w:t>s</w:t>
            </w:r>
            <w:r w:rsidRPr="0022639B">
              <w:rPr>
                <w:rFonts w:ascii="Times New Roman" w:hAnsi="Times New Roman"/>
              </w:rPr>
              <w:t xml:space="preserve"> of </w:t>
            </w:r>
            <w:r>
              <w:rPr>
                <w:rFonts w:ascii="Times New Roman" w:hAnsi="Times New Roman"/>
              </w:rPr>
              <w:t>local community efforts that the HS programs participate in that address health equity and SDoH topics (See examples above), and</w:t>
            </w:r>
            <w:r w:rsidR="00FB01FC">
              <w:rPr>
                <w:rFonts w:ascii="Times New Roman" w:hAnsi="Times New Roman"/>
              </w:rPr>
              <w:t xml:space="preserve"> </w:t>
            </w:r>
          </w:p>
          <w:p w:rsidR="0008621F" w:rsidRPr="001F18D6" w:rsidP="0008621F" w14:paraId="11AC93D9" w14:textId="77777777">
            <w:pPr>
              <w:pStyle w:val="TX-TableText"/>
              <w:rPr>
                <w:sz w:val="18"/>
                <w:szCs w:val="18"/>
              </w:rPr>
            </w:pPr>
            <w:r>
              <w:rPr>
                <w:rFonts w:ascii="Times New Roman" w:hAnsi="Times New Roman"/>
              </w:rPr>
              <w:t>satisfaction with participation in these efforts.</w:t>
            </w:r>
          </w:p>
        </w:tc>
      </w:tr>
    </w:tbl>
    <w:p w:rsidR="0008621F" w:rsidP="7435F173" w14:paraId="5662070F" w14:textId="56F39A9C">
      <w:pPr>
        <w:tabs>
          <w:tab w:val="left" w:pos="450"/>
        </w:tabs>
        <w:rPr>
          <w:sz w:val="24"/>
        </w:rPr>
      </w:pPr>
    </w:p>
    <w:p w:rsidR="004B081D" w:rsidRPr="005F026E" w:rsidP="7435F173" w14:paraId="1E947B65" w14:textId="004C250E">
      <w:pPr>
        <w:tabs>
          <w:tab w:val="left" w:pos="450"/>
        </w:tabs>
        <w:rPr>
          <w:sz w:val="24"/>
        </w:rPr>
      </w:pPr>
      <w:r w:rsidRPr="00CB20D1">
        <w:rPr>
          <w:sz w:val="24"/>
        </w:rPr>
        <w:t xml:space="preserve">The four new data collection instruments included in this statement and submitted for OMB clearance reflect feedback from MCHB and the information collected in pilot testing. </w:t>
      </w:r>
      <w:r w:rsidRPr="7435F173" w:rsidR="49E84EFE">
        <w:rPr>
          <w:sz w:val="24"/>
        </w:rPr>
        <w:t>F</w:t>
      </w:r>
      <w:r w:rsidRPr="7435F173" w:rsidR="23365336">
        <w:rPr>
          <w:sz w:val="24"/>
        </w:rPr>
        <w:t xml:space="preserve">urther information about the instruments </w:t>
      </w:r>
      <w:r w:rsidRPr="7435F173" w:rsidR="4CD678C2">
        <w:rPr>
          <w:sz w:val="24"/>
        </w:rPr>
        <w:t xml:space="preserve">is </w:t>
      </w:r>
      <w:r w:rsidRPr="7435F173" w:rsidR="23365336">
        <w:rPr>
          <w:sz w:val="24"/>
        </w:rPr>
        <w:t>described below</w:t>
      </w:r>
      <w:r w:rsidR="009E3286">
        <w:rPr>
          <w:sz w:val="24"/>
        </w:rPr>
        <w:t>,</w:t>
      </w:r>
      <w:r w:rsidR="00F80009">
        <w:rPr>
          <w:sz w:val="24"/>
        </w:rPr>
        <w:t xml:space="preserve"> and information about their sampling methodologies are described in Table A.2</w:t>
      </w:r>
      <w:r w:rsidRPr="7435F173" w:rsidR="13B1A0FB">
        <w:rPr>
          <w:sz w:val="24"/>
        </w:rPr>
        <w:t xml:space="preserve">. </w:t>
      </w:r>
    </w:p>
    <w:p w:rsidR="009F378D" w:rsidRPr="005F026E" w:rsidP="008847E8" w14:paraId="28E0AD80" w14:textId="77777777">
      <w:pPr>
        <w:tabs>
          <w:tab w:val="left" w:pos="0"/>
          <w:tab w:val="left" w:pos="450"/>
        </w:tabs>
        <w:spacing w:after="120"/>
        <w:rPr>
          <w:b/>
          <w:bCs/>
          <w:sz w:val="24"/>
        </w:rPr>
      </w:pPr>
    </w:p>
    <w:p w:rsidR="009F378D" w:rsidRPr="005F026E" w:rsidP="7435F173" w14:paraId="3F6B6918" w14:textId="2DD520E4">
      <w:pPr>
        <w:widowControl/>
        <w:rPr>
          <w:sz w:val="24"/>
        </w:rPr>
      </w:pPr>
      <w:r w:rsidRPr="7435F173">
        <w:rPr>
          <w:b/>
          <w:bCs/>
          <w:sz w:val="24"/>
        </w:rPr>
        <w:t xml:space="preserve">The </w:t>
      </w:r>
      <w:r w:rsidRPr="7435F173" w:rsidR="3A6106D0">
        <w:rPr>
          <w:b/>
          <w:bCs/>
          <w:sz w:val="24"/>
        </w:rPr>
        <w:t>Healthy Start Program Survey</w:t>
      </w:r>
      <w:r w:rsidRPr="7435F173" w:rsidR="1F14B0CA">
        <w:rPr>
          <w:sz w:val="24"/>
        </w:rPr>
        <w:t xml:space="preserve"> </w:t>
      </w:r>
      <w:r w:rsidRPr="7435F173" w:rsidR="3A6106D0">
        <w:rPr>
          <w:sz w:val="24"/>
        </w:rPr>
        <w:t xml:space="preserve">was designed to collect information </w:t>
      </w:r>
      <w:r w:rsidRPr="7435F173" w:rsidR="7ADF4648">
        <w:rPr>
          <w:sz w:val="24"/>
        </w:rPr>
        <w:t xml:space="preserve">about program implementation and transformation from all </w:t>
      </w:r>
      <w:r w:rsidRPr="7435F173" w:rsidR="3A6106D0">
        <w:rPr>
          <w:sz w:val="24"/>
        </w:rPr>
        <w:t>101 grantee programs</w:t>
      </w:r>
      <w:r w:rsidRPr="7435F173" w:rsidR="7ADF4648">
        <w:rPr>
          <w:sz w:val="24"/>
        </w:rPr>
        <w:t xml:space="preserve">. For the implementation component of the programs, the following information will be collected: capacity and staffing; services provided; </w:t>
      </w:r>
      <w:r w:rsidRPr="7435F173" w:rsidR="5DB2C398">
        <w:rPr>
          <w:sz w:val="24"/>
        </w:rPr>
        <w:t xml:space="preserve">activities related to </w:t>
      </w:r>
      <w:r w:rsidRPr="7435F173" w:rsidR="5DB2C398">
        <w:rPr>
          <w:color w:val="000000" w:themeColor="text1"/>
          <w:sz w:val="24"/>
        </w:rPr>
        <w:t xml:space="preserve">targeted Healthy Start initiatives, including fatherhood, maternal health, and the Community Action Network </w:t>
      </w:r>
      <w:r w:rsidRPr="7435F173" w:rsidR="3C761112">
        <w:rPr>
          <w:color w:val="000000" w:themeColor="text1"/>
          <w:sz w:val="24"/>
        </w:rPr>
        <w:t>(</w:t>
      </w:r>
      <w:r w:rsidRPr="7435F173" w:rsidR="5DB2C398">
        <w:rPr>
          <w:color w:val="000000" w:themeColor="text1"/>
          <w:sz w:val="24"/>
        </w:rPr>
        <w:t xml:space="preserve">CAN); programs’ definitions of high-risk </w:t>
      </w:r>
      <w:r w:rsidRPr="7435F173" w:rsidR="6F55F4A6">
        <w:rPr>
          <w:color w:val="000000" w:themeColor="text1"/>
          <w:sz w:val="24"/>
        </w:rPr>
        <w:t xml:space="preserve">status </w:t>
      </w:r>
      <w:r w:rsidRPr="7435F173" w:rsidR="5DB2C398">
        <w:rPr>
          <w:color w:val="000000" w:themeColor="text1"/>
          <w:sz w:val="24"/>
        </w:rPr>
        <w:t>for Healthy Start participants; staff, participant</w:t>
      </w:r>
      <w:r w:rsidRPr="7435F173" w:rsidR="6F55F4A6">
        <w:rPr>
          <w:color w:val="000000" w:themeColor="text1"/>
          <w:sz w:val="24"/>
        </w:rPr>
        <w:t>,</w:t>
      </w:r>
      <w:r w:rsidRPr="7435F173" w:rsidR="5DB2C398">
        <w:rPr>
          <w:color w:val="000000" w:themeColor="text1"/>
          <w:sz w:val="24"/>
        </w:rPr>
        <w:t xml:space="preserve"> and community challenges; b</w:t>
      </w:r>
      <w:r w:rsidRPr="7435F173" w:rsidR="7ADF4648">
        <w:rPr>
          <w:color w:val="000000" w:themeColor="text1"/>
          <w:sz w:val="24"/>
        </w:rPr>
        <w:t>enchmark quality improvement activities</w:t>
      </w:r>
      <w:r w:rsidRPr="7435F173" w:rsidR="5DB2C398">
        <w:rPr>
          <w:color w:val="000000" w:themeColor="text1"/>
          <w:sz w:val="24"/>
        </w:rPr>
        <w:t>; r</w:t>
      </w:r>
      <w:r w:rsidRPr="7435F173" w:rsidR="7ADF4648">
        <w:rPr>
          <w:color w:val="000000" w:themeColor="text1"/>
          <w:sz w:val="24"/>
        </w:rPr>
        <w:t>eferrals to community services</w:t>
      </w:r>
      <w:r w:rsidRPr="7435F173" w:rsidR="5DB2C398">
        <w:rPr>
          <w:color w:val="000000" w:themeColor="text1"/>
          <w:sz w:val="24"/>
        </w:rPr>
        <w:t xml:space="preserve">; </w:t>
      </w:r>
      <w:r w:rsidRPr="7435F173" w:rsidR="3D76439E">
        <w:rPr>
          <w:color w:val="000000" w:themeColor="text1"/>
          <w:sz w:val="24"/>
        </w:rPr>
        <w:t xml:space="preserve">and </w:t>
      </w:r>
      <w:r w:rsidRPr="7435F173" w:rsidR="5DB2C398">
        <w:rPr>
          <w:color w:val="000000" w:themeColor="text1"/>
          <w:sz w:val="24"/>
        </w:rPr>
        <w:t>l</w:t>
      </w:r>
      <w:r w:rsidRPr="7435F173" w:rsidR="7ADF4648">
        <w:rPr>
          <w:color w:val="000000" w:themeColor="text1"/>
          <w:sz w:val="24"/>
        </w:rPr>
        <w:t>ocal and state collaborations</w:t>
      </w:r>
      <w:r w:rsidRPr="7435F173" w:rsidR="23365336">
        <w:rPr>
          <w:color w:val="000000" w:themeColor="text1"/>
          <w:sz w:val="24"/>
        </w:rPr>
        <w:t xml:space="preserve"> with Healthy Start and in the Healthy Start communities</w:t>
      </w:r>
      <w:r w:rsidRPr="7435F173" w:rsidR="5DB2C398">
        <w:rPr>
          <w:color w:val="000000" w:themeColor="text1"/>
          <w:sz w:val="24"/>
        </w:rPr>
        <w:t>. For the t</w:t>
      </w:r>
      <w:r w:rsidRPr="7435F173" w:rsidR="7ADF4648">
        <w:rPr>
          <w:color w:val="000000" w:themeColor="text1"/>
          <w:sz w:val="24"/>
        </w:rPr>
        <w:t>ransformative</w:t>
      </w:r>
      <w:r w:rsidRPr="7435F173" w:rsidR="5DB2C398">
        <w:rPr>
          <w:color w:val="000000" w:themeColor="text1"/>
          <w:sz w:val="24"/>
        </w:rPr>
        <w:t xml:space="preserve"> </w:t>
      </w:r>
      <w:r w:rsidRPr="7435F173" w:rsidR="37284648">
        <w:rPr>
          <w:color w:val="000000" w:themeColor="text1"/>
          <w:sz w:val="24"/>
        </w:rPr>
        <w:t xml:space="preserve">program </w:t>
      </w:r>
      <w:r w:rsidRPr="7435F173" w:rsidR="5DB2C398">
        <w:rPr>
          <w:color w:val="000000" w:themeColor="text1"/>
          <w:sz w:val="24"/>
        </w:rPr>
        <w:t>component</w:t>
      </w:r>
      <w:r w:rsidRPr="7435F173" w:rsidR="37284648">
        <w:rPr>
          <w:color w:val="000000" w:themeColor="text1"/>
          <w:sz w:val="24"/>
        </w:rPr>
        <w:t xml:space="preserve">, </w:t>
      </w:r>
      <w:r w:rsidRPr="7435F173" w:rsidR="51B51A5E">
        <w:rPr>
          <w:color w:val="000000" w:themeColor="text1"/>
          <w:sz w:val="24"/>
        </w:rPr>
        <w:t>information will be collected about h</w:t>
      </w:r>
      <w:r w:rsidRPr="7435F173" w:rsidR="7ADF4648">
        <w:rPr>
          <w:color w:val="000000" w:themeColor="text1"/>
          <w:sz w:val="24"/>
        </w:rPr>
        <w:t>ow H</w:t>
      </w:r>
      <w:r w:rsidRPr="7435F173" w:rsidR="23365336">
        <w:rPr>
          <w:color w:val="000000" w:themeColor="text1"/>
          <w:sz w:val="24"/>
        </w:rPr>
        <w:t xml:space="preserve">ealthy </w:t>
      </w:r>
      <w:r w:rsidRPr="7435F173" w:rsidR="7ADF4648">
        <w:rPr>
          <w:color w:val="000000" w:themeColor="text1"/>
          <w:sz w:val="24"/>
        </w:rPr>
        <w:t>S</w:t>
      </w:r>
      <w:r w:rsidRPr="7435F173" w:rsidR="23365336">
        <w:rPr>
          <w:color w:val="000000" w:themeColor="text1"/>
          <w:sz w:val="24"/>
        </w:rPr>
        <w:t>tart program</w:t>
      </w:r>
      <w:r w:rsidRPr="7435F173" w:rsidR="26637D6A">
        <w:rPr>
          <w:color w:val="000000" w:themeColor="text1"/>
          <w:sz w:val="24"/>
        </w:rPr>
        <w:t>s</w:t>
      </w:r>
      <w:r w:rsidRPr="7435F173" w:rsidR="23365336">
        <w:rPr>
          <w:color w:val="000000" w:themeColor="text1"/>
          <w:sz w:val="24"/>
        </w:rPr>
        <w:t xml:space="preserve"> </w:t>
      </w:r>
      <w:r w:rsidRPr="7435F173" w:rsidR="7ADF4648">
        <w:rPr>
          <w:color w:val="000000" w:themeColor="text1"/>
          <w:sz w:val="24"/>
        </w:rPr>
        <w:t>address health equity</w:t>
      </w:r>
      <w:r w:rsidRPr="7435F173" w:rsidR="783563FE">
        <w:rPr>
          <w:color w:val="000000" w:themeColor="text1"/>
          <w:sz w:val="24"/>
        </w:rPr>
        <w:t xml:space="preserve"> and social determinants of health</w:t>
      </w:r>
      <w:r w:rsidRPr="7435F173" w:rsidR="7ADF4648">
        <w:rPr>
          <w:color w:val="000000" w:themeColor="text1"/>
          <w:sz w:val="24"/>
        </w:rPr>
        <w:t xml:space="preserve"> </w:t>
      </w:r>
      <w:r w:rsidRPr="7435F173" w:rsidR="51B51A5E">
        <w:rPr>
          <w:color w:val="000000" w:themeColor="text1"/>
          <w:sz w:val="24"/>
        </w:rPr>
        <w:t xml:space="preserve">for </w:t>
      </w:r>
      <w:r w:rsidRPr="7435F173" w:rsidR="26637D6A">
        <w:rPr>
          <w:color w:val="000000" w:themeColor="text1"/>
          <w:sz w:val="24"/>
        </w:rPr>
        <w:t xml:space="preserve">their </w:t>
      </w:r>
      <w:r w:rsidRPr="7435F173" w:rsidR="7ADF4648">
        <w:rPr>
          <w:color w:val="000000" w:themeColor="text1"/>
          <w:sz w:val="24"/>
        </w:rPr>
        <w:t>staff</w:t>
      </w:r>
      <w:r w:rsidRPr="7435F173" w:rsidR="51B51A5E">
        <w:rPr>
          <w:color w:val="000000" w:themeColor="text1"/>
          <w:sz w:val="24"/>
        </w:rPr>
        <w:t xml:space="preserve"> and participants, </w:t>
      </w:r>
      <w:r w:rsidRPr="7435F173" w:rsidR="7C62C689">
        <w:rPr>
          <w:color w:val="000000" w:themeColor="text1"/>
          <w:sz w:val="24"/>
        </w:rPr>
        <w:t xml:space="preserve">as well as </w:t>
      </w:r>
      <w:r w:rsidRPr="7435F173" w:rsidR="51B51A5E">
        <w:rPr>
          <w:color w:val="000000" w:themeColor="text1"/>
          <w:sz w:val="24"/>
        </w:rPr>
        <w:t>within the CANs; o</w:t>
      </w:r>
      <w:r w:rsidRPr="7435F173" w:rsidR="7ADF4648">
        <w:rPr>
          <w:color w:val="000000" w:themeColor="text1"/>
          <w:sz w:val="24"/>
        </w:rPr>
        <w:t xml:space="preserve">ther </w:t>
      </w:r>
      <w:r w:rsidRPr="7435F173" w:rsidR="2F2D79BF">
        <w:rPr>
          <w:color w:val="000000" w:themeColor="text1"/>
          <w:sz w:val="24"/>
        </w:rPr>
        <w:t xml:space="preserve">community and state </w:t>
      </w:r>
      <w:r w:rsidRPr="7435F173" w:rsidR="7ADF4648">
        <w:rPr>
          <w:color w:val="000000" w:themeColor="text1"/>
          <w:sz w:val="24"/>
        </w:rPr>
        <w:t xml:space="preserve">health equity-related activities </w:t>
      </w:r>
      <w:r w:rsidRPr="7435F173" w:rsidR="5E07CE1C">
        <w:rPr>
          <w:color w:val="000000" w:themeColor="text1"/>
          <w:sz w:val="24"/>
        </w:rPr>
        <w:t xml:space="preserve">in which </w:t>
      </w:r>
      <w:r w:rsidRPr="7435F173" w:rsidR="51B51A5E">
        <w:rPr>
          <w:color w:val="000000" w:themeColor="text1"/>
          <w:sz w:val="24"/>
        </w:rPr>
        <w:t xml:space="preserve">the programs </w:t>
      </w:r>
      <w:r w:rsidRPr="7435F173" w:rsidR="7ADF4648">
        <w:rPr>
          <w:color w:val="000000" w:themeColor="text1"/>
          <w:sz w:val="24"/>
        </w:rPr>
        <w:t>participate</w:t>
      </w:r>
      <w:r w:rsidRPr="7435F173" w:rsidR="51B51A5E">
        <w:rPr>
          <w:color w:val="000000" w:themeColor="text1"/>
          <w:sz w:val="24"/>
        </w:rPr>
        <w:t>; and p</w:t>
      </w:r>
      <w:r w:rsidRPr="7435F173" w:rsidR="7ADF4648">
        <w:rPr>
          <w:color w:val="000000" w:themeColor="text1"/>
          <w:sz w:val="24"/>
        </w:rPr>
        <w:t>erceptions of the program</w:t>
      </w:r>
      <w:r w:rsidRPr="7435F173" w:rsidR="0A82229B">
        <w:rPr>
          <w:color w:val="000000" w:themeColor="text1"/>
          <w:sz w:val="24"/>
        </w:rPr>
        <w:t xml:space="preserve"> </w:t>
      </w:r>
      <w:r w:rsidRPr="7435F173" w:rsidR="7ADF4648">
        <w:rPr>
          <w:color w:val="000000" w:themeColor="text1"/>
          <w:sz w:val="24"/>
        </w:rPr>
        <w:t xml:space="preserve">and clinical </w:t>
      </w:r>
      <w:r w:rsidRPr="7435F173" w:rsidR="260552E0">
        <w:rPr>
          <w:color w:val="000000" w:themeColor="text1"/>
          <w:sz w:val="24"/>
        </w:rPr>
        <w:t xml:space="preserve">services </w:t>
      </w:r>
      <w:r w:rsidRPr="7435F173" w:rsidR="7ADF4648">
        <w:rPr>
          <w:color w:val="000000" w:themeColor="text1"/>
          <w:sz w:val="24"/>
        </w:rPr>
        <w:t xml:space="preserve">related to respectful, non-discriminatory care for </w:t>
      </w:r>
      <w:r w:rsidRPr="7435F173" w:rsidR="37284648">
        <w:rPr>
          <w:color w:val="000000" w:themeColor="text1"/>
          <w:sz w:val="24"/>
        </w:rPr>
        <w:t>H</w:t>
      </w:r>
      <w:r w:rsidRPr="7435F173" w:rsidR="51B51A5E">
        <w:rPr>
          <w:color w:val="000000" w:themeColor="text1"/>
          <w:sz w:val="24"/>
        </w:rPr>
        <w:t>ealthy Start participants.</w:t>
      </w:r>
      <w:r w:rsidRPr="7435F173" w:rsidR="37284648">
        <w:rPr>
          <w:color w:val="000000" w:themeColor="text1"/>
          <w:sz w:val="24"/>
        </w:rPr>
        <w:t xml:space="preserve"> The survey wil</w:t>
      </w:r>
      <w:r w:rsidRPr="7435F173" w:rsidR="42627466">
        <w:rPr>
          <w:color w:val="000000" w:themeColor="text1"/>
          <w:sz w:val="24"/>
        </w:rPr>
        <w:t>l be sent to the Healthy Start p</w:t>
      </w:r>
      <w:r w:rsidRPr="7435F173" w:rsidR="37284648">
        <w:rPr>
          <w:color w:val="000000" w:themeColor="text1"/>
          <w:sz w:val="24"/>
        </w:rPr>
        <w:t xml:space="preserve">rogram </w:t>
      </w:r>
      <w:r w:rsidRPr="7435F173" w:rsidR="42627466">
        <w:rPr>
          <w:color w:val="000000" w:themeColor="text1"/>
          <w:sz w:val="24"/>
        </w:rPr>
        <w:t>d</w:t>
      </w:r>
      <w:r w:rsidRPr="7435F173" w:rsidR="024C07C7">
        <w:rPr>
          <w:sz w:val="24"/>
        </w:rPr>
        <w:t>irectors</w:t>
      </w:r>
      <w:r w:rsidRPr="7435F173" w:rsidR="37284648">
        <w:rPr>
          <w:sz w:val="24"/>
        </w:rPr>
        <w:t xml:space="preserve">, but it is expected that the directors </w:t>
      </w:r>
      <w:r w:rsidRPr="7435F173" w:rsidR="024C07C7">
        <w:rPr>
          <w:sz w:val="24"/>
        </w:rPr>
        <w:t>may delegate sections of the survey to other Healthy Start staff</w:t>
      </w:r>
      <w:r w:rsidRPr="7435F173" w:rsidR="7EF51E5D">
        <w:rPr>
          <w:sz w:val="24"/>
        </w:rPr>
        <w:t xml:space="preserve"> members</w:t>
      </w:r>
      <w:r w:rsidRPr="7435F173" w:rsidR="5F3DBF14">
        <w:rPr>
          <w:sz w:val="24"/>
        </w:rPr>
        <w:t>.</w:t>
      </w:r>
      <w:r w:rsidRPr="7435F173" w:rsidR="024C07C7">
        <w:rPr>
          <w:sz w:val="24"/>
        </w:rPr>
        <w:t xml:space="preserve"> The survey is designed for self-administration</w:t>
      </w:r>
      <w:r w:rsidRPr="7435F173" w:rsidR="37284648">
        <w:rPr>
          <w:sz w:val="24"/>
        </w:rPr>
        <w:t xml:space="preserve">. The </w:t>
      </w:r>
      <w:r w:rsidRPr="7435F173" w:rsidR="26637D6A">
        <w:rPr>
          <w:sz w:val="24"/>
        </w:rPr>
        <w:t xml:space="preserve">survey </w:t>
      </w:r>
      <w:r w:rsidRPr="7435F173" w:rsidR="37284648">
        <w:rPr>
          <w:sz w:val="24"/>
        </w:rPr>
        <w:t xml:space="preserve">tool will allow </w:t>
      </w:r>
      <w:r w:rsidRPr="7435F173" w:rsidR="024C07C7">
        <w:rPr>
          <w:sz w:val="24"/>
        </w:rPr>
        <w:t>the respondent</w:t>
      </w:r>
      <w:r w:rsidRPr="7435F173" w:rsidR="37284648">
        <w:rPr>
          <w:sz w:val="24"/>
        </w:rPr>
        <w:t xml:space="preserve">s </w:t>
      </w:r>
      <w:r w:rsidRPr="7435F173" w:rsidR="024C07C7">
        <w:rPr>
          <w:sz w:val="24"/>
        </w:rPr>
        <w:t xml:space="preserve">to </w:t>
      </w:r>
      <w:r w:rsidRPr="7435F173" w:rsidR="37284648">
        <w:rPr>
          <w:sz w:val="24"/>
        </w:rPr>
        <w:t>complete the</w:t>
      </w:r>
      <w:r w:rsidRPr="7435F173" w:rsidR="47248119">
        <w:rPr>
          <w:sz w:val="24"/>
        </w:rPr>
        <w:t xml:space="preserve"> </w:t>
      </w:r>
      <w:r w:rsidRPr="7435F173" w:rsidR="024C07C7">
        <w:rPr>
          <w:sz w:val="24"/>
        </w:rPr>
        <w:t xml:space="preserve">survey </w:t>
      </w:r>
      <w:r w:rsidRPr="7435F173" w:rsidR="7EF51E5D">
        <w:rPr>
          <w:sz w:val="24"/>
        </w:rPr>
        <w:t xml:space="preserve">over </w:t>
      </w:r>
      <w:r w:rsidRPr="7435F173" w:rsidR="37284648">
        <w:rPr>
          <w:sz w:val="24"/>
        </w:rPr>
        <w:t xml:space="preserve">multiple sessions. </w:t>
      </w:r>
      <w:r w:rsidRPr="7435F173" w:rsidR="024C07C7">
        <w:rPr>
          <w:sz w:val="24"/>
        </w:rPr>
        <w:t>Healthy Start pro</w:t>
      </w:r>
      <w:r w:rsidRPr="7435F173" w:rsidR="7EF51E5D">
        <w:rPr>
          <w:sz w:val="24"/>
        </w:rPr>
        <w:t xml:space="preserve">grams </w:t>
      </w:r>
      <w:r w:rsidRPr="7435F173" w:rsidR="024C07C7">
        <w:rPr>
          <w:sz w:val="24"/>
        </w:rPr>
        <w:t>will be asked to complete the survey once</w:t>
      </w:r>
      <w:r w:rsidRPr="7435F173" w:rsidR="47248119">
        <w:rPr>
          <w:sz w:val="24"/>
        </w:rPr>
        <w:t xml:space="preserve"> </w:t>
      </w:r>
      <w:r w:rsidRPr="7435F173" w:rsidR="1D518BBA">
        <w:rPr>
          <w:sz w:val="24"/>
        </w:rPr>
        <w:t xml:space="preserve">in Year </w:t>
      </w:r>
      <w:r w:rsidRPr="7435F173" w:rsidR="2226F753">
        <w:rPr>
          <w:sz w:val="24"/>
        </w:rPr>
        <w:t>2</w:t>
      </w:r>
      <w:r w:rsidRPr="7435F173" w:rsidR="79C3136D">
        <w:rPr>
          <w:sz w:val="24"/>
        </w:rPr>
        <w:t xml:space="preserve"> </w:t>
      </w:r>
      <w:r w:rsidRPr="7435F173" w:rsidR="1D518BBA">
        <w:rPr>
          <w:sz w:val="24"/>
        </w:rPr>
        <w:t>of the evaluation. T</w:t>
      </w:r>
      <w:r w:rsidRPr="7435F173" w:rsidR="3A6106D0">
        <w:rPr>
          <w:sz w:val="24"/>
        </w:rPr>
        <w:t xml:space="preserve">he information collected in the survey will </w:t>
      </w:r>
      <w:r w:rsidRPr="7435F173" w:rsidR="34241393">
        <w:rPr>
          <w:sz w:val="24"/>
        </w:rPr>
        <w:t xml:space="preserve">enable </w:t>
      </w:r>
      <w:r w:rsidRPr="7435F173" w:rsidR="4AE96E6F">
        <w:rPr>
          <w:sz w:val="24"/>
        </w:rPr>
        <w:t>assessment of grantee activities such that efforts can be initiated to assis</w:t>
      </w:r>
      <w:r w:rsidRPr="7435F173" w:rsidR="3B660C0A">
        <w:rPr>
          <w:sz w:val="24"/>
        </w:rPr>
        <w:t xml:space="preserve">t them in </w:t>
      </w:r>
      <w:r w:rsidRPr="7435F173" w:rsidR="1AB87EA3">
        <w:rPr>
          <w:sz w:val="24"/>
        </w:rPr>
        <w:t xml:space="preserve">improving </w:t>
      </w:r>
      <w:r w:rsidRPr="7435F173" w:rsidR="3A6106D0">
        <w:rPr>
          <w:sz w:val="24"/>
        </w:rPr>
        <w:t>assess</w:t>
      </w:r>
      <w:r w:rsidRPr="7435F173" w:rsidR="0871D603">
        <w:rPr>
          <w:sz w:val="24"/>
        </w:rPr>
        <w:t>ment of</w:t>
      </w:r>
      <w:r w:rsidRPr="7435F173" w:rsidR="3A6106D0">
        <w:rPr>
          <w:sz w:val="24"/>
        </w:rPr>
        <w:t xml:space="preserve"> risk, identif</w:t>
      </w:r>
      <w:r w:rsidRPr="7435F173" w:rsidR="7A0AF13B">
        <w:rPr>
          <w:sz w:val="24"/>
        </w:rPr>
        <w:t>ication of</w:t>
      </w:r>
      <w:r w:rsidRPr="7435F173" w:rsidR="3A6106D0">
        <w:rPr>
          <w:sz w:val="24"/>
        </w:rPr>
        <w:t xml:space="preserve"> needed services, </w:t>
      </w:r>
      <w:r w:rsidRPr="7435F173" w:rsidR="3A6106D0">
        <w:rPr>
          <w:sz w:val="24"/>
        </w:rPr>
        <w:t>provi</w:t>
      </w:r>
      <w:r w:rsidRPr="7435F173" w:rsidR="4AF4B700">
        <w:rPr>
          <w:sz w:val="24"/>
        </w:rPr>
        <w:t>sion of</w:t>
      </w:r>
      <w:r w:rsidRPr="7435F173" w:rsidR="3A6106D0">
        <w:rPr>
          <w:sz w:val="24"/>
        </w:rPr>
        <w:t xml:space="preserve"> </w:t>
      </w:r>
      <w:r w:rsidRPr="7435F173" w:rsidR="47248119">
        <w:rPr>
          <w:sz w:val="24"/>
        </w:rPr>
        <w:t xml:space="preserve">needed </w:t>
      </w:r>
      <w:r w:rsidRPr="7435F173" w:rsidR="421BF6C2">
        <w:rPr>
          <w:sz w:val="24"/>
        </w:rPr>
        <w:t xml:space="preserve">services and </w:t>
      </w:r>
      <w:r w:rsidRPr="7435F173" w:rsidR="3A6106D0">
        <w:rPr>
          <w:sz w:val="24"/>
        </w:rPr>
        <w:t>activities to program participants,</w:t>
      </w:r>
      <w:r w:rsidRPr="7435F173" w:rsidR="47248119">
        <w:rPr>
          <w:sz w:val="24"/>
        </w:rPr>
        <w:t xml:space="preserve"> </w:t>
      </w:r>
      <w:r w:rsidRPr="7435F173" w:rsidR="3A6106D0">
        <w:rPr>
          <w:sz w:val="24"/>
        </w:rPr>
        <w:t xml:space="preserve">and overall service delivery and </w:t>
      </w:r>
      <w:r w:rsidRPr="7435F173" w:rsidR="47248119">
        <w:rPr>
          <w:sz w:val="24"/>
        </w:rPr>
        <w:t xml:space="preserve">strengthen the programs’ activities. </w:t>
      </w:r>
    </w:p>
    <w:p w:rsidR="00CA1952" w:rsidRPr="005F026E" w:rsidP="00CA1952" w14:paraId="391E83D4" w14:textId="62B41E7A">
      <w:pPr>
        <w:pStyle w:val="Bullet"/>
        <w:numPr>
          <w:ilvl w:val="0"/>
          <w:numId w:val="0"/>
        </w:numPr>
        <w:ind w:left="432" w:hanging="432"/>
      </w:pPr>
    </w:p>
    <w:p w:rsidR="00BA7BA9" w:rsidRPr="005F026E" w:rsidP="7435F173" w14:paraId="74DA1E35" w14:textId="11188755">
      <w:pPr>
        <w:widowControl/>
        <w:rPr>
          <w:sz w:val="24"/>
        </w:rPr>
      </w:pPr>
      <w:r w:rsidRPr="7435F173">
        <w:rPr>
          <w:b/>
          <w:bCs/>
          <w:sz w:val="24"/>
        </w:rPr>
        <w:t xml:space="preserve">The </w:t>
      </w:r>
      <w:r w:rsidRPr="7435F173" w:rsidR="3A6106D0">
        <w:rPr>
          <w:b/>
          <w:bCs/>
          <w:sz w:val="24"/>
        </w:rPr>
        <w:t>Healthy Start Network Survey</w:t>
      </w:r>
      <w:r w:rsidRPr="7435F173">
        <w:rPr>
          <w:sz w:val="24"/>
        </w:rPr>
        <w:t xml:space="preserve"> </w:t>
      </w:r>
      <w:r w:rsidRPr="7435F173" w:rsidR="3A6106D0">
        <w:rPr>
          <w:sz w:val="24"/>
        </w:rPr>
        <w:t xml:space="preserve">focuses on understanding the participation of community </w:t>
      </w:r>
      <w:r w:rsidRPr="007B5118" w:rsidR="3A6106D0">
        <w:rPr>
          <w:sz w:val="24"/>
        </w:rPr>
        <w:t xml:space="preserve">organizations/ groups in the Healthy Start CANs and collaborations within the CANs </w:t>
      </w:r>
      <w:r w:rsidRPr="007B5118" w:rsidR="024C07C7">
        <w:rPr>
          <w:sz w:val="24"/>
        </w:rPr>
        <w:t xml:space="preserve">and Healthy Start communities </w:t>
      </w:r>
      <w:r w:rsidRPr="007B5118" w:rsidR="3A6106D0">
        <w:rPr>
          <w:sz w:val="24"/>
        </w:rPr>
        <w:t>to improve maternal, infant</w:t>
      </w:r>
      <w:r w:rsidRPr="007B5118" w:rsidR="3333EA71">
        <w:rPr>
          <w:sz w:val="24"/>
        </w:rPr>
        <w:t>,</w:t>
      </w:r>
      <w:r w:rsidRPr="007B5118" w:rsidR="3A6106D0">
        <w:rPr>
          <w:sz w:val="24"/>
        </w:rPr>
        <w:t xml:space="preserve"> and family </w:t>
      </w:r>
      <w:r w:rsidRPr="007B5118" w:rsidR="26637D6A">
        <w:rPr>
          <w:sz w:val="24"/>
        </w:rPr>
        <w:t xml:space="preserve">health </w:t>
      </w:r>
      <w:r w:rsidRPr="007B5118" w:rsidR="3A6106D0">
        <w:rPr>
          <w:sz w:val="24"/>
        </w:rPr>
        <w:t>outcomes</w:t>
      </w:r>
      <w:r w:rsidRPr="007B5118" w:rsidR="106F72D4">
        <w:rPr>
          <w:sz w:val="24"/>
        </w:rPr>
        <w:t>.</w:t>
      </w:r>
      <w:r w:rsidRPr="007B5118" w:rsidR="3514A9CF">
        <w:rPr>
          <w:sz w:val="24"/>
        </w:rPr>
        <w:t xml:space="preserve"> </w:t>
      </w:r>
      <w:r w:rsidRPr="007B5118" w:rsidR="024C07C7">
        <w:rPr>
          <w:sz w:val="24"/>
        </w:rPr>
        <w:t xml:space="preserve">The survey will be administered to </w:t>
      </w:r>
      <w:r w:rsidRPr="007B5118" w:rsidR="00CB4978">
        <w:rPr>
          <w:sz w:val="24"/>
        </w:rPr>
        <w:t xml:space="preserve">up to </w:t>
      </w:r>
      <w:r w:rsidRPr="007B5118" w:rsidR="65A6B21C">
        <w:rPr>
          <w:sz w:val="24"/>
        </w:rPr>
        <w:t>600 active CAN members in 15 Hea</w:t>
      </w:r>
      <w:r w:rsidRPr="007B5118" w:rsidR="024C07C7">
        <w:rPr>
          <w:sz w:val="24"/>
        </w:rPr>
        <w:t>lthy Start program</w:t>
      </w:r>
      <w:r w:rsidRPr="007B5118" w:rsidR="3C761112">
        <w:rPr>
          <w:sz w:val="24"/>
        </w:rPr>
        <w:t>s</w:t>
      </w:r>
      <w:r w:rsidRPr="007B5118" w:rsidR="00432B68">
        <w:rPr>
          <w:sz w:val="24"/>
        </w:rPr>
        <w:t xml:space="preserve"> that will constitute case study sites</w:t>
      </w:r>
      <w:r w:rsidRPr="007B5118" w:rsidR="2226F753">
        <w:rPr>
          <w:sz w:val="24"/>
        </w:rPr>
        <w:t xml:space="preserve">. </w:t>
      </w:r>
      <w:r w:rsidRPr="007B5118" w:rsidR="26071FAA">
        <w:rPr>
          <w:sz w:val="24"/>
        </w:rPr>
        <w:t xml:space="preserve">The </w:t>
      </w:r>
      <w:r w:rsidRPr="007B5118" w:rsidR="2FA0ED6F">
        <w:rPr>
          <w:sz w:val="24"/>
        </w:rPr>
        <w:t>evaluation team</w:t>
      </w:r>
      <w:r w:rsidRPr="007B5118" w:rsidR="0FBA0C34">
        <w:rPr>
          <w:sz w:val="24"/>
        </w:rPr>
        <w:t>, comprising MCHB’s evaluation project managers, the Contra</w:t>
      </w:r>
      <w:r w:rsidRPr="007B5118" w:rsidR="2FA0ED6F">
        <w:rPr>
          <w:sz w:val="24"/>
        </w:rPr>
        <w:t xml:space="preserve">cting Officer Representative (COR), </w:t>
      </w:r>
      <w:r w:rsidRPr="007B5118" w:rsidR="3AEFE48D">
        <w:rPr>
          <w:sz w:val="24"/>
        </w:rPr>
        <w:t xml:space="preserve">and the </w:t>
      </w:r>
      <w:r w:rsidRPr="007B5118" w:rsidR="7C4AFF5B">
        <w:rPr>
          <w:sz w:val="24"/>
        </w:rPr>
        <w:t>Westat contractors</w:t>
      </w:r>
      <w:r w:rsidRPr="007B5118" w:rsidR="1A425726">
        <w:rPr>
          <w:sz w:val="24"/>
        </w:rPr>
        <w:t xml:space="preserve">, </w:t>
      </w:r>
      <w:r w:rsidRPr="007B5118" w:rsidR="2226F753">
        <w:rPr>
          <w:sz w:val="24"/>
        </w:rPr>
        <w:t xml:space="preserve">will </w:t>
      </w:r>
      <w:r w:rsidRPr="007B5118" w:rsidR="3A8696B9">
        <w:rPr>
          <w:sz w:val="24"/>
        </w:rPr>
        <w:t xml:space="preserve">develop criteria to </w:t>
      </w:r>
      <w:r w:rsidRPr="007B5118" w:rsidR="261558C4">
        <w:rPr>
          <w:sz w:val="24"/>
        </w:rPr>
        <w:t>identify which</w:t>
      </w:r>
      <w:r w:rsidRPr="7435F173" w:rsidR="261558C4">
        <w:rPr>
          <w:sz w:val="24"/>
        </w:rPr>
        <w:t xml:space="preserve"> programs will be surveyed</w:t>
      </w:r>
      <w:r w:rsidRPr="7435F173" w:rsidR="3514A9CF">
        <w:rPr>
          <w:sz w:val="24"/>
        </w:rPr>
        <w:t xml:space="preserve">. </w:t>
      </w:r>
      <w:r w:rsidRPr="7435F173" w:rsidR="35E659A3">
        <w:rPr>
          <w:sz w:val="24"/>
        </w:rPr>
        <w:t>Like t</w:t>
      </w:r>
      <w:r w:rsidRPr="7435F173" w:rsidR="583591A8">
        <w:rPr>
          <w:sz w:val="24"/>
        </w:rPr>
        <w:t xml:space="preserve">he Program Survey, the Network Survey questions will focus on implementation and transformation. </w:t>
      </w:r>
      <w:r w:rsidRPr="7435F173" w:rsidR="18CAB92B">
        <w:rPr>
          <w:sz w:val="24"/>
        </w:rPr>
        <w:t>The implementation topics covered will include: the t</w:t>
      </w:r>
      <w:r w:rsidRPr="7435F173" w:rsidR="3514A9CF">
        <w:rPr>
          <w:color w:val="000000" w:themeColor="text1"/>
          <w:sz w:val="24"/>
        </w:rPr>
        <w:t xml:space="preserve">ypes of organizations partnering with </w:t>
      </w:r>
      <w:r w:rsidRPr="7435F173" w:rsidR="18CAB92B">
        <w:rPr>
          <w:color w:val="000000" w:themeColor="text1"/>
          <w:sz w:val="24"/>
        </w:rPr>
        <w:t>Healthy Start; f</w:t>
      </w:r>
      <w:r w:rsidRPr="7435F173" w:rsidR="3514A9CF">
        <w:rPr>
          <w:color w:val="000000" w:themeColor="text1"/>
          <w:sz w:val="24"/>
        </w:rPr>
        <w:t>requency of communication within and outside of CAN meetings</w:t>
      </w:r>
      <w:r w:rsidRPr="7435F173" w:rsidR="18CAB92B">
        <w:rPr>
          <w:color w:val="000000" w:themeColor="text1"/>
          <w:sz w:val="24"/>
        </w:rPr>
        <w:t>; r</w:t>
      </w:r>
      <w:r w:rsidRPr="7435F173" w:rsidR="3514A9CF">
        <w:rPr>
          <w:color w:val="000000" w:themeColor="text1"/>
          <w:sz w:val="24"/>
        </w:rPr>
        <w:t>elationships between grantees</w:t>
      </w:r>
      <w:r w:rsidRPr="7435F173" w:rsidR="18CAB92B">
        <w:rPr>
          <w:color w:val="000000" w:themeColor="text1"/>
          <w:sz w:val="24"/>
        </w:rPr>
        <w:t xml:space="preserve"> and CAN members; shared program </w:t>
      </w:r>
      <w:r w:rsidRPr="7435F173" w:rsidR="3514A9CF">
        <w:rPr>
          <w:color w:val="000000" w:themeColor="text1"/>
          <w:sz w:val="24"/>
        </w:rPr>
        <w:t>events</w:t>
      </w:r>
      <w:r w:rsidRPr="7435F173" w:rsidR="18CAB92B">
        <w:rPr>
          <w:color w:val="000000" w:themeColor="text1"/>
          <w:sz w:val="24"/>
        </w:rPr>
        <w:t>; t</w:t>
      </w:r>
      <w:r w:rsidRPr="7435F173" w:rsidR="3514A9CF">
        <w:rPr>
          <w:color w:val="000000" w:themeColor="text1"/>
          <w:sz w:val="24"/>
        </w:rPr>
        <w:t>rust and value in the H</w:t>
      </w:r>
      <w:r w:rsidRPr="7435F173" w:rsidR="18CAB92B">
        <w:rPr>
          <w:color w:val="000000" w:themeColor="text1"/>
          <w:sz w:val="24"/>
        </w:rPr>
        <w:t xml:space="preserve">ealthy Start </w:t>
      </w:r>
      <w:r w:rsidRPr="7435F173" w:rsidR="3514A9CF">
        <w:rPr>
          <w:color w:val="000000" w:themeColor="text1"/>
          <w:sz w:val="24"/>
        </w:rPr>
        <w:t xml:space="preserve">community collaborations; </w:t>
      </w:r>
      <w:r w:rsidRPr="7435F173" w:rsidR="18CAB92B">
        <w:rPr>
          <w:color w:val="000000" w:themeColor="text1"/>
          <w:sz w:val="24"/>
        </w:rPr>
        <w:t xml:space="preserve">and </w:t>
      </w:r>
      <w:r w:rsidRPr="7435F173" w:rsidR="3514A9CF">
        <w:rPr>
          <w:color w:val="000000" w:themeColor="text1"/>
          <w:sz w:val="24"/>
        </w:rPr>
        <w:t>balance of power</w:t>
      </w:r>
      <w:r w:rsidRPr="7435F173" w:rsidR="4185DB3E">
        <w:rPr>
          <w:color w:val="000000" w:themeColor="text1"/>
          <w:sz w:val="24"/>
        </w:rPr>
        <w:t xml:space="preserve"> </w:t>
      </w:r>
      <w:r w:rsidRPr="7435F173" w:rsidR="3514A9CF">
        <w:rPr>
          <w:color w:val="000000" w:themeColor="text1"/>
          <w:sz w:val="24"/>
        </w:rPr>
        <w:t>and leadership</w:t>
      </w:r>
      <w:r w:rsidRPr="7435F173" w:rsidR="18CAB92B">
        <w:rPr>
          <w:color w:val="000000" w:themeColor="text1"/>
          <w:sz w:val="24"/>
        </w:rPr>
        <w:t xml:space="preserve">. </w:t>
      </w:r>
      <w:r w:rsidRPr="7435F173" w:rsidR="16596567">
        <w:rPr>
          <w:color w:val="000000" w:themeColor="text1"/>
          <w:sz w:val="24"/>
        </w:rPr>
        <w:t xml:space="preserve">The transformative </w:t>
      </w:r>
      <w:r w:rsidRPr="7435F173" w:rsidR="4185DB3E">
        <w:rPr>
          <w:color w:val="000000" w:themeColor="text1"/>
          <w:sz w:val="24"/>
        </w:rPr>
        <w:t xml:space="preserve">questions </w:t>
      </w:r>
      <w:r w:rsidRPr="7435F173" w:rsidR="16596567">
        <w:rPr>
          <w:color w:val="000000" w:themeColor="text1"/>
          <w:sz w:val="24"/>
        </w:rPr>
        <w:t>asked will include: the r</w:t>
      </w:r>
      <w:r w:rsidRPr="7435F173" w:rsidR="3514A9CF">
        <w:rPr>
          <w:color w:val="000000" w:themeColor="text1"/>
          <w:sz w:val="24"/>
        </w:rPr>
        <w:t>ole of H</w:t>
      </w:r>
      <w:r w:rsidRPr="7435F173" w:rsidR="16596567">
        <w:rPr>
          <w:color w:val="000000" w:themeColor="text1"/>
          <w:sz w:val="24"/>
        </w:rPr>
        <w:t xml:space="preserve">ealthy </w:t>
      </w:r>
      <w:r w:rsidRPr="7435F173" w:rsidR="3514A9CF">
        <w:rPr>
          <w:color w:val="000000" w:themeColor="text1"/>
          <w:sz w:val="24"/>
        </w:rPr>
        <w:t>S</w:t>
      </w:r>
      <w:r w:rsidRPr="7435F173" w:rsidR="16596567">
        <w:rPr>
          <w:color w:val="000000" w:themeColor="text1"/>
          <w:sz w:val="24"/>
        </w:rPr>
        <w:t xml:space="preserve">tart </w:t>
      </w:r>
      <w:r w:rsidRPr="7435F173" w:rsidR="4185DB3E">
        <w:rPr>
          <w:color w:val="000000" w:themeColor="text1"/>
          <w:sz w:val="24"/>
        </w:rPr>
        <w:t xml:space="preserve">and the CAN </w:t>
      </w:r>
      <w:r w:rsidRPr="7435F173" w:rsidR="3514A9CF">
        <w:rPr>
          <w:color w:val="000000" w:themeColor="text1"/>
          <w:sz w:val="24"/>
        </w:rPr>
        <w:t>in fostering health equity through collaborations with</w:t>
      </w:r>
      <w:r w:rsidRPr="7435F173" w:rsidR="16596567">
        <w:rPr>
          <w:color w:val="000000" w:themeColor="text1"/>
          <w:sz w:val="24"/>
        </w:rPr>
        <w:t xml:space="preserve"> </w:t>
      </w:r>
      <w:r w:rsidRPr="7435F173" w:rsidR="3514A9CF">
        <w:rPr>
          <w:color w:val="000000" w:themeColor="text1"/>
          <w:sz w:val="24"/>
        </w:rPr>
        <w:t>community organizations and providers</w:t>
      </w:r>
      <w:r w:rsidRPr="7435F173" w:rsidR="4AC44663">
        <w:rPr>
          <w:color w:val="000000" w:themeColor="text1"/>
          <w:sz w:val="24"/>
        </w:rPr>
        <w:t>,</w:t>
      </w:r>
      <w:r w:rsidRPr="7435F173" w:rsidR="3514A9CF">
        <w:rPr>
          <w:color w:val="000000" w:themeColor="text1"/>
          <w:sz w:val="24"/>
        </w:rPr>
        <w:t xml:space="preserve"> </w:t>
      </w:r>
      <w:r w:rsidRPr="7435F173" w:rsidR="16596567">
        <w:rPr>
          <w:color w:val="000000" w:themeColor="text1"/>
          <w:sz w:val="24"/>
        </w:rPr>
        <w:t>i</w:t>
      </w:r>
      <w:r w:rsidRPr="7435F173" w:rsidR="3514A9CF">
        <w:rPr>
          <w:color w:val="000000" w:themeColor="text1"/>
          <w:sz w:val="24"/>
        </w:rPr>
        <w:t>mprov</w:t>
      </w:r>
      <w:r w:rsidRPr="7435F173" w:rsidR="16596567">
        <w:rPr>
          <w:color w:val="000000" w:themeColor="text1"/>
          <w:sz w:val="24"/>
        </w:rPr>
        <w:t xml:space="preserve">ements in </w:t>
      </w:r>
      <w:r w:rsidRPr="7435F173" w:rsidR="3514A9CF">
        <w:rPr>
          <w:color w:val="000000" w:themeColor="text1"/>
          <w:sz w:val="24"/>
        </w:rPr>
        <w:t xml:space="preserve">equitable access to </w:t>
      </w:r>
      <w:r w:rsidRPr="7435F173" w:rsidR="16596567">
        <w:rPr>
          <w:color w:val="000000" w:themeColor="text1"/>
          <w:sz w:val="24"/>
        </w:rPr>
        <w:t xml:space="preserve">care and </w:t>
      </w:r>
      <w:r w:rsidRPr="7435F173" w:rsidR="3514A9CF">
        <w:rPr>
          <w:color w:val="000000" w:themeColor="text1"/>
          <w:sz w:val="24"/>
        </w:rPr>
        <w:t>services</w:t>
      </w:r>
      <w:r w:rsidRPr="7435F173" w:rsidR="16596567">
        <w:rPr>
          <w:color w:val="000000" w:themeColor="text1"/>
          <w:sz w:val="24"/>
        </w:rPr>
        <w:t xml:space="preserve">, and </w:t>
      </w:r>
      <w:r w:rsidRPr="7435F173" w:rsidR="3514A9CF">
        <w:rPr>
          <w:color w:val="000000" w:themeColor="text1"/>
          <w:sz w:val="24"/>
        </w:rPr>
        <w:t>joint training and capacity building on equitable service</w:t>
      </w:r>
      <w:r w:rsidRPr="7435F173" w:rsidR="16596567">
        <w:rPr>
          <w:color w:val="000000" w:themeColor="text1"/>
          <w:sz w:val="24"/>
        </w:rPr>
        <w:t xml:space="preserve">. </w:t>
      </w:r>
      <w:r w:rsidRPr="7435F173" w:rsidR="3514A9CF">
        <w:rPr>
          <w:sz w:val="24"/>
        </w:rPr>
        <w:t xml:space="preserve">The survey is designed for self-administration. The </w:t>
      </w:r>
      <w:r w:rsidRPr="7435F173" w:rsidR="6C04EB12">
        <w:rPr>
          <w:sz w:val="24"/>
        </w:rPr>
        <w:t xml:space="preserve">survey </w:t>
      </w:r>
      <w:r w:rsidRPr="7435F173" w:rsidR="3514A9CF">
        <w:rPr>
          <w:sz w:val="24"/>
        </w:rPr>
        <w:t xml:space="preserve">tool will allow the respondents to complete the survey in multiple sessions. Healthy Start </w:t>
      </w:r>
      <w:r w:rsidRPr="7435F173" w:rsidR="436092F0">
        <w:rPr>
          <w:sz w:val="24"/>
        </w:rPr>
        <w:t xml:space="preserve">CAN members </w:t>
      </w:r>
      <w:r w:rsidRPr="7435F173" w:rsidR="3514A9CF">
        <w:rPr>
          <w:sz w:val="24"/>
        </w:rPr>
        <w:t xml:space="preserve">will be asked to complete the survey </w:t>
      </w:r>
      <w:r w:rsidRPr="7435F173" w:rsidR="6C04EB12">
        <w:rPr>
          <w:sz w:val="24"/>
        </w:rPr>
        <w:t xml:space="preserve">once </w:t>
      </w:r>
      <w:r w:rsidRPr="7435F173" w:rsidR="3514A9CF">
        <w:rPr>
          <w:sz w:val="24"/>
        </w:rPr>
        <w:t xml:space="preserve">in Year </w:t>
      </w:r>
      <w:r w:rsidRPr="7435F173" w:rsidR="79C3136D">
        <w:rPr>
          <w:sz w:val="24"/>
        </w:rPr>
        <w:t>3</w:t>
      </w:r>
      <w:r w:rsidRPr="7435F173" w:rsidR="3514A9CF">
        <w:rPr>
          <w:sz w:val="24"/>
        </w:rPr>
        <w:t xml:space="preserve"> of the evaluation</w:t>
      </w:r>
      <w:r w:rsidRPr="7435F173" w:rsidR="4185DB3E">
        <w:rPr>
          <w:sz w:val="24"/>
        </w:rPr>
        <w:t xml:space="preserve">. </w:t>
      </w:r>
      <w:r w:rsidRPr="7435F173" w:rsidR="024C07C7">
        <w:rPr>
          <w:sz w:val="24"/>
        </w:rPr>
        <w:t>R</w:t>
      </w:r>
      <w:r w:rsidRPr="7435F173" w:rsidR="3A6106D0">
        <w:rPr>
          <w:sz w:val="24"/>
        </w:rPr>
        <w:t xml:space="preserve">esults from the survey will </w:t>
      </w:r>
      <w:r w:rsidRPr="7435F173" w:rsidR="1691F65F">
        <w:rPr>
          <w:sz w:val="24"/>
        </w:rPr>
        <w:t xml:space="preserve">be used to </w:t>
      </w:r>
      <w:r w:rsidRPr="7435F173" w:rsidR="3A6106D0">
        <w:rPr>
          <w:sz w:val="24"/>
        </w:rPr>
        <w:t xml:space="preserve">help the Healthy Start programs and their CANs identify areas of strength and opportunities for further collaborations, understand how well the CAN members are working together to serve women and their families, and whether they are supporting the programs in addressing the participants’ greatest needs. </w:t>
      </w:r>
    </w:p>
    <w:p w:rsidR="008847E8" w:rsidRPr="005F026E" w:rsidP="00F44E20" w14:paraId="46C53665" w14:textId="6EC5C8FE">
      <w:pPr>
        <w:tabs>
          <w:tab w:val="left" w:pos="0"/>
          <w:tab w:val="left" w:pos="450"/>
        </w:tabs>
        <w:rPr>
          <w:sz w:val="24"/>
        </w:rPr>
      </w:pPr>
    </w:p>
    <w:p w:rsidR="00941062" w:rsidRPr="005F026E" w:rsidP="7435F173" w14:paraId="0FE7B48C" w14:textId="4641DFC5">
      <w:pPr>
        <w:tabs>
          <w:tab w:val="left" w:pos="450"/>
        </w:tabs>
        <w:rPr>
          <w:sz w:val="24"/>
        </w:rPr>
      </w:pPr>
      <w:r w:rsidRPr="7435F173">
        <w:rPr>
          <w:b/>
          <w:bCs/>
          <w:sz w:val="24"/>
        </w:rPr>
        <w:t xml:space="preserve">The </w:t>
      </w:r>
      <w:r w:rsidRPr="7435F173" w:rsidR="47767FD6">
        <w:rPr>
          <w:b/>
          <w:bCs/>
          <w:sz w:val="24"/>
        </w:rPr>
        <w:t>Healthy Start Participant Survey</w:t>
      </w:r>
      <w:r w:rsidRPr="7435F173" w:rsidR="47767FD6">
        <w:rPr>
          <w:sz w:val="24"/>
        </w:rPr>
        <w:t xml:space="preserve"> was designed to collect information </w:t>
      </w:r>
      <w:r w:rsidRPr="7435F173" w:rsidR="6CBE95F5">
        <w:rPr>
          <w:sz w:val="24"/>
        </w:rPr>
        <w:t xml:space="preserve">from the Healthy Start participants </w:t>
      </w:r>
      <w:r w:rsidRPr="007B5118" w:rsidR="35FEDD62">
        <w:rPr>
          <w:sz w:val="24"/>
        </w:rPr>
        <w:t xml:space="preserve">about their </w:t>
      </w:r>
      <w:r w:rsidRPr="007B5118" w:rsidR="47767FD6">
        <w:rPr>
          <w:sz w:val="24"/>
        </w:rPr>
        <w:t xml:space="preserve">experiences </w:t>
      </w:r>
      <w:r w:rsidRPr="007B5118" w:rsidR="35FEDD62">
        <w:rPr>
          <w:sz w:val="24"/>
        </w:rPr>
        <w:t>with the program</w:t>
      </w:r>
      <w:r w:rsidRPr="007B5118" w:rsidR="436092F0">
        <w:rPr>
          <w:sz w:val="24"/>
        </w:rPr>
        <w:t xml:space="preserve"> before, during and after pregnancy</w:t>
      </w:r>
      <w:r w:rsidRPr="007B5118" w:rsidR="35FEDD62">
        <w:rPr>
          <w:sz w:val="24"/>
        </w:rPr>
        <w:t xml:space="preserve">, and </w:t>
      </w:r>
      <w:r w:rsidRPr="007B5118" w:rsidR="47767FD6">
        <w:rPr>
          <w:sz w:val="24"/>
        </w:rPr>
        <w:t>whether the programs are meeting their needs</w:t>
      </w:r>
      <w:r w:rsidRPr="007B5118" w:rsidR="23241634">
        <w:rPr>
          <w:sz w:val="24"/>
        </w:rPr>
        <w:t xml:space="preserve">. The survey will be administered to </w:t>
      </w:r>
      <w:r w:rsidRPr="007B5118" w:rsidR="00CB4978">
        <w:rPr>
          <w:sz w:val="24"/>
        </w:rPr>
        <w:t xml:space="preserve">up to </w:t>
      </w:r>
      <w:r w:rsidRPr="007B5118" w:rsidR="5771650E">
        <w:rPr>
          <w:sz w:val="24"/>
        </w:rPr>
        <w:t>750</w:t>
      </w:r>
      <w:r w:rsidRPr="007B5118" w:rsidR="23241634">
        <w:rPr>
          <w:sz w:val="24"/>
        </w:rPr>
        <w:t xml:space="preserve"> current participants</w:t>
      </w:r>
      <w:r w:rsidRPr="007B5118" w:rsidR="66EE2844">
        <w:rPr>
          <w:sz w:val="24"/>
        </w:rPr>
        <w:t xml:space="preserve"> in 15 Healthy Start programs</w:t>
      </w:r>
      <w:r w:rsidRPr="007B5118" w:rsidR="00432B68">
        <w:rPr>
          <w:sz w:val="24"/>
        </w:rPr>
        <w:t xml:space="preserve"> that will constitute case study sites</w:t>
      </w:r>
      <w:r w:rsidRPr="007B5118" w:rsidR="23241634">
        <w:rPr>
          <w:sz w:val="24"/>
        </w:rPr>
        <w:t xml:space="preserve">. The criteria and process for reaching out to </w:t>
      </w:r>
      <w:r w:rsidRPr="007B5118" w:rsidR="436092F0">
        <w:rPr>
          <w:sz w:val="24"/>
        </w:rPr>
        <w:t>Healthy Start participants will be determined</w:t>
      </w:r>
      <w:r w:rsidRPr="007B5118" w:rsidR="42627466">
        <w:rPr>
          <w:sz w:val="24"/>
        </w:rPr>
        <w:t xml:space="preserve"> </w:t>
      </w:r>
      <w:r w:rsidRPr="007B5118" w:rsidR="7994C9BE">
        <w:rPr>
          <w:sz w:val="24"/>
        </w:rPr>
        <w:t>by the evaluation team, as described above</w:t>
      </w:r>
      <w:r w:rsidRPr="007B5118" w:rsidR="436092F0">
        <w:rPr>
          <w:sz w:val="24"/>
        </w:rPr>
        <w:t>. Questions related to the utilization of services and program implementation will include: the services received</w:t>
      </w:r>
      <w:r w:rsidRPr="7435F173" w:rsidR="436092F0">
        <w:rPr>
          <w:sz w:val="24"/>
        </w:rPr>
        <w:t xml:space="preserve"> by the participants </w:t>
      </w:r>
      <w:r w:rsidRPr="7435F173" w:rsidR="3454D32F">
        <w:rPr>
          <w:sz w:val="24"/>
        </w:rPr>
        <w:t>from the Healthy Start staff, including those related to maternal health and fatherhood, and organizations the participants were referred to by Healthy Start staff</w:t>
      </w:r>
      <w:r w:rsidRPr="7435F173" w:rsidR="22741D9D">
        <w:rPr>
          <w:sz w:val="24"/>
        </w:rPr>
        <w:t>; other Healthy Start activities; and satisfaction with the program. In looking at transformation</w:t>
      </w:r>
      <w:r w:rsidRPr="7435F173" w:rsidR="5771650E">
        <w:rPr>
          <w:sz w:val="24"/>
        </w:rPr>
        <w:t xml:space="preserve">, </w:t>
      </w:r>
      <w:r w:rsidRPr="7435F173" w:rsidR="22741D9D">
        <w:rPr>
          <w:sz w:val="24"/>
        </w:rPr>
        <w:t xml:space="preserve">the participants also will </w:t>
      </w:r>
      <w:r w:rsidRPr="7435F173" w:rsidR="13245775">
        <w:rPr>
          <w:sz w:val="24"/>
        </w:rPr>
        <w:t xml:space="preserve">be asked about their experiences with Healthy Start and their broader communities </w:t>
      </w:r>
      <w:r w:rsidRPr="7435F173" w:rsidR="38DA3482">
        <w:rPr>
          <w:sz w:val="24"/>
        </w:rPr>
        <w:t xml:space="preserve">related to </w:t>
      </w:r>
      <w:r w:rsidRPr="7435F173" w:rsidR="13245775">
        <w:rPr>
          <w:sz w:val="24"/>
        </w:rPr>
        <w:t>health equity</w:t>
      </w:r>
      <w:r w:rsidRPr="7435F173" w:rsidR="46137BE8">
        <w:rPr>
          <w:sz w:val="24"/>
        </w:rPr>
        <w:t>,</w:t>
      </w:r>
      <w:r w:rsidRPr="7435F173" w:rsidR="13245775">
        <w:rPr>
          <w:sz w:val="24"/>
        </w:rPr>
        <w:t xml:space="preserve"> including </w:t>
      </w:r>
      <w:r w:rsidRPr="7435F173" w:rsidR="5771650E">
        <w:rPr>
          <w:sz w:val="24"/>
        </w:rPr>
        <w:t xml:space="preserve">racism and </w:t>
      </w:r>
      <w:r w:rsidRPr="7435F173" w:rsidR="6CBE95F5">
        <w:rPr>
          <w:color w:val="000000" w:themeColor="text1"/>
          <w:sz w:val="24"/>
        </w:rPr>
        <w:t>respectful, non-discriminatory</w:t>
      </w:r>
      <w:r w:rsidRPr="7435F173" w:rsidR="13245775">
        <w:rPr>
          <w:color w:val="000000" w:themeColor="text1"/>
          <w:sz w:val="24"/>
        </w:rPr>
        <w:t xml:space="preserve"> care. </w:t>
      </w:r>
      <w:r w:rsidRPr="7435F173" w:rsidR="436092F0">
        <w:rPr>
          <w:sz w:val="24"/>
        </w:rPr>
        <w:t>The survey is designed for self-administration. The</w:t>
      </w:r>
      <w:r w:rsidRPr="7435F173" w:rsidR="5B248F81">
        <w:rPr>
          <w:sz w:val="24"/>
        </w:rPr>
        <w:t xml:space="preserve"> survey</w:t>
      </w:r>
      <w:r w:rsidRPr="7435F173" w:rsidR="436092F0">
        <w:rPr>
          <w:sz w:val="24"/>
        </w:rPr>
        <w:t xml:space="preserve"> tool will allow the respondents to complete the survey in multiple sessions. Healthy Start participants will be asked to complete the survey once in Year </w:t>
      </w:r>
      <w:r w:rsidRPr="7435F173" w:rsidR="79C3136D">
        <w:rPr>
          <w:sz w:val="24"/>
        </w:rPr>
        <w:t>3</w:t>
      </w:r>
      <w:r w:rsidRPr="7435F173" w:rsidR="436092F0">
        <w:rPr>
          <w:sz w:val="24"/>
        </w:rPr>
        <w:t xml:space="preserve"> of the evaluation</w:t>
      </w:r>
      <w:r w:rsidRPr="7435F173" w:rsidR="13245775">
        <w:rPr>
          <w:sz w:val="24"/>
        </w:rPr>
        <w:t xml:space="preserve">. </w:t>
      </w:r>
      <w:r w:rsidRPr="7435F173" w:rsidR="23241634">
        <w:rPr>
          <w:sz w:val="24"/>
        </w:rPr>
        <w:t xml:space="preserve">The Healthy Start </w:t>
      </w:r>
      <w:r w:rsidRPr="7435F173" w:rsidR="31D3188C">
        <w:rPr>
          <w:sz w:val="24"/>
        </w:rPr>
        <w:t xml:space="preserve">program will </w:t>
      </w:r>
      <w:r w:rsidR="009332AB">
        <w:rPr>
          <w:sz w:val="24"/>
        </w:rPr>
        <w:t xml:space="preserve">use </w:t>
      </w:r>
      <w:r w:rsidRPr="7435F173" w:rsidR="23241634">
        <w:rPr>
          <w:sz w:val="24"/>
        </w:rPr>
        <w:t>this information to identify areas to strengthen the services provided to the participants</w:t>
      </w:r>
      <w:r w:rsidRPr="7435F173" w:rsidR="57135CA9">
        <w:rPr>
          <w:sz w:val="24"/>
        </w:rPr>
        <w:t xml:space="preserve"> and respond to participant input</w:t>
      </w:r>
      <w:r w:rsidRPr="7435F173" w:rsidR="23241634">
        <w:rPr>
          <w:sz w:val="24"/>
        </w:rPr>
        <w:t xml:space="preserve">. </w:t>
      </w:r>
    </w:p>
    <w:p w:rsidR="00941062" w:rsidRPr="005F026E" w:rsidP="00941062" w14:paraId="47061B8D" w14:textId="77777777">
      <w:pPr>
        <w:tabs>
          <w:tab w:val="left" w:pos="0"/>
          <w:tab w:val="left" w:pos="450"/>
        </w:tabs>
        <w:rPr>
          <w:sz w:val="24"/>
        </w:rPr>
      </w:pPr>
    </w:p>
    <w:p w:rsidR="009F378D" w:rsidRPr="005F026E" w:rsidP="7435F173" w14:paraId="74BF8AB2" w14:textId="4EE3992D">
      <w:pPr>
        <w:tabs>
          <w:tab w:val="left" w:pos="450"/>
        </w:tabs>
        <w:rPr>
          <w:sz w:val="24"/>
        </w:rPr>
      </w:pPr>
      <w:r w:rsidRPr="7435F173">
        <w:rPr>
          <w:b/>
          <w:bCs/>
          <w:sz w:val="24"/>
        </w:rPr>
        <w:t xml:space="preserve">The </w:t>
      </w:r>
      <w:r w:rsidRPr="7435F173" w:rsidR="3A6106D0">
        <w:rPr>
          <w:b/>
          <w:bCs/>
          <w:sz w:val="24"/>
        </w:rPr>
        <w:t>Healthy Start Stakeholder Interview Guide</w:t>
      </w:r>
      <w:r w:rsidRPr="7435F173" w:rsidR="07444E00">
        <w:rPr>
          <w:sz w:val="24"/>
        </w:rPr>
        <w:t xml:space="preserve"> </w:t>
      </w:r>
      <w:r w:rsidRPr="7435F173" w:rsidR="3A6106D0">
        <w:rPr>
          <w:sz w:val="24"/>
        </w:rPr>
        <w:t xml:space="preserve">was designed to collect more in-depth </w:t>
      </w:r>
      <w:r w:rsidRPr="7435F173" w:rsidR="507F3A27">
        <w:rPr>
          <w:sz w:val="24"/>
        </w:rPr>
        <w:t xml:space="preserve">qualitative data </w:t>
      </w:r>
      <w:r w:rsidRPr="7435F173" w:rsidR="3A6106D0">
        <w:rPr>
          <w:sz w:val="24"/>
        </w:rPr>
        <w:t>about the Healthy Start services, the new</w:t>
      </w:r>
      <w:r w:rsidRPr="7435F173">
        <w:rPr>
          <w:sz w:val="24"/>
        </w:rPr>
        <w:t xml:space="preserve"> or enhanced</w:t>
      </w:r>
      <w:r w:rsidRPr="7435F173" w:rsidR="3A6106D0">
        <w:rPr>
          <w:sz w:val="24"/>
        </w:rPr>
        <w:t xml:space="preserve"> maternal health and fatherhood initiatives, CAN activities, and activities developed to improve the Healthy Start benchmarks and achieve health equity. </w:t>
      </w:r>
      <w:r w:rsidRPr="7435F173" w:rsidR="47767FD6">
        <w:rPr>
          <w:sz w:val="24"/>
        </w:rPr>
        <w:t xml:space="preserve">The information collected will also give context to </w:t>
      </w:r>
      <w:r w:rsidRPr="007B5118" w:rsidR="47767FD6">
        <w:rPr>
          <w:sz w:val="24"/>
        </w:rPr>
        <w:t xml:space="preserve">quantitative outcomes and help identify best practices. </w:t>
      </w:r>
      <w:r w:rsidRPr="007B5118" w:rsidR="365B1B8C">
        <w:rPr>
          <w:sz w:val="24"/>
        </w:rPr>
        <w:t xml:space="preserve">These interviews will be done in-person or by telephone </w:t>
      </w:r>
      <w:r w:rsidRPr="007B5118" w:rsidR="70E2321A">
        <w:rPr>
          <w:sz w:val="24"/>
        </w:rPr>
        <w:t>with</w:t>
      </w:r>
      <w:r w:rsidRPr="007B5118" w:rsidR="66EE2844">
        <w:rPr>
          <w:sz w:val="24"/>
        </w:rPr>
        <w:t xml:space="preserve"> </w:t>
      </w:r>
      <w:r w:rsidRPr="007B5118" w:rsidR="00616522">
        <w:rPr>
          <w:sz w:val="24"/>
        </w:rPr>
        <w:t xml:space="preserve">up to </w:t>
      </w:r>
      <w:r w:rsidRPr="007B5118" w:rsidR="66EE2844">
        <w:rPr>
          <w:sz w:val="24"/>
        </w:rPr>
        <w:t xml:space="preserve">150 key stakeholders </w:t>
      </w:r>
      <w:r w:rsidRPr="007B5118" w:rsidR="47767FD6">
        <w:rPr>
          <w:sz w:val="24"/>
        </w:rPr>
        <w:t xml:space="preserve">at 15 Healthy Start </w:t>
      </w:r>
      <w:r w:rsidRPr="007B5118">
        <w:rPr>
          <w:sz w:val="24"/>
        </w:rPr>
        <w:t>programs</w:t>
      </w:r>
      <w:r w:rsidRPr="007B5118" w:rsidR="00527BE9">
        <w:rPr>
          <w:sz w:val="24"/>
        </w:rPr>
        <w:t xml:space="preserve"> that will constitute case study sites</w:t>
      </w:r>
      <w:r w:rsidRPr="007B5118" w:rsidR="70E2321A">
        <w:rPr>
          <w:sz w:val="24"/>
        </w:rPr>
        <w:t>,</w:t>
      </w:r>
      <w:r w:rsidRPr="007B5118" w:rsidR="365B1B8C">
        <w:rPr>
          <w:sz w:val="24"/>
        </w:rPr>
        <w:t xml:space="preserve"> </w:t>
      </w:r>
      <w:r w:rsidRPr="007B5118" w:rsidR="00527BE9">
        <w:rPr>
          <w:sz w:val="24"/>
        </w:rPr>
        <w:t xml:space="preserve">and will </w:t>
      </w:r>
      <w:r w:rsidRPr="007B5118" w:rsidR="70E2321A">
        <w:rPr>
          <w:sz w:val="24"/>
        </w:rPr>
        <w:t>includ</w:t>
      </w:r>
      <w:r w:rsidRPr="007B5118" w:rsidR="00336CED">
        <w:rPr>
          <w:sz w:val="24"/>
        </w:rPr>
        <w:t>e</w:t>
      </w:r>
      <w:r w:rsidRPr="007B5118" w:rsidR="7FFF631A">
        <w:rPr>
          <w:sz w:val="24"/>
        </w:rPr>
        <w:t xml:space="preserve"> </w:t>
      </w:r>
      <w:r w:rsidRPr="007B5118" w:rsidR="365B1B8C">
        <w:rPr>
          <w:sz w:val="24"/>
        </w:rPr>
        <w:t>H</w:t>
      </w:r>
      <w:r w:rsidRPr="007B5118" w:rsidR="47767FD6">
        <w:rPr>
          <w:sz w:val="24"/>
        </w:rPr>
        <w:t>ealthy Start</w:t>
      </w:r>
      <w:r w:rsidRPr="007B5118" w:rsidR="365B1B8C">
        <w:rPr>
          <w:sz w:val="24"/>
        </w:rPr>
        <w:t xml:space="preserve"> </w:t>
      </w:r>
      <w:r w:rsidRPr="007B5118" w:rsidR="7FFF631A">
        <w:rPr>
          <w:sz w:val="24"/>
        </w:rPr>
        <w:t>d</w:t>
      </w:r>
      <w:r w:rsidRPr="007B5118" w:rsidR="365B1B8C">
        <w:rPr>
          <w:sz w:val="24"/>
        </w:rPr>
        <w:t>irectors</w:t>
      </w:r>
      <w:r w:rsidRPr="007B5118" w:rsidR="7FFF631A">
        <w:rPr>
          <w:sz w:val="24"/>
        </w:rPr>
        <w:t>, case managers,</w:t>
      </w:r>
      <w:r w:rsidRPr="007B5118" w:rsidR="365B1B8C">
        <w:rPr>
          <w:sz w:val="24"/>
        </w:rPr>
        <w:t xml:space="preserve"> </w:t>
      </w:r>
      <w:r w:rsidRPr="007B5118" w:rsidR="7FFF631A">
        <w:rPr>
          <w:sz w:val="24"/>
        </w:rPr>
        <w:t xml:space="preserve">fatherhood coordinators, CAN coordinators and </w:t>
      </w:r>
      <w:r w:rsidRPr="007B5118" w:rsidR="6E472830">
        <w:rPr>
          <w:sz w:val="24"/>
        </w:rPr>
        <w:t>data</w:t>
      </w:r>
      <w:r w:rsidRPr="007B5118" w:rsidR="5B248F81">
        <w:rPr>
          <w:sz w:val="24"/>
        </w:rPr>
        <w:t>/evaluat</w:t>
      </w:r>
      <w:r w:rsidRPr="007B5118" w:rsidR="6E472830">
        <w:rPr>
          <w:sz w:val="24"/>
        </w:rPr>
        <w:t>ion team members</w:t>
      </w:r>
      <w:r w:rsidRPr="007B5118" w:rsidR="3623C07F">
        <w:rPr>
          <w:sz w:val="24"/>
        </w:rPr>
        <w:t>. T</w:t>
      </w:r>
      <w:r w:rsidRPr="007B5118" w:rsidR="2BCF879A">
        <w:rPr>
          <w:sz w:val="24"/>
        </w:rPr>
        <w:t>he data will be collected in</w:t>
      </w:r>
      <w:r w:rsidRPr="007B5118" w:rsidR="7FFF631A">
        <w:rPr>
          <w:sz w:val="24"/>
        </w:rPr>
        <w:t xml:space="preserve"> Year</w:t>
      </w:r>
      <w:r w:rsidRPr="007B5118" w:rsidR="1E198199">
        <w:rPr>
          <w:sz w:val="24"/>
        </w:rPr>
        <w:t>s 2 and</w:t>
      </w:r>
      <w:r w:rsidRPr="007B5118" w:rsidR="7FFF631A">
        <w:rPr>
          <w:sz w:val="24"/>
        </w:rPr>
        <w:t xml:space="preserve"> 3.</w:t>
      </w:r>
      <w:r w:rsidRPr="7435F173" w:rsidR="2BCF879A">
        <w:rPr>
          <w:sz w:val="24"/>
        </w:rPr>
        <w:t xml:space="preserve"> </w:t>
      </w:r>
    </w:p>
    <w:p w:rsidR="008847E8" w:rsidP="00F44E20" w14:paraId="30DBE56F" w14:textId="019E0059">
      <w:pPr>
        <w:tabs>
          <w:tab w:val="left" w:pos="0"/>
          <w:tab w:val="left" w:pos="450"/>
        </w:tabs>
        <w:rPr>
          <w:sz w:val="24"/>
        </w:rPr>
      </w:pPr>
    </w:p>
    <w:p w:rsidR="00A832DD" w:rsidRPr="008364D2" w:rsidP="00A832DD" w14:paraId="7A2090BC" w14:textId="28C821F7">
      <w:pPr>
        <w:pStyle w:val="NormalSS"/>
        <w:ind w:firstLine="0"/>
        <w:rPr>
          <w:b/>
        </w:rPr>
      </w:pPr>
      <w:r w:rsidRPr="008364D2">
        <w:rPr>
          <w:b/>
        </w:rPr>
        <w:t xml:space="preserve">Table </w:t>
      </w:r>
      <w:r>
        <w:rPr>
          <w:b/>
        </w:rPr>
        <w:t>A.2</w:t>
      </w:r>
      <w:r w:rsidRPr="008364D2">
        <w:rPr>
          <w:b/>
        </w:rPr>
        <w:t>. Potential Respondent Universe and Sample</w:t>
      </w:r>
    </w:p>
    <w:tbl>
      <w:tblPr>
        <w:tblStyle w:val="TableGrid2"/>
        <w:tblW w:w="0" w:type="auto"/>
        <w:tblInd w:w="558" w:type="dxa"/>
        <w:tblLook w:val="04A0"/>
      </w:tblPr>
      <w:tblGrid>
        <w:gridCol w:w="4500"/>
        <w:gridCol w:w="4027"/>
      </w:tblGrid>
      <w:tr w14:paraId="2AADBCE7" w14:textId="77777777" w:rsidTr="009650EE">
        <w:tblPrEx>
          <w:tblW w:w="0" w:type="auto"/>
          <w:tblInd w:w="558" w:type="dxa"/>
          <w:tblLook w:val="04A0"/>
        </w:tblPrEx>
        <w:tc>
          <w:tcPr>
            <w:tcW w:w="4500" w:type="dxa"/>
          </w:tcPr>
          <w:p w:rsidR="00A832DD" w:rsidRPr="008364D2" w:rsidP="009650EE" w14:paraId="4E5D6559" w14:textId="77777777">
            <w:pPr>
              <w:spacing w:before="120"/>
              <w:rPr>
                <w:b/>
                <w:bCs/>
                <w:sz w:val="24"/>
              </w:rPr>
            </w:pPr>
            <w:r w:rsidRPr="008364D2">
              <w:rPr>
                <w:b/>
                <w:bCs/>
                <w:sz w:val="24"/>
              </w:rPr>
              <w:t>Form Name</w:t>
            </w:r>
          </w:p>
        </w:tc>
        <w:tc>
          <w:tcPr>
            <w:tcW w:w="4027" w:type="dxa"/>
          </w:tcPr>
          <w:p w:rsidR="00A832DD" w:rsidRPr="008364D2" w:rsidP="009650EE" w14:paraId="7005D448" w14:textId="77777777">
            <w:pPr>
              <w:spacing w:before="120"/>
              <w:rPr>
                <w:b/>
                <w:bCs/>
                <w:sz w:val="24"/>
              </w:rPr>
            </w:pPr>
            <w:r w:rsidRPr="008364D2">
              <w:rPr>
                <w:b/>
                <w:bCs/>
                <w:sz w:val="24"/>
              </w:rPr>
              <w:t>Number of Entities in the Universe</w:t>
            </w:r>
          </w:p>
        </w:tc>
      </w:tr>
      <w:tr w14:paraId="36B5F7EF" w14:textId="77777777" w:rsidTr="009650EE">
        <w:tblPrEx>
          <w:tblW w:w="0" w:type="auto"/>
          <w:tblInd w:w="558" w:type="dxa"/>
          <w:tblLook w:val="04A0"/>
        </w:tblPrEx>
        <w:tc>
          <w:tcPr>
            <w:tcW w:w="4500" w:type="dxa"/>
          </w:tcPr>
          <w:p w:rsidR="00A832DD" w:rsidRPr="008364D2" w:rsidP="009650EE" w14:paraId="6634AF60" w14:textId="77777777">
            <w:pPr>
              <w:spacing w:before="120"/>
              <w:rPr>
                <w:sz w:val="24"/>
              </w:rPr>
            </w:pPr>
            <w:r w:rsidRPr="008364D2">
              <w:rPr>
                <w:sz w:val="24"/>
              </w:rPr>
              <w:t>Healthy Start Program Survey</w:t>
            </w:r>
          </w:p>
        </w:tc>
        <w:tc>
          <w:tcPr>
            <w:tcW w:w="4027" w:type="dxa"/>
          </w:tcPr>
          <w:p w:rsidR="00A832DD" w:rsidRPr="008364D2" w:rsidP="009650EE" w14:paraId="0E38DE54" w14:textId="77777777">
            <w:pPr>
              <w:spacing w:before="120"/>
              <w:rPr>
                <w:sz w:val="24"/>
              </w:rPr>
            </w:pPr>
            <w:r w:rsidRPr="008364D2">
              <w:rPr>
                <w:b/>
                <w:sz w:val="24"/>
              </w:rPr>
              <w:t>101</w:t>
            </w:r>
            <w:r w:rsidRPr="008364D2">
              <w:rPr>
                <w:sz w:val="24"/>
              </w:rPr>
              <w:t xml:space="preserve"> individuals (1 from each of the 101Healthy Start-funded projects) who are in the Program Director role are eligible to be surveyed. Based on similar surveys in previous evaluations, we expect a response rate of 95%.</w:t>
            </w:r>
          </w:p>
        </w:tc>
      </w:tr>
      <w:tr w14:paraId="1F2C9122" w14:textId="77777777" w:rsidTr="009650EE">
        <w:tblPrEx>
          <w:tblW w:w="0" w:type="auto"/>
          <w:tblInd w:w="558" w:type="dxa"/>
          <w:tblLook w:val="04A0"/>
        </w:tblPrEx>
        <w:tc>
          <w:tcPr>
            <w:tcW w:w="4500" w:type="dxa"/>
          </w:tcPr>
          <w:p w:rsidR="00A832DD" w:rsidRPr="008364D2" w:rsidP="009650EE" w14:paraId="7DF5673C" w14:textId="77777777">
            <w:pPr>
              <w:spacing w:before="120"/>
              <w:rPr>
                <w:sz w:val="24"/>
              </w:rPr>
            </w:pPr>
            <w:r w:rsidRPr="008364D2">
              <w:rPr>
                <w:sz w:val="24"/>
              </w:rPr>
              <w:t>Healthy Start Network Survey</w:t>
            </w:r>
          </w:p>
        </w:tc>
        <w:tc>
          <w:tcPr>
            <w:tcW w:w="4027" w:type="dxa"/>
          </w:tcPr>
          <w:p w:rsidR="00A832DD" w:rsidRPr="008364D2" w:rsidP="009650EE" w14:paraId="4A8659B7" w14:textId="5BC968D1">
            <w:pPr>
              <w:spacing w:before="120"/>
              <w:rPr>
                <w:sz w:val="24"/>
              </w:rPr>
            </w:pPr>
            <w:r>
              <w:rPr>
                <w:bCs/>
                <w:sz w:val="24"/>
              </w:rPr>
              <w:t>Convenience sample of u</w:t>
            </w:r>
            <w:r w:rsidRPr="009B6EAE">
              <w:rPr>
                <w:bCs/>
                <w:sz w:val="24"/>
              </w:rPr>
              <w:t>p to</w:t>
            </w:r>
            <w:r>
              <w:rPr>
                <w:b/>
                <w:sz w:val="24"/>
              </w:rPr>
              <w:t xml:space="preserve"> </w:t>
            </w:r>
            <w:r w:rsidRPr="008364D2">
              <w:rPr>
                <w:b/>
                <w:sz w:val="24"/>
              </w:rPr>
              <w:t>600</w:t>
            </w:r>
            <w:r w:rsidRPr="008364D2">
              <w:rPr>
                <w:sz w:val="24"/>
              </w:rPr>
              <w:t xml:space="preserve"> active members that constitute the Community Action Networks (CAN) in the 15 case study sites are eligible to be surveyed</w:t>
            </w:r>
            <w:r>
              <w:rPr>
                <w:sz w:val="24"/>
              </w:rPr>
              <w:t xml:space="preserve">. </w:t>
            </w:r>
            <w:r w:rsidRPr="008364D2">
              <w:rPr>
                <w:sz w:val="24"/>
              </w:rPr>
              <w:t>Healthy Start programs across the country vary in the members</w:t>
            </w:r>
            <w:r>
              <w:rPr>
                <w:sz w:val="24"/>
              </w:rPr>
              <w:t xml:space="preserve"> who </w:t>
            </w:r>
            <w:r w:rsidRPr="008364D2">
              <w:rPr>
                <w:sz w:val="24"/>
              </w:rPr>
              <w:t xml:space="preserve">constitute the CAN, but </w:t>
            </w:r>
            <w:r w:rsidR="00E816E2">
              <w:rPr>
                <w:sz w:val="24"/>
              </w:rPr>
              <w:t xml:space="preserve">they </w:t>
            </w:r>
            <w:r>
              <w:rPr>
                <w:sz w:val="24"/>
              </w:rPr>
              <w:t>are typically composed of diverse membership and represent different sectors of the community, including 25% of members who are HS participants or people with lived experience similar to that of HS participants. W</w:t>
            </w:r>
            <w:r w:rsidRPr="008364D2">
              <w:rPr>
                <w:sz w:val="24"/>
              </w:rPr>
              <w:t xml:space="preserve">e estimate that </w:t>
            </w:r>
            <w:r>
              <w:rPr>
                <w:sz w:val="24"/>
              </w:rPr>
              <w:t>including members</w:t>
            </w:r>
            <w:r w:rsidRPr="008364D2">
              <w:rPr>
                <w:sz w:val="24"/>
              </w:rPr>
              <w:t xml:space="preserve"> </w:t>
            </w:r>
            <w:r>
              <w:rPr>
                <w:sz w:val="24"/>
              </w:rPr>
              <w:t>who</w:t>
            </w:r>
            <w:r w:rsidRPr="008364D2">
              <w:rPr>
                <w:sz w:val="24"/>
              </w:rPr>
              <w:t xml:space="preserve"> have actively participated in the CAN in the past year by attending at least two meetings will </w:t>
            </w:r>
            <w:r>
              <w:rPr>
                <w:sz w:val="24"/>
              </w:rPr>
              <w:t xml:space="preserve">result in approximately </w:t>
            </w:r>
            <w:r w:rsidRPr="008364D2">
              <w:rPr>
                <w:sz w:val="24"/>
              </w:rPr>
              <w:t xml:space="preserve">40 </w:t>
            </w:r>
            <w:r>
              <w:rPr>
                <w:sz w:val="24"/>
              </w:rPr>
              <w:t xml:space="preserve">eligible members </w:t>
            </w:r>
            <w:r w:rsidRPr="008364D2">
              <w:rPr>
                <w:sz w:val="24"/>
              </w:rPr>
              <w:t xml:space="preserve">at each of the 15 case study sites. Based on experience with other network surveys, we expect a response rate between </w:t>
            </w:r>
            <w:r>
              <w:rPr>
                <w:sz w:val="24"/>
              </w:rPr>
              <w:t>50</w:t>
            </w:r>
            <w:r w:rsidRPr="008364D2">
              <w:rPr>
                <w:sz w:val="24"/>
              </w:rPr>
              <w:t xml:space="preserve">% to </w:t>
            </w:r>
            <w:r>
              <w:rPr>
                <w:sz w:val="24"/>
              </w:rPr>
              <w:t>70</w:t>
            </w:r>
            <w:r w:rsidRPr="008364D2">
              <w:rPr>
                <w:sz w:val="24"/>
              </w:rPr>
              <w:t>%.</w:t>
            </w:r>
          </w:p>
        </w:tc>
      </w:tr>
      <w:tr w14:paraId="676FB8A0" w14:textId="77777777" w:rsidTr="009650EE">
        <w:tblPrEx>
          <w:tblW w:w="0" w:type="auto"/>
          <w:tblInd w:w="558" w:type="dxa"/>
          <w:tblLook w:val="04A0"/>
        </w:tblPrEx>
        <w:tc>
          <w:tcPr>
            <w:tcW w:w="4500" w:type="dxa"/>
          </w:tcPr>
          <w:p w:rsidR="00A832DD" w:rsidRPr="008364D2" w:rsidP="009650EE" w14:paraId="0BC87C0D" w14:textId="77777777">
            <w:pPr>
              <w:spacing w:before="120"/>
              <w:rPr>
                <w:sz w:val="24"/>
              </w:rPr>
            </w:pPr>
            <w:r w:rsidRPr="008364D2">
              <w:rPr>
                <w:sz w:val="24"/>
              </w:rPr>
              <w:t>Healthy Start Participant Survey</w:t>
            </w:r>
          </w:p>
        </w:tc>
        <w:tc>
          <w:tcPr>
            <w:tcW w:w="4027" w:type="dxa"/>
          </w:tcPr>
          <w:p w:rsidR="00A832DD" w:rsidRPr="00AB15E3" w:rsidP="009650EE" w14:paraId="254BC921" w14:textId="77777777">
            <w:pPr>
              <w:spacing w:before="120"/>
              <w:rPr>
                <w:sz w:val="24"/>
              </w:rPr>
            </w:pPr>
            <w:r w:rsidRPr="00617537">
              <w:rPr>
                <w:bCs/>
                <w:sz w:val="24"/>
              </w:rPr>
              <w:t>Convenience sample of up to</w:t>
            </w:r>
            <w:r w:rsidRPr="00617537">
              <w:rPr>
                <w:b/>
                <w:sz w:val="24"/>
              </w:rPr>
              <w:t xml:space="preserve"> 750</w:t>
            </w:r>
            <w:r w:rsidRPr="00617537">
              <w:rPr>
                <w:sz w:val="24"/>
              </w:rPr>
              <w:t xml:space="preserve"> pote</w:t>
            </w:r>
            <w:r w:rsidRPr="00AB15E3">
              <w:rPr>
                <w:sz w:val="24"/>
              </w:rPr>
              <w:t xml:space="preserve">ntial participants who currently receive services in the 15 case study sites will be eligible for this survey. Each Healthy Start program is expected to serve 300 pregnant women; 300 infants/children up to 18 months, preconception women, and </w:t>
            </w:r>
            <w:r w:rsidRPr="00AB15E3">
              <w:rPr>
                <w:sz w:val="24"/>
              </w:rPr>
              <w:t>interconception women (combined); and 100 fathers/male partners affiliated with Healthy Start women/ infants/ children, per calendar year. We have restricted eligibility to include only adult participants who are currently enrolled in the program. This leads us to estimate approximately 50 eligible participants in each of the 15 case study sites. Based on our proposed multi-method approach to assisting participants via email or telephone if they are unable to use the web survey, we expect a response rate of 40-60%.</w:t>
            </w:r>
          </w:p>
        </w:tc>
      </w:tr>
      <w:tr w14:paraId="1BF4BE40" w14:textId="77777777" w:rsidTr="009650EE">
        <w:tblPrEx>
          <w:tblW w:w="0" w:type="auto"/>
          <w:tblInd w:w="558" w:type="dxa"/>
          <w:tblLook w:val="04A0"/>
        </w:tblPrEx>
        <w:tc>
          <w:tcPr>
            <w:tcW w:w="4500" w:type="dxa"/>
          </w:tcPr>
          <w:p w:rsidR="00A832DD" w:rsidRPr="007B5118" w:rsidP="009650EE" w14:paraId="440AB076" w14:textId="77777777">
            <w:pPr>
              <w:spacing w:before="120"/>
              <w:rPr>
                <w:sz w:val="24"/>
              </w:rPr>
            </w:pPr>
            <w:r w:rsidRPr="007B5118">
              <w:rPr>
                <w:sz w:val="24"/>
              </w:rPr>
              <w:t>Healthy Start Stakeholder Interview Guide</w:t>
            </w:r>
          </w:p>
        </w:tc>
        <w:tc>
          <w:tcPr>
            <w:tcW w:w="4027" w:type="dxa"/>
          </w:tcPr>
          <w:p w:rsidR="00A832DD" w:rsidRPr="007B5118" w:rsidP="009650EE" w14:paraId="69206CA4" w14:textId="33812226">
            <w:pPr>
              <w:spacing w:before="120"/>
              <w:rPr>
                <w:sz w:val="24"/>
              </w:rPr>
            </w:pPr>
            <w:r w:rsidRPr="007B5118">
              <w:rPr>
                <w:sz w:val="24"/>
              </w:rPr>
              <w:t xml:space="preserve">Convenience sample of up to </w:t>
            </w:r>
            <w:r w:rsidRPr="007B5118">
              <w:rPr>
                <w:b/>
                <w:sz w:val="24"/>
              </w:rPr>
              <w:t>150</w:t>
            </w:r>
            <w:r w:rsidRPr="007B5118">
              <w:rPr>
                <w:sz w:val="24"/>
              </w:rPr>
              <w:t xml:space="preserve"> key informants will be eligible for interviews involving 5-10 administrative and service staff in each of the 15 sites. Based on experience with similar activities and a typically high level of motivation </w:t>
            </w:r>
            <w:r w:rsidRPr="007B5118" w:rsidR="0031330E">
              <w:rPr>
                <w:sz w:val="24"/>
              </w:rPr>
              <w:t>am</w:t>
            </w:r>
            <w:r w:rsidRPr="007B5118" w:rsidR="006F5867">
              <w:rPr>
                <w:sz w:val="24"/>
              </w:rPr>
              <w:t>ong</w:t>
            </w:r>
            <w:r w:rsidRPr="007B5118">
              <w:rPr>
                <w:sz w:val="24"/>
              </w:rPr>
              <w:t xml:space="preserve"> Healthy Start staff with heavy workloads, we expect a response rate of 70-80%.</w:t>
            </w:r>
          </w:p>
        </w:tc>
      </w:tr>
    </w:tbl>
    <w:p w:rsidR="00A832DD" w:rsidRPr="005F026E" w:rsidP="00F44E20" w14:paraId="25800577" w14:textId="77777777">
      <w:pPr>
        <w:tabs>
          <w:tab w:val="left" w:pos="0"/>
          <w:tab w:val="left" w:pos="450"/>
        </w:tabs>
        <w:rPr>
          <w:sz w:val="24"/>
        </w:rPr>
      </w:pPr>
    </w:p>
    <w:p w:rsidR="009B3794" w:rsidRPr="005F026E" w:rsidP="00703B60" w14:paraId="0AEC7211" w14:textId="7D8F3025">
      <w:pPr>
        <w:pStyle w:val="Heading3"/>
      </w:pPr>
      <w:r w:rsidRPr="005F026E">
        <w:rPr>
          <w:u w:val="none"/>
        </w:rPr>
        <w:t>3.</w:t>
      </w:r>
      <w:r w:rsidRPr="005F026E">
        <w:rPr>
          <w:u w:val="none"/>
        </w:rPr>
        <w:tab/>
      </w:r>
      <w:r w:rsidRPr="005F026E">
        <w:t xml:space="preserve">Use of </w:t>
      </w:r>
      <w:r w:rsidR="00A118CC">
        <w:t>I</w:t>
      </w:r>
      <w:r w:rsidRPr="005F026E">
        <w:t xml:space="preserve">mproved </w:t>
      </w:r>
      <w:r w:rsidR="00A118CC">
        <w:t>I</w:t>
      </w:r>
      <w:r w:rsidRPr="005F026E">
        <w:t xml:space="preserve">nformation </w:t>
      </w:r>
      <w:r w:rsidR="00A118CC">
        <w:t>T</w:t>
      </w:r>
      <w:r w:rsidRPr="005F026E">
        <w:t xml:space="preserve">echnology and </w:t>
      </w:r>
      <w:r w:rsidR="00A118CC">
        <w:t>B</w:t>
      </w:r>
      <w:r w:rsidRPr="005F026E">
        <w:t xml:space="preserve">urden </w:t>
      </w:r>
      <w:r w:rsidR="00A118CC">
        <w:t>R</w:t>
      </w:r>
      <w:r w:rsidRPr="005F026E">
        <w:t>eduction</w:t>
      </w:r>
    </w:p>
    <w:p w:rsidR="00561CBF" w:rsidRPr="00F36C78" w:rsidP="00703B60" w14:paraId="2BE0B32B" w14:textId="1AFC6F30">
      <w:pPr>
        <w:pStyle w:val="NormalSS"/>
      </w:pPr>
      <w:r>
        <w:t xml:space="preserve">The </w:t>
      </w:r>
      <w:r w:rsidR="435E7733">
        <w:t xml:space="preserve">Healthy Start Program Survey, </w:t>
      </w:r>
      <w:r>
        <w:t>Healthy Start Network Survey</w:t>
      </w:r>
      <w:r w:rsidR="4CD678C2">
        <w:t>,</w:t>
      </w:r>
      <w:r w:rsidR="272F8A97">
        <w:t xml:space="preserve"> Healthy Sta</w:t>
      </w:r>
      <w:r w:rsidR="32F80A01">
        <w:t>r</w:t>
      </w:r>
      <w:r w:rsidR="272F8A97">
        <w:t>t P</w:t>
      </w:r>
      <w:r w:rsidR="3887848E">
        <w:t>articipant Survey</w:t>
      </w:r>
      <w:r w:rsidR="4CD678C2">
        <w:t xml:space="preserve">, </w:t>
      </w:r>
      <w:r w:rsidR="5BDF70EA">
        <w:t xml:space="preserve">and </w:t>
      </w:r>
      <w:r w:rsidR="29AEBCE5">
        <w:t xml:space="preserve">Stakeholder </w:t>
      </w:r>
      <w:r w:rsidR="4CD678C2">
        <w:t xml:space="preserve">Interview Guide </w:t>
      </w:r>
      <w:r w:rsidR="18F44357">
        <w:t xml:space="preserve">will comply with the Government Paperwork Elimination Act </w:t>
      </w:r>
      <w:r w:rsidR="4CAABFDC">
        <w:t>(</w:t>
      </w:r>
      <w:r w:rsidR="18F44357">
        <w:t>Public Law 105-277, Title XVII</w:t>
      </w:r>
      <w:r w:rsidR="4CAABFDC">
        <w:t>)</w:t>
      </w:r>
      <w:r w:rsidR="18F44357">
        <w:t xml:space="preserve"> by employing technology efficiently to reduce burden on respondents. </w:t>
      </w:r>
      <w:r w:rsidR="6E2B8EF8">
        <w:t>The contractor</w:t>
      </w:r>
      <w:r w:rsidR="18F44357">
        <w:t xml:space="preserve"> will use a</w:t>
      </w:r>
      <w:r w:rsidR="435E7733">
        <w:t>n online,</w:t>
      </w:r>
      <w:r w:rsidR="18F44357">
        <w:t xml:space="preserve"> web-based application to obtain information from respondents</w:t>
      </w:r>
      <w:r w:rsidR="274274D2">
        <w:t xml:space="preserve"> for all three </w:t>
      </w:r>
      <w:r w:rsidR="4CD678C2">
        <w:t xml:space="preserve">survey </w:t>
      </w:r>
      <w:r w:rsidR="274274D2">
        <w:t>instruments</w:t>
      </w:r>
      <w:r w:rsidR="18F44357">
        <w:t>. The application will include automated range checks and branching</w:t>
      </w:r>
      <w:r w:rsidR="07766110">
        <w:t xml:space="preserve"> logic</w:t>
      </w:r>
      <w:r w:rsidR="11BA56EA">
        <w:t>,</w:t>
      </w:r>
      <w:r w:rsidR="18F44357">
        <w:t xml:space="preserve"> and will enforce consistency among critical questions</w:t>
      </w:r>
      <w:r w:rsidR="0148A5BC">
        <w:t xml:space="preserve"> to </w:t>
      </w:r>
      <w:r w:rsidR="18F44357">
        <w:t>optimiz</w:t>
      </w:r>
      <w:r w:rsidR="0148A5BC">
        <w:t>e</w:t>
      </w:r>
      <w:r w:rsidR="18F44357">
        <w:t xml:space="preserve"> resources and facilitat</w:t>
      </w:r>
      <w:r w:rsidR="0148A5BC">
        <w:t>e</w:t>
      </w:r>
      <w:r w:rsidR="18F44357">
        <w:t xml:space="preserve"> </w:t>
      </w:r>
      <w:r w:rsidR="0148A5BC">
        <w:t xml:space="preserve">collection of </w:t>
      </w:r>
      <w:r w:rsidR="18F44357">
        <w:t>high</w:t>
      </w:r>
      <w:r w:rsidR="272F8A97">
        <w:t>-</w:t>
      </w:r>
      <w:r w:rsidR="18F44357">
        <w:t>quality data.</w:t>
      </w:r>
      <w:r w:rsidR="435E7733">
        <w:t xml:space="preserve"> The programming will allow the collection</w:t>
      </w:r>
      <w:r w:rsidR="18F44357">
        <w:t xml:space="preserve"> </w:t>
      </w:r>
      <w:r w:rsidR="0148A5BC">
        <w:t xml:space="preserve">of </w:t>
      </w:r>
      <w:r w:rsidR="18F44357">
        <w:t>information specific to each</w:t>
      </w:r>
      <w:r w:rsidR="435E7733">
        <w:t xml:space="preserve"> </w:t>
      </w:r>
      <w:r w:rsidR="18F44357">
        <w:t>respondent</w:t>
      </w:r>
      <w:r w:rsidR="03F76920">
        <w:t xml:space="preserve"> by </w:t>
      </w:r>
      <w:r w:rsidR="42EF179C">
        <w:t>permitting respondents to skip over</w:t>
      </w:r>
      <w:r w:rsidR="03F76920">
        <w:t xml:space="preserve"> questions not pertinent to them</w:t>
      </w:r>
      <w:r w:rsidR="18F44357">
        <w:t xml:space="preserve">, thereby eliminating undue time burden on respondents. </w:t>
      </w:r>
      <w:r w:rsidR="0CC072B4">
        <w:t>The application</w:t>
      </w:r>
      <w:r w:rsidR="435E7733">
        <w:t xml:space="preserve"> will also allow respondents to stop and return to the instrument so that they can complete it at their convenience. </w:t>
      </w:r>
      <w:r w:rsidR="18F44357">
        <w:t>The</w:t>
      </w:r>
      <w:r w:rsidR="435E7733">
        <w:t xml:space="preserve"> instruments </w:t>
      </w:r>
      <w:r w:rsidR="2BCF879A">
        <w:t xml:space="preserve">will </w:t>
      </w:r>
      <w:r w:rsidR="18F44357">
        <w:t>solicit only</w:t>
      </w:r>
      <w:r w:rsidR="435E7733">
        <w:t xml:space="preserve"> </w:t>
      </w:r>
      <w:r w:rsidR="18F44357">
        <w:t xml:space="preserve">information that corresponds to the specific research </w:t>
      </w:r>
      <w:r w:rsidR="2BCF879A">
        <w:t xml:space="preserve">areas described in </w:t>
      </w:r>
      <w:r w:rsidR="435E7733">
        <w:t xml:space="preserve">Section </w:t>
      </w:r>
      <w:r w:rsidR="3887848E">
        <w:t>2</w:t>
      </w:r>
      <w:r w:rsidR="5BDF70EA">
        <w:t xml:space="preserve"> </w:t>
      </w:r>
      <w:r w:rsidR="18F44357">
        <w:t xml:space="preserve">above. </w:t>
      </w:r>
    </w:p>
    <w:p w:rsidR="009B3794" w:rsidRPr="001640AB" w:rsidP="00703B60" w14:paraId="3201941C" w14:textId="4EC1A9CF">
      <w:pPr>
        <w:pStyle w:val="Heading3"/>
      </w:pPr>
      <w:r w:rsidRPr="005F026E">
        <w:rPr>
          <w:u w:val="none"/>
        </w:rPr>
        <w:t>4.</w:t>
      </w:r>
      <w:r w:rsidRPr="005F026E">
        <w:rPr>
          <w:u w:val="none"/>
        </w:rPr>
        <w:tab/>
      </w:r>
      <w:r w:rsidRPr="001640AB">
        <w:t>Efforts to</w:t>
      </w:r>
      <w:r w:rsidRPr="001640AB" w:rsidR="004615F8">
        <w:t xml:space="preserve"> </w:t>
      </w:r>
      <w:r w:rsidRPr="001640AB" w:rsidR="00A118CC">
        <w:t>I</w:t>
      </w:r>
      <w:r w:rsidRPr="001640AB">
        <w:t xml:space="preserve">dentify </w:t>
      </w:r>
      <w:r w:rsidRPr="001640AB" w:rsidR="00A118CC">
        <w:t>D</w:t>
      </w:r>
      <w:r w:rsidRPr="001640AB">
        <w:t xml:space="preserve">uplication and </w:t>
      </w:r>
      <w:r w:rsidRPr="001640AB" w:rsidR="00A118CC">
        <w:t>U</w:t>
      </w:r>
      <w:r w:rsidRPr="001640AB">
        <w:t xml:space="preserve">se of </w:t>
      </w:r>
      <w:r w:rsidRPr="001640AB" w:rsidR="00A118CC">
        <w:t>S</w:t>
      </w:r>
      <w:r w:rsidRPr="001640AB">
        <w:t xml:space="preserve">imilar </w:t>
      </w:r>
      <w:r w:rsidRPr="001640AB" w:rsidR="00A118CC">
        <w:t>I</w:t>
      </w:r>
      <w:r w:rsidRPr="001640AB">
        <w:t>nformation</w:t>
      </w:r>
    </w:p>
    <w:p w:rsidR="00BA21E6" w:rsidRPr="005F026E" w:rsidP="00EB3F4F" w14:paraId="019BCD9E" w14:textId="09731F57">
      <w:pPr>
        <w:pStyle w:val="NormalSS"/>
      </w:pPr>
      <w:r w:rsidRPr="001640AB">
        <w:t xml:space="preserve">The information </w:t>
      </w:r>
      <w:r w:rsidR="00E73BC0">
        <w:t xml:space="preserve">in this OMB package </w:t>
      </w:r>
      <w:r w:rsidRPr="001640AB">
        <w:t>that we are requesting to collect</w:t>
      </w:r>
      <w:r w:rsidRPr="001640AB" w:rsidR="00477DE0">
        <w:t xml:space="preserve"> </w:t>
      </w:r>
      <w:r w:rsidRPr="001640AB" w:rsidR="00471C17">
        <w:t>is not available elsewhere</w:t>
      </w:r>
      <w:r w:rsidRPr="001640AB">
        <w:t xml:space="preserve">. </w:t>
      </w:r>
      <w:r w:rsidRPr="001640AB" w:rsidR="00F35223">
        <w:t xml:space="preserve">We </w:t>
      </w:r>
      <w:r w:rsidRPr="00273B7A" w:rsidR="00F35223">
        <w:t>developed a cross</w:t>
      </w:r>
      <w:r w:rsidRPr="00273B7A" w:rsidR="006D2020">
        <w:t>walk</w:t>
      </w:r>
      <w:r w:rsidR="006D2020">
        <w:t xml:space="preserve"> </w:t>
      </w:r>
      <w:r w:rsidR="00273B7A">
        <w:t xml:space="preserve">(Attachment A8) </w:t>
      </w:r>
      <w:r w:rsidR="00F35223">
        <w:t xml:space="preserve">between the evaluation questions and questions in the four </w:t>
      </w:r>
      <w:r w:rsidR="005A3DFE">
        <w:t xml:space="preserve">primary </w:t>
      </w:r>
      <w:r w:rsidR="00F35223">
        <w:t>data collection instruments</w:t>
      </w:r>
      <w:r w:rsidR="00273B7A">
        <w:t xml:space="preserve"> and the secondary data sources</w:t>
      </w:r>
      <w:r w:rsidR="00F35223">
        <w:t xml:space="preserve"> to ensure that the instrument questions were relevant and not duplicative. </w:t>
      </w:r>
      <w:r w:rsidR="00C26DB4">
        <w:t>To address some evaluation questions</w:t>
      </w:r>
      <w:r w:rsidR="00CC63CF">
        <w:t xml:space="preserve"> for this project</w:t>
      </w:r>
      <w:r w:rsidR="00C26DB4">
        <w:t>,</w:t>
      </w:r>
      <w:r w:rsidR="00D87AC5">
        <w:t xml:space="preserve"> </w:t>
      </w:r>
      <w:r w:rsidR="00273B7A">
        <w:t xml:space="preserve">as mentioned above, </w:t>
      </w:r>
      <w:r w:rsidR="00D87AC5">
        <w:t>we will</w:t>
      </w:r>
      <w:r w:rsidR="00F35114">
        <w:t xml:space="preserve"> also use data that </w:t>
      </w:r>
      <w:r w:rsidR="007D1B1F">
        <w:t>H</w:t>
      </w:r>
      <w:r w:rsidRPr="007D1B1F" w:rsidR="007D1B1F">
        <w:t xml:space="preserve">ealthy Start </w:t>
      </w:r>
      <w:r w:rsidRPr="007D1B1F" w:rsidR="007D1B1F">
        <w:t xml:space="preserve">grantees </w:t>
      </w:r>
      <w:r w:rsidR="00C26DB4">
        <w:t xml:space="preserve">regularly </w:t>
      </w:r>
      <w:r w:rsidRPr="007D1B1F" w:rsidR="007D1B1F">
        <w:t xml:space="preserve">report </w:t>
      </w:r>
      <w:r w:rsidR="007D1B1F">
        <w:t>on t</w:t>
      </w:r>
      <w:r w:rsidR="00C26DB4">
        <w:t>heir participants and program</w:t>
      </w:r>
      <w:r w:rsidR="00F35223">
        <w:t xml:space="preserve"> performance</w:t>
      </w:r>
      <w:r w:rsidR="00C26DB4">
        <w:t xml:space="preserve"> </w:t>
      </w:r>
      <w:r w:rsidRPr="007D1B1F" w:rsidR="007D1B1F">
        <w:t>to HRSA</w:t>
      </w:r>
      <w:r w:rsidR="007D1B1F">
        <w:t>’s</w:t>
      </w:r>
      <w:r w:rsidRPr="007D1B1F" w:rsidR="007D1B1F">
        <w:t xml:space="preserve"> Healthy Start Monitoring and Evaluation Data System (HSMED) and the Discretionary Grants Information System (DGIS)</w:t>
      </w:r>
      <w:r w:rsidR="00EB34CA">
        <w:t>, respectively</w:t>
      </w:r>
      <w:r w:rsidR="00F35114">
        <w:t xml:space="preserve">. </w:t>
      </w:r>
      <w:r w:rsidR="005E1748">
        <w:t>However, t</w:t>
      </w:r>
      <w:r w:rsidR="00EB34CA">
        <w:t>he i</w:t>
      </w:r>
      <w:r w:rsidRPr="007D1B1F" w:rsidR="007D1B1F">
        <w:t xml:space="preserve">nstruments submitted in this </w:t>
      </w:r>
      <w:r w:rsidR="007D1B1F">
        <w:t>OMB</w:t>
      </w:r>
      <w:r w:rsidRPr="007D1B1F" w:rsidR="007D1B1F">
        <w:t xml:space="preserve"> package</w:t>
      </w:r>
      <w:r w:rsidR="00EB34CA">
        <w:t xml:space="preserve"> are not collecting information </w:t>
      </w:r>
      <w:r w:rsidR="00736AEA">
        <w:t xml:space="preserve">that </w:t>
      </w:r>
      <w:r w:rsidR="00EB34CA">
        <w:t>is available from HSMED and DGIS; hence there is no duplication of efforts</w:t>
      </w:r>
      <w:r w:rsidR="007D1B1F">
        <w:t>.</w:t>
      </w:r>
    </w:p>
    <w:p w:rsidR="009B3794" w:rsidRPr="00E73BC0" w:rsidP="00703B60" w14:paraId="512BD8E6" w14:textId="58A8C9DE">
      <w:pPr>
        <w:pStyle w:val="Heading3"/>
        <w:rPr>
          <w:color w:val="000000"/>
        </w:rPr>
      </w:pPr>
      <w:r w:rsidRPr="00E73BC0">
        <w:rPr>
          <w:u w:val="none"/>
        </w:rPr>
        <w:t>5.</w:t>
      </w:r>
      <w:r w:rsidRPr="00E73BC0">
        <w:rPr>
          <w:u w:val="none"/>
        </w:rPr>
        <w:tab/>
      </w:r>
      <w:r w:rsidRPr="00E73BC0" w:rsidR="002471D8">
        <w:t xml:space="preserve">Impact on </w:t>
      </w:r>
      <w:r w:rsidRPr="00E73BC0" w:rsidR="00A118CC">
        <w:t>S</w:t>
      </w:r>
      <w:r w:rsidRPr="00E73BC0">
        <w:t xml:space="preserve">mall </w:t>
      </w:r>
      <w:r w:rsidRPr="00E73BC0" w:rsidR="00A118CC">
        <w:t>B</w:t>
      </w:r>
      <w:r w:rsidRPr="00E73BC0">
        <w:t xml:space="preserve">usinesses or </w:t>
      </w:r>
      <w:r w:rsidRPr="00E73BC0" w:rsidR="00A118CC">
        <w:t>O</w:t>
      </w:r>
      <w:r w:rsidRPr="00E73BC0">
        <w:t xml:space="preserve">ther </w:t>
      </w:r>
      <w:r w:rsidRPr="00E73BC0" w:rsidR="00A118CC">
        <w:t>S</w:t>
      </w:r>
      <w:r w:rsidRPr="00E73BC0">
        <w:t xml:space="preserve">mall </w:t>
      </w:r>
      <w:r w:rsidRPr="00E73BC0" w:rsidR="00A118CC">
        <w:t>E</w:t>
      </w:r>
      <w:r w:rsidRPr="00E73BC0">
        <w:t>ntities</w:t>
      </w:r>
    </w:p>
    <w:p w:rsidR="00633BA4" w:rsidRPr="005F026E" w:rsidP="00703B60" w14:paraId="1A2CD9BB" w14:textId="4FDD56CF">
      <w:pPr>
        <w:pStyle w:val="NormalSS"/>
      </w:pPr>
      <w:r>
        <w:t xml:space="preserve">This </w:t>
      </w:r>
      <w:r w:rsidR="66EE2844">
        <w:t xml:space="preserve">project </w:t>
      </w:r>
      <w:r>
        <w:t xml:space="preserve">does not impact small </w:t>
      </w:r>
      <w:r w:rsidR="4F60190D">
        <w:t xml:space="preserve">business or </w:t>
      </w:r>
      <w:r>
        <w:t xml:space="preserve">entities. </w:t>
      </w:r>
    </w:p>
    <w:p w:rsidR="009B3794" w:rsidRPr="005F026E" w:rsidP="00703B60" w14:paraId="45A9A8A2" w14:textId="59EDC6F9">
      <w:pPr>
        <w:pStyle w:val="Heading3"/>
      </w:pPr>
      <w:r w:rsidRPr="005F026E">
        <w:rPr>
          <w:u w:val="none"/>
        </w:rPr>
        <w:t>6.</w:t>
      </w:r>
      <w:r w:rsidRPr="005F026E">
        <w:rPr>
          <w:u w:val="none"/>
        </w:rPr>
        <w:tab/>
      </w:r>
      <w:r w:rsidRPr="005F026E">
        <w:t xml:space="preserve">Consequences of </w:t>
      </w:r>
      <w:r w:rsidR="00A118CC">
        <w:t>C</w:t>
      </w:r>
      <w:r w:rsidRPr="005F026E">
        <w:t xml:space="preserve">ollecting the </w:t>
      </w:r>
      <w:r w:rsidR="00A118CC">
        <w:t>I</w:t>
      </w:r>
      <w:r w:rsidRPr="005F026E">
        <w:t xml:space="preserve">nformation </w:t>
      </w:r>
      <w:r w:rsidR="00A118CC">
        <w:t>L</w:t>
      </w:r>
      <w:r w:rsidRPr="005F026E">
        <w:t xml:space="preserve">ess </w:t>
      </w:r>
      <w:r w:rsidR="00A118CC">
        <w:t>F</w:t>
      </w:r>
      <w:r w:rsidRPr="005F026E">
        <w:t>requent</w:t>
      </w:r>
      <w:r w:rsidRPr="005F026E" w:rsidR="001325B2">
        <w:t>ly</w:t>
      </w:r>
    </w:p>
    <w:p w:rsidR="00C64690" w:rsidRPr="005F026E" w:rsidP="00703B60" w14:paraId="18B7368E" w14:textId="2A22BF31">
      <w:pPr>
        <w:pStyle w:val="NormalSS"/>
      </w:pPr>
      <w:r w:rsidRPr="005F026E">
        <w:t xml:space="preserve">Table </w:t>
      </w:r>
      <w:r w:rsidR="00FA371E">
        <w:t>A</w:t>
      </w:r>
      <w:r w:rsidRPr="005F026E" w:rsidR="002F1C0C">
        <w:t>.</w:t>
      </w:r>
      <w:r w:rsidR="00560B45">
        <w:t>3</w:t>
      </w:r>
      <w:r w:rsidR="00FA371E">
        <w:t xml:space="preserve">below </w:t>
      </w:r>
      <w:r w:rsidRPr="005F026E">
        <w:t>summarizes the</w:t>
      </w:r>
      <w:r w:rsidRPr="005F026E" w:rsidR="000F4CBC">
        <w:t xml:space="preserve"> data collection efforts, including the</w:t>
      </w:r>
      <w:r w:rsidRPr="005F026E">
        <w:t xml:space="preserve"> frequency of </w:t>
      </w:r>
      <w:r w:rsidR="00E73BC0">
        <w:t xml:space="preserve">the </w:t>
      </w:r>
      <w:r w:rsidRPr="005F026E" w:rsidR="000F4CBC">
        <w:t xml:space="preserve">information collection. </w:t>
      </w:r>
      <w:r w:rsidRPr="005F026E" w:rsidR="00B84D35">
        <w:t xml:space="preserve">In the table, </w:t>
      </w:r>
      <w:r w:rsidRPr="005F026E" w:rsidR="000F4CBC">
        <w:t>we d</w:t>
      </w:r>
      <w:r w:rsidRPr="005F026E" w:rsidR="00B84D35">
        <w:t xml:space="preserve">escribe </w:t>
      </w:r>
      <w:r w:rsidRPr="005F026E" w:rsidR="000F4CBC">
        <w:t>the consequences of collectin</w:t>
      </w:r>
      <w:r w:rsidRPr="005F026E" w:rsidR="00350019">
        <w:t>g the information less frequently</w:t>
      </w:r>
      <w:r w:rsidRPr="005F026E" w:rsidR="000F4CBC">
        <w:t xml:space="preserve"> for each data collection activity.</w:t>
      </w:r>
    </w:p>
    <w:p w:rsidR="000F4CBC" w:rsidRPr="005F026E" w:rsidP="00703B60" w14:paraId="47B4A80C" w14:textId="2E0F091F">
      <w:pPr>
        <w:pStyle w:val="MarkforTableHeading"/>
        <w:rPr>
          <w:rFonts w:ascii="Times New Roman" w:hAnsi="Times New Roman"/>
          <w:b/>
          <w:bCs/>
          <w:sz w:val="24"/>
        </w:rPr>
      </w:pPr>
      <w:r w:rsidRPr="005F026E">
        <w:rPr>
          <w:rFonts w:ascii="Times New Roman" w:hAnsi="Times New Roman"/>
          <w:b/>
          <w:bCs/>
          <w:sz w:val="24"/>
        </w:rPr>
        <w:t>Table</w:t>
      </w:r>
      <w:r w:rsidRPr="005F026E" w:rsidR="005F026E">
        <w:rPr>
          <w:rFonts w:ascii="Times New Roman" w:hAnsi="Times New Roman"/>
          <w:b/>
          <w:bCs/>
          <w:sz w:val="24"/>
        </w:rPr>
        <w:t xml:space="preserve"> A.</w:t>
      </w:r>
      <w:r w:rsidR="00560B45">
        <w:rPr>
          <w:rFonts w:ascii="Times New Roman" w:hAnsi="Times New Roman"/>
          <w:b/>
          <w:bCs/>
          <w:sz w:val="24"/>
        </w:rPr>
        <w:t>3</w:t>
      </w:r>
      <w:r w:rsidRPr="005F026E" w:rsidR="002F1C0C">
        <w:rPr>
          <w:rFonts w:ascii="Times New Roman" w:hAnsi="Times New Roman"/>
          <w:b/>
          <w:bCs/>
          <w:sz w:val="24"/>
        </w:rPr>
        <w:t xml:space="preserve">. </w:t>
      </w:r>
      <w:r w:rsidRPr="005F026E" w:rsidR="002471D8">
        <w:rPr>
          <w:rFonts w:ascii="Times New Roman" w:hAnsi="Times New Roman"/>
          <w:b/>
          <w:bCs/>
          <w:sz w:val="24"/>
        </w:rPr>
        <w:t xml:space="preserve">Summary of </w:t>
      </w:r>
      <w:r w:rsidR="00464E9E">
        <w:rPr>
          <w:rFonts w:ascii="Times New Roman" w:hAnsi="Times New Roman"/>
          <w:b/>
          <w:bCs/>
          <w:sz w:val="24"/>
        </w:rPr>
        <w:t>D</w:t>
      </w:r>
      <w:r w:rsidRPr="005F026E">
        <w:rPr>
          <w:rFonts w:ascii="Times New Roman" w:hAnsi="Times New Roman"/>
          <w:b/>
          <w:bCs/>
          <w:sz w:val="24"/>
        </w:rPr>
        <w:t xml:space="preserve">ata </w:t>
      </w:r>
      <w:r w:rsidR="00464E9E">
        <w:rPr>
          <w:rFonts w:ascii="Times New Roman" w:hAnsi="Times New Roman"/>
          <w:b/>
          <w:bCs/>
          <w:sz w:val="24"/>
        </w:rPr>
        <w:t>C</w:t>
      </w:r>
      <w:r w:rsidRPr="005F026E">
        <w:rPr>
          <w:rFonts w:ascii="Times New Roman" w:hAnsi="Times New Roman"/>
          <w:b/>
          <w:bCs/>
          <w:sz w:val="24"/>
        </w:rPr>
        <w:t xml:space="preserve">ollection </w:t>
      </w:r>
      <w:r w:rsidR="00464E9E">
        <w:rPr>
          <w:rFonts w:ascii="Times New Roman" w:hAnsi="Times New Roman"/>
          <w:b/>
          <w:bCs/>
          <w:sz w:val="24"/>
        </w:rPr>
        <w:t>E</w:t>
      </w:r>
      <w:r w:rsidRPr="005F026E">
        <w:rPr>
          <w:rFonts w:ascii="Times New Roman" w:hAnsi="Times New Roman"/>
          <w:b/>
          <w:bCs/>
          <w:sz w:val="24"/>
        </w:rPr>
        <w:t>fforts</w:t>
      </w:r>
    </w:p>
    <w:tbl>
      <w:tblPr>
        <w:tblStyle w:val="TableGrid"/>
        <w:tblW w:w="9533" w:type="dxa"/>
        <w:tblInd w:w="-5" w:type="dxa"/>
        <w:tblLook w:val="04A0"/>
      </w:tblPr>
      <w:tblGrid>
        <w:gridCol w:w="1444"/>
        <w:gridCol w:w="1723"/>
        <w:gridCol w:w="1535"/>
        <w:gridCol w:w="1790"/>
        <w:gridCol w:w="1307"/>
        <w:gridCol w:w="1734"/>
      </w:tblGrid>
      <w:tr w14:paraId="39DC9BDC" w14:textId="77777777" w:rsidTr="7435F173">
        <w:tblPrEx>
          <w:tblW w:w="9533" w:type="dxa"/>
          <w:tblInd w:w="-5" w:type="dxa"/>
          <w:tblLook w:val="04A0"/>
        </w:tblPrEx>
        <w:tc>
          <w:tcPr>
            <w:tcW w:w="1444" w:type="dxa"/>
          </w:tcPr>
          <w:p w:rsidR="00633BA4" w:rsidRPr="005F026E" w:rsidP="002D6DD5" w14:paraId="789FB29E" w14:textId="77777777">
            <w:pPr>
              <w:pStyle w:val="TableHeaderLeft"/>
              <w:rPr>
                <w:rFonts w:ascii="Times New Roman" w:hAnsi="Times New Roman"/>
                <w:b/>
                <w:bCs/>
                <w:color w:val="auto"/>
                <w:sz w:val="24"/>
              </w:rPr>
            </w:pPr>
            <w:r w:rsidRPr="005F026E">
              <w:rPr>
                <w:rFonts w:ascii="Times New Roman" w:hAnsi="Times New Roman"/>
                <w:b/>
                <w:bCs/>
                <w:color w:val="auto"/>
                <w:sz w:val="24"/>
              </w:rPr>
              <w:t>Data Collection Method</w:t>
            </w:r>
          </w:p>
        </w:tc>
        <w:tc>
          <w:tcPr>
            <w:tcW w:w="1723" w:type="dxa"/>
          </w:tcPr>
          <w:p w:rsidR="00633BA4" w:rsidRPr="005F026E" w:rsidP="002D6DD5" w14:paraId="21944492" w14:textId="77777777">
            <w:pPr>
              <w:pStyle w:val="TableHeaderCenter"/>
              <w:rPr>
                <w:rFonts w:ascii="Times New Roman" w:hAnsi="Times New Roman"/>
                <w:b/>
                <w:bCs/>
                <w:color w:val="auto"/>
                <w:sz w:val="24"/>
              </w:rPr>
            </w:pPr>
            <w:r w:rsidRPr="005F026E">
              <w:rPr>
                <w:rFonts w:ascii="Times New Roman" w:hAnsi="Times New Roman"/>
                <w:b/>
                <w:bCs/>
                <w:color w:val="auto"/>
                <w:sz w:val="24"/>
              </w:rPr>
              <w:t>Data Collected</w:t>
            </w:r>
          </w:p>
        </w:tc>
        <w:tc>
          <w:tcPr>
            <w:tcW w:w="1535" w:type="dxa"/>
          </w:tcPr>
          <w:p w:rsidR="00633BA4" w:rsidRPr="005F026E" w:rsidP="002D6DD5" w14:paraId="5017618A" w14:textId="77777777">
            <w:pPr>
              <w:pStyle w:val="TableHeaderCenter"/>
              <w:rPr>
                <w:rFonts w:ascii="Times New Roman" w:hAnsi="Times New Roman"/>
                <w:b/>
                <w:bCs/>
                <w:color w:val="auto"/>
                <w:sz w:val="24"/>
              </w:rPr>
            </w:pPr>
            <w:r w:rsidRPr="005F026E">
              <w:rPr>
                <w:rFonts w:ascii="Times New Roman" w:hAnsi="Times New Roman"/>
                <w:b/>
                <w:bCs/>
                <w:color w:val="auto"/>
                <w:sz w:val="24"/>
              </w:rPr>
              <w:t>Respondents</w:t>
            </w:r>
          </w:p>
        </w:tc>
        <w:tc>
          <w:tcPr>
            <w:tcW w:w="1790" w:type="dxa"/>
          </w:tcPr>
          <w:p w:rsidR="00633BA4" w:rsidRPr="005F026E" w:rsidP="002D6DD5" w14:paraId="2C05D66F" w14:textId="77777777">
            <w:pPr>
              <w:pStyle w:val="TableHeaderCenter"/>
              <w:rPr>
                <w:rFonts w:ascii="Times New Roman" w:hAnsi="Times New Roman"/>
                <w:b/>
                <w:bCs/>
                <w:color w:val="auto"/>
                <w:sz w:val="24"/>
              </w:rPr>
            </w:pPr>
            <w:r w:rsidRPr="005F026E">
              <w:rPr>
                <w:rFonts w:ascii="Times New Roman" w:hAnsi="Times New Roman"/>
                <w:b/>
                <w:bCs/>
                <w:color w:val="auto"/>
                <w:sz w:val="24"/>
              </w:rPr>
              <w:t>Administration</w:t>
            </w:r>
          </w:p>
        </w:tc>
        <w:tc>
          <w:tcPr>
            <w:tcW w:w="1307" w:type="dxa"/>
          </w:tcPr>
          <w:p w:rsidR="00633BA4" w:rsidRPr="005F026E" w:rsidP="002D6DD5" w14:paraId="770017FE" w14:textId="77777777">
            <w:pPr>
              <w:pStyle w:val="TableHeaderCenter"/>
              <w:rPr>
                <w:rFonts w:ascii="Times New Roman" w:hAnsi="Times New Roman"/>
                <w:b/>
                <w:bCs/>
                <w:color w:val="auto"/>
                <w:sz w:val="24"/>
              </w:rPr>
            </w:pPr>
            <w:r w:rsidRPr="005F026E">
              <w:rPr>
                <w:rFonts w:ascii="Times New Roman" w:hAnsi="Times New Roman"/>
                <w:b/>
                <w:bCs/>
                <w:color w:val="auto"/>
                <w:sz w:val="24"/>
              </w:rPr>
              <w:t>Rounds of Data Collection</w:t>
            </w:r>
          </w:p>
        </w:tc>
        <w:tc>
          <w:tcPr>
            <w:tcW w:w="1734" w:type="dxa"/>
          </w:tcPr>
          <w:p w:rsidR="00633BA4" w:rsidRPr="005F026E" w:rsidP="00F50915" w14:paraId="59A569E7" w14:textId="3138BF3F">
            <w:pPr>
              <w:pStyle w:val="TableHeaderCenter"/>
              <w:rPr>
                <w:rFonts w:ascii="Times New Roman" w:hAnsi="Times New Roman"/>
                <w:b/>
                <w:bCs/>
                <w:color w:val="auto"/>
                <w:sz w:val="24"/>
              </w:rPr>
            </w:pPr>
            <w:r w:rsidRPr="005F026E">
              <w:rPr>
                <w:rFonts w:ascii="Times New Roman" w:hAnsi="Times New Roman"/>
                <w:b/>
                <w:bCs/>
                <w:color w:val="auto"/>
                <w:sz w:val="24"/>
              </w:rPr>
              <w:t>Consequences of</w:t>
            </w:r>
            <w:r w:rsidRPr="005F026E">
              <w:rPr>
                <w:rFonts w:ascii="Times New Roman" w:hAnsi="Times New Roman"/>
                <w:b/>
                <w:bCs/>
                <w:color w:val="auto"/>
                <w:sz w:val="24"/>
              </w:rPr>
              <w:t xml:space="preserve"> </w:t>
            </w:r>
            <w:r w:rsidR="00442AF2">
              <w:rPr>
                <w:rFonts w:ascii="Times New Roman" w:hAnsi="Times New Roman"/>
                <w:b/>
                <w:bCs/>
                <w:color w:val="auto"/>
                <w:sz w:val="24"/>
              </w:rPr>
              <w:t>L</w:t>
            </w:r>
            <w:r w:rsidRPr="005F026E" w:rsidR="00F50915">
              <w:rPr>
                <w:rFonts w:ascii="Times New Roman" w:hAnsi="Times New Roman"/>
                <w:b/>
                <w:bCs/>
                <w:color w:val="auto"/>
                <w:sz w:val="24"/>
              </w:rPr>
              <w:t xml:space="preserve">ess </w:t>
            </w:r>
            <w:r w:rsidR="00442AF2">
              <w:rPr>
                <w:rFonts w:ascii="Times New Roman" w:hAnsi="Times New Roman"/>
                <w:b/>
                <w:bCs/>
                <w:color w:val="auto"/>
                <w:sz w:val="24"/>
              </w:rPr>
              <w:t>F</w:t>
            </w:r>
            <w:r w:rsidRPr="005F026E" w:rsidR="00F50915">
              <w:rPr>
                <w:rFonts w:ascii="Times New Roman" w:hAnsi="Times New Roman"/>
                <w:b/>
                <w:bCs/>
                <w:color w:val="auto"/>
                <w:sz w:val="24"/>
              </w:rPr>
              <w:t xml:space="preserve">requent </w:t>
            </w:r>
            <w:r w:rsidR="00442AF2">
              <w:rPr>
                <w:rFonts w:ascii="Times New Roman" w:hAnsi="Times New Roman"/>
                <w:b/>
                <w:bCs/>
                <w:color w:val="auto"/>
                <w:sz w:val="24"/>
              </w:rPr>
              <w:t>D</w:t>
            </w:r>
            <w:r w:rsidRPr="005F026E" w:rsidR="00F50915">
              <w:rPr>
                <w:rFonts w:ascii="Times New Roman" w:hAnsi="Times New Roman"/>
                <w:b/>
                <w:bCs/>
                <w:color w:val="auto"/>
                <w:sz w:val="24"/>
              </w:rPr>
              <w:t xml:space="preserve">ata </w:t>
            </w:r>
            <w:r w:rsidR="00442AF2">
              <w:rPr>
                <w:rFonts w:ascii="Times New Roman" w:hAnsi="Times New Roman"/>
                <w:b/>
                <w:bCs/>
                <w:color w:val="auto"/>
                <w:sz w:val="24"/>
              </w:rPr>
              <w:t>C</w:t>
            </w:r>
            <w:r w:rsidRPr="005F026E" w:rsidR="00F50915">
              <w:rPr>
                <w:rFonts w:ascii="Times New Roman" w:hAnsi="Times New Roman"/>
                <w:b/>
                <w:bCs/>
                <w:color w:val="auto"/>
                <w:sz w:val="24"/>
              </w:rPr>
              <w:t>ollection</w:t>
            </w:r>
          </w:p>
        </w:tc>
      </w:tr>
      <w:tr w14:paraId="2F73FE31" w14:textId="77777777" w:rsidTr="7435F173">
        <w:tblPrEx>
          <w:tblW w:w="9533" w:type="dxa"/>
          <w:tblInd w:w="-5" w:type="dxa"/>
          <w:tblLook w:val="04A0"/>
        </w:tblPrEx>
        <w:trPr>
          <w:trHeight w:val="20"/>
        </w:trPr>
        <w:tc>
          <w:tcPr>
            <w:tcW w:w="1444" w:type="dxa"/>
          </w:tcPr>
          <w:p w:rsidR="00633BA4" w:rsidRPr="005F026E" w:rsidP="00703B60" w14:paraId="18C92CD8" w14:textId="30BC1244">
            <w:pPr>
              <w:pStyle w:val="TableText"/>
              <w:spacing w:before="120" w:after="60"/>
              <w:rPr>
                <w:rFonts w:ascii="Times New Roman" w:hAnsi="Times New Roman"/>
                <w:sz w:val="24"/>
                <w:szCs w:val="24"/>
              </w:rPr>
            </w:pPr>
            <w:r w:rsidRPr="005F026E">
              <w:rPr>
                <w:rFonts w:ascii="Times New Roman" w:hAnsi="Times New Roman"/>
                <w:sz w:val="24"/>
                <w:szCs w:val="24"/>
              </w:rPr>
              <w:t>Healthy Start Program Survey</w:t>
            </w:r>
          </w:p>
        </w:tc>
        <w:tc>
          <w:tcPr>
            <w:tcW w:w="1723" w:type="dxa"/>
          </w:tcPr>
          <w:p w:rsidR="00633BA4" w:rsidRPr="005F026E" w:rsidP="00703B60" w14:paraId="78CA1835" w14:textId="77777777">
            <w:pPr>
              <w:pStyle w:val="TableText"/>
              <w:spacing w:before="120" w:after="60"/>
              <w:rPr>
                <w:rFonts w:ascii="Times New Roman" w:hAnsi="Times New Roman"/>
                <w:sz w:val="24"/>
                <w:szCs w:val="24"/>
              </w:rPr>
            </w:pPr>
            <w:r w:rsidRPr="005F026E">
              <w:rPr>
                <w:rFonts w:ascii="Times New Roman" w:hAnsi="Times New Roman"/>
                <w:sz w:val="24"/>
                <w:szCs w:val="24"/>
              </w:rPr>
              <w:t>Program implementation and aggregate outcomes data</w:t>
            </w:r>
          </w:p>
        </w:tc>
        <w:tc>
          <w:tcPr>
            <w:tcW w:w="1535" w:type="dxa"/>
          </w:tcPr>
          <w:p w:rsidR="00633BA4" w:rsidRPr="005F026E" w:rsidP="00795BEB" w14:paraId="7C0F9CDD" w14:textId="46DF25A7">
            <w:pPr>
              <w:pStyle w:val="TableText"/>
              <w:spacing w:before="120" w:after="60"/>
              <w:rPr>
                <w:rFonts w:ascii="Times New Roman" w:hAnsi="Times New Roman"/>
                <w:sz w:val="24"/>
                <w:szCs w:val="24"/>
              </w:rPr>
            </w:pPr>
            <w:r w:rsidRPr="005F026E">
              <w:rPr>
                <w:rFonts w:ascii="Times New Roman" w:hAnsi="Times New Roman"/>
                <w:sz w:val="24"/>
                <w:szCs w:val="24"/>
              </w:rPr>
              <w:t>All Healthy Start projects (</w:t>
            </w:r>
            <w:r w:rsidRPr="005F026E" w:rsidR="00967471">
              <w:rPr>
                <w:rFonts w:ascii="Times New Roman" w:hAnsi="Times New Roman"/>
                <w:sz w:val="24"/>
                <w:szCs w:val="24"/>
              </w:rPr>
              <w:t>10</w:t>
            </w:r>
            <w:r w:rsidRPr="005F026E" w:rsidR="0014533D">
              <w:rPr>
                <w:rFonts w:ascii="Times New Roman" w:hAnsi="Times New Roman"/>
                <w:sz w:val="24"/>
                <w:szCs w:val="24"/>
              </w:rPr>
              <w:t>1</w:t>
            </w:r>
            <w:r w:rsidRPr="005F026E">
              <w:rPr>
                <w:rFonts w:ascii="Times New Roman" w:hAnsi="Times New Roman"/>
                <w:sz w:val="24"/>
                <w:szCs w:val="24"/>
              </w:rPr>
              <w:t>)</w:t>
            </w:r>
          </w:p>
        </w:tc>
        <w:tc>
          <w:tcPr>
            <w:tcW w:w="1790" w:type="dxa"/>
          </w:tcPr>
          <w:p w:rsidR="00633BA4" w:rsidRPr="005F026E" w:rsidP="00703B60" w14:paraId="7E01D4F9" w14:textId="0FBAA940">
            <w:pPr>
              <w:pStyle w:val="TableText"/>
              <w:spacing w:before="120" w:after="60"/>
              <w:rPr>
                <w:rFonts w:ascii="Times New Roman" w:hAnsi="Times New Roman"/>
                <w:sz w:val="24"/>
                <w:szCs w:val="24"/>
              </w:rPr>
            </w:pPr>
            <w:r w:rsidRPr="005F026E">
              <w:rPr>
                <w:rFonts w:ascii="Times New Roman" w:hAnsi="Times New Roman"/>
                <w:sz w:val="24"/>
                <w:szCs w:val="24"/>
              </w:rPr>
              <w:t xml:space="preserve">Web-based survey self-administered by Healthy Start </w:t>
            </w:r>
            <w:r w:rsidRPr="005F026E" w:rsidR="0014533D">
              <w:rPr>
                <w:rFonts w:ascii="Times New Roman" w:hAnsi="Times New Roman"/>
                <w:sz w:val="24"/>
                <w:szCs w:val="24"/>
              </w:rPr>
              <w:t xml:space="preserve">director and </w:t>
            </w:r>
            <w:r w:rsidRPr="005F026E">
              <w:rPr>
                <w:rFonts w:ascii="Times New Roman" w:hAnsi="Times New Roman"/>
                <w:sz w:val="24"/>
                <w:szCs w:val="24"/>
              </w:rPr>
              <w:t>staff</w:t>
            </w:r>
          </w:p>
        </w:tc>
        <w:tc>
          <w:tcPr>
            <w:tcW w:w="1307" w:type="dxa"/>
          </w:tcPr>
          <w:p w:rsidR="00633BA4" w:rsidRPr="005F026E" w:rsidP="00675A33" w14:paraId="27545D0E" w14:textId="013B4F9D">
            <w:pPr>
              <w:pStyle w:val="TableText"/>
              <w:spacing w:before="120" w:after="60"/>
              <w:rPr>
                <w:rFonts w:ascii="Times New Roman" w:hAnsi="Times New Roman"/>
                <w:sz w:val="24"/>
                <w:szCs w:val="24"/>
              </w:rPr>
            </w:pPr>
            <w:r w:rsidRPr="005F026E">
              <w:rPr>
                <w:rFonts w:ascii="Times New Roman" w:hAnsi="Times New Roman"/>
                <w:sz w:val="24"/>
                <w:szCs w:val="24"/>
              </w:rPr>
              <w:t>One</w:t>
            </w:r>
            <w:r w:rsidRPr="005F026E">
              <w:rPr>
                <w:rFonts w:ascii="Times New Roman" w:hAnsi="Times New Roman"/>
                <w:sz w:val="24"/>
                <w:szCs w:val="24"/>
              </w:rPr>
              <w:t xml:space="preserve"> round during </w:t>
            </w:r>
            <w:r w:rsidRPr="005F026E" w:rsidR="000136DF">
              <w:rPr>
                <w:rFonts w:ascii="Times New Roman" w:hAnsi="Times New Roman"/>
                <w:sz w:val="24"/>
                <w:szCs w:val="24"/>
              </w:rPr>
              <w:t>Y</w:t>
            </w:r>
            <w:r w:rsidRPr="005F026E" w:rsidR="0014533D">
              <w:rPr>
                <w:rFonts w:ascii="Times New Roman" w:hAnsi="Times New Roman"/>
                <w:sz w:val="24"/>
                <w:szCs w:val="24"/>
              </w:rPr>
              <w:t xml:space="preserve">ear </w:t>
            </w:r>
            <w:r w:rsidRPr="005F026E" w:rsidR="000136DF">
              <w:rPr>
                <w:rFonts w:ascii="Times New Roman" w:hAnsi="Times New Roman"/>
                <w:sz w:val="24"/>
                <w:szCs w:val="24"/>
              </w:rPr>
              <w:t xml:space="preserve">2 </w:t>
            </w:r>
            <w:r w:rsidRPr="005F026E" w:rsidR="0014533D">
              <w:rPr>
                <w:rFonts w:ascii="Times New Roman" w:hAnsi="Times New Roman"/>
                <w:sz w:val="24"/>
                <w:szCs w:val="24"/>
              </w:rPr>
              <w:t xml:space="preserve">of the evaluation </w:t>
            </w:r>
          </w:p>
        </w:tc>
        <w:tc>
          <w:tcPr>
            <w:tcW w:w="1734" w:type="dxa"/>
          </w:tcPr>
          <w:p w:rsidR="00633BA4" w:rsidRPr="005F026E" w:rsidP="00703B60" w14:paraId="6A829AA8" w14:textId="57C9BDB1">
            <w:pPr>
              <w:pStyle w:val="TableText"/>
              <w:spacing w:before="120" w:after="60"/>
              <w:rPr>
                <w:rFonts w:ascii="Times New Roman" w:hAnsi="Times New Roman"/>
                <w:sz w:val="24"/>
                <w:szCs w:val="24"/>
              </w:rPr>
            </w:pPr>
            <w:r w:rsidRPr="005F026E">
              <w:rPr>
                <w:rFonts w:ascii="Times New Roman" w:hAnsi="Times New Roman"/>
                <w:sz w:val="24"/>
                <w:szCs w:val="24"/>
              </w:rPr>
              <w:t>Would l</w:t>
            </w:r>
            <w:r w:rsidRPr="005F026E" w:rsidR="00F50915">
              <w:rPr>
                <w:rFonts w:ascii="Times New Roman" w:hAnsi="Times New Roman"/>
                <w:sz w:val="24"/>
                <w:szCs w:val="24"/>
              </w:rPr>
              <w:t>imit the ability to link changes in outcomes to the implementation of program components and identify the best and promising practices associated with better outcomes.</w:t>
            </w:r>
          </w:p>
        </w:tc>
      </w:tr>
      <w:tr w14:paraId="00195E3E" w14:textId="77777777" w:rsidTr="7435F173">
        <w:tblPrEx>
          <w:tblW w:w="9533" w:type="dxa"/>
          <w:tblInd w:w="-5" w:type="dxa"/>
          <w:tblLook w:val="04A0"/>
        </w:tblPrEx>
        <w:trPr>
          <w:trHeight w:val="20"/>
        </w:trPr>
        <w:tc>
          <w:tcPr>
            <w:tcW w:w="1444" w:type="dxa"/>
          </w:tcPr>
          <w:p w:rsidR="00633BA4" w:rsidRPr="005F026E" w:rsidP="00703B60" w14:paraId="0FEB6B81" w14:textId="486BEDBD">
            <w:pPr>
              <w:pStyle w:val="TableText"/>
              <w:spacing w:before="120" w:after="60"/>
              <w:rPr>
                <w:rFonts w:ascii="Times New Roman" w:hAnsi="Times New Roman"/>
                <w:sz w:val="24"/>
                <w:szCs w:val="24"/>
              </w:rPr>
            </w:pPr>
            <w:r w:rsidRPr="005F026E">
              <w:rPr>
                <w:rFonts w:ascii="Times New Roman" w:hAnsi="Times New Roman"/>
                <w:sz w:val="24"/>
                <w:szCs w:val="24"/>
              </w:rPr>
              <w:t xml:space="preserve">Healthy Start </w:t>
            </w:r>
            <w:r w:rsidRPr="005F026E">
              <w:rPr>
                <w:rFonts w:ascii="Times New Roman" w:hAnsi="Times New Roman"/>
                <w:sz w:val="24"/>
                <w:szCs w:val="24"/>
              </w:rPr>
              <w:t>Network Survey</w:t>
            </w:r>
          </w:p>
        </w:tc>
        <w:tc>
          <w:tcPr>
            <w:tcW w:w="1723" w:type="dxa"/>
          </w:tcPr>
          <w:p w:rsidR="00633BA4" w:rsidRPr="005F026E" w:rsidP="00703B60" w14:paraId="5587F533" w14:textId="77777777">
            <w:pPr>
              <w:pStyle w:val="TableText"/>
              <w:spacing w:before="120" w:after="60"/>
              <w:rPr>
                <w:rFonts w:ascii="Times New Roman" w:hAnsi="Times New Roman"/>
                <w:sz w:val="24"/>
                <w:szCs w:val="24"/>
              </w:rPr>
            </w:pPr>
            <w:r w:rsidRPr="005F026E">
              <w:rPr>
                <w:rFonts w:ascii="Times New Roman" w:hAnsi="Times New Roman"/>
                <w:sz w:val="24"/>
                <w:szCs w:val="24"/>
              </w:rPr>
              <w:t>Organizational-level data</w:t>
            </w:r>
          </w:p>
        </w:tc>
        <w:tc>
          <w:tcPr>
            <w:tcW w:w="1535" w:type="dxa"/>
          </w:tcPr>
          <w:p w:rsidR="00633BA4" w:rsidRPr="005F026E" w:rsidP="00E05147" w14:paraId="5BD68E5A" w14:textId="1506809F">
            <w:pPr>
              <w:pStyle w:val="TableText"/>
              <w:spacing w:before="120" w:after="60"/>
              <w:rPr>
                <w:rFonts w:ascii="Times New Roman" w:hAnsi="Times New Roman"/>
                <w:sz w:val="24"/>
                <w:szCs w:val="24"/>
              </w:rPr>
            </w:pPr>
            <w:r>
              <w:rPr>
                <w:rFonts w:ascii="Times New Roman" w:hAnsi="Times New Roman"/>
                <w:sz w:val="24"/>
                <w:szCs w:val="24"/>
              </w:rPr>
              <w:t xml:space="preserve">Up to </w:t>
            </w:r>
            <w:r w:rsidRPr="005F026E" w:rsidR="000A2C30">
              <w:rPr>
                <w:rFonts w:ascii="Times New Roman" w:hAnsi="Times New Roman"/>
                <w:sz w:val="24"/>
                <w:szCs w:val="24"/>
              </w:rPr>
              <w:t>6</w:t>
            </w:r>
            <w:r w:rsidRPr="005F026E" w:rsidR="000136DF">
              <w:rPr>
                <w:rFonts w:ascii="Times New Roman" w:hAnsi="Times New Roman"/>
                <w:sz w:val="24"/>
                <w:szCs w:val="24"/>
              </w:rPr>
              <w:t>00</w:t>
            </w:r>
            <w:r w:rsidRPr="005F026E">
              <w:rPr>
                <w:rFonts w:ascii="Times New Roman" w:hAnsi="Times New Roman"/>
                <w:sz w:val="24"/>
                <w:szCs w:val="24"/>
              </w:rPr>
              <w:t xml:space="preserve"> CAN members </w:t>
            </w:r>
            <w:r w:rsidRPr="005F026E" w:rsidR="002F1C0C">
              <w:rPr>
                <w:rFonts w:ascii="Times New Roman" w:hAnsi="Times New Roman"/>
                <w:sz w:val="24"/>
                <w:szCs w:val="24"/>
              </w:rPr>
              <w:t>in</w:t>
            </w:r>
            <w:r w:rsidRPr="005F026E">
              <w:rPr>
                <w:rFonts w:ascii="Times New Roman" w:hAnsi="Times New Roman"/>
                <w:sz w:val="24"/>
                <w:szCs w:val="24"/>
              </w:rPr>
              <w:t xml:space="preserve"> 15 Healthy Start </w:t>
            </w:r>
            <w:r w:rsidRPr="005F026E" w:rsidR="000136DF">
              <w:rPr>
                <w:rFonts w:ascii="Times New Roman" w:hAnsi="Times New Roman"/>
                <w:sz w:val="24"/>
                <w:szCs w:val="24"/>
              </w:rPr>
              <w:t>programs</w:t>
            </w:r>
          </w:p>
        </w:tc>
        <w:tc>
          <w:tcPr>
            <w:tcW w:w="1790" w:type="dxa"/>
          </w:tcPr>
          <w:p w:rsidR="00633BA4" w:rsidRPr="005F026E" w:rsidP="00703B60" w14:paraId="511FF0F4" w14:textId="4EECB617">
            <w:pPr>
              <w:pStyle w:val="TableText"/>
              <w:spacing w:before="120" w:after="60"/>
              <w:rPr>
                <w:rFonts w:ascii="Times New Roman" w:hAnsi="Times New Roman"/>
                <w:sz w:val="24"/>
                <w:szCs w:val="24"/>
              </w:rPr>
            </w:pPr>
            <w:r w:rsidRPr="005F026E">
              <w:rPr>
                <w:rFonts w:ascii="Times New Roman" w:hAnsi="Times New Roman"/>
                <w:sz w:val="24"/>
                <w:szCs w:val="24"/>
              </w:rPr>
              <w:t>Web-based survey self-administered by CAN members</w:t>
            </w:r>
          </w:p>
        </w:tc>
        <w:tc>
          <w:tcPr>
            <w:tcW w:w="1307" w:type="dxa"/>
          </w:tcPr>
          <w:p w:rsidR="00633BA4" w:rsidRPr="005F026E" w:rsidP="00DC6DA4" w14:paraId="516BADCF" w14:textId="7370A3ED">
            <w:pPr>
              <w:pStyle w:val="TableText"/>
              <w:spacing w:before="120" w:after="60"/>
              <w:rPr>
                <w:rFonts w:ascii="Times New Roman" w:hAnsi="Times New Roman"/>
                <w:sz w:val="24"/>
                <w:szCs w:val="24"/>
              </w:rPr>
            </w:pPr>
            <w:r w:rsidRPr="005F026E">
              <w:rPr>
                <w:rFonts w:ascii="Times New Roman" w:hAnsi="Times New Roman"/>
                <w:sz w:val="24"/>
                <w:szCs w:val="24"/>
              </w:rPr>
              <w:t>One</w:t>
            </w:r>
            <w:r w:rsidRPr="005F026E">
              <w:rPr>
                <w:rFonts w:ascii="Times New Roman" w:hAnsi="Times New Roman"/>
                <w:sz w:val="24"/>
                <w:szCs w:val="24"/>
              </w:rPr>
              <w:t xml:space="preserve"> round during </w:t>
            </w:r>
            <w:r w:rsidRPr="005F026E" w:rsidR="000136DF">
              <w:rPr>
                <w:rFonts w:ascii="Times New Roman" w:hAnsi="Times New Roman"/>
                <w:sz w:val="24"/>
                <w:szCs w:val="24"/>
              </w:rPr>
              <w:t>Year</w:t>
            </w:r>
            <w:r w:rsidR="008F6FBF">
              <w:rPr>
                <w:rFonts w:ascii="Times New Roman" w:hAnsi="Times New Roman"/>
                <w:sz w:val="24"/>
                <w:szCs w:val="24"/>
              </w:rPr>
              <w:t xml:space="preserve"> 3</w:t>
            </w:r>
            <w:r w:rsidRPr="005F026E" w:rsidR="000136DF">
              <w:rPr>
                <w:rFonts w:ascii="Times New Roman" w:hAnsi="Times New Roman"/>
                <w:sz w:val="24"/>
                <w:szCs w:val="24"/>
              </w:rPr>
              <w:t xml:space="preserve"> of the evaluation </w:t>
            </w:r>
          </w:p>
        </w:tc>
        <w:tc>
          <w:tcPr>
            <w:tcW w:w="1734" w:type="dxa"/>
          </w:tcPr>
          <w:p w:rsidR="00633BA4" w:rsidRPr="005F026E" w:rsidP="003C1FFE" w14:paraId="2AF7D0FE" w14:textId="2F8CAED6">
            <w:pPr>
              <w:pStyle w:val="NormalSS"/>
              <w:ind w:firstLine="0"/>
            </w:pPr>
            <w:r w:rsidRPr="005F026E">
              <w:t>Would l</w:t>
            </w:r>
            <w:r w:rsidRPr="005F026E" w:rsidR="00F50915">
              <w:t xml:space="preserve">imit the ability to assess changes in community-level and systems outcomes of the program and link them to changes in </w:t>
            </w:r>
            <w:r w:rsidRPr="005F026E" w:rsidR="00F50915">
              <w:t xml:space="preserve">individual-level outcomes. </w:t>
            </w:r>
          </w:p>
        </w:tc>
      </w:tr>
      <w:tr w14:paraId="3F0D9088" w14:textId="77777777" w:rsidTr="7435F173">
        <w:tblPrEx>
          <w:tblW w:w="9533" w:type="dxa"/>
          <w:tblInd w:w="-5" w:type="dxa"/>
          <w:tblLook w:val="04A0"/>
        </w:tblPrEx>
        <w:trPr>
          <w:trHeight w:val="20"/>
        </w:trPr>
        <w:tc>
          <w:tcPr>
            <w:tcW w:w="1444" w:type="dxa"/>
          </w:tcPr>
          <w:p w:rsidR="00114A3E" w:rsidRPr="005F026E" w:rsidP="00114A3E" w14:paraId="61736715" w14:textId="2B1540E9">
            <w:pPr>
              <w:pStyle w:val="TableText"/>
              <w:spacing w:before="120" w:after="60"/>
              <w:rPr>
                <w:rFonts w:ascii="Times New Roman" w:hAnsi="Times New Roman"/>
                <w:sz w:val="24"/>
                <w:szCs w:val="24"/>
              </w:rPr>
            </w:pPr>
            <w:r w:rsidRPr="005F026E">
              <w:rPr>
                <w:rFonts w:ascii="Times New Roman" w:hAnsi="Times New Roman"/>
                <w:sz w:val="24"/>
                <w:szCs w:val="24"/>
              </w:rPr>
              <w:t xml:space="preserve">Healthy Start Participant Survey </w:t>
            </w:r>
          </w:p>
        </w:tc>
        <w:tc>
          <w:tcPr>
            <w:tcW w:w="1723" w:type="dxa"/>
          </w:tcPr>
          <w:p w:rsidR="00114A3E" w:rsidRPr="005F026E" w:rsidP="00114A3E" w14:paraId="23468C90" w14:textId="5FBA3A92">
            <w:pPr>
              <w:pStyle w:val="TableText"/>
              <w:spacing w:before="120" w:after="60"/>
              <w:rPr>
                <w:rFonts w:ascii="Times New Roman" w:hAnsi="Times New Roman"/>
                <w:sz w:val="24"/>
                <w:szCs w:val="24"/>
              </w:rPr>
            </w:pPr>
            <w:r w:rsidRPr="005F026E">
              <w:rPr>
                <w:rFonts w:ascii="Times New Roman" w:hAnsi="Times New Roman"/>
                <w:sz w:val="24"/>
                <w:szCs w:val="24"/>
              </w:rPr>
              <w:t>Participants’ perspectives of utilization and implementation</w:t>
            </w:r>
          </w:p>
        </w:tc>
        <w:tc>
          <w:tcPr>
            <w:tcW w:w="1535" w:type="dxa"/>
          </w:tcPr>
          <w:p w:rsidR="00114A3E" w:rsidRPr="005F026E" w:rsidP="00114A3E" w14:paraId="648B346C" w14:textId="0367DF57">
            <w:pPr>
              <w:pStyle w:val="TableText"/>
              <w:spacing w:before="120" w:after="60"/>
              <w:rPr>
                <w:rFonts w:ascii="Times New Roman" w:hAnsi="Times New Roman"/>
                <w:sz w:val="24"/>
                <w:szCs w:val="24"/>
              </w:rPr>
            </w:pPr>
            <w:r>
              <w:rPr>
                <w:rFonts w:ascii="Times New Roman" w:hAnsi="Times New Roman"/>
                <w:sz w:val="24"/>
                <w:szCs w:val="24"/>
              </w:rPr>
              <w:t xml:space="preserve">Up to </w:t>
            </w:r>
            <w:r w:rsidRPr="005F026E">
              <w:rPr>
                <w:rFonts w:ascii="Times New Roman" w:hAnsi="Times New Roman"/>
                <w:sz w:val="24"/>
                <w:szCs w:val="24"/>
              </w:rPr>
              <w:t>750 participants in 15 Healthy Start programs</w:t>
            </w:r>
          </w:p>
        </w:tc>
        <w:tc>
          <w:tcPr>
            <w:tcW w:w="1790" w:type="dxa"/>
          </w:tcPr>
          <w:p w:rsidR="00114A3E" w:rsidRPr="005F026E" w:rsidP="00114A3E" w14:paraId="4B66F158" w14:textId="4EAEF61F">
            <w:pPr>
              <w:pStyle w:val="TableText"/>
              <w:spacing w:before="120" w:after="60"/>
              <w:rPr>
                <w:rFonts w:ascii="Times New Roman" w:hAnsi="Times New Roman"/>
                <w:sz w:val="24"/>
                <w:szCs w:val="24"/>
              </w:rPr>
            </w:pPr>
            <w:r w:rsidRPr="005F026E">
              <w:rPr>
                <w:rFonts w:ascii="Times New Roman" w:hAnsi="Times New Roman"/>
                <w:sz w:val="24"/>
                <w:szCs w:val="24"/>
              </w:rPr>
              <w:t xml:space="preserve">Web-based survey self-administered by participants </w:t>
            </w:r>
            <w:r w:rsidR="00D23606">
              <w:rPr>
                <w:rFonts w:ascii="Times New Roman" w:hAnsi="Times New Roman"/>
                <w:sz w:val="24"/>
                <w:szCs w:val="24"/>
              </w:rPr>
              <w:t>(or by phone if requested)</w:t>
            </w:r>
          </w:p>
        </w:tc>
        <w:tc>
          <w:tcPr>
            <w:tcW w:w="1307" w:type="dxa"/>
          </w:tcPr>
          <w:p w:rsidR="00114A3E" w:rsidRPr="005F026E" w:rsidP="008F6FBF" w14:paraId="47459C34" w14:textId="679ACE30">
            <w:pPr>
              <w:pStyle w:val="TableText"/>
              <w:spacing w:before="120" w:after="60"/>
              <w:rPr>
                <w:rFonts w:ascii="Times New Roman" w:hAnsi="Times New Roman"/>
                <w:sz w:val="24"/>
                <w:szCs w:val="24"/>
              </w:rPr>
            </w:pPr>
            <w:r w:rsidRPr="005F026E">
              <w:rPr>
                <w:rFonts w:ascii="Times New Roman" w:hAnsi="Times New Roman"/>
                <w:sz w:val="24"/>
                <w:szCs w:val="24"/>
              </w:rPr>
              <w:t xml:space="preserve">One round during Year </w:t>
            </w:r>
            <w:r w:rsidR="008F6FBF">
              <w:rPr>
                <w:rFonts w:ascii="Times New Roman" w:hAnsi="Times New Roman"/>
                <w:sz w:val="24"/>
                <w:szCs w:val="24"/>
              </w:rPr>
              <w:t>3</w:t>
            </w:r>
            <w:r w:rsidRPr="005F026E">
              <w:rPr>
                <w:rFonts w:ascii="Times New Roman" w:hAnsi="Times New Roman"/>
                <w:sz w:val="24"/>
                <w:szCs w:val="24"/>
              </w:rPr>
              <w:t xml:space="preserve"> of the evaluation</w:t>
            </w:r>
            <w:r w:rsidR="00FB01FC">
              <w:rPr>
                <w:rFonts w:ascii="Times New Roman" w:hAnsi="Times New Roman"/>
                <w:sz w:val="24"/>
                <w:szCs w:val="24"/>
              </w:rPr>
              <w:t xml:space="preserve"> </w:t>
            </w:r>
          </w:p>
        </w:tc>
        <w:tc>
          <w:tcPr>
            <w:tcW w:w="1734" w:type="dxa"/>
          </w:tcPr>
          <w:p w:rsidR="00114A3E" w:rsidRPr="005F026E" w:rsidP="00114A3E" w14:paraId="54864B8F" w14:textId="3186BE34">
            <w:pPr>
              <w:pStyle w:val="TableText"/>
              <w:spacing w:before="120" w:after="60"/>
              <w:rPr>
                <w:rFonts w:ascii="Times New Roman" w:hAnsi="Times New Roman"/>
                <w:sz w:val="24"/>
                <w:szCs w:val="24"/>
              </w:rPr>
            </w:pPr>
            <w:r w:rsidRPr="005F026E">
              <w:rPr>
                <w:rFonts w:ascii="Times New Roman" w:hAnsi="Times New Roman"/>
                <w:sz w:val="24"/>
                <w:szCs w:val="24"/>
              </w:rPr>
              <w:t>Would limit the ability to assess participants’ experience</w:t>
            </w:r>
            <w:r w:rsidR="000F5773">
              <w:rPr>
                <w:rFonts w:ascii="Times New Roman" w:hAnsi="Times New Roman"/>
                <w:sz w:val="24"/>
                <w:szCs w:val="24"/>
              </w:rPr>
              <w:t>s</w:t>
            </w:r>
            <w:r w:rsidRPr="005F026E">
              <w:rPr>
                <w:rFonts w:ascii="Times New Roman" w:hAnsi="Times New Roman"/>
                <w:sz w:val="24"/>
                <w:szCs w:val="24"/>
              </w:rPr>
              <w:t xml:space="preserve"> with the program, including services received. </w:t>
            </w:r>
          </w:p>
        </w:tc>
      </w:tr>
      <w:tr w14:paraId="7E0E646F" w14:textId="77777777" w:rsidTr="7435F173">
        <w:tblPrEx>
          <w:tblW w:w="9533" w:type="dxa"/>
          <w:tblInd w:w="-5" w:type="dxa"/>
          <w:tblLook w:val="04A0"/>
        </w:tblPrEx>
        <w:trPr>
          <w:trHeight w:val="20"/>
        </w:trPr>
        <w:tc>
          <w:tcPr>
            <w:tcW w:w="1444" w:type="dxa"/>
          </w:tcPr>
          <w:p w:rsidR="00114A3E" w:rsidRPr="005F026E" w:rsidP="00114A3E" w14:paraId="68412C50" w14:textId="08A8975C">
            <w:pPr>
              <w:pStyle w:val="TableText"/>
              <w:spacing w:before="120"/>
              <w:rPr>
                <w:rFonts w:ascii="Times New Roman" w:hAnsi="Times New Roman"/>
                <w:sz w:val="24"/>
                <w:szCs w:val="24"/>
              </w:rPr>
            </w:pPr>
            <w:r w:rsidRPr="005F026E">
              <w:rPr>
                <w:rFonts w:ascii="Times New Roman" w:hAnsi="Times New Roman"/>
                <w:sz w:val="24"/>
                <w:szCs w:val="24"/>
              </w:rPr>
              <w:t xml:space="preserve">Stakeholder Interviews </w:t>
            </w:r>
          </w:p>
        </w:tc>
        <w:tc>
          <w:tcPr>
            <w:tcW w:w="1723" w:type="dxa"/>
          </w:tcPr>
          <w:p w:rsidR="00114A3E" w:rsidRPr="005F026E" w:rsidP="00114A3E" w14:paraId="274DF752" w14:textId="77777777">
            <w:pPr>
              <w:pStyle w:val="TableText"/>
              <w:spacing w:before="120" w:after="60"/>
              <w:rPr>
                <w:rFonts w:ascii="Times New Roman" w:hAnsi="Times New Roman"/>
                <w:sz w:val="24"/>
                <w:szCs w:val="24"/>
              </w:rPr>
            </w:pPr>
            <w:r w:rsidRPr="005F026E">
              <w:rPr>
                <w:rFonts w:ascii="Times New Roman" w:hAnsi="Times New Roman"/>
                <w:sz w:val="24"/>
                <w:szCs w:val="24"/>
              </w:rPr>
              <w:t>Qualitative program implementation information</w:t>
            </w:r>
          </w:p>
        </w:tc>
        <w:tc>
          <w:tcPr>
            <w:tcW w:w="1535" w:type="dxa"/>
          </w:tcPr>
          <w:p w:rsidR="00114A3E" w:rsidRPr="005F026E" w:rsidP="00114A3E" w14:paraId="7515C85F" w14:textId="4B61D9DD">
            <w:pPr>
              <w:pStyle w:val="TableText"/>
              <w:spacing w:before="120" w:after="60"/>
              <w:rPr>
                <w:rFonts w:ascii="Times New Roman" w:hAnsi="Times New Roman"/>
                <w:sz w:val="24"/>
                <w:szCs w:val="24"/>
              </w:rPr>
            </w:pPr>
            <w:r>
              <w:rPr>
                <w:rFonts w:ascii="Times New Roman" w:hAnsi="Times New Roman"/>
                <w:sz w:val="24"/>
                <w:szCs w:val="24"/>
              </w:rPr>
              <w:t xml:space="preserve">Up to </w:t>
            </w:r>
            <w:r w:rsidRPr="005F026E">
              <w:rPr>
                <w:rFonts w:ascii="Times New Roman" w:hAnsi="Times New Roman"/>
                <w:sz w:val="24"/>
                <w:szCs w:val="24"/>
              </w:rPr>
              <w:t>150 key stakeholders in 15 Healthy Start programs</w:t>
            </w:r>
          </w:p>
        </w:tc>
        <w:tc>
          <w:tcPr>
            <w:tcW w:w="1790" w:type="dxa"/>
          </w:tcPr>
          <w:p w:rsidR="00114A3E" w:rsidRPr="005F026E" w:rsidP="00E75B80" w14:paraId="5FB4DE91" w14:textId="6970B600">
            <w:pPr>
              <w:pStyle w:val="TableText"/>
              <w:spacing w:before="120" w:after="60"/>
              <w:rPr>
                <w:rFonts w:ascii="Times New Roman" w:hAnsi="Times New Roman"/>
                <w:sz w:val="24"/>
                <w:szCs w:val="24"/>
              </w:rPr>
            </w:pPr>
            <w:r w:rsidRPr="005F026E">
              <w:rPr>
                <w:rFonts w:ascii="Times New Roman" w:hAnsi="Times New Roman"/>
                <w:sz w:val="24"/>
                <w:szCs w:val="24"/>
              </w:rPr>
              <w:t>In-person or telephone Interviews with Healthy Start project directors, and core service staff</w:t>
            </w:r>
            <w:r w:rsidR="00E75B80">
              <w:rPr>
                <w:rFonts w:ascii="Times New Roman" w:hAnsi="Times New Roman"/>
                <w:sz w:val="24"/>
                <w:szCs w:val="24"/>
              </w:rPr>
              <w:t xml:space="preserve"> and</w:t>
            </w:r>
            <w:r w:rsidRPr="005F026E">
              <w:rPr>
                <w:rFonts w:ascii="Times New Roman" w:hAnsi="Times New Roman"/>
                <w:sz w:val="24"/>
                <w:szCs w:val="24"/>
              </w:rPr>
              <w:t xml:space="preserve"> providers</w:t>
            </w:r>
          </w:p>
        </w:tc>
        <w:tc>
          <w:tcPr>
            <w:tcW w:w="1307" w:type="dxa"/>
          </w:tcPr>
          <w:p w:rsidR="00114A3E" w:rsidRPr="005F026E" w:rsidP="00114A3E" w14:paraId="38CB5CD5" w14:textId="40ABA691">
            <w:pPr>
              <w:pStyle w:val="TableText"/>
              <w:spacing w:before="120" w:after="60"/>
              <w:rPr>
                <w:rFonts w:ascii="Times New Roman" w:hAnsi="Times New Roman"/>
                <w:sz w:val="24"/>
                <w:szCs w:val="24"/>
              </w:rPr>
            </w:pPr>
            <w:r w:rsidRPr="7435F173">
              <w:rPr>
                <w:rFonts w:ascii="Times New Roman" w:hAnsi="Times New Roman"/>
                <w:sz w:val="24"/>
                <w:szCs w:val="24"/>
              </w:rPr>
              <w:t>One round during Years 2</w:t>
            </w:r>
            <w:r w:rsidRPr="7435F173" w:rsidR="79C3136D">
              <w:rPr>
                <w:rFonts w:ascii="Times New Roman" w:hAnsi="Times New Roman"/>
                <w:sz w:val="24"/>
                <w:szCs w:val="24"/>
              </w:rPr>
              <w:t xml:space="preserve"> and</w:t>
            </w:r>
            <w:r w:rsidRPr="7435F173" w:rsidR="6B059903">
              <w:rPr>
                <w:rFonts w:ascii="Times New Roman" w:hAnsi="Times New Roman"/>
                <w:sz w:val="24"/>
                <w:szCs w:val="24"/>
              </w:rPr>
              <w:t xml:space="preserve"> </w:t>
            </w:r>
            <w:r w:rsidRPr="7435F173">
              <w:rPr>
                <w:rFonts w:ascii="Times New Roman" w:hAnsi="Times New Roman"/>
                <w:sz w:val="24"/>
                <w:szCs w:val="24"/>
              </w:rPr>
              <w:t>3 of the evaluation</w:t>
            </w:r>
            <w:r w:rsidR="00FB01FC">
              <w:rPr>
                <w:rFonts w:ascii="Times New Roman" w:hAnsi="Times New Roman"/>
                <w:sz w:val="24"/>
                <w:szCs w:val="24"/>
              </w:rPr>
              <w:t xml:space="preserve"> </w:t>
            </w:r>
          </w:p>
        </w:tc>
        <w:tc>
          <w:tcPr>
            <w:tcW w:w="1734" w:type="dxa"/>
          </w:tcPr>
          <w:p w:rsidR="00114A3E" w:rsidRPr="005F026E" w:rsidP="00114A3E" w14:paraId="6CB53064" w14:textId="6020A24A">
            <w:pPr>
              <w:pStyle w:val="TableText"/>
              <w:spacing w:before="120" w:after="60"/>
              <w:rPr>
                <w:rFonts w:ascii="Times New Roman" w:hAnsi="Times New Roman"/>
                <w:sz w:val="24"/>
                <w:szCs w:val="24"/>
              </w:rPr>
            </w:pPr>
            <w:r w:rsidRPr="005F026E">
              <w:rPr>
                <w:rFonts w:ascii="Times New Roman" w:hAnsi="Times New Roman"/>
                <w:sz w:val="24"/>
                <w:szCs w:val="24"/>
              </w:rPr>
              <w:t xml:space="preserve">Would limit the ability to link changes in outcomes to the program </w:t>
            </w:r>
            <w:r w:rsidRPr="005F026E" w:rsidR="000E7E11">
              <w:rPr>
                <w:rFonts w:ascii="Times New Roman" w:hAnsi="Times New Roman"/>
                <w:sz w:val="24"/>
                <w:szCs w:val="24"/>
              </w:rPr>
              <w:t>and</w:t>
            </w:r>
            <w:r w:rsidRPr="005F026E">
              <w:rPr>
                <w:rFonts w:ascii="Times New Roman" w:hAnsi="Times New Roman"/>
                <w:sz w:val="24"/>
                <w:szCs w:val="24"/>
              </w:rPr>
              <w:t xml:space="preserve"> identify the best and promising practices associated with better outcomes.</w:t>
            </w:r>
          </w:p>
        </w:tc>
      </w:tr>
    </w:tbl>
    <w:p w:rsidR="001165F3" w:rsidRPr="005F026E" w:rsidP="00703B60" w14:paraId="16379113" w14:textId="77777777">
      <w:pPr>
        <w:pStyle w:val="Heading3"/>
        <w:rPr>
          <w:highlight w:val="yellow"/>
        </w:rPr>
      </w:pPr>
    </w:p>
    <w:p w:rsidR="009B3794" w:rsidRPr="005F026E" w:rsidP="00703B60" w14:paraId="6CC539D3" w14:textId="550FF9D3">
      <w:pPr>
        <w:pStyle w:val="Heading3"/>
      </w:pPr>
      <w:r w:rsidRPr="005F026E">
        <w:rPr>
          <w:u w:val="none"/>
        </w:rPr>
        <w:t>7.</w:t>
      </w:r>
      <w:r w:rsidRPr="005F026E">
        <w:rPr>
          <w:u w:val="none"/>
        </w:rPr>
        <w:tab/>
      </w:r>
      <w:r w:rsidRPr="005F026E" w:rsidR="005F08DA">
        <w:t xml:space="preserve"> </w:t>
      </w:r>
      <w:r w:rsidRPr="005F026E">
        <w:t xml:space="preserve">Special </w:t>
      </w:r>
      <w:r w:rsidR="000E5925">
        <w:t>C</w:t>
      </w:r>
      <w:r w:rsidRPr="005F026E">
        <w:t xml:space="preserve">ircumstances </w:t>
      </w:r>
      <w:r w:rsidR="000E5925">
        <w:t>R</w:t>
      </w:r>
      <w:r w:rsidRPr="005F026E">
        <w:t xml:space="preserve">elating to the </w:t>
      </w:r>
      <w:r w:rsidR="000E5925">
        <w:t>G</w:t>
      </w:r>
      <w:r w:rsidRPr="005F026E">
        <w:t>uidelines of 5 CFR 1320.5</w:t>
      </w:r>
    </w:p>
    <w:p w:rsidR="009B3794" w:rsidRPr="005F026E" w:rsidP="00D553A6" w14:paraId="65484F22" w14:textId="32796981">
      <w:pPr>
        <w:pStyle w:val="NormalSS"/>
        <w:ind w:firstLine="0"/>
      </w:pPr>
      <w:r>
        <w:tab/>
      </w:r>
      <w:r w:rsidRPr="005F026E" w:rsidR="00A814F1">
        <w:t>This request fully complies with 5 CFR 1320.5. There are no special circumstances.</w:t>
      </w:r>
    </w:p>
    <w:p w:rsidR="009B3794" w:rsidP="00703B60" w14:paraId="2210B261" w14:textId="3AE3C922">
      <w:pPr>
        <w:pStyle w:val="Heading3"/>
      </w:pPr>
      <w:r w:rsidRPr="005F026E">
        <w:rPr>
          <w:u w:val="none"/>
        </w:rPr>
        <w:t>8.</w:t>
      </w:r>
      <w:r w:rsidRPr="005F026E">
        <w:rPr>
          <w:u w:val="none"/>
        </w:rPr>
        <w:tab/>
      </w:r>
      <w:r w:rsidRPr="005F026E">
        <w:t xml:space="preserve">Comments in </w:t>
      </w:r>
      <w:r w:rsidR="000E5925">
        <w:t>R</w:t>
      </w:r>
      <w:r w:rsidRPr="005F026E">
        <w:t xml:space="preserve">esponse to the </w:t>
      </w:r>
      <w:r w:rsidR="000E5925">
        <w:t>F</w:t>
      </w:r>
      <w:r w:rsidRPr="005F026E">
        <w:t xml:space="preserve">ederal </w:t>
      </w:r>
      <w:r w:rsidR="000E5925">
        <w:t>R</w:t>
      </w:r>
      <w:r w:rsidRPr="005F026E">
        <w:t xml:space="preserve">egister </w:t>
      </w:r>
      <w:r w:rsidR="000E5925">
        <w:t>N</w:t>
      </w:r>
      <w:r w:rsidRPr="005F026E">
        <w:t>otice</w:t>
      </w:r>
      <w:r w:rsidRPr="005F026E" w:rsidR="002471D8">
        <w:t>/</w:t>
      </w:r>
      <w:r w:rsidR="000E5925">
        <w:t>O</w:t>
      </w:r>
      <w:r w:rsidRPr="005F026E">
        <w:t xml:space="preserve">utside </w:t>
      </w:r>
      <w:r w:rsidR="000E5925">
        <w:t>C</w:t>
      </w:r>
      <w:r w:rsidRPr="005F026E">
        <w:t>onsultation</w:t>
      </w:r>
    </w:p>
    <w:p w:rsidR="00873A86" w:rsidRPr="00873A86" w:rsidP="00A87247" w14:paraId="68EF5E39" w14:textId="51EC36FC">
      <w:pPr>
        <w:rPr>
          <w:rFonts w:eastAsiaTheme="majorEastAsia"/>
          <w:b/>
          <w:sz w:val="24"/>
        </w:rPr>
      </w:pPr>
      <w:r w:rsidRPr="00873A86">
        <w:rPr>
          <w:rFonts w:eastAsiaTheme="majorEastAsia"/>
          <w:b/>
          <w:sz w:val="24"/>
        </w:rPr>
        <w:t>Section 8A:</w:t>
      </w:r>
    </w:p>
    <w:p w:rsidR="00873A86" w:rsidP="00D553A6" w14:paraId="68EB44CF" w14:textId="77777777">
      <w:pPr>
        <w:ind w:firstLine="432"/>
        <w:rPr>
          <w:rFonts w:eastAsiaTheme="majorEastAsia"/>
          <w:sz w:val="24"/>
        </w:rPr>
      </w:pPr>
    </w:p>
    <w:p w:rsidR="00873A86" w:rsidP="00873A86" w14:paraId="6061DFC8" w14:textId="6FF458FF">
      <w:pPr>
        <w:ind w:firstLine="432"/>
        <w:rPr>
          <w:rFonts w:eastAsiaTheme="majorEastAsia"/>
          <w:sz w:val="24"/>
        </w:rPr>
      </w:pPr>
      <w:r>
        <w:rPr>
          <w:rFonts w:eastAsiaTheme="majorEastAsia"/>
          <w:sz w:val="24"/>
        </w:rPr>
        <w:t xml:space="preserve">A 60-day Federal Register </w:t>
      </w:r>
      <w:r w:rsidRPr="00807C4C">
        <w:rPr>
          <w:rFonts w:eastAsiaTheme="majorEastAsia"/>
          <w:sz w:val="24"/>
        </w:rPr>
        <w:t xml:space="preserve">Notice </w:t>
      </w:r>
      <w:r w:rsidRPr="00807C4C" w:rsidR="00A105AD">
        <w:rPr>
          <w:rFonts w:eastAsiaTheme="majorEastAsia"/>
          <w:sz w:val="24"/>
        </w:rPr>
        <w:t xml:space="preserve">was published in the </w:t>
      </w:r>
      <w:r w:rsidRPr="00620D4D" w:rsidR="00A105AD">
        <w:rPr>
          <w:rFonts w:eastAsiaTheme="majorEastAsia"/>
          <w:i/>
          <w:iCs/>
          <w:sz w:val="24"/>
        </w:rPr>
        <w:t>Federal Register</w:t>
      </w:r>
      <w:r w:rsidRPr="00620D4D" w:rsidR="0062166A">
        <w:rPr>
          <w:rFonts w:eastAsiaTheme="majorEastAsia"/>
          <w:i/>
          <w:iCs/>
          <w:sz w:val="24"/>
        </w:rPr>
        <w:t xml:space="preserve">, </w:t>
      </w:r>
      <w:r w:rsidRPr="00807C4C" w:rsidR="0062166A">
        <w:rPr>
          <w:rFonts w:eastAsiaTheme="majorEastAsia"/>
          <w:iCs/>
          <w:sz w:val="24"/>
        </w:rPr>
        <w:t>87 Fed. Reg. 43535 (July 21, 2022)</w:t>
      </w:r>
      <w:r w:rsidRPr="00620D4D" w:rsidR="00A105AD">
        <w:rPr>
          <w:rFonts w:eastAsiaTheme="majorEastAsia"/>
          <w:sz w:val="24"/>
        </w:rPr>
        <w:t xml:space="preserve"> </w:t>
      </w:r>
      <w:r w:rsidRPr="00620D4D" w:rsidR="005E1748">
        <w:rPr>
          <w:rFonts w:eastAsiaTheme="majorEastAsia"/>
          <w:sz w:val="24"/>
        </w:rPr>
        <w:t>(Attachment A</w:t>
      </w:r>
      <w:r w:rsidRPr="00620D4D" w:rsidR="00A87247">
        <w:rPr>
          <w:rFonts w:eastAsiaTheme="majorEastAsia"/>
          <w:sz w:val="24"/>
        </w:rPr>
        <w:t>1</w:t>
      </w:r>
      <w:r w:rsidRPr="00620D4D" w:rsidR="003A5EA9">
        <w:rPr>
          <w:rFonts w:eastAsiaTheme="majorEastAsia"/>
          <w:sz w:val="24"/>
        </w:rPr>
        <w:t>).</w:t>
      </w:r>
      <w:r w:rsidRPr="00807C4C" w:rsidR="005E1748">
        <w:t xml:space="preserve"> </w:t>
      </w:r>
      <w:r w:rsidRPr="00807C4C" w:rsidR="00807C4C">
        <w:rPr>
          <w:rFonts w:eastAsiaTheme="majorEastAsia"/>
          <w:sz w:val="24"/>
        </w:rPr>
        <w:t>There was a request for a copy of the draft information collection tools, but no other public comments were submitted. In response to this request, the draft instruments were shared.</w:t>
      </w:r>
    </w:p>
    <w:p w:rsidR="00873A86" w:rsidP="00873A86" w14:paraId="0F200B40" w14:textId="2838DA59">
      <w:pPr>
        <w:rPr>
          <w:rFonts w:eastAsiaTheme="majorEastAsia"/>
          <w:sz w:val="24"/>
        </w:rPr>
      </w:pPr>
    </w:p>
    <w:p w:rsidR="00873A86" w:rsidP="00873A86" w14:paraId="281D404E" w14:textId="5FA10543">
      <w:pPr>
        <w:rPr>
          <w:rFonts w:eastAsiaTheme="majorEastAsia"/>
          <w:b/>
          <w:sz w:val="24"/>
        </w:rPr>
      </w:pPr>
      <w:r w:rsidRPr="00873A86">
        <w:rPr>
          <w:rFonts w:eastAsiaTheme="majorEastAsia"/>
          <w:b/>
          <w:sz w:val="24"/>
        </w:rPr>
        <w:t>Section 8B:</w:t>
      </w:r>
    </w:p>
    <w:p w:rsidR="00873A86" w:rsidP="00873A86" w14:paraId="3F53C61D" w14:textId="632B41B0">
      <w:pPr>
        <w:rPr>
          <w:rFonts w:eastAsiaTheme="majorEastAsia"/>
          <w:b/>
          <w:sz w:val="24"/>
        </w:rPr>
      </w:pPr>
    </w:p>
    <w:p w:rsidR="00873A86" w:rsidP="00873A86" w14:paraId="34DBDC2E" w14:textId="7AEB2664">
      <w:pPr>
        <w:rPr>
          <w:rFonts w:eastAsiaTheme="majorEastAsia"/>
          <w:sz w:val="24"/>
        </w:rPr>
      </w:pPr>
      <w:r w:rsidRPr="00873A86">
        <w:rPr>
          <w:rFonts w:eastAsiaTheme="majorEastAsia"/>
          <w:sz w:val="24"/>
        </w:rPr>
        <w:tab/>
      </w:r>
      <w:r w:rsidRPr="7435F173" w:rsidR="29AC68EE">
        <w:rPr>
          <w:rFonts w:eastAsiaTheme="majorEastAsia"/>
          <w:sz w:val="24"/>
        </w:rPr>
        <w:t>The evaluation contractor presented a description of the planned Healthy Start evaluation to Healthy Start grantees at the annual grantee meeting. In addition, HRSA/MCHB staff reviewed and provided feedback on the instruments during a number of meetings and conference calls.</w:t>
      </w:r>
    </w:p>
    <w:p w:rsidR="00873A86" w:rsidP="00873A86" w14:paraId="0D83DD99" w14:textId="2F7D3645">
      <w:pPr>
        <w:rPr>
          <w:rFonts w:eastAsiaTheme="majorEastAsia"/>
          <w:sz w:val="24"/>
        </w:rPr>
      </w:pPr>
      <w:r>
        <w:rPr>
          <w:rFonts w:eastAsiaTheme="majorEastAsia"/>
          <w:sz w:val="24"/>
        </w:rPr>
        <w:tab/>
      </w:r>
      <w:r>
        <w:rPr>
          <w:rFonts w:eastAsiaTheme="majorEastAsia"/>
          <w:sz w:val="24"/>
        </w:rPr>
        <w:t xml:space="preserve">The evaluation contractor pilot tested the </w:t>
      </w:r>
      <w:r w:rsidR="00995F68">
        <w:rPr>
          <w:rFonts w:eastAsiaTheme="majorEastAsia"/>
          <w:sz w:val="24"/>
        </w:rPr>
        <w:t>four data collection instruments</w:t>
      </w:r>
      <w:r>
        <w:rPr>
          <w:rFonts w:eastAsiaTheme="majorEastAsia"/>
          <w:sz w:val="24"/>
        </w:rPr>
        <w:t xml:space="preserve"> with nine </w:t>
      </w:r>
      <w:r>
        <w:rPr>
          <w:rFonts w:eastAsiaTheme="majorEastAsia"/>
          <w:sz w:val="24"/>
        </w:rPr>
        <w:t xml:space="preserve">respondents </w:t>
      </w:r>
      <w:r w:rsidR="00076867">
        <w:rPr>
          <w:rFonts w:eastAsiaTheme="majorEastAsia"/>
          <w:sz w:val="24"/>
        </w:rPr>
        <w:t>for each instrument</w:t>
      </w:r>
      <w:r w:rsidR="00995F68">
        <w:rPr>
          <w:rFonts w:eastAsiaTheme="majorEastAsia"/>
          <w:sz w:val="24"/>
        </w:rPr>
        <w:t xml:space="preserve"> </w:t>
      </w:r>
      <w:r w:rsidR="002E0865">
        <w:rPr>
          <w:rFonts w:eastAsiaTheme="majorEastAsia"/>
          <w:sz w:val="24"/>
        </w:rPr>
        <w:t xml:space="preserve">between </w:t>
      </w:r>
      <w:r w:rsidR="00995F68">
        <w:rPr>
          <w:rFonts w:eastAsiaTheme="majorEastAsia"/>
          <w:sz w:val="24"/>
        </w:rPr>
        <w:t>01/10/2021 and 03</w:t>
      </w:r>
      <w:r w:rsidR="002E0865">
        <w:rPr>
          <w:rFonts w:eastAsiaTheme="majorEastAsia"/>
          <w:sz w:val="24"/>
        </w:rPr>
        <w:t>/08/2022</w:t>
      </w:r>
      <w:r w:rsidR="00076867">
        <w:rPr>
          <w:rFonts w:eastAsiaTheme="majorEastAsia"/>
          <w:sz w:val="24"/>
        </w:rPr>
        <w:t xml:space="preserve">. </w:t>
      </w:r>
      <w:r w:rsidR="002E0865">
        <w:rPr>
          <w:rFonts w:eastAsiaTheme="majorEastAsia"/>
          <w:sz w:val="24"/>
        </w:rPr>
        <w:t xml:space="preserve">The pilot test was conducted with the electronic version of the surveys programmed on the web. The pilot test of the interview guide was conducted using the virtual platform Zoom or Microsoft Teams. </w:t>
      </w:r>
      <w:r w:rsidR="00076867">
        <w:rPr>
          <w:rFonts w:eastAsiaTheme="majorEastAsia"/>
          <w:sz w:val="24"/>
        </w:rPr>
        <w:t xml:space="preserve">The respondents represented Healthy Start </w:t>
      </w:r>
      <w:r w:rsidR="002B00F6">
        <w:rPr>
          <w:rFonts w:eastAsiaTheme="majorEastAsia"/>
          <w:sz w:val="24"/>
        </w:rPr>
        <w:t>p</w:t>
      </w:r>
      <w:r w:rsidR="00076867">
        <w:rPr>
          <w:rFonts w:eastAsiaTheme="majorEastAsia"/>
          <w:sz w:val="24"/>
        </w:rPr>
        <w:t xml:space="preserve">rogram </w:t>
      </w:r>
      <w:r w:rsidR="002B00F6">
        <w:rPr>
          <w:rFonts w:eastAsiaTheme="majorEastAsia"/>
          <w:sz w:val="24"/>
        </w:rPr>
        <w:t>d</w:t>
      </w:r>
      <w:r w:rsidR="00076867">
        <w:rPr>
          <w:rFonts w:eastAsiaTheme="majorEastAsia"/>
          <w:sz w:val="24"/>
        </w:rPr>
        <w:t>irectors for the Program Survey,</w:t>
      </w:r>
      <w:r>
        <w:rPr>
          <w:rFonts w:eastAsiaTheme="majorEastAsia"/>
          <w:sz w:val="24"/>
        </w:rPr>
        <w:t xml:space="preserve"> </w:t>
      </w:r>
      <w:r w:rsidR="00995F68">
        <w:rPr>
          <w:rFonts w:eastAsiaTheme="majorEastAsia"/>
          <w:sz w:val="24"/>
        </w:rPr>
        <w:t xml:space="preserve">CAN </w:t>
      </w:r>
      <w:r w:rsidR="00076867">
        <w:rPr>
          <w:rFonts w:eastAsiaTheme="majorEastAsia"/>
          <w:sz w:val="24"/>
        </w:rPr>
        <w:t xml:space="preserve">members from one grantee site for the Network Survey, Healthy Start participants from one grantee site for the Participant Survey, and a combination of </w:t>
      </w:r>
      <w:r w:rsidR="00995F68">
        <w:rPr>
          <w:rFonts w:eastAsiaTheme="majorEastAsia"/>
          <w:sz w:val="24"/>
        </w:rPr>
        <w:t>Healthy Start staff and</w:t>
      </w:r>
      <w:r w:rsidR="00076867">
        <w:rPr>
          <w:rFonts w:eastAsiaTheme="majorEastAsia"/>
          <w:sz w:val="24"/>
        </w:rPr>
        <w:t xml:space="preserve"> </w:t>
      </w:r>
      <w:r w:rsidR="00995F68">
        <w:rPr>
          <w:rFonts w:eastAsiaTheme="majorEastAsia"/>
          <w:sz w:val="24"/>
        </w:rPr>
        <w:t>CAN members for the Stakeholder Interview Guide.</w:t>
      </w:r>
    </w:p>
    <w:p w:rsidR="002B237F" w:rsidP="00873A86" w14:paraId="725B8004" w14:textId="71BFC86C">
      <w:pPr>
        <w:rPr>
          <w:rFonts w:eastAsiaTheme="majorEastAsia"/>
          <w:sz w:val="24"/>
        </w:rPr>
      </w:pPr>
      <w:r>
        <w:rPr>
          <w:rFonts w:eastAsiaTheme="majorEastAsia"/>
          <w:sz w:val="24"/>
        </w:rPr>
        <w:tab/>
        <w:t xml:space="preserve">The results of the pilot tests and recommendations for finalizing the instruments are </w:t>
      </w:r>
      <w:r w:rsidR="00A87247">
        <w:rPr>
          <w:rFonts w:eastAsiaTheme="majorEastAsia"/>
          <w:sz w:val="24"/>
        </w:rPr>
        <w:t>described in Supporting Statement B</w:t>
      </w:r>
      <w:r>
        <w:rPr>
          <w:rFonts w:eastAsiaTheme="majorEastAsia"/>
          <w:sz w:val="24"/>
        </w:rPr>
        <w:t>.</w:t>
      </w:r>
      <w:r w:rsidRPr="002B237F">
        <w:t xml:space="preserve"> </w:t>
      </w:r>
      <w:r w:rsidRPr="002B237F">
        <w:rPr>
          <w:rFonts w:eastAsiaTheme="majorEastAsia"/>
          <w:sz w:val="24"/>
        </w:rPr>
        <w:t xml:space="preserve">The pilot test allowed us to validate the length of the instruments </w:t>
      </w:r>
      <w:r>
        <w:rPr>
          <w:rFonts w:eastAsiaTheme="majorEastAsia"/>
          <w:sz w:val="24"/>
        </w:rPr>
        <w:t xml:space="preserve">and </w:t>
      </w:r>
      <w:r w:rsidRPr="002B237F">
        <w:rPr>
          <w:rFonts w:eastAsiaTheme="majorEastAsia"/>
          <w:sz w:val="24"/>
        </w:rPr>
        <w:t>to refine and clarify the instructions and language.</w:t>
      </w:r>
      <w:r>
        <w:rPr>
          <w:rFonts w:eastAsiaTheme="majorEastAsia"/>
          <w:sz w:val="24"/>
        </w:rPr>
        <w:t xml:space="preserve"> </w:t>
      </w:r>
    </w:p>
    <w:p w:rsidR="002B237F" w:rsidRPr="00873A86" w:rsidP="002B237F" w14:paraId="2BC1C9ED" w14:textId="4D11CA81">
      <w:pPr>
        <w:ind w:firstLine="432"/>
        <w:rPr>
          <w:rFonts w:eastAsiaTheme="majorEastAsia"/>
          <w:sz w:val="24"/>
        </w:rPr>
      </w:pPr>
      <w:r>
        <w:rPr>
          <w:rFonts w:eastAsiaTheme="majorEastAsia"/>
          <w:sz w:val="24"/>
        </w:rPr>
        <w:t>The instruments were revised based on the results of the pilot test and feedback from HRSA/MCHB staff.</w:t>
      </w:r>
    </w:p>
    <w:p w:rsidR="009B3794" w:rsidRPr="005F026E" w:rsidP="00703B60" w14:paraId="1F6D947E" w14:textId="67F2E954">
      <w:pPr>
        <w:pStyle w:val="Heading3"/>
        <w:spacing w:before="360"/>
      </w:pPr>
      <w:r w:rsidRPr="005F026E">
        <w:rPr>
          <w:u w:val="none"/>
        </w:rPr>
        <w:t>9.</w:t>
      </w:r>
      <w:r w:rsidRPr="005F026E">
        <w:rPr>
          <w:u w:val="none"/>
        </w:rPr>
        <w:tab/>
      </w:r>
      <w:r w:rsidRPr="005F026E" w:rsidR="00EC4DF6">
        <w:t xml:space="preserve">Explanation of </w:t>
      </w:r>
      <w:r w:rsidR="008474F3">
        <w:t>A</w:t>
      </w:r>
      <w:r w:rsidRPr="005F026E">
        <w:t xml:space="preserve">ny </w:t>
      </w:r>
      <w:r w:rsidR="008474F3">
        <w:t>P</w:t>
      </w:r>
      <w:r w:rsidRPr="005F026E">
        <w:t>ayment/</w:t>
      </w:r>
      <w:r w:rsidR="008474F3">
        <w:t>G</w:t>
      </w:r>
      <w:r w:rsidRPr="005F026E">
        <w:t xml:space="preserve">ift to </w:t>
      </w:r>
      <w:r w:rsidR="008474F3">
        <w:t>R</w:t>
      </w:r>
      <w:r w:rsidRPr="005F026E">
        <w:t>espondents</w:t>
      </w:r>
    </w:p>
    <w:p w:rsidR="0075005F" w:rsidRPr="005F026E" w:rsidP="0075005F" w14:paraId="77884098" w14:textId="2E48776C">
      <w:pPr>
        <w:pStyle w:val="NormalSS"/>
        <w:rPr>
          <w:bCs/>
        </w:rPr>
      </w:pPr>
      <w:r w:rsidRPr="005F026E">
        <w:rPr>
          <w:bCs/>
        </w:rPr>
        <w:t>Th</w:t>
      </w:r>
      <w:r w:rsidRPr="005F026E">
        <w:rPr>
          <w:bCs/>
        </w:rPr>
        <w:t>o</w:t>
      </w:r>
      <w:r w:rsidRPr="005F026E">
        <w:rPr>
          <w:bCs/>
        </w:rPr>
        <w:t xml:space="preserve">se completing the </w:t>
      </w:r>
      <w:r w:rsidRPr="005F026E">
        <w:rPr>
          <w:bCs/>
        </w:rPr>
        <w:t>Healthy Start Program Survey, Network Survey</w:t>
      </w:r>
      <w:r w:rsidR="007C1A86">
        <w:rPr>
          <w:bCs/>
        </w:rPr>
        <w:t xml:space="preserve"> and Participant Survey</w:t>
      </w:r>
      <w:r w:rsidRPr="005F026E">
        <w:rPr>
          <w:bCs/>
        </w:rPr>
        <w:t xml:space="preserve">, and those participating in the Stakeholder Interviews will not receive </w:t>
      </w:r>
      <w:r w:rsidR="008474F3">
        <w:rPr>
          <w:bCs/>
        </w:rPr>
        <w:t xml:space="preserve">any </w:t>
      </w:r>
      <w:r w:rsidRPr="005F026E">
        <w:rPr>
          <w:bCs/>
        </w:rPr>
        <w:t>payments</w:t>
      </w:r>
      <w:r w:rsidR="008474F3">
        <w:rPr>
          <w:bCs/>
        </w:rPr>
        <w:t xml:space="preserve"> o</w:t>
      </w:r>
      <w:r w:rsidR="00142A16">
        <w:rPr>
          <w:bCs/>
        </w:rPr>
        <w:t>r</w:t>
      </w:r>
      <w:r w:rsidR="008474F3">
        <w:rPr>
          <w:bCs/>
        </w:rPr>
        <w:t xml:space="preserve"> gifts</w:t>
      </w:r>
      <w:r w:rsidR="007C1A86">
        <w:rPr>
          <w:bCs/>
        </w:rPr>
        <w:t>.</w:t>
      </w:r>
    </w:p>
    <w:p w:rsidR="009B3794" w:rsidRPr="005F026E" w:rsidP="00703B60" w14:paraId="5B98AA7A" w14:textId="0E12B47D">
      <w:pPr>
        <w:pStyle w:val="Heading3"/>
      </w:pPr>
      <w:r w:rsidRPr="005F026E">
        <w:rPr>
          <w:u w:val="none"/>
        </w:rPr>
        <w:t>10.</w:t>
      </w:r>
      <w:r w:rsidRPr="005F026E">
        <w:rPr>
          <w:u w:val="none"/>
        </w:rPr>
        <w:tab/>
      </w:r>
      <w:r w:rsidRPr="005F026E">
        <w:t xml:space="preserve">Assurance of </w:t>
      </w:r>
      <w:r w:rsidR="008474F3">
        <w:t>C</w:t>
      </w:r>
      <w:r w:rsidRPr="005F026E">
        <w:t xml:space="preserve">onfidentiality </w:t>
      </w:r>
      <w:r w:rsidR="008474F3">
        <w:t>P</w:t>
      </w:r>
      <w:r w:rsidRPr="005F026E">
        <w:t xml:space="preserve">rovided to </w:t>
      </w:r>
      <w:r w:rsidR="008474F3">
        <w:t>R</w:t>
      </w:r>
      <w:r w:rsidRPr="005F026E">
        <w:t>espondents</w:t>
      </w:r>
    </w:p>
    <w:p w:rsidR="00B42638" w:rsidRPr="00B42638" w:rsidP="00D553A6" w14:paraId="0D590AF8" w14:textId="05CA6767">
      <w:pPr>
        <w:pStyle w:val="NormalSS"/>
        <w:spacing w:after="0"/>
      </w:pPr>
      <w:r w:rsidRPr="00B42638">
        <w:t xml:space="preserve">The current project will fully comply with the Privacy Act of 1974 (5 U.S.C. Section 552a, 1998; </w:t>
      </w:r>
      <w:hyperlink r:id="rId10" w:history="1">
        <w:r w:rsidRPr="00B42638">
          <w:rPr>
            <w:rStyle w:val="Hyperlink"/>
          </w:rPr>
          <w:t>https://www.justice.gov/opcl/privacy-act-1974</w:t>
        </w:r>
      </w:hyperlink>
      <w:r w:rsidRPr="00B42638">
        <w:t>).</w:t>
      </w:r>
      <w:r w:rsidRPr="00B42638">
        <w:rPr>
          <w:sz w:val="20"/>
        </w:rPr>
        <w:t xml:space="preserve"> </w:t>
      </w:r>
      <w:r w:rsidRPr="00B42638">
        <w:t xml:space="preserve">The Privacy Act may apply to some data </w:t>
      </w:r>
      <w:r w:rsidR="00D553A6">
        <w:t>c</w:t>
      </w:r>
      <w:r w:rsidRPr="00B42638">
        <w:t>ollection activities (e.g., the study will collect email addresses from some respondents).</w:t>
      </w:r>
    </w:p>
    <w:p w:rsidR="00C147E3" w:rsidP="00D553A6" w14:paraId="55FBB952" w14:textId="2760A599">
      <w:pPr>
        <w:pStyle w:val="NormalSS"/>
        <w:spacing w:after="0"/>
      </w:pPr>
      <w:r w:rsidRPr="00B42638">
        <w:t xml:space="preserve">All respondents will be assured that their data will be kept private to the extent allowed by law. In addition, emails to inform participants about the data collection and any other introductory materials about the data collection will indicate HRSA’s Federal status and the purpose of the data collection. Please see </w:t>
      </w:r>
      <w:r w:rsidRPr="0062166A">
        <w:t xml:space="preserve">Attachments </w:t>
      </w:r>
      <w:r w:rsidRPr="0062166A" w:rsidR="006A208A">
        <w:t>A2‒A6</w:t>
      </w:r>
      <w:r w:rsidRPr="00FB66BE" w:rsidR="006A208A">
        <w:t xml:space="preserve"> </w:t>
      </w:r>
      <w:r w:rsidRPr="00B42638">
        <w:t xml:space="preserve">for email </w:t>
      </w:r>
      <w:r w:rsidR="00295A0A">
        <w:t>invitations</w:t>
      </w:r>
      <w:r w:rsidRPr="00B42638">
        <w:t xml:space="preserve">. </w:t>
      </w:r>
      <w:r w:rsidRPr="00A87247">
        <w:t>Section B contains additional information on study</w:t>
      </w:r>
      <w:r w:rsidR="00C42B4C">
        <w:t xml:space="preserve"> procedures and the</w:t>
      </w:r>
      <w:r w:rsidRPr="00A87247">
        <w:t xml:space="preserve"> </w:t>
      </w:r>
      <w:r w:rsidRPr="00A87247" w:rsidR="00A87247">
        <w:t>data collection instruments</w:t>
      </w:r>
      <w:r w:rsidRPr="00A87247">
        <w:t>.</w:t>
      </w:r>
      <w:r w:rsidRPr="00C147E3">
        <w:t xml:space="preserve"> </w:t>
      </w:r>
      <w:r w:rsidRPr="005F026E">
        <w:t>For all the data collection instruments, potential participants will be sent information about the study and what is required for participation</w:t>
      </w:r>
      <w:r w:rsidRPr="00F92798">
        <w:t xml:space="preserve">. For the web-based surveys, </w:t>
      </w:r>
      <w:r w:rsidRPr="00F92798" w:rsidR="00AA0D58">
        <w:t>the elements of consent will be</w:t>
      </w:r>
      <w:r w:rsidRPr="00F92798" w:rsidR="00936213">
        <w:t xml:space="preserve"> e</w:t>
      </w:r>
      <w:r w:rsidRPr="00F92798" w:rsidR="00AA0D58">
        <w:t xml:space="preserve">xplained before beginning the survey, and </w:t>
      </w:r>
      <w:r w:rsidRPr="00F92798">
        <w:t>we will include a box that the potential respondents can check to show their consent to participate in the survey.</w:t>
      </w:r>
      <w:r w:rsidRPr="005F026E">
        <w:t xml:space="preserve"> </w:t>
      </w:r>
      <w:r w:rsidR="001B62B7">
        <w:t xml:space="preserve">Participants for the </w:t>
      </w:r>
      <w:r w:rsidR="00073207">
        <w:t>S</w:t>
      </w:r>
      <w:r w:rsidR="001B62B7">
        <w:t xml:space="preserve">takeholder </w:t>
      </w:r>
      <w:r w:rsidR="00073207">
        <w:t>I</w:t>
      </w:r>
      <w:r w:rsidR="001B62B7">
        <w:t xml:space="preserve">nterviews will be </w:t>
      </w:r>
      <w:r w:rsidR="00795BEB">
        <w:t xml:space="preserve">invited to participate and </w:t>
      </w:r>
      <w:r w:rsidR="001B62B7">
        <w:t>asked</w:t>
      </w:r>
      <w:r w:rsidR="00834A5F">
        <w:t xml:space="preserve"> for a </w:t>
      </w:r>
      <w:r w:rsidR="001B62B7">
        <w:t xml:space="preserve">convenient </w:t>
      </w:r>
      <w:r w:rsidR="00834A5F">
        <w:t>time to schedule the interview</w:t>
      </w:r>
      <w:r w:rsidR="001B62B7">
        <w:t xml:space="preserve">. Interviews will be scheduled </w:t>
      </w:r>
      <w:r w:rsidR="0034175C">
        <w:t xml:space="preserve">and conducted </w:t>
      </w:r>
      <w:r w:rsidR="001B62B7">
        <w:t xml:space="preserve">with those who </w:t>
      </w:r>
      <w:r w:rsidR="0034175C">
        <w:t xml:space="preserve">agree </w:t>
      </w:r>
      <w:r w:rsidR="001B62B7">
        <w:t xml:space="preserve">to participate. </w:t>
      </w:r>
      <w:r w:rsidR="00834A5F">
        <w:t>In addition, all p</w:t>
      </w:r>
      <w:r w:rsidRPr="00C147E3">
        <w:t>articipants will be informed that they may refuse to answer any question, and that they can stop at any time without risk to any Healthy Start benefits or services they receive.</w:t>
      </w:r>
    </w:p>
    <w:p w:rsidR="00B42638" w:rsidRPr="00B42638" w:rsidP="00D553A6" w14:paraId="6C21FBB3" w14:textId="1111E482">
      <w:pPr>
        <w:pStyle w:val="NormalSS"/>
        <w:spacing w:after="0"/>
      </w:pPr>
      <w:r>
        <w:t>The</w:t>
      </w:r>
      <w:r w:rsidR="5C11D21C">
        <w:t xml:space="preserve"> </w:t>
      </w:r>
      <w:r>
        <w:t>Westat</w:t>
      </w:r>
      <w:r w:rsidR="5C11D21C">
        <w:t xml:space="preserve"> Institutional Review Board (IRB) determined that </w:t>
      </w:r>
      <w:r>
        <w:t xml:space="preserve">per 45 CFR 46.104(d) (4) (see </w:t>
      </w:r>
      <w:r w:rsidRPr="002B74A4">
        <w:t>Attachment A</w:t>
      </w:r>
      <w:r w:rsidRPr="002B74A4" w:rsidR="2F84ED08">
        <w:t>7</w:t>
      </w:r>
      <w:r w:rsidRPr="002B74A4">
        <w:t>),</w:t>
      </w:r>
      <w:r>
        <w:t xml:space="preserve"> this project is exempt from further IRB review as it includes a research and demonstration project (conducted or supported by a Federal department or agency), and </w:t>
      </w:r>
      <w:r w:rsidR="254F8883">
        <w:t xml:space="preserve">is </w:t>
      </w:r>
      <w:r>
        <w:t>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The Westat</w:t>
      </w:r>
      <w:r w:rsidR="5C11D21C">
        <w:t xml:space="preserve"> IRB requires that data collected </w:t>
      </w:r>
      <w:r w:rsidR="409DF362">
        <w:t xml:space="preserve">are </w:t>
      </w:r>
      <w:r w:rsidR="5C11D21C">
        <w:t xml:space="preserve">kept secure. </w:t>
      </w:r>
      <w:r w:rsidR="00918288">
        <w:t xml:space="preserve">HRSA </w:t>
      </w:r>
      <w:r w:rsidR="1F7151E2">
        <w:t xml:space="preserve">will receive </w:t>
      </w:r>
      <w:r w:rsidR="1B96CCD6">
        <w:t>de-identified</w:t>
      </w:r>
      <w:r w:rsidR="1F7151E2">
        <w:t xml:space="preserve"> analytic datasets, and reports </w:t>
      </w:r>
      <w:r w:rsidR="00918288">
        <w:t xml:space="preserve">will only </w:t>
      </w:r>
      <w:r w:rsidR="1F7151E2">
        <w:t xml:space="preserve">include </w:t>
      </w:r>
      <w:r w:rsidR="00918288">
        <w:t xml:space="preserve">aggregated </w:t>
      </w:r>
      <w:r w:rsidR="5C11D21C">
        <w:t>data</w:t>
      </w:r>
      <w:r w:rsidR="00918288">
        <w:t xml:space="preserve"> and summary of responses</w:t>
      </w:r>
      <w:r w:rsidR="5C11D21C">
        <w:t xml:space="preserve">. To protect the subjects’ privacy, each subject will be assigned a unique study ID number. All databases related to the study will, therefore, not </w:t>
      </w:r>
      <w:r w:rsidR="5C11D21C">
        <w:t xml:space="preserve">contain subjects’ names or other personal identification (e.g., email addresses). This information will be stored in password-protected databases with well-established security systems to prevent unauthorized access. </w:t>
      </w:r>
    </w:p>
    <w:p w:rsidR="006A2BED" w:rsidRPr="005F026E" w:rsidP="00EC6DB4" w14:paraId="58388118" w14:textId="203EB1B7">
      <w:pPr>
        <w:pStyle w:val="NormalSS"/>
        <w:ind w:firstLine="0"/>
      </w:pPr>
      <w:r>
        <w:tab/>
      </w:r>
      <w:r w:rsidRPr="005F026E">
        <w:t xml:space="preserve">In addition to specific </w:t>
      </w:r>
      <w:r w:rsidRPr="005F026E" w:rsidR="008C184E">
        <w:t xml:space="preserve">security </w:t>
      </w:r>
      <w:r w:rsidRPr="005F026E">
        <w:t xml:space="preserve">procedures for the various data collection activities, all contractor employees </w:t>
      </w:r>
      <w:r w:rsidR="00AF7C67">
        <w:t xml:space="preserve">involved in the work </w:t>
      </w:r>
      <w:r w:rsidRPr="005F026E">
        <w:t xml:space="preserve">will sign a pledge </w:t>
      </w:r>
      <w:r w:rsidRPr="005F026E" w:rsidR="001C6FB1">
        <w:t xml:space="preserve">that </w:t>
      </w:r>
      <w:r w:rsidR="00BC2F4B">
        <w:t xml:space="preserve">the </w:t>
      </w:r>
      <w:r w:rsidRPr="005F026E" w:rsidR="001C6FB1">
        <w:t xml:space="preserve">data will be kept private to the extent allowed by law </w:t>
      </w:r>
      <w:r w:rsidRPr="005F026E">
        <w:t xml:space="preserve">and </w:t>
      </w:r>
      <w:r w:rsidR="00AF7C67">
        <w:t xml:space="preserve">that the </w:t>
      </w:r>
      <w:r w:rsidRPr="005F026E">
        <w:t>respondent</w:t>
      </w:r>
      <w:r w:rsidR="00AF7C67">
        <w:t xml:space="preserve">s will not be identified. </w:t>
      </w:r>
      <w:r w:rsidR="00BC2F4B">
        <w:t>B</w:t>
      </w:r>
      <w:r w:rsidR="00AF7C67">
        <w:t>r</w:t>
      </w:r>
      <w:r w:rsidRPr="005F026E">
        <w:t>eaking th</w:t>
      </w:r>
      <w:r w:rsidR="00AF7C67">
        <w:t>is</w:t>
      </w:r>
      <w:r w:rsidRPr="005F026E">
        <w:t xml:space="preserve"> pledge is grounds for immediate dism</w:t>
      </w:r>
      <w:r w:rsidR="00C147E3">
        <w:t>issal and possible legal action</w:t>
      </w:r>
      <w:r w:rsidRPr="005F026E" w:rsidR="006A3208">
        <w:t>.</w:t>
      </w:r>
    </w:p>
    <w:p w:rsidR="009B3794" w:rsidRPr="005F026E" w:rsidP="00703B60" w14:paraId="0ABD67EA" w14:textId="15F3FEDB">
      <w:pPr>
        <w:pStyle w:val="Heading3"/>
      </w:pPr>
      <w:r w:rsidRPr="005F026E">
        <w:rPr>
          <w:u w:val="none"/>
        </w:rPr>
        <w:t>11.</w:t>
      </w:r>
      <w:r w:rsidRPr="005F026E">
        <w:rPr>
          <w:u w:val="none"/>
        </w:rPr>
        <w:tab/>
      </w:r>
      <w:r w:rsidRPr="005F026E">
        <w:t xml:space="preserve">Justification for </w:t>
      </w:r>
      <w:r w:rsidR="008474F3">
        <w:t>S</w:t>
      </w:r>
      <w:r w:rsidRPr="005F026E">
        <w:t xml:space="preserve">ensitive </w:t>
      </w:r>
      <w:r w:rsidR="008474F3">
        <w:t>Q</w:t>
      </w:r>
      <w:r w:rsidRPr="005F026E">
        <w:t>uestions</w:t>
      </w:r>
    </w:p>
    <w:p w:rsidR="00021248" w:rsidRPr="005F026E" w:rsidP="00F865AC" w14:paraId="60843627" w14:textId="7396ECA3">
      <w:pPr>
        <w:pStyle w:val="NormalSS"/>
        <w:ind w:firstLine="0"/>
      </w:pPr>
      <w:r>
        <w:tab/>
      </w:r>
      <w:r w:rsidRPr="00021248">
        <w:t>Personally identifiable information (PII) including participants’ names and email addresses will be collected for administration of the surveys and interviews. Collection of these data are necessary for the evaluation in order to contact potential respondents by email to send them the web link to complete the survey or arrange a time for an interview, and this information will enable us to track non-responders to send them reminders. HRSA will provide the contact information for the Healthy Start program directors to the contractor, and the contractor will contact the Healthy Start program directors to provide the list of names and email addresses of the members of their CANs and their currently enrolled participants. The surveys and interviews do not ask for information of a sensitive nature (e.g., sexual practices, religious preference) other than race/ethnicity in the Participant Survey. This race/ethnicity information will allow us to better understand the demographics of the Healthy Start participants who take the survey. For all instruments, respondents will have the option to skip any questions they do not feel comfortable answering. We will not include any information in the reports that can identify anyone who takes part in the evaluation, and only aggregate results will be included in these reports. All data and information from participants will be stored in secure locations for 3 years after the study is completed, and we will adhere to Federal requirements regarding collection and storage of PII. The contractor will not share materials containing PII with HRSA.</w:t>
      </w:r>
      <w:r w:rsidR="00FB01FC">
        <w:t xml:space="preserve"> </w:t>
      </w:r>
    </w:p>
    <w:p w:rsidR="009B3794" w:rsidRPr="005F026E" w:rsidP="001E7D66" w14:paraId="211090FD" w14:textId="2051F224">
      <w:pPr>
        <w:pStyle w:val="Heading3"/>
        <w:ind w:left="0" w:firstLine="0"/>
      </w:pPr>
      <w:r w:rsidRPr="005F026E">
        <w:rPr>
          <w:u w:val="none"/>
        </w:rPr>
        <w:t>12.</w:t>
      </w:r>
      <w:r w:rsidRPr="005F026E">
        <w:rPr>
          <w:u w:val="none"/>
        </w:rPr>
        <w:tab/>
      </w:r>
      <w:r w:rsidRPr="005F026E">
        <w:t xml:space="preserve">Estimates of </w:t>
      </w:r>
      <w:r w:rsidR="008474F3">
        <w:t>A</w:t>
      </w:r>
      <w:r w:rsidRPr="005F026E">
        <w:t xml:space="preserve">nnualized </w:t>
      </w:r>
      <w:r w:rsidR="005114C8">
        <w:t>H</w:t>
      </w:r>
      <w:r w:rsidRPr="005F026E">
        <w:t xml:space="preserve">our and </w:t>
      </w:r>
      <w:r w:rsidR="005114C8">
        <w:t>C</w:t>
      </w:r>
      <w:r w:rsidRPr="005F026E">
        <w:t xml:space="preserve">ost </w:t>
      </w:r>
      <w:r w:rsidR="005114C8">
        <w:t>B</w:t>
      </w:r>
      <w:r w:rsidRPr="005F026E">
        <w:t>urden</w:t>
      </w:r>
      <w:r w:rsidRPr="005F026E" w:rsidR="004615F8">
        <w:t xml:space="preserve"> </w:t>
      </w:r>
    </w:p>
    <w:p w:rsidR="00AC24E4" w:rsidRPr="005F026E" w:rsidP="00FF71AA" w14:paraId="51E131A7" w14:textId="307A05CF">
      <w:pPr>
        <w:pStyle w:val="NormalSS"/>
        <w:spacing w:after="0"/>
        <w:ind w:firstLine="0"/>
        <w:rPr>
          <w:highlight w:val="yellow"/>
        </w:rPr>
      </w:pPr>
      <w:r w:rsidRPr="005F026E">
        <w:tab/>
      </w:r>
      <w:r w:rsidRPr="005F026E" w:rsidR="00FF71AA">
        <w:t xml:space="preserve">The Healthy Start evaluation will include </w:t>
      </w:r>
      <w:r w:rsidRPr="005F026E" w:rsidR="006A3208">
        <w:t xml:space="preserve">the four </w:t>
      </w:r>
      <w:r w:rsidRPr="005F026E" w:rsidR="00FF71AA">
        <w:t xml:space="preserve">data collection instruments </w:t>
      </w:r>
      <w:r w:rsidRPr="005F026E" w:rsidR="006A3208">
        <w:t xml:space="preserve">described in </w:t>
      </w:r>
      <w:r w:rsidR="00BF1B84">
        <w:t xml:space="preserve">Section </w:t>
      </w:r>
      <w:r w:rsidRPr="005F026E" w:rsidR="006A3208">
        <w:t xml:space="preserve">2 above: </w:t>
      </w:r>
      <w:r w:rsidRPr="005F026E" w:rsidR="00FF71AA">
        <w:t xml:space="preserve">1) Healthy Start Program Survey, 2) Healthy Start Network Survey, 3) Healthy Start Participant Survey, </w:t>
      </w:r>
      <w:r w:rsidRPr="005F026E" w:rsidR="005F026E">
        <w:t xml:space="preserve">and </w:t>
      </w:r>
      <w:r w:rsidRPr="005F026E" w:rsidR="00FF71AA">
        <w:t>4) Healthy Start Stakeholder Interview Guide. There will be 1,6</w:t>
      </w:r>
      <w:r w:rsidRPr="005F026E" w:rsidR="005F026E">
        <w:t>01</w:t>
      </w:r>
      <w:r w:rsidRPr="005F026E" w:rsidR="00FF71AA">
        <w:t xml:space="preserve"> respondents across all </w:t>
      </w:r>
      <w:r w:rsidRPr="005F026E" w:rsidR="005F026E">
        <w:t xml:space="preserve">four </w:t>
      </w:r>
      <w:r w:rsidRPr="005F026E" w:rsidR="00FF71AA">
        <w:t>instruments, and there will be one response per respondent for each data collection form. We calculated the average burden per response in hours by determining the average</w:t>
      </w:r>
      <w:r w:rsidR="004273C3">
        <w:t xml:space="preserve"> (median)</w:t>
      </w:r>
      <w:r w:rsidRPr="005F026E" w:rsidR="00FF71AA">
        <w:t xml:space="preserve"> completion time based on </w:t>
      </w:r>
      <w:r w:rsidRPr="005F026E" w:rsidR="005F026E">
        <w:t xml:space="preserve">pilot testing of the </w:t>
      </w:r>
      <w:r w:rsidRPr="005F026E" w:rsidR="00FF71AA">
        <w:t>instrument</w:t>
      </w:r>
      <w:r w:rsidRPr="005F026E" w:rsidR="005F026E">
        <w:t>s</w:t>
      </w:r>
      <w:r w:rsidR="00090541">
        <w:t xml:space="preserve"> (see Attachment B6)</w:t>
      </w:r>
      <w:r w:rsidR="00BF1B84">
        <w:t xml:space="preserve">. </w:t>
      </w:r>
      <w:r w:rsidR="004273C3">
        <w:t xml:space="preserve">The time to complete each instrument ranged as follows: 23-44 minutes (Program Survey); 8-16 minutes (Participant Survey); 16-45 minutes (Network Survey); and 30-80 minutes (Stakeholder Interview Guide). </w:t>
      </w:r>
      <w:r w:rsidR="00BF1B84">
        <w:t xml:space="preserve">For the Program Survey, pilot test respondents indicated they would need to consult other staff and need </w:t>
      </w:r>
      <w:r w:rsidR="0026265B">
        <w:t xml:space="preserve">additional </w:t>
      </w:r>
      <w:r w:rsidR="00BF1B84">
        <w:t xml:space="preserve">time to extract data from their records to complete some </w:t>
      </w:r>
      <w:r w:rsidR="00CE3DA3">
        <w:t xml:space="preserve">of the </w:t>
      </w:r>
      <w:r w:rsidR="00BF1B84">
        <w:t xml:space="preserve">questions. We, therefore, added 30 minutes to the average time of 30 minutes </w:t>
      </w:r>
      <w:r w:rsidR="0026265B">
        <w:t xml:space="preserve">for an average burden of 1 hour </w:t>
      </w:r>
      <w:r w:rsidR="00BF1B84">
        <w:t xml:space="preserve">for this survey. </w:t>
      </w:r>
      <w:r w:rsidR="0026265B">
        <w:t>For each instrument, t</w:t>
      </w:r>
      <w:r w:rsidRPr="005F026E" w:rsidR="00FF71AA">
        <w:t xml:space="preserve">he total number of responses was multiplied by the average burden per response and summed to produce the total annualized burden hours, which is estimated to be </w:t>
      </w:r>
      <w:r w:rsidR="008F0138">
        <w:t>60</w:t>
      </w:r>
      <w:r w:rsidRPr="005F026E" w:rsidR="005F026E">
        <w:t>0</w:t>
      </w:r>
      <w:r w:rsidRPr="005F026E" w:rsidR="00FF71AA">
        <w:t xml:space="preserve"> hours. A break-down of these hours is detailed in </w:t>
      </w:r>
      <w:r w:rsidR="0079179C">
        <w:t>Table A.</w:t>
      </w:r>
      <w:r w:rsidR="009C0B95">
        <w:t>4</w:t>
      </w:r>
      <w:r w:rsidRPr="005F026E" w:rsidR="005A525B">
        <w:t xml:space="preserve"> </w:t>
      </w:r>
      <w:r w:rsidRPr="005F026E" w:rsidR="00FF71AA">
        <w:t xml:space="preserve">below. </w:t>
      </w:r>
    </w:p>
    <w:p w:rsidR="00896502" w:rsidP="001E7D66" w14:paraId="473AAC02" w14:textId="0CF3BF86">
      <w:pPr>
        <w:pStyle w:val="MarkforTableHeading"/>
        <w:spacing w:after="0"/>
        <w:rPr>
          <w:rFonts w:ascii="Times New Roman" w:hAnsi="Times New Roman"/>
          <w:sz w:val="24"/>
          <w:highlight w:val="yellow"/>
        </w:rPr>
      </w:pPr>
    </w:p>
    <w:p w:rsidR="00BD4C47" w:rsidP="00BD4C47" w14:paraId="7E073AD0" w14:textId="37D54191">
      <w:pPr>
        <w:rPr>
          <w:highlight w:val="yellow"/>
        </w:rPr>
      </w:pPr>
    </w:p>
    <w:p w:rsidR="00BD4C47" w:rsidRPr="00BD4C47" w:rsidP="00BD4C47" w14:paraId="0B413C75" w14:textId="77777777">
      <w:pPr>
        <w:rPr>
          <w:highlight w:val="yellow"/>
        </w:rPr>
      </w:pPr>
    </w:p>
    <w:p w:rsidR="00415ECA" w:rsidRPr="005F026E" w:rsidP="00415ECA" w14:paraId="65AF9F60" w14:textId="59F9AAF2">
      <w:pPr>
        <w:rPr>
          <w:b/>
          <w:bCs/>
          <w:sz w:val="24"/>
        </w:rPr>
      </w:pPr>
      <w:r w:rsidRPr="005F026E">
        <w:rPr>
          <w:b/>
          <w:bCs/>
          <w:sz w:val="24"/>
        </w:rPr>
        <w:t xml:space="preserve">Table </w:t>
      </w:r>
      <w:r w:rsidRPr="005F026E" w:rsidR="005F026E">
        <w:rPr>
          <w:b/>
          <w:bCs/>
          <w:sz w:val="24"/>
        </w:rPr>
        <w:t>A.</w:t>
      </w:r>
      <w:r w:rsidR="009C0B95">
        <w:rPr>
          <w:b/>
          <w:bCs/>
          <w:sz w:val="24"/>
        </w:rPr>
        <w:t>4</w:t>
      </w:r>
      <w:r w:rsidRPr="005F026E">
        <w:rPr>
          <w:b/>
          <w:bCs/>
          <w:sz w:val="24"/>
        </w:rPr>
        <w:t xml:space="preserve">. Total Estimated Annualized </w:t>
      </w:r>
      <w:r w:rsidRPr="005F026E" w:rsidR="00554682">
        <w:rPr>
          <w:b/>
          <w:bCs/>
          <w:sz w:val="24"/>
        </w:rPr>
        <w:t>B</w:t>
      </w:r>
      <w:r w:rsidRPr="005F026E">
        <w:rPr>
          <w:b/>
          <w:bCs/>
          <w:sz w:val="24"/>
        </w:rPr>
        <w:t xml:space="preserve">urden </w:t>
      </w:r>
      <w:r w:rsidRPr="005F026E" w:rsidR="00554682">
        <w:rPr>
          <w:b/>
          <w:bCs/>
          <w:sz w:val="24"/>
        </w:rPr>
        <w:t>H</w:t>
      </w:r>
      <w:r w:rsidRPr="005F026E">
        <w:rPr>
          <w:b/>
          <w:bCs/>
          <w:sz w:val="24"/>
        </w:rPr>
        <w:t>ours</w:t>
      </w:r>
    </w:p>
    <w:p w:rsidR="00554682" w:rsidRPr="005F026E" w:rsidP="00415ECA" w14:paraId="14A24E81" w14:textId="77777777">
      <w:pPr>
        <w:rPr>
          <w:sz w:val="24"/>
        </w:rPr>
      </w:pPr>
    </w:p>
    <w:tbl>
      <w:tblPr>
        <w:tblStyle w:val="TableGrid"/>
        <w:tblW w:w="8725" w:type="dxa"/>
        <w:tblLayout w:type="fixed"/>
        <w:tblLook w:val="04A0"/>
      </w:tblPr>
      <w:tblGrid>
        <w:gridCol w:w="1426"/>
        <w:gridCol w:w="1426"/>
        <w:gridCol w:w="1427"/>
        <w:gridCol w:w="1426"/>
        <w:gridCol w:w="1427"/>
        <w:gridCol w:w="1593"/>
      </w:tblGrid>
      <w:tr w14:paraId="17246261" w14:textId="77777777" w:rsidTr="007B5118">
        <w:tblPrEx>
          <w:tblW w:w="8725" w:type="dxa"/>
          <w:tblLayout w:type="fixed"/>
          <w:tblLook w:val="04A0"/>
        </w:tblPrEx>
        <w:trPr>
          <w:trHeight w:val="1140"/>
        </w:trPr>
        <w:tc>
          <w:tcPr>
            <w:tcW w:w="1426" w:type="dxa"/>
            <w:tcBorders>
              <w:top w:val="single" w:sz="4" w:space="0" w:color="auto"/>
              <w:left w:val="single" w:sz="4" w:space="0" w:color="auto"/>
              <w:bottom w:val="single" w:sz="4" w:space="0" w:color="auto"/>
              <w:right w:val="single" w:sz="4" w:space="0" w:color="auto"/>
            </w:tcBorders>
            <w:noWrap/>
            <w:hideMark/>
          </w:tcPr>
          <w:p w:rsidR="00F865AC" w:rsidRPr="00FA7C96" w14:paraId="1D820C74" w14:textId="77777777">
            <w:pPr>
              <w:rPr>
                <w:b/>
                <w:bCs/>
                <w:sz w:val="22"/>
                <w:szCs w:val="22"/>
              </w:rPr>
            </w:pPr>
            <w:r w:rsidRPr="00FA7C96">
              <w:rPr>
                <w:b/>
                <w:bCs/>
                <w:sz w:val="22"/>
                <w:szCs w:val="22"/>
              </w:rPr>
              <w:t>Form name</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21248B2B" w14:textId="77777777">
            <w:pPr>
              <w:jc w:val="center"/>
              <w:rPr>
                <w:b/>
                <w:bCs/>
                <w:sz w:val="22"/>
                <w:szCs w:val="22"/>
              </w:rPr>
            </w:pPr>
            <w:r w:rsidRPr="00FA7C96">
              <w:rPr>
                <w:b/>
                <w:bCs/>
                <w:sz w:val="22"/>
                <w:szCs w:val="22"/>
              </w:rPr>
              <w:t>Number of respondents</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11FBBFF9" w14:textId="77777777">
            <w:pPr>
              <w:jc w:val="center"/>
              <w:rPr>
                <w:b/>
                <w:bCs/>
                <w:sz w:val="22"/>
                <w:szCs w:val="22"/>
              </w:rPr>
            </w:pPr>
            <w:r w:rsidRPr="00FA7C96">
              <w:rPr>
                <w:b/>
                <w:bCs/>
                <w:sz w:val="22"/>
                <w:szCs w:val="22"/>
              </w:rPr>
              <w:t>Number of responses per respondent</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020074A6" w14:textId="77777777">
            <w:pPr>
              <w:jc w:val="center"/>
              <w:rPr>
                <w:b/>
                <w:bCs/>
                <w:sz w:val="22"/>
                <w:szCs w:val="22"/>
              </w:rPr>
            </w:pPr>
            <w:r w:rsidRPr="00FA7C96">
              <w:rPr>
                <w:b/>
                <w:bCs/>
                <w:sz w:val="22"/>
                <w:szCs w:val="22"/>
              </w:rPr>
              <w:t xml:space="preserve">Total </w:t>
            </w:r>
            <w:r w:rsidRPr="00FA7C96">
              <w:rPr>
                <w:b/>
                <w:bCs/>
                <w:sz w:val="22"/>
                <w:szCs w:val="22"/>
              </w:rPr>
              <w:br/>
              <w:t>responses</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6687B8D4" w14:textId="77777777">
            <w:pPr>
              <w:jc w:val="center"/>
              <w:rPr>
                <w:b/>
                <w:bCs/>
                <w:sz w:val="22"/>
                <w:szCs w:val="22"/>
              </w:rPr>
            </w:pPr>
            <w:r w:rsidRPr="00FA7C96">
              <w:rPr>
                <w:b/>
                <w:bCs/>
                <w:sz w:val="22"/>
                <w:szCs w:val="22"/>
              </w:rPr>
              <w:t xml:space="preserve">Average </w:t>
            </w:r>
            <w:r w:rsidRPr="00FA7C96">
              <w:rPr>
                <w:b/>
                <w:bCs/>
                <w:sz w:val="22"/>
                <w:szCs w:val="22"/>
              </w:rPr>
              <w:br/>
              <w:t xml:space="preserve">burden per response </w:t>
            </w:r>
            <w:r w:rsidRPr="00FA7C96">
              <w:rPr>
                <w:b/>
                <w:bCs/>
                <w:sz w:val="22"/>
                <w:szCs w:val="22"/>
              </w:rPr>
              <w:br/>
              <w:t>(in hours)</w:t>
            </w:r>
          </w:p>
        </w:tc>
        <w:tc>
          <w:tcPr>
            <w:tcW w:w="1593" w:type="dxa"/>
            <w:tcBorders>
              <w:top w:val="single" w:sz="4" w:space="0" w:color="auto"/>
              <w:left w:val="single" w:sz="4" w:space="0" w:color="auto"/>
              <w:bottom w:val="single" w:sz="4" w:space="0" w:color="auto"/>
              <w:right w:val="single" w:sz="4" w:space="0" w:color="auto"/>
            </w:tcBorders>
            <w:hideMark/>
          </w:tcPr>
          <w:p w:rsidR="00F865AC" w:rsidRPr="00FA7C96" w14:paraId="7FCA8384" w14:textId="149983BF">
            <w:pPr>
              <w:jc w:val="center"/>
              <w:rPr>
                <w:b/>
                <w:bCs/>
                <w:sz w:val="22"/>
                <w:szCs w:val="22"/>
              </w:rPr>
            </w:pPr>
            <w:r w:rsidRPr="00FA7C96">
              <w:rPr>
                <w:b/>
                <w:bCs/>
                <w:sz w:val="22"/>
                <w:szCs w:val="22"/>
              </w:rPr>
              <w:t>Total burden hours</w:t>
            </w:r>
          </w:p>
        </w:tc>
      </w:tr>
      <w:tr w14:paraId="0714DFB1" w14:textId="77777777" w:rsidTr="007B5118">
        <w:tblPrEx>
          <w:tblW w:w="8725" w:type="dxa"/>
          <w:tblLayout w:type="fixed"/>
          <w:tblLook w:val="04A0"/>
        </w:tblPrEx>
        <w:trPr>
          <w:trHeight w:val="295"/>
        </w:trPr>
        <w:tc>
          <w:tcPr>
            <w:tcW w:w="1426" w:type="dxa"/>
            <w:tcBorders>
              <w:top w:val="single" w:sz="4" w:space="0" w:color="auto"/>
              <w:left w:val="single" w:sz="4" w:space="0" w:color="auto"/>
              <w:bottom w:val="single" w:sz="4" w:space="0" w:color="auto"/>
              <w:right w:val="single" w:sz="4" w:space="0" w:color="auto"/>
            </w:tcBorders>
            <w:noWrap/>
            <w:hideMark/>
          </w:tcPr>
          <w:p w:rsidR="00F865AC" w:rsidRPr="00FA7C96" w14:paraId="69DEEDCA" w14:textId="2B8BB543">
            <w:pPr>
              <w:rPr>
                <w:sz w:val="22"/>
                <w:szCs w:val="22"/>
              </w:rPr>
            </w:pPr>
            <w:r w:rsidRPr="00FA7C96">
              <w:rPr>
                <w:sz w:val="22"/>
                <w:szCs w:val="22"/>
              </w:rPr>
              <w:t>Healthy Start Program Survey</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rsidP="00E75B80" w14:paraId="28555452" w14:textId="6832CADF">
            <w:pPr>
              <w:jc w:val="right"/>
              <w:rPr>
                <w:sz w:val="22"/>
                <w:szCs w:val="22"/>
              </w:rPr>
            </w:pPr>
            <w:r w:rsidRPr="00FA7C96">
              <w:rPr>
                <w:sz w:val="22"/>
                <w:szCs w:val="22"/>
              </w:rPr>
              <w:t>101 (across 101 grantee programs)</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6C90A3E1" w14:textId="77777777">
            <w:pPr>
              <w:jc w:val="right"/>
              <w:rPr>
                <w:sz w:val="22"/>
                <w:szCs w:val="22"/>
              </w:rPr>
            </w:pPr>
            <w:r w:rsidRPr="00FA7C96">
              <w:rPr>
                <w:sz w:val="22"/>
                <w:szCs w:val="22"/>
              </w:rPr>
              <w:t>1</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03EBE3A1" w14:textId="77777777">
            <w:pPr>
              <w:jc w:val="right"/>
              <w:rPr>
                <w:sz w:val="22"/>
                <w:szCs w:val="22"/>
              </w:rPr>
            </w:pPr>
            <w:r w:rsidRPr="00FA7C96">
              <w:rPr>
                <w:sz w:val="22"/>
                <w:szCs w:val="22"/>
              </w:rPr>
              <w:t>101</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rsidP="008F0138" w14:paraId="0B8858C1" w14:textId="46EE5067">
            <w:pPr>
              <w:jc w:val="right"/>
              <w:rPr>
                <w:sz w:val="22"/>
                <w:szCs w:val="22"/>
              </w:rPr>
            </w:pPr>
            <w:r w:rsidRPr="00FA7C96">
              <w:rPr>
                <w:sz w:val="22"/>
                <w:szCs w:val="22"/>
              </w:rPr>
              <w:t>1.00</w:t>
            </w:r>
          </w:p>
        </w:tc>
        <w:tc>
          <w:tcPr>
            <w:tcW w:w="1593" w:type="dxa"/>
            <w:tcBorders>
              <w:top w:val="single" w:sz="4" w:space="0" w:color="auto"/>
              <w:left w:val="single" w:sz="4" w:space="0" w:color="auto"/>
              <w:bottom w:val="single" w:sz="4" w:space="0" w:color="auto"/>
              <w:right w:val="single" w:sz="4" w:space="0" w:color="auto"/>
            </w:tcBorders>
            <w:noWrap/>
            <w:hideMark/>
          </w:tcPr>
          <w:p w:rsidR="00F865AC" w:rsidRPr="00FA7C96" w14:paraId="08C19F9C" w14:textId="2AF23A9F">
            <w:pPr>
              <w:jc w:val="right"/>
              <w:rPr>
                <w:sz w:val="22"/>
                <w:szCs w:val="22"/>
              </w:rPr>
            </w:pPr>
            <w:r w:rsidRPr="00FA7C96">
              <w:rPr>
                <w:sz w:val="22"/>
                <w:szCs w:val="22"/>
              </w:rPr>
              <w:t>101</w:t>
            </w:r>
          </w:p>
        </w:tc>
      </w:tr>
      <w:tr w14:paraId="73058EC1" w14:textId="77777777" w:rsidTr="007B5118">
        <w:tblPrEx>
          <w:tblW w:w="8725" w:type="dxa"/>
          <w:tblLayout w:type="fixed"/>
          <w:tblLook w:val="04A0"/>
        </w:tblPrEx>
        <w:trPr>
          <w:trHeight w:val="295"/>
        </w:trPr>
        <w:tc>
          <w:tcPr>
            <w:tcW w:w="1426" w:type="dxa"/>
            <w:tcBorders>
              <w:top w:val="single" w:sz="4" w:space="0" w:color="auto"/>
              <w:left w:val="single" w:sz="4" w:space="0" w:color="auto"/>
              <w:bottom w:val="single" w:sz="4" w:space="0" w:color="auto"/>
              <w:right w:val="single" w:sz="4" w:space="0" w:color="auto"/>
            </w:tcBorders>
            <w:noWrap/>
            <w:hideMark/>
          </w:tcPr>
          <w:p w:rsidR="00F865AC" w:rsidRPr="00FA7C96" w14:paraId="46D64FBC" w14:textId="72184CA2">
            <w:pPr>
              <w:rPr>
                <w:sz w:val="22"/>
                <w:szCs w:val="22"/>
              </w:rPr>
            </w:pPr>
            <w:r w:rsidRPr="00FA7C96">
              <w:rPr>
                <w:sz w:val="22"/>
                <w:szCs w:val="22"/>
              </w:rPr>
              <w:t>Healthy Start Network Survey</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rsidP="00E75B80" w14:paraId="26BDAF3F" w14:textId="56FCB931">
            <w:pPr>
              <w:jc w:val="right"/>
              <w:rPr>
                <w:sz w:val="22"/>
                <w:szCs w:val="22"/>
              </w:rPr>
            </w:pPr>
            <w:r>
              <w:rPr>
                <w:rStyle w:val="FootnoteReference"/>
                <w:sz w:val="22"/>
                <w:szCs w:val="22"/>
                <w:vertAlign w:val="superscript"/>
              </w:rPr>
              <w:footnoteReference w:id="5"/>
            </w:r>
            <w:r w:rsidRPr="00FA7C96">
              <w:rPr>
                <w:sz w:val="22"/>
                <w:szCs w:val="22"/>
              </w:rPr>
              <w:t>600 (across 15 grantee programs)</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55F8D675" w14:textId="77777777">
            <w:pPr>
              <w:jc w:val="right"/>
              <w:rPr>
                <w:sz w:val="22"/>
                <w:szCs w:val="22"/>
              </w:rPr>
            </w:pPr>
            <w:r w:rsidRPr="00FA7C96">
              <w:rPr>
                <w:sz w:val="22"/>
                <w:szCs w:val="22"/>
              </w:rPr>
              <w:t>1</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464826C9" w14:textId="77777777">
            <w:pPr>
              <w:jc w:val="right"/>
              <w:rPr>
                <w:sz w:val="22"/>
                <w:szCs w:val="22"/>
              </w:rPr>
            </w:pPr>
            <w:r w:rsidRPr="00FA7C96">
              <w:rPr>
                <w:sz w:val="22"/>
                <w:szCs w:val="22"/>
              </w:rPr>
              <w:t>600</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5904D684" w14:textId="039484DA">
            <w:pPr>
              <w:jc w:val="right"/>
              <w:rPr>
                <w:sz w:val="22"/>
                <w:szCs w:val="22"/>
              </w:rPr>
            </w:pPr>
            <w:r w:rsidRPr="00FA7C96">
              <w:rPr>
                <w:sz w:val="22"/>
                <w:szCs w:val="22"/>
              </w:rPr>
              <w:t>0.33</w:t>
            </w:r>
          </w:p>
        </w:tc>
        <w:tc>
          <w:tcPr>
            <w:tcW w:w="1593" w:type="dxa"/>
            <w:tcBorders>
              <w:top w:val="single" w:sz="4" w:space="0" w:color="auto"/>
              <w:left w:val="single" w:sz="4" w:space="0" w:color="auto"/>
              <w:bottom w:val="single" w:sz="4" w:space="0" w:color="auto"/>
              <w:right w:val="single" w:sz="4" w:space="0" w:color="auto"/>
            </w:tcBorders>
            <w:noWrap/>
            <w:hideMark/>
          </w:tcPr>
          <w:p w:rsidR="00F865AC" w:rsidRPr="00FA7C96" w14:paraId="29A67C91" w14:textId="20196656">
            <w:pPr>
              <w:jc w:val="right"/>
              <w:rPr>
                <w:sz w:val="22"/>
                <w:szCs w:val="22"/>
              </w:rPr>
            </w:pPr>
            <w:r w:rsidRPr="00FA7C96">
              <w:rPr>
                <w:sz w:val="22"/>
                <w:szCs w:val="22"/>
              </w:rPr>
              <w:t>198</w:t>
            </w:r>
          </w:p>
        </w:tc>
      </w:tr>
      <w:tr w14:paraId="36D2405E" w14:textId="77777777" w:rsidTr="007B5118">
        <w:tblPrEx>
          <w:tblW w:w="8725" w:type="dxa"/>
          <w:tblLayout w:type="fixed"/>
          <w:tblLook w:val="04A0"/>
        </w:tblPrEx>
        <w:trPr>
          <w:trHeight w:val="295"/>
        </w:trPr>
        <w:tc>
          <w:tcPr>
            <w:tcW w:w="1426" w:type="dxa"/>
            <w:tcBorders>
              <w:top w:val="single" w:sz="4" w:space="0" w:color="auto"/>
              <w:left w:val="single" w:sz="4" w:space="0" w:color="auto"/>
              <w:bottom w:val="single" w:sz="4" w:space="0" w:color="auto"/>
              <w:right w:val="single" w:sz="4" w:space="0" w:color="auto"/>
            </w:tcBorders>
            <w:noWrap/>
            <w:hideMark/>
          </w:tcPr>
          <w:p w:rsidR="00F865AC" w:rsidRPr="00FA7C96" w14:paraId="37427847" w14:textId="02ECCA61">
            <w:pPr>
              <w:rPr>
                <w:sz w:val="22"/>
                <w:szCs w:val="22"/>
              </w:rPr>
            </w:pPr>
            <w:r w:rsidRPr="00FA7C96">
              <w:rPr>
                <w:sz w:val="22"/>
                <w:szCs w:val="22"/>
              </w:rPr>
              <w:t>Healthy Start Participant Survey</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rsidP="00E75B80" w14:paraId="0C0D0081" w14:textId="176C31B3">
            <w:pPr>
              <w:jc w:val="right"/>
              <w:rPr>
                <w:sz w:val="22"/>
                <w:szCs w:val="22"/>
              </w:rPr>
            </w:pPr>
            <w:r>
              <w:rPr>
                <w:rStyle w:val="FootnoteReference"/>
                <w:sz w:val="22"/>
                <w:szCs w:val="22"/>
                <w:vertAlign w:val="superscript"/>
              </w:rPr>
              <w:footnoteReference w:id="6"/>
            </w:r>
            <w:r w:rsidRPr="00FA7C96">
              <w:rPr>
                <w:sz w:val="22"/>
                <w:szCs w:val="22"/>
              </w:rPr>
              <w:t xml:space="preserve">750 (across 15 grantee programs) </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69D91DFE" w14:textId="77777777">
            <w:pPr>
              <w:jc w:val="right"/>
              <w:rPr>
                <w:sz w:val="22"/>
                <w:szCs w:val="22"/>
              </w:rPr>
            </w:pPr>
            <w:r w:rsidRPr="00FA7C96">
              <w:rPr>
                <w:sz w:val="22"/>
                <w:szCs w:val="22"/>
              </w:rPr>
              <w:t>1</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49607DE7" w14:textId="77777777">
            <w:pPr>
              <w:jc w:val="right"/>
              <w:rPr>
                <w:sz w:val="22"/>
                <w:szCs w:val="22"/>
              </w:rPr>
            </w:pPr>
            <w:r w:rsidRPr="00FA7C96">
              <w:rPr>
                <w:sz w:val="22"/>
                <w:szCs w:val="22"/>
              </w:rPr>
              <w:t>750</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15CADE96" w14:textId="77FD9D63">
            <w:pPr>
              <w:jc w:val="right"/>
              <w:rPr>
                <w:sz w:val="22"/>
                <w:szCs w:val="22"/>
              </w:rPr>
            </w:pPr>
            <w:r w:rsidRPr="00FA7C96">
              <w:rPr>
                <w:sz w:val="22"/>
                <w:szCs w:val="22"/>
              </w:rPr>
              <w:t>0.25</w:t>
            </w:r>
          </w:p>
        </w:tc>
        <w:tc>
          <w:tcPr>
            <w:tcW w:w="1593" w:type="dxa"/>
            <w:tcBorders>
              <w:top w:val="single" w:sz="4" w:space="0" w:color="auto"/>
              <w:left w:val="single" w:sz="4" w:space="0" w:color="auto"/>
              <w:bottom w:val="single" w:sz="4" w:space="0" w:color="auto"/>
              <w:right w:val="single" w:sz="4" w:space="0" w:color="auto"/>
            </w:tcBorders>
            <w:noWrap/>
            <w:hideMark/>
          </w:tcPr>
          <w:p w:rsidR="00F865AC" w:rsidRPr="00FA7C96" w14:paraId="22C9E7E7" w14:textId="5D69C222">
            <w:pPr>
              <w:jc w:val="right"/>
              <w:rPr>
                <w:sz w:val="22"/>
                <w:szCs w:val="22"/>
              </w:rPr>
            </w:pPr>
            <w:r w:rsidRPr="00FA7C96">
              <w:rPr>
                <w:sz w:val="22"/>
                <w:szCs w:val="22"/>
              </w:rPr>
              <w:t>188</w:t>
            </w:r>
          </w:p>
        </w:tc>
      </w:tr>
      <w:tr w14:paraId="26DD69D2" w14:textId="77777777" w:rsidTr="007B5118">
        <w:tblPrEx>
          <w:tblW w:w="8725" w:type="dxa"/>
          <w:tblLayout w:type="fixed"/>
          <w:tblLook w:val="04A0"/>
        </w:tblPrEx>
        <w:trPr>
          <w:trHeight w:val="295"/>
        </w:trPr>
        <w:tc>
          <w:tcPr>
            <w:tcW w:w="1426" w:type="dxa"/>
            <w:tcBorders>
              <w:top w:val="single" w:sz="4" w:space="0" w:color="auto"/>
              <w:left w:val="single" w:sz="4" w:space="0" w:color="auto"/>
              <w:bottom w:val="single" w:sz="4" w:space="0" w:color="auto"/>
              <w:right w:val="single" w:sz="4" w:space="0" w:color="auto"/>
            </w:tcBorders>
            <w:noWrap/>
            <w:hideMark/>
          </w:tcPr>
          <w:p w:rsidR="00F865AC" w:rsidRPr="00FA7C96" w14:paraId="3AFC1982" w14:textId="47531622">
            <w:pPr>
              <w:rPr>
                <w:sz w:val="22"/>
                <w:szCs w:val="22"/>
              </w:rPr>
            </w:pPr>
            <w:r w:rsidRPr="00FA7C96">
              <w:rPr>
                <w:sz w:val="22"/>
                <w:szCs w:val="22"/>
              </w:rPr>
              <w:t>Healthy Start Stakeholder Interview Guide</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rsidP="00E75B80" w14:paraId="746B7560" w14:textId="68952BAF">
            <w:pPr>
              <w:jc w:val="right"/>
              <w:rPr>
                <w:sz w:val="22"/>
                <w:szCs w:val="22"/>
              </w:rPr>
            </w:pPr>
            <w:r>
              <w:rPr>
                <w:rStyle w:val="FootnoteReference"/>
                <w:sz w:val="22"/>
                <w:szCs w:val="22"/>
                <w:vertAlign w:val="superscript"/>
              </w:rPr>
              <w:footnoteReference w:id="7"/>
            </w:r>
            <w:r w:rsidRPr="00FA7C96">
              <w:rPr>
                <w:sz w:val="22"/>
                <w:szCs w:val="22"/>
              </w:rPr>
              <w:t>150 (across 15 grantee programs)</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5982EC51" w14:textId="77777777">
            <w:pPr>
              <w:jc w:val="right"/>
              <w:rPr>
                <w:sz w:val="22"/>
                <w:szCs w:val="22"/>
              </w:rPr>
            </w:pPr>
            <w:r w:rsidRPr="00FA7C96">
              <w:rPr>
                <w:sz w:val="22"/>
                <w:szCs w:val="22"/>
              </w:rPr>
              <w:t>1</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0EB0D6CA" w14:textId="77777777">
            <w:pPr>
              <w:jc w:val="right"/>
              <w:rPr>
                <w:sz w:val="22"/>
                <w:szCs w:val="22"/>
              </w:rPr>
            </w:pPr>
            <w:r w:rsidRPr="00FA7C96">
              <w:rPr>
                <w:sz w:val="22"/>
                <w:szCs w:val="22"/>
              </w:rPr>
              <w:t>150</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14:paraId="312CC46C" w14:textId="7A52A20F">
            <w:pPr>
              <w:jc w:val="right"/>
              <w:rPr>
                <w:sz w:val="22"/>
                <w:szCs w:val="22"/>
              </w:rPr>
            </w:pPr>
            <w:r w:rsidRPr="00FA7C96">
              <w:rPr>
                <w:sz w:val="22"/>
                <w:szCs w:val="22"/>
              </w:rPr>
              <w:t>0.75</w:t>
            </w:r>
          </w:p>
        </w:tc>
        <w:tc>
          <w:tcPr>
            <w:tcW w:w="1593" w:type="dxa"/>
            <w:tcBorders>
              <w:top w:val="single" w:sz="4" w:space="0" w:color="auto"/>
              <w:left w:val="single" w:sz="4" w:space="0" w:color="auto"/>
              <w:bottom w:val="single" w:sz="4" w:space="0" w:color="auto"/>
              <w:right w:val="single" w:sz="4" w:space="0" w:color="auto"/>
            </w:tcBorders>
            <w:noWrap/>
            <w:hideMark/>
          </w:tcPr>
          <w:p w:rsidR="00F865AC" w:rsidRPr="00FA7C96" w14:paraId="1D783030" w14:textId="13B5C5D4">
            <w:pPr>
              <w:jc w:val="right"/>
              <w:rPr>
                <w:sz w:val="22"/>
                <w:szCs w:val="22"/>
              </w:rPr>
            </w:pPr>
            <w:r w:rsidRPr="00FA7C96">
              <w:rPr>
                <w:sz w:val="22"/>
                <w:szCs w:val="22"/>
              </w:rPr>
              <w:t>113</w:t>
            </w:r>
          </w:p>
        </w:tc>
      </w:tr>
      <w:tr w14:paraId="7B62ED8C" w14:textId="77777777" w:rsidTr="007B5118">
        <w:tblPrEx>
          <w:tblW w:w="8725" w:type="dxa"/>
          <w:tblLayout w:type="fixed"/>
          <w:tblLook w:val="04A0"/>
        </w:tblPrEx>
        <w:trPr>
          <w:trHeight w:val="465"/>
        </w:trPr>
        <w:tc>
          <w:tcPr>
            <w:tcW w:w="1426" w:type="dxa"/>
            <w:tcBorders>
              <w:top w:val="single" w:sz="4" w:space="0" w:color="auto"/>
              <w:left w:val="single" w:sz="4" w:space="0" w:color="auto"/>
              <w:bottom w:val="single" w:sz="4" w:space="0" w:color="auto"/>
              <w:right w:val="single" w:sz="4" w:space="0" w:color="auto"/>
            </w:tcBorders>
            <w:noWrap/>
            <w:hideMark/>
          </w:tcPr>
          <w:p w:rsidR="00F865AC" w:rsidRPr="00FA7C96" w14:paraId="077B0D30" w14:textId="06838836">
            <w:pPr>
              <w:rPr>
                <w:sz w:val="22"/>
                <w:szCs w:val="22"/>
              </w:rPr>
            </w:pPr>
            <w:r w:rsidRPr="00FA7C96">
              <w:rPr>
                <w:sz w:val="22"/>
                <w:szCs w:val="22"/>
              </w:rPr>
              <w:t>Total</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16B59393" w14:textId="6FD32BD3">
            <w:pPr>
              <w:jc w:val="right"/>
              <w:rPr>
                <w:sz w:val="22"/>
                <w:szCs w:val="22"/>
              </w:rPr>
            </w:pPr>
            <w:r w:rsidRPr="00FA7C96">
              <w:rPr>
                <w:sz w:val="22"/>
                <w:szCs w:val="22"/>
              </w:rPr>
              <w:t>1,601</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rsidP="00F36C78" w14:paraId="4EEB3D87" w14:textId="63280F07">
            <w:pPr>
              <w:jc w:val="center"/>
              <w:rPr>
                <w:sz w:val="22"/>
                <w:szCs w:val="22"/>
              </w:rPr>
            </w:pPr>
            <w:r w:rsidRPr="00FA7C96">
              <w:rPr>
                <w:sz w:val="22"/>
                <w:szCs w:val="22"/>
              </w:rPr>
              <w:t>_____</w:t>
            </w:r>
          </w:p>
        </w:tc>
        <w:tc>
          <w:tcPr>
            <w:tcW w:w="1426" w:type="dxa"/>
            <w:tcBorders>
              <w:top w:val="single" w:sz="4" w:space="0" w:color="auto"/>
              <w:left w:val="single" w:sz="4" w:space="0" w:color="auto"/>
              <w:bottom w:val="single" w:sz="4" w:space="0" w:color="auto"/>
              <w:right w:val="single" w:sz="4" w:space="0" w:color="auto"/>
            </w:tcBorders>
            <w:hideMark/>
          </w:tcPr>
          <w:p w:rsidR="00F865AC" w:rsidRPr="00FA7C96" w14:paraId="31A436B1" w14:textId="5F5AAF39">
            <w:pPr>
              <w:jc w:val="right"/>
              <w:rPr>
                <w:sz w:val="22"/>
                <w:szCs w:val="22"/>
              </w:rPr>
            </w:pPr>
            <w:r w:rsidRPr="00FA7C96">
              <w:rPr>
                <w:sz w:val="22"/>
                <w:szCs w:val="22"/>
              </w:rPr>
              <w:t>1,601</w:t>
            </w:r>
          </w:p>
        </w:tc>
        <w:tc>
          <w:tcPr>
            <w:tcW w:w="1427" w:type="dxa"/>
            <w:tcBorders>
              <w:top w:val="single" w:sz="4" w:space="0" w:color="auto"/>
              <w:left w:val="single" w:sz="4" w:space="0" w:color="auto"/>
              <w:bottom w:val="single" w:sz="4" w:space="0" w:color="auto"/>
              <w:right w:val="single" w:sz="4" w:space="0" w:color="auto"/>
            </w:tcBorders>
            <w:hideMark/>
          </w:tcPr>
          <w:p w:rsidR="00F865AC" w:rsidRPr="00FA7C96" w:rsidP="00F36C78" w14:paraId="03D2E531" w14:textId="0706D605">
            <w:pPr>
              <w:jc w:val="center"/>
              <w:rPr>
                <w:sz w:val="22"/>
                <w:szCs w:val="22"/>
              </w:rPr>
            </w:pPr>
            <w:r w:rsidRPr="00FA7C96">
              <w:rPr>
                <w:sz w:val="22"/>
                <w:szCs w:val="22"/>
              </w:rPr>
              <w:t>_____</w:t>
            </w:r>
          </w:p>
        </w:tc>
        <w:tc>
          <w:tcPr>
            <w:tcW w:w="1593" w:type="dxa"/>
            <w:tcBorders>
              <w:top w:val="single" w:sz="4" w:space="0" w:color="auto"/>
              <w:left w:val="single" w:sz="4" w:space="0" w:color="auto"/>
              <w:bottom w:val="single" w:sz="4" w:space="0" w:color="auto"/>
              <w:right w:val="single" w:sz="4" w:space="0" w:color="auto"/>
            </w:tcBorders>
            <w:hideMark/>
          </w:tcPr>
          <w:p w:rsidR="00F865AC" w:rsidRPr="00FA7C96" w:rsidP="00A0621D" w14:paraId="4CAF47D1" w14:textId="476B6B36">
            <w:pPr>
              <w:jc w:val="right"/>
              <w:rPr>
                <w:sz w:val="22"/>
                <w:szCs w:val="22"/>
              </w:rPr>
            </w:pPr>
            <w:r w:rsidRPr="00FA7C96">
              <w:rPr>
                <w:sz w:val="22"/>
                <w:szCs w:val="22"/>
              </w:rPr>
              <w:t>600</w:t>
            </w:r>
          </w:p>
        </w:tc>
      </w:tr>
    </w:tbl>
    <w:p w:rsidR="00896502" w:rsidRPr="005F026E" w:rsidP="001E7D66" w14:paraId="115BC067" w14:textId="77777777">
      <w:pPr>
        <w:pStyle w:val="NormalSS"/>
        <w:spacing w:after="0"/>
        <w:ind w:firstLine="0"/>
      </w:pPr>
    </w:p>
    <w:p w:rsidR="00BE196B" w:rsidP="00BE196B" w14:paraId="757E3525" w14:textId="6BB0A537">
      <w:pPr>
        <w:pStyle w:val="NormalSS"/>
        <w:spacing w:after="0"/>
        <w:ind w:firstLine="0"/>
      </w:pPr>
      <w:r>
        <w:tab/>
      </w:r>
      <w:r w:rsidRPr="005F026E" w:rsidR="00F024E5">
        <w:t xml:space="preserve">For each data collection effort, we determined the type of respondent expected to complete each </w:t>
      </w:r>
      <w:r>
        <w:t>survey</w:t>
      </w:r>
      <w:r w:rsidRPr="005F026E" w:rsidR="00F024E5">
        <w:t xml:space="preserve"> and multiplied the total burden hours by hourly wage rate estimates to generate the estimated burden costs. </w:t>
      </w:r>
      <w:r>
        <w:t>We used the 2</w:t>
      </w:r>
      <w:r w:rsidR="00CB0FC7">
        <w:t>02</w:t>
      </w:r>
      <w:r w:rsidR="00A71566">
        <w:t>2</w:t>
      </w:r>
      <w:r w:rsidR="00CE3DA3">
        <w:t xml:space="preserve"> </w:t>
      </w:r>
      <w:r w:rsidRPr="005F026E">
        <w:t xml:space="preserve">median rates provided by the Department of Labor, Bureau of Labor Statistics </w:t>
      </w:r>
      <w:r w:rsidR="00E10543">
        <w:t xml:space="preserve">(BLS) </w:t>
      </w:r>
      <w:r w:rsidRPr="005F026E">
        <w:t>national occupational employment and wage estimates (</w:t>
      </w:r>
      <w:hyperlink r:id="rId11" w:history="1">
        <w:r w:rsidRPr="004F53C6">
          <w:rPr>
            <w:rStyle w:val="Hyperlink"/>
          </w:rPr>
          <w:t>http://www.bls.gov/oes/current/oes_nat.htm</w:t>
        </w:r>
      </w:hyperlink>
      <w:r w:rsidRPr="005F026E">
        <w:t>)</w:t>
      </w:r>
      <w:r>
        <w:t xml:space="preserve"> to generate the hourly wage estimates.</w:t>
      </w:r>
      <w:r w:rsidR="00FB01FC">
        <w:t xml:space="preserve"> </w:t>
      </w:r>
    </w:p>
    <w:p w:rsidR="00F94564" w:rsidRPr="005F026E" w:rsidP="00464E9E" w14:paraId="4637F7B3" w14:textId="05FA165D">
      <w:pPr>
        <w:pStyle w:val="NormalSS"/>
        <w:spacing w:after="0"/>
        <w:ind w:firstLine="0"/>
      </w:pPr>
      <w:r>
        <w:tab/>
      </w:r>
      <w:r w:rsidRPr="005F026E" w:rsidR="00F024E5">
        <w:t xml:space="preserve">For the Program Survey, we </w:t>
      </w:r>
      <w:r w:rsidR="00102860">
        <w:t xml:space="preserve">used the median hourly </w:t>
      </w:r>
      <w:r w:rsidRPr="005F026E" w:rsidR="00102860">
        <w:t xml:space="preserve">wage for </w:t>
      </w:r>
      <w:r w:rsidR="00102860">
        <w:t xml:space="preserve">the </w:t>
      </w:r>
      <w:r w:rsidRPr="005F026E" w:rsidR="00102860">
        <w:t xml:space="preserve">occupational group 19-3099: </w:t>
      </w:r>
      <w:r w:rsidR="002B00F6">
        <w:t>s</w:t>
      </w:r>
      <w:r w:rsidRPr="005F026E" w:rsidR="00102860">
        <w:t xml:space="preserve">ocial </w:t>
      </w:r>
      <w:r w:rsidR="002B00F6">
        <w:t>s</w:t>
      </w:r>
      <w:r w:rsidRPr="005F026E" w:rsidR="00102860">
        <w:t xml:space="preserve">cientists and </w:t>
      </w:r>
      <w:r w:rsidR="002B00F6">
        <w:t>r</w:t>
      </w:r>
      <w:r w:rsidRPr="005F026E" w:rsidR="00102860">
        <w:t xml:space="preserve">elated </w:t>
      </w:r>
      <w:r w:rsidR="002B00F6">
        <w:t>w</w:t>
      </w:r>
      <w:r w:rsidRPr="005F026E" w:rsidR="00102860">
        <w:t>orkers</w:t>
      </w:r>
      <w:r w:rsidR="00102860">
        <w:t xml:space="preserve"> for the </w:t>
      </w:r>
      <w:r w:rsidR="002B00F6">
        <w:t>p</w:t>
      </w:r>
      <w:r w:rsidR="00102860">
        <w:t xml:space="preserve">rogram </w:t>
      </w:r>
      <w:r w:rsidR="002B00F6">
        <w:t>d</w:t>
      </w:r>
      <w:r w:rsidR="00102860">
        <w:t xml:space="preserve">irectors who will oversee and answer the survey questions. This rate per the BLS is </w:t>
      </w:r>
      <w:r w:rsidRPr="005F026E" w:rsidR="00F024E5">
        <w:t>$</w:t>
      </w:r>
      <w:r w:rsidR="000939DC">
        <w:t>42.74</w:t>
      </w:r>
      <w:r w:rsidRPr="005F026E" w:rsidR="00F024E5">
        <w:t xml:space="preserve"> per hour</w:t>
      </w:r>
      <w:r w:rsidR="00102860">
        <w:t xml:space="preserve">. For the Network Survey, </w:t>
      </w:r>
      <w:r w:rsidR="002B00F6">
        <w:t>c</w:t>
      </w:r>
      <w:r w:rsidRPr="005F026E" w:rsidR="00F024E5">
        <w:t xml:space="preserve">ommunity </w:t>
      </w:r>
      <w:r w:rsidR="002B00F6">
        <w:t>p</w:t>
      </w:r>
      <w:r w:rsidRPr="005F026E" w:rsidR="00F024E5">
        <w:t>artners</w:t>
      </w:r>
      <w:r w:rsidR="00013AC2">
        <w:t xml:space="preserve"> will complete the instrument. </w:t>
      </w:r>
      <w:r w:rsidR="00137CEC">
        <w:t xml:space="preserve">We estimated their </w:t>
      </w:r>
      <w:r w:rsidRPr="005F026E" w:rsidR="00F024E5">
        <w:t>wage rates at $</w:t>
      </w:r>
      <w:r w:rsidR="000939DC">
        <w:t>23.74</w:t>
      </w:r>
      <w:r w:rsidRPr="005F026E" w:rsidR="00F024E5">
        <w:t xml:space="preserve"> based on </w:t>
      </w:r>
      <w:r w:rsidR="00013AC2">
        <w:t xml:space="preserve">the </w:t>
      </w:r>
      <w:r w:rsidRPr="005F026E" w:rsidR="00F024E5">
        <w:t xml:space="preserve">BLS's median hourly wage for </w:t>
      </w:r>
      <w:r w:rsidR="00013AC2">
        <w:t xml:space="preserve">the </w:t>
      </w:r>
      <w:r w:rsidRPr="005F026E" w:rsidR="00F024E5">
        <w:t xml:space="preserve">occupational group 21-0000: </w:t>
      </w:r>
      <w:r w:rsidR="002B00F6">
        <w:t>c</w:t>
      </w:r>
      <w:r w:rsidRPr="005F026E" w:rsidR="00F024E5">
        <w:t xml:space="preserve">ommunity and </w:t>
      </w:r>
      <w:r w:rsidR="002B00F6">
        <w:t>s</w:t>
      </w:r>
      <w:r w:rsidRPr="005F026E" w:rsidR="00F024E5">
        <w:t xml:space="preserve">ocial </w:t>
      </w:r>
      <w:r w:rsidR="002B00F6">
        <w:t>s</w:t>
      </w:r>
      <w:r w:rsidRPr="005F026E" w:rsidR="00F024E5">
        <w:t>e</w:t>
      </w:r>
      <w:r w:rsidR="00013AC2">
        <w:t>r</w:t>
      </w:r>
      <w:r w:rsidRPr="005F026E" w:rsidR="00F024E5">
        <w:t xml:space="preserve">vice </w:t>
      </w:r>
      <w:r w:rsidR="002B00F6">
        <w:t>o</w:t>
      </w:r>
      <w:r w:rsidRPr="005F026E" w:rsidR="00F024E5">
        <w:t xml:space="preserve">ccupations. </w:t>
      </w:r>
      <w:r w:rsidR="00137CEC">
        <w:t xml:space="preserve">For the </w:t>
      </w:r>
      <w:r w:rsidRPr="005F026E" w:rsidR="00F024E5">
        <w:t>participants completing the Participant Survey</w:t>
      </w:r>
      <w:r w:rsidR="00137CEC">
        <w:t xml:space="preserve">, we used </w:t>
      </w:r>
      <w:r w:rsidR="0072591B">
        <w:t xml:space="preserve">the </w:t>
      </w:r>
      <w:r w:rsidRPr="005F026E" w:rsidR="0072591B">
        <w:t>BLS’s</w:t>
      </w:r>
      <w:r w:rsidRPr="005F026E" w:rsidR="00F024E5">
        <w:t xml:space="preserve"> median hourly wage across all occupations, estimated at $</w:t>
      </w:r>
      <w:r w:rsidR="000939DC">
        <w:t>22.26</w:t>
      </w:r>
      <w:r w:rsidRPr="005F026E" w:rsidR="00F024E5">
        <w:t xml:space="preserve"> per hour. In addition, we will be involving </w:t>
      </w:r>
      <w:r w:rsidR="002B00F6">
        <w:t>s</w:t>
      </w:r>
      <w:r w:rsidRPr="005F026E" w:rsidR="00F024E5">
        <w:t xml:space="preserve">ocial </w:t>
      </w:r>
      <w:r w:rsidR="002B00F6">
        <w:t>w</w:t>
      </w:r>
      <w:r w:rsidRPr="005F026E" w:rsidR="00F024E5">
        <w:t xml:space="preserve">orkers (e.g., </w:t>
      </w:r>
      <w:r w:rsidR="002B00F6">
        <w:t>c</w:t>
      </w:r>
      <w:r w:rsidRPr="005F026E" w:rsidR="00F024E5">
        <w:t xml:space="preserve">ase </w:t>
      </w:r>
      <w:r w:rsidR="002B00F6">
        <w:t>m</w:t>
      </w:r>
      <w:r w:rsidRPr="005F026E" w:rsidR="00F024E5">
        <w:t xml:space="preserve">anagers, </w:t>
      </w:r>
      <w:r w:rsidR="002B00F6">
        <w:t>h</w:t>
      </w:r>
      <w:r w:rsidRPr="005F026E" w:rsidR="00F024E5">
        <w:t xml:space="preserve">ealth </w:t>
      </w:r>
      <w:r w:rsidR="002B00F6">
        <w:t>e</w:t>
      </w:r>
      <w:r w:rsidRPr="005F026E" w:rsidR="00F024E5">
        <w:t>ducators) to complete the Stakeholder Interviews</w:t>
      </w:r>
      <w:r w:rsidR="00137CEC">
        <w:t xml:space="preserve">; </w:t>
      </w:r>
      <w:r w:rsidRPr="005F026E" w:rsidR="00F024E5">
        <w:t>their wage rates are estimated at $</w:t>
      </w:r>
      <w:r w:rsidR="000939DC">
        <w:t>26.61</w:t>
      </w:r>
      <w:r w:rsidRPr="005F026E" w:rsidR="00F024E5">
        <w:t xml:space="preserve"> based on BLS's median hourly wage f</w:t>
      </w:r>
      <w:r w:rsidR="002B00F6">
        <w:t>or occupational group 21-1020: social w</w:t>
      </w:r>
      <w:r w:rsidRPr="005F026E" w:rsidR="00F024E5">
        <w:t>orkers</w:t>
      </w:r>
      <w:r w:rsidR="00013AC2">
        <w:t xml:space="preserve">. </w:t>
      </w:r>
      <w:r w:rsidR="00137CEC">
        <w:t xml:space="preserve">We totaled the </w:t>
      </w:r>
      <w:r w:rsidRPr="005F026E" w:rsidR="00F024E5">
        <w:t>respondent costs to produce the total burden cost of $</w:t>
      </w:r>
      <w:r w:rsidR="000939DC">
        <w:t>16,209.07</w:t>
      </w:r>
      <w:r w:rsidRPr="005F026E" w:rsidR="00F024E5">
        <w:t xml:space="preserve"> for this evaluation. A break-down of these costs is</w:t>
      </w:r>
      <w:r w:rsidR="00137CEC">
        <w:t xml:space="preserve"> </w:t>
      </w:r>
      <w:r w:rsidRPr="005F026E" w:rsidR="00F024E5">
        <w:t xml:space="preserve">detailed in </w:t>
      </w:r>
      <w:r w:rsidR="00013AC2">
        <w:t>Table A.</w:t>
      </w:r>
      <w:r w:rsidR="009C0B95">
        <w:t>5</w:t>
      </w:r>
      <w:r w:rsidRPr="005F026E" w:rsidR="005A525B">
        <w:t xml:space="preserve"> </w:t>
      </w:r>
      <w:r w:rsidRPr="005F026E" w:rsidR="00F024E5">
        <w:t>below.</w:t>
      </w:r>
    </w:p>
    <w:p w:rsidR="004E7016" w:rsidRPr="005F026E" w:rsidP="00F024E5" w14:paraId="6FF597C2" w14:textId="3BCBEBCE">
      <w:pPr>
        <w:pStyle w:val="NormalSS"/>
        <w:spacing w:after="0"/>
      </w:pPr>
    </w:p>
    <w:p w:rsidR="00BD4C47" w:rsidP="004E7016" w14:paraId="0787346F" w14:textId="77777777">
      <w:pPr>
        <w:pStyle w:val="NormalSS"/>
        <w:spacing w:after="0"/>
        <w:ind w:firstLine="0"/>
        <w:rPr>
          <w:b/>
          <w:bCs/>
        </w:rPr>
      </w:pPr>
    </w:p>
    <w:p w:rsidR="00BD4C47" w:rsidP="004E7016" w14:paraId="2D73E72E" w14:textId="77777777">
      <w:pPr>
        <w:pStyle w:val="NormalSS"/>
        <w:spacing w:after="0"/>
        <w:ind w:firstLine="0"/>
        <w:rPr>
          <w:b/>
          <w:bCs/>
        </w:rPr>
      </w:pPr>
    </w:p>
    <w:p w:rsidR="00BD4C47" w:rsidP="004E7016" w14:paraId="12D878AD" w14:textId="77777777">
      <w:pPr>
        <w:pStyle w:val="NormalSS"/>
        <w:spacing w:after="0"/>
        <w:ind w:firstLine="0"/>
        <w:rPr>
          <w:b/>
          <w:bCs/>
        </w:rPr>
      </w:pPr>
    </w:p>
    <w:p w:rsidR="004E7016" w:rsidRPr="005F026E" w:rsidP="004E7016" w14:paraId="19222145" w14:textId="5AE4B3F4">
      <w:pPr>
        <w:pStyle w:val="NormalSS"/>
        <w:spacing w:after="0"/>
        <w:ind w:firstLine="0"/>
        <w:rPr>
          <w:b/>
          <w:bCs/>
        </w:rPr>
      </w:pPr>
      <w:r w:rsidRPr="00194403">
        <w:rPr>
          <w:b/>
          <w:bCs/>
        </w:rPr>
        <w:t xml:space="preserve">Table </w:t>
      </w:r>
      <w:r w:rsidRPr="00194403" w:rsidR="00464E9E">
        <w:rPr>
          <w:b/>
          <w:bCs/>
        </w:rPr>
        <w:t>A.</w:t>
      </w:r>
      <w:r w:rsidR="009C0B95">
        <w:rPr>
          <w:b/>
          <w:bCs/>
        </w:rPr>
        <w:t>5</w:t>
      </w:r>
      <w:r w:rsidRPr="00194403">
        <w:rPr>
          <w:b/>
          <w:bCs/>
        </w:rPr>
        <w:t>. Estimated Annualized Burden Costs</w:t>
      </w:r>
      <w:r w:rsidRPr="005F026E">
        <w:rPr>
          <w:b/>
          <w:bCs/>
        </w:rPr>
        <w:t xml:space="preserve"> </w:t>
      </w:r>
    </w:p>
    <w:p w:rsidR="00F94564" w:rsidRPr="005F026E" w:rsidP="00EE6714" w14:paraId="16E1B30A" w14:textId="15AB073B">
      <w:pPr>
        <w:pStyle w:val="NormalSS"/>
        <w:spacing w:after="0"/>
        <w:ind w:firstLine="0"/>
      </w:pPr>
    </w:p>
    <w:tbl>
      <w:tblPr>
        <w:tblW w:w="8095" w:type="dxa"/>
        <w:tblLook w:val="04A0"/>
      </w:tblPr>
      <w:tblGrid>
        <w:gridCol w:w="3325"/>
        <w:gridCol w:w="990"/>
        <w:gridCol w:w="1695"/>
        <w:gridCol w:w="2085"/>
      </w:tblGrid>
      <w:tr w14:paraId="2C5275ED" w14:textId="77777777" w:rsidTr="009A2C49">
        <w:tblPrEx>
          <w:tblW w:w="8095" w:type="dxa"/>
          <w:tblLook w:val="04A0"/>
        </w:tblPrEx>
        <w:trPr>
          <w:trHeight w:val="945"/>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C49" w:rsidRPr="005F026E" w:rsidP="009A2C49" w14:paraId="195CC498" w14:textId="77777777">
            <w:pPr>
              <w:widowControl/>
              <w:autoSpaceDE/>
              <w:autoSpaceDN/>
              <w:adjustRightInd/>
              <w:jc w:val="center"/>
              <w:rPr>
                <w:b/>
                <w:bCs/>
                <w:color w:val="000000"/>
                <w:sz w:val="24"/>
              </w:rPr>
            </w:pPr>
            <w:r w:rsidRPr="005F026E">
              <w:rPr>
                <w:b/>
                <w:bCs/>
                <w:color w:val="000000"/>
                <w:sz w:val="24"/>
              </w:rPr>
              <w:t>Type of Respondent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A2C49" w:rsidRPr="005F026E" w:rsidP="009A2C49" w14:paraId="16EEBAD6" w14:textId="77777777">
            <w:pPr>
              <w:widowControl/>
              <w:autoSpaceDE/>
              <w:autoSpaceDN/>
              <w:adjustRightInd/>
              <w:jc w:val="center"/>
              <w:rPr>
                <w:b/>
                <w:bCs/>
                <w:color w:val="000000"/>
                <w:sz w:val="24"/>
              </w:rPr>
            </w:pPr>
            <w:r w:rsidRPr="005F026E">
              <w:rPr>
                <w:b/>
                <w:bCs/>
                <w:color w:val="000000"/>
                <w:sz w:val="24"/>
              </w:rPr>
              <w:t>Total Burden Hours</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9A2C49" w:rsidRPr="005F026E" w:rsidP="0042185F" w14:paraId="5F825F62" w14:textId="09430C1C">
            <w:pPr>
              <w:widowControl/>
              <w:autoSpaceDE/>
              <w:autoSpaceDN/>
              <w:adjustRightInd/>
              <w:jc w:val="center"/>
              <w:rPr>
                <w:b/>
                <w:bCs/>
                <w:color w:val="000000"/>
                <w:sz w:val="24"/>
              </w:rPr>
            </w:pPr>
            <w:r w:rsidRPr="005F026E">
              <w:rPr>
                <w:b/>
                <w:bCs/>
                <w:color w:val="000000"/>
                <w:sz w:val="24"/>
              </w:rPr>
              <w:t>Hourly Wage Rate</w:t>
            </w:r>
            <w:r w:rsidR="003918FB">
              <w:rPr>
                <w:b/>
                <w:bCs/>
                <w:color w:val="000000"/>
                <w:sz w:val="24"/>
              </w:rPr>
              <w:t xml:space="preserve"> </w:t>
            </w:r>
            <w:r w:rsidRPr="005F026E">
              <w:rPr>
                <w:b/>
                <w:bCs/>
                <w:color w:val="000000"/>
                <w:sz w:val="24"/>
              </w:rPr>
              <w:t>($/h</w:t>
            </w:r>
            <w:r w:rsidR="00025AC6">
              <w:rPr>
                <w:b/>
                <w:bCs/>
                <w:color w:val="000000"/>
                <w:sz w:val="24"/>
              </w:rPr>
              <w:t>ou</w:t>
            </w:r>
            <w:r w:rsidRPr="005F026E">
              <w:rPr>
                <w:b/>
                <w:bCs/>
                <w:color w:val="000000"/>
                <w:sz w:val="24"/>
              </w:rPr>
              <w:t>r)</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rsidR="009A2C49" w:rsidRPr="005F026E" w:rsidP="009A2C49" w14:paraId="279222EC" w14:textId="77777777">
            <w:pPr>
              <w:widowControl/>
              <w:autoSpaceDE/>
              <w:autoSpaceDN/>
              <w:adjustRightInd/>
              <w:jc w:val="center"/>
              <w:rPr>
                <w:b/>
                <w:bCs/>
                <w:color w:val="000000"/>
                <w:sz w:val="24"/>
              </w:rPr>
            </w:pPr>
            <w:r w:rsidRPr="005F026E">
              <w:rPr>
                <w:b/>
                <w:bCs/>
                <w:color w:val="000000"/>
                <w:sz w:val="24"/>
              </w:rPr>
              <w:t>Total Respondent Costs</w:t>
            </w:r>
          </w:p>
        </w:tc>
      </w:tr>
      <w:tr w14:paraId="72383D9D" w14:textId="77777777" w:rsidTr="009A2C49">
        <w:tblPrEx>
          <w:tblW w:w="8095"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9A2C49" w:rsidRPr="005F026E" w:rsidP="009A2C49" w14:paraId="7282D5CB" w14:textId="3CE7F659">
            <w:pPr>
              <w:widowControl/>
              <w:autoSpaceDE/>
              <w:autoSpaceDN/>
              <w:adjustRightInd/>
              <w:rPr>
                <w:color w:val="000000"/>
                <w:sz w:val="24"/>
              </w:rPr>
            </w:pPr>
            <w:r w:rsidRPr="005F026E">
              <w:rPr>
                <w:color w:val="000000"/>
                <w:sz w:val="24"/>
              </w:rPr>
              <w:t>Program Directors</w:t>
            </w:r>
          </w:p>
        </w:tc>
        <w:tc>
          <w:tcPr>
            <w:tcW w:w="990" w:type="dxa"/>
            <w:tcBorders>
              <w:top w:val="nil"/>
              <w:left w:val="nil"/>
              <w:bottom w:val="single" w:sz="4" w:space="0" w:color="auto"/>
              <w:right w:val="single" w:sz="4" w:space="0" w:color="auto"/>
            </w:tcBorders>
            <w:shd w:val="clear" w:color="auto" w:fill="auto"/>
            <w:vAlign w:val="center"/>
            <w:hideMark/>
          </w:tcPr>
          <w:p w:rsidR="009A2C49" w:rsidRPr="005F026E" w:rsidP="009A2C49" w14:paraId="2050BEA4" w14:textId="77777777">
            <w:pPr>
              <w:widowControl/>
              <w:autoSpaceDE/>
              <w:autoSpaceDN/>
              <w:adjustRightInd/>
              <w:jc w:val="right"/>
              <w:rPr>
                <w:color w:val="000000"/>
                <w:sz w:val="24"/>
              </w:rPr>
            </w:pPr>
            <w:r w:rsidRPr="005F026E">
              <w:rPr>
                <w:color w:val="000000"/>
                <w:sz w:val="24"/>
              </w:rPr>
              <w:t>101</w:t>
            </w:r>
          </w:p>
        </w:tc>
        <w:tc>
          <w:tcPr>
            <w:tcW w:w="1695" w:type="dxa"/>
            <w:tcBorders>
              <w:top w:val="nil"/>
              <w:left w:val="nil"/>
              <w:bottom w:val="single" w:sz="4" w:space="0" w:color="auto"/>
              <w:right w:val="single" w:sz="4" w:space="0" w:color="auto"/>
            </w:tcBorders>
            <w:shd w:val="clear" w:color="auto" w:fill="auto"/>
            <w:vAlign w:val="center"/>
            <w:hideMark/>
          </w:tcPr>
          <w:p w:rsidR="009A2C49" w:rsidRPr="005F026E" w:rsidP="00CB0FC7" w14:paraId="54AE50A6" w14:textId="16EB1950">
            <w:pPr>
              <w:widowControl/>
              <w:autoSpaceDE/>
              <w:autoSpaceDN/>
              <w:adjustRightInd/>
              <w:jc w:val="right"/>
              <w:rPr>
                <w:color w:val="000000"/>
                <w:sz w:val="24"/>
              </w:rPr>
            </w:pPr>
            <w:r w:rsidRPr="005F026E">
              <w:rPr>
                <w:color w:val="000000"/>
                <w:sz w:val="24"/>
              </w:rPr>
              <w:t>$</w:t>
            </w:r>
            <w:r w:rsidR="000939DC">
              <w:rPr>
                <w:color w:val="000000"/>
                <w:sz w:val="24"/>
              </w:rPr>
              <w:t>42.74</w:t>
            </w:r>
            <w:r w:rsidRPr="005F026E">
              <w:rPr>
                <w:color w:val="000000"/>
                <w:sz w:val="24"/>
              </w:rPr>
              <w:t xml:space="preserve"> </w:t>
            </w:r>
          </w:p>
        </w:tc>
        <w:tc>
          <w:tcPr>
            <w:tcW w:w="2085" w:type="dxa"/>
            <w:tcBorders>
              <w:top w:val="nil"/>
              <w:left w:val="nil"/>
              <w:bottom w:val="single" w:sz="4" w:space="0" w:color="auto"/>
              <w:right w:val="single" w:sz="4" w:space="0" w:color="auto"/>
            </w:tcBorders>
            <w:shd w:val="clear" w:color="auto" w:fill="auto"/>
            <w:vAlign w:val="center"/>
            <w:hideMark/>
          </w:tcPr>
          <w:p w:rsidR="009A2C49" w:rsidRPr="005F026E" w:rsidP="00CB0FC7" w14:paraId="3E58DD8D" w14:textId="01E6C256">
            <w:pPr>
              <w:widowControl/>
              <w:autoSpaceDE/>
              <w:autoSpaceDN/>
              <w:adjustRightInd/>
              <w:jc w:val="right"/>
              <w:rPr>
                <w:color w:val="000000"/>
                <w:sz w:val="24"/>
              </w:rPr>
            </w:pPr>
            <w:r w:rsidRPr="000939DC">
              <w:rPr>
                <w:color w:val="000000"/>
                <w:sz w:val="24"/>
              </w:rPr>
              <w:t>$4,316.74</w:t>
            </w:r>
          </w:p>
        </w:tc>
      </w:tr>
      <w:tr w14:paraId="5C3AA7C1" w14:textId="77777777" w:rsidTr="00CB0FC7">
        <w:tblPrEx>
          <w:tblW w:w="8095"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bottom"/>
            <w:hideMark/>
          </w:tcPr>
          <w:p w:rsidR="009A2C49" w:rsidRPr="005F026E" w:rsidP="009A2C49" w14:paraId="72A0B69B" w14:textId="566B521C">
            <w:pPr>
              <w:widowControl/>
              <w:autoSpaceDE/>
              <w:autoSpaceDN/>
              <w:adjustRightInd/>
              <w:rPr>
                <w:color w:val="000000"/>
                <w:sz w:val="24"/>
              </w:rPr>
            </w:pPr>
            <w:r w:rsidRPr="005F026E">
              <w:rPr>
                <w:color w:val="000000"/>
                <w:sz w:val="24"/>
              </w:rPr>
              <w:t xml:space="preserve">Community Partners </w:t>
            </w:r>
          </w:p>
        </w:tc>
        <w:tc>
          <w:tcPr>
            <w:tcW w:w="990" w:type="dxa"/>
            <w:tcBorders>
              <w:top w:val="nil"/>
              <w:left w:val="nil"/>
              <w:bottom w:val="single" w:sz="4" w:space="0" w:color="auto"/>
              <w:right w:val="single" w:sz="4" w:space="0" w:color="auto"/>
            </w:tcBorders>
            <w:shd w:val="clear" w:color="auto" w:fill="auto"/>
            <w:vAlign w:val="center"/>
          </w:tcPr>
          <w:p w:rsidR="009A2C49" w:rsidRPr="005F026E" w:rsidP="009A2C49" w14:paraId="1A8A3AD8" w14:textId="78946D9E">
            <w:pPr>
              <w:widowControl/>
              <w:autoSpaceDE/>
              <w:autoSpaceDN/>
              <w:adjustRightInd/>
              <w:jc w:val="right"/>
              <w:rPr>
                <w:color w:val="000000"/>
                <w:sz w:val="24"/>
              </w:rPr>
            </w:pPr>
            <w:r>
              <w:rPr>
                <w:color w:val="000000"/>
                <w:sz w:val="24"/>
              </w:rPr>
              <w:t>198</w:t>
            </w:r>
          </w:p>
        </w:tc>
        <w:tc>
          <w:tcPr>
            <w:tcW w:w="1695" w:type="dxa"/>
            <w:tcBorders>
              <w:top w:val="nil"/>
              <w:left w:val="nil"/>
              <w:bottom w:val="single" w:sz="4" w:space="0" w:color="auto"/>
              <w:right w:val="single" w:sz="4" w:space="0" w:color="auto"/>
            </w:tcBorders>
            <w:shd w:val="clear" w:color="auto" w:fill="auto"/>
            <w:vAlign w:val="center"/>
            <w:hideMark/>
          </w:tcPr>
          <w:p w:rsidR="009A2C49" w:rsidRPr="005F026E" w:rsidP="00CB0FC7" w14:paraId="44001E8D" w14:textId="0CF13EE4">
            <w:pPr>
              <w:widowControl/>
              <w:autoSpaceDE/>
              <w:autoSpaceDN/>
              <w:adjustRightInd/>
              <w:jc w:val="right"/>
              <w:rPr>
                <w:color w:val="000000"/>
                <w:sz w:val="24"/>
              </w:rPr>
            </w:pPr>
            <w:r w:rsidRPr="005F026E">
              <w:rPr>
                <w:color w:val="000000"/>
                <w:sz w:val="24"/>
              </w:rPr>
              <w:t>$</w:t>
            </w:r>
            <w:r w:rsidR="000939DC">
              <w:rPr>
                <w:color w:val="000000"/>
                <w:sz w:val="24"/>
              </w:rPr>
              <w:t>23.74</w:t>
            </w:r>
            <w:r w:rsidRPr="005F026E">
              <w:rPr>
                <w:color w:val="000000"/>
                <w:sz w:val="24"/>
              </w:rPr>
              <w:t xml:space="preserve"> </w:t>
            </w:r>
          </w:p>
        </w:tc>
        <w:tc>
          <w:tcPr>
            <w:tcW w:w="2085" w:type="dxa"/>
            <w:tcBorders>
              <w:top w:val="nil"/>
              <w:left w:val="nil"/>
              <w:bottom w:val="single" w:sz="4" w:space="0" w:color="auto"/>
              <w:right w:val="single" w:sz="4" w:space="0" w:color="auto"/>
            </w:tcBorders>
            <w:shd w:val="clear" w:color="auto" w:fill="auto"/>
            <w:vAlign w:val="center"/>
            <w:hideMark/>
          </w:tcPr>
          <w:p w:rsidR="009A2C49" w:rsidRPr="005F026E" w:rsidP="00CB0FC7" w14:paraId="53A0D5E6" w14:textId="695454D4">
            <w:pPr>
              <w:widowControl/>
              <w:autoSpaceDE/>
              <w:autoSpaceDN/>
              <w:adjustRightInd/>
              <w:jc w:val="right"/>
              <w:rPr>
                <w:color w:val="000000"/>
                <w:sz w:val="24"/>
              </w:rPr>
            </w:pPr>
            <w:r w:rsidRPr="000939DC">
              <w:rPr>
                <w:color w:val="000000"/>
                <w:sz w:val="24"/>
              </w:rPr>
              <w:t>$4,700.52</w:t>
            </w:r>
          </w:p>
        </w:tc>
      </w:tr>
      <w:tr w14:paraId="17A7EB9D" w14:textId="77777777" w:rsidTr="00CB0FC7">
        <w:tblPrEx>
          <w:tblW w:w="8095"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9A2C49" w:rsidRPr="005F026E" w:rsidP="009A2C49" w14:paraId="514270BA" w14:textId="15507047">
            <w:pPr>
              <w:widowControl/>
              <w:autoSpaceDE/>
              <w:autoSpaceDN/>
              <w:adjustRightInd/>
              <w:rPr>
                <w:color w:val="000000"/>
                <w:sz w:val="24"/>
              </w:rPr>
            </w:pPr>
            <w:r w:rsidRPr="005F026E">
              <w:rPr>
                <w:color w:val="000000"/>
                <w:sz w:val="24"/>
              </w:rPr>
              <w:t xml:space="preserve">Participants </w:t>
            </w:r>
          </w:p>
        </w:tc>
        <w:tc>
          <w:tcPr>
            <w:tcW w:w="990" w:type="dxa"/>
            <w:tcBorders>
              <w:top w:val="nil"/>
              <w:left w:val="nil"/>
              <w:bottom w:val="single" w:sz="4" w:space="0" w:color="auto"/>
              <w:right w:val="single" w:sz="4" w:space="0" w:color="auto"/>
            </w:tcBorders>
            <w:shd w:val="clear" w:color="auto" w:fill="auto"/>
            <w:vAlign w:val="center"/>
          </w:tcPr>
          <w:p w:rsidR="009A2C49" w:rsidRPr="005F026E" w:rsidP="009A2C49" w14:paraId="7CEB72B2" w14:textId="57664EF2">
            <w:pPr>
              <w:widowControl/>
              <w:autoSpaceDE/>
              <w:autoSpaceDN/>
              <w:adjustRightInd/>
              <w:jc w:val="right"/>
              <w:rPr>
                <w:color w:val="000000"/>
                <w:sz w:val="24"/>
              </w:rPr>
            </w:pPr>
            <w:r>
              <w:rPr>
                <w:color w:val="000000"/>
                <w:sz w:val="24"/>
              </w:rPr>
              <w:t>188</w:t>
            </w:r>
          </w:p>
        </w:tc>
        <w:tc>
          <w:tcPr>
            <w:tcW w:w="1695" w:type="dxa"/>
            <w:tcBorders>
              <w:top w:val="nil"/>
              <w:left w:val="nil"/>
              <w:bottom w:val="single" w:sz="4" w:space="0" w:color="auto"/>
              <w:right w:val="single" w:sz="4" w:space="0" w:color="auto"/>
            </w:tcBorders>
            <w:shd w:val="clear" w:color="auto" w:fill="auto"/>
            <w:vAlign w:val="center"/>
            <w:hideMark/>
          </w:tcPr>
          <w:p w:rsidR="009A2C49" w:rsidRPr="005F026E" w:rsidP="00CB0FC7" w14:paraId="6F9C22C7" w14:textId="4317782F">
            <w:pPr>
              <w:widowControl/>
              <w:autoSpaceDE/>
              <w:autoSpaceDN/>
              <w:adjustRightInd/>
              <w:jc w:val="right"/>
              <w:rPr>
                <w:color w:val="000000"/>
                <w:sz w:val="24"/>
              </w:rPr>
            </w:pPr>
            <w:r w:rsidRPr="005F026E">
              <w:rPr>
                <w:color w:val="000000"/>
                <w:sz w:val="24"/>
              </w:rPr>
              <w:t>$</w:t>
            </w:r>
            <w:r w:rsidR="000939DC">
              <w:rPr>
                <w:color w:val="000000"/>
                <w:sz w:val="24"/>
              </w:rPr>
              <w:t>22.26</w:t>
            </w:r>
            <w:r w:rsidRPr="005F026E">
              <w:rPr>
                <w:color w:val="000000"/>
                <w:sz w:val="24"/>
              </w:rPr>
              <w:t xml:space="preserve"> </w:t>
            </w:r>
          </w:p>
        </w:tc>
        <w:tc>
          <w:tcPr>
            <w:tcW w:w="2085" w:type="dxa"/>
            <w:tcBorders>
              <w:top w:val="nil"/>
              <w:left w:val="nil"/>
              <w:bottom w:val="single" w:sz="4" w:space="0" w:color="auto"/>
              <w:right w:val="single" w:sz="4" w:space="0" w:color="auto"/>
            </w:tcBorders>
            <w:shd w:val="clear" w:color="auto" w:fill="auto"/>
            <w:vAlign w:val="center"/>
            <w:hideMark/>
          </w:tcPr>
          <w:p w:rsidR="009A2C49" w:rsidRPr="005F026E" w:rsidP="00CB0FC7" w14:paraId="53EF1FE8" w14:textId="680F984E">
            <w:pPr>
              <w:widowControl/>
              <w:autoSpaceDE/>
              <w:autoSpaceDN/>
              <w:adjustRightInd/>
              <w:jc w:val="right"/>
              <w:rPr>
                <w:color w:val="000000"/>
                <w:sz w:val="24"/>
              </w:rPr>
            </w:pPr>
            <w:r w:rsidRPr="000939DC">
              <w:rPr>
                <w:color w:val="000000"/>
                <w:sz w:val="24"/>
              </w:rPr>
              <w:t>$4,184.88</w:t>
            </w:r>
          </w:p>
        </w:tc>
      </w:tr>
      <w:tr w14:paraId="0718B99C" w14:textId="77777777" w:rsidTr="00CB0FC7">
        <w:tblPrEx>
          <w:tblW w:w="8095"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9A2C49" w:rsidRPr="005F026E" w:rsidP="009A2C49" w14:paraId="2006A1D5" w14:textId="274A8274">
            <w:pPr>
              <w:widowControl/>
              <w:autoSpaceDE/>
              <w:autoSpaceDN/>
              <w:adjustRightInd/>
              <w:rPr>
                <w:color w:val="000000"/>
                <w:sz w:val="24"/>
              </w:rPr>
            </w:pPr>
            <w:r w:rsidRPr="005F026E">
              <w:rPr>
                <w:color w:val="000000"/>
                <w:sz w:val="24"/>
              </w:rPr>
              <w:t xml:space="preserve">Social Workers </w:t>
            </w:r>
          </w:p>
        </w:tc>
        <w:tc>
          <w:tcPr>
            <w:tcW w:w="990" w:type="dxa"/>
            <w:tcBorders>
              <w:top w:val="nil"/>
              <w:left w:val="nil"/>
              <w:bottom w:val="single" w:sz="4" w:space="0" w:color="auto"/>
              <w:right w:val="single" w:sz="4" w:space="0" w:color="auto"/>
            </w:tcBorders>
            <w:shd w:val="clear" w:color="auto" w:fill="auto"/>
            <w:vAlign w:val="center"/>
          </w:tcPr>
          <w:p w:rsidR="009A2C49" w:rsidRPr="005F026E" w:rsidP="009A2C49" w14:paraId="397B19E8" w14:textId="213D4731">
            <w:pPr>
              <w:widowControl/>
              <w:autoSpaceDE/>
              <w:autoSpaceDN/>
              <w:adjustRightInd/>
              <w:jc w:val="right"/>
              <w:rPr>
                <w:color w:val="000000"/>
                <w:sz w:val="24"/>
              </w:rPr>
            </w:pPr>
            <w:r>
              <w:rPr>
                <w:color w:val="000000"/>
                <w:sz w:val="24"/>
              </w:rPr>
              <w:t>113</w:t>
            </w:r>
          </w:p>
        </w:tc>
        <w:tc>
          <w:tcPr>
            <w:tcW w:w="1695" w:type="dxa"/>
            <w:tcBorders>
              <w:top w:val="nil"/>
              <w:left w:val="nil"/>
              <w:bottom w:val="single" w:sz="4" w:space="0" w:color="auto"/>
              <w:right w:val="single" w:sz="4" w:space="0" w:color="auto"/>
            </w:tcBorders>
            <w:shd w:val="clear" w:color="auto" w:fill="auto"/>
            <w:vAlign w:val="center"/>
            <w:hideMark/>
          </w:tcPr>
          <w:p w:rsidR="009A2C49" w:rsidRPr="005F026E" w:rsidP="00CB0FC7" w14:paraId="429DB598" w14:textId="38B63596">
            <w:pPr>
              <w:widowControl/>
              <w:autoSpaceDE/>
              <w:autoSpaceDN/>
              <w:adjustRightInd/>
              <w:jc w:val="right"/>
              <w:rPr>
                <w:color w:val="000000"/>
                <w:sz w:val="24"/>
              </w:rPr>
            </w:pPr>
            <w:r w:rsidRPr="005F026E">
              <w:rPr>
                <w:color w:val="000000"/>
                <w:sz w:val="24"/>
              </w:rPr>
              <w:t>$</w:t>
            </w:r>
            <w:r w:rsidR="000939DC">
              <w:rPr>
                <w:color w:val="000000"/>
                <w:sz w:val="24"/>
              </w:rPr>
              <w:t>26.61</w:t>
            </w:r>
            <w:r w:rsidRPr="005F026E">
              <w:rPr>
                <w:color w:val="000000"/>
                <w:sz w:val="24"/>
              </w:rPr>
              <w:t xml:space="preserve"> </w:t>
            </w:r>
          </w:p>
        </w:tc>
        <w:tc>
          <w:tcPr>
            <w:tcW w:w="2085" w:type="dxa"/>
            <w:tcBorders>
              <w:top w:val="nil"/>
              <w:left w:val="nil"/>
              <w:bottom w:val="single" w:sz="4" w:space="0" w:color="auto"/>
              <w:right w:val="single" w:sz="4" w:space="0" w:color="auto"/>
            </w:tcBorders>
            <w:shd w:val="clear" w:color="auto" w:fill="auto"/>
            <w:vAlign w:val="center"/>
            <w:hideMark/>
          </w:tcPr>
          <w:p w:rsidR="009A2C49" w:rsidRPr="005F026E" w:rsidP="00CB0FC7" w14:paraId="374C59AB" w14:textId="4CE7AEC8">
            <w:pPr>
              <w:widowControl/>
              <w:autoSpaceDE/>
              <w:autoSpaceDN/>
              <w:adjustRightInd/>
              <w:jc w:val="right"/>
              <w:rPr>
                <w:color w:val="000000"/>
                <w:sz w:val="24"/>
              </w:rPr>
            </w:pPr>
            <w:r w:rsidRPr="000939DC">
              <w:rPr>
                <w:color w:val="000000"/>
                <w:sz w:val="24"/>
              </w:rPr>
              <w:t>$3,006.93</w:t>
            </w:r>
          </w:p>
        </w:tc>
      </w:tr>
      <w:tr w14:paraId="70CA705A" w14:textId="77777777" w:rsidTr="003D0D8F">
        <w:tblPrEx>
          <w:tblW w:w="8095" w:type="dxa"/>
          <w:tblLook w:val="04A0"/>
        </w:tblPrEx>
        <w:trPr>
          <w:trHeight w:val="315"/>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rsidR="009A2C49" w:rsidRPr="005F026E" w:rsidP="009A2C49" w14:paraId="0D1B3254" w14:textId="2469C526">
            <w:pPr>
              <w:widowControl/>
              <w:autoSpaceDE/>
              <w:autoSpaceDN/>
              <w:adjustRightInd/>
              <w:rPr>
                <w:color w:val="000000"/>
                <w:sz w:val="24"/>
              </w:rPr>
            </w:pPr>
            <w:r w:rsidRPr="005F026E">
              <w:rPr>
                <w:color w:val="000000"/>
                <w:sz w:val="24"/>
              </w:rPr>
              <w:t xml:space="preserve">Total </w:t>
            </w:r>
          </w:p>
        </w:tc>
        <w:tc>
          <w:tcPr>
            <w:tcW w:w="990" w:type="dxa"/>
            <w:tcBorders>
              <w:top w:val="nil"/>
              <w:left w:val="nil"/>
              <w:bottom w:val="single" w:sz="4" w:space="0" w:color="auto"/>
              <w:right w:val="single" w:sz="4" w:space="0" w:color="auto"/>
            </w:tcBorders>
            <w:shd w:val="clear" w:color="auto" w:fill="auto"/>
            <w:vAlign w:val="center"/>
          </w:tcPr>
          <w:p w:rsidR="009A2C49" w:rsidRPr="005F026E" w:rsidP="00A0621D" w14:paraId="67666E5F" w14:textId="22767625">
            <w:pPr>
              <w:widowControl/>
              <w:autoSpaceDE/>
              <w:autoSpaceDN/>
              <w:adjustRightInd/>
              <w:jc w:val="right"/>
              <w:rPr>
                <w:color w:val="000000"/>
                <w:sz w:val="24"/>
              </w:rPr>
            </w:pPr>
            <w:r>
              <w:rPr>
                <w:color w:val="000000"/>
                <w:sz w:val="24"/>
              </w:rPr>
              <w:t>600</w:t>
            </w:r>
          </w:p>
        </w:tc>
        <w:tc>
          <w:tcPr>
            <w:tcW w:w="1695" w:type="dxa"/>
            <w:tcBorders>
              <w:top w:val="nil"/>
              <w:left w:val="nil"/>
              <w:bottom w:val="single" w:sz="4" w:space="0" w:color="auto"/>
              <w:right w:val="single" w:sz="4" w:space="0" w:color="auto"/>
            </w:tcBorders>
            <w:shd w:val="clear" w:color="auto" w:fill="auto"/>
            <w:vAlign w:val="center"/>
          </w:tcPr>
          <w:p w:rsidR="009A2C49" w:rsidRPr="005F026E" w:rsidP="009A2C49" w14:paraId="5FA512A5" w14:textId="5493011B">
            <w:pPr>
              <w:widowControl/>
              <w:autoSpaceDE/>
              <w:autoSpaceDN/>
              <w:adjustRightInd/>
              <w:jc w:val="right"/>
              <w:rPr>
                <w:color w:val="000000"/>
                <w:sz w:val="24"/>
              </w:rPr>
            </w:pPr>
          </w:p>
        </w:tc>
        <w:tc>
          <w:tcPr>
            <w:tcW w:w="2085" w:type="dxa"/>
            <w:tcBorders>
              <w:top w:val="nil"/>
              <w:left w:val="nil"/>
              <w:bottom w:val="single" w:sz="4" w:space="0" w:color="auto"/>
              <w:right w:val="single" w:sz="4" w:space="0" w:color="auto"/>
            </w:tcBorders>
            <w:shd w:val="clear" w:color="auto" w:fill="auto"/>
            <w:vAlign w:val="center"/>
          </w:tcPr>
          <w:p w:rsidR="009A2C49" w:rsidRPr="005F026E" w:rsidP="009A467F" w14:paraId="5AC91F81" w14:textId="154E9544">
            <w:pPr>
              <w:widowControl/>
              <w:autoSpaceDE/>
              <w:autoSpaceDN/>
              <w:adjustRightInd/>
              <w:jc w:val="right"/>
              <w:rPr>
                <w:color w:val="000000"/>
                <w:sz w:val="24"/>
              </w:rPr>
            </w:pPr>
            <w:r w:rsidRPr="000939DC">
              <w:rPr>
                <w:color w:val="000000"/>
                <w:sz w:val="24"/>
              </w:rPr>
              <w:t>$16,209.07</w:t>
            </w:r>
          </w:p>
        </w:tc>
      </w:tr>
    </w:tbl>
    <w:p w:rsidR="003F107F" w:rsidRPr="005F026E" w:rsidP="00EE6714" w14:paraId="2A58D871" w14:textId="77777777">
      <w:pPr>
        <w:pStyle w:val="NormalSS"/>
        <w:spacing w:after="0"/>
        <w:ind w:firstLine="0"/>
      </w:pPr>
    </w:p>
    <w:p w:rsidR="00C86876" w:rsidRPr="005F026E" w:rsidP="001E7D66" w14:paraId="08955A57" w14:textId="77777777">
      <w:pPr>
        <w:rPr>
          <w:sz w:val="24"/>
          <w:highlight w:val="yellow"/>
        </w:rPr>
      </w:pPr>
    </w:p>
    <w:p w:rsidR="009B3794" w:rsidRPr="005F026E" w:rsidP="00C96CF8" w14:paraId="7098583F" w14:textId="06D9A58F">
      <w:pPr>
        <w:pStyle w:val="Heading3"/>
      </w:pPr>
      <w:r w:rsidRPr="005F026E">
        <w:rPr>
          <w:u w:val="none"/>
        </w:rPr>
        <w:t>1</w:t>
      </w:r>
      <w:r w:rsidRPr="005F026E" w:rsidR="006D780C">
        <w:rPr>
          <w:u w:val="none"/>
        </w:rPr>
        <w:t>3</w:t>
      </w:r>
      <w:r w:rsidRPr="005F026E">
        <w:rPr>
          <w:u w:val="none"/>
        </w:rPr>
        <w:t>.</w:t>
      </w:r>
      <w:r w:rsidRPr="005F026E">
        <w:rPr>
          <w:u w:val="none"/>
        </w:rPr>
        <w:tab/>
      </w:r>
      <w:r w:rsidRPr="005F026E">
        <w:t xml:space="preserve">Estimates of </w:t>
      </w:r>
      <w:r w:rsidR="005114C8">
        <w:t>O</w:t>
      </w:r>
      <w:r w:rsidRPr="005F026E">
        <w:t xml:space="preserve">ther </w:t>
      </w:r>
      <w:r w:rsidR="005114C8">
        <w:t>T</w:t>
      </w:r>
      <w:r w:rsidRPr="005F026E">
        <w:t xml:space="preserve">otal </w:t>
      </w:r>
      <w:r w:rsidR="005114C8">
        <w:t>A</w:t>
      </w:r>
      <w:r w:rsidRPr="005F026E">
        <w:t xml:space="preserve">nnual </w:t>
      </w:r>
      <w:r w:rsidR="005114C8">
        <w:t>C</w:t>
      </w:r>
      <w:r w:rsidRPr="005F026E">
        <w:t xml:space="preserve">ost </w:t>
      </w:r>
      <w:r w:rsidR="005114C8">
        <w:t>B</w:t>
      </w:r>
      <w:r w:rsidRPr="005F026E">
        <w:t xml:space="preserve">urden to </w:t>
      </w:r>
      <w:r w:rsidR="005114C8">
        <w:t>R</w:t>
      </w:r>
      <w:r w:rsidRPr="005F026E">
        <w:t xml:space="preserve">espondents or </w:t>
      </w:r>
      <w:r w:rsidR="005114C8">
        <w:t>R</w:t>
      </w:r>
      <w:r w:rsidRPr="005F026E">
        <w:t>ecord</w:t>
      </w:r>
      <w:r w:rsidRPr="005F026E" w:rsidR="002419D7">
        <w:t xml:space="preserve"> </w:t>
      </w:r>
      <w:r w:rsidR="005114C8">
        <w:t>K</w:t>
      </w:r>
      <w:r w:rsidRPr="005F026E">
        <w:t>eepers/</w:t>
      </w:r>
      <w:r w:rsidR="005114C8">
        <w:t>C</w:t>
      </w:r>
      <w:r w:rsidRPr="005F026E">
        <w:t xml:space="preserve">apital </w:t>
      </w:r>
      <w:r w:rsidR="005114C8">
        <w:t>C</w:t>
      </w:r>
      <w:r w:rsidRPr="005F026E">
        <w:t>osts</w:t>
      </w:r>
    </w:p>
    <w:p w:rsidR="00426610" w:rsidRPr="005F026E" w:rsidP="00C96CF8" w14:paraId="1F7E54C9" w14:textId="2F833224">
      <w:pPr>
        <w:pStyle w:val="NormalSS"/>
      </w:pPr>
      <w:r>
        <w:t>Other than time, there is no cost to respondents.</w:t>
      </w:r>
      <w:r w:rsidRPr="005F026E" w:rsidR="00AF1F8E">
        <w:t xml:space="preserve"> </w:t>
      </w:r>
    </w:p>
    <w:p w:rsidR="009B3794" w:rsidRPr="005F026E" w:rsidP="00C96CF8" w14:paraId="4C876C13" w14:textId="5A713855">
      <w:pPr>
        <w:pStyle w:val="Heading3"/>
      </w:pPr>
      <w:r w:rsidRPr="005F026E">
        <w:rPr>
          <w:u w:val="none"/>
        </w:rPr>
        <w:t>1</w:t>
      </w:r>
      <w:r w:rsidRPr="005F026E" w:rsidR="006D780C">
        <w:rPr>
          <w:u w:val="none"/>
        </w:rPr>
        <w:t>4</w:t>
      </w:r>
      <w:r w:rsidRPr="005F026E">
        <w:rPr>
          <w:u w:val="none"/>
        </w:rPr>
        <w:t>.</w:t>
      </w:r>
      <w:r w:rsidRPr="005F026E">
        <w:rPr>
          <w:u w:val="none"/>
        </w:rPr>
        <w:tab/>
      </w:r>
      <w:r w:rsidRPr="005F026E">
        <w:t xml:space="preserve">Annualized </w:t>
      </w:r>
      <w:r w:rsidR="005114C8">
        <w:t>C</w:t>
      </w:r>
      <w:r w:rsidRPr="005F026E">
        <w:t xml:space="preserve">ost to </w:t>
      </w:r>
      <w:r w:rsidR="005114C8">
        <w:t>F</w:t>
      </w:r>
      <w:r w:rsidRPr="005F026E">
        <w:t xml:space="preserve">ederal </w:t>
      </w:r>
      <w:r w:rsidR="005114C8">
        <w:t>G</w:t>
      </w:r>
      <w:r w:rsidRPr="005F026E">
        <w:t>overnment</w:t>
      </w:r>
    </w:p>
    <w:p w:rsidR="006B7493" w:rsidP="00D7667E" w14:paraId="08501C57" w14:textId="4EB54EEC">
      <w:pPr>
        <w:pStyle w:val="NormalSS"/>
        <w:spacing w:after="0"/>
        <w:ind w:firstLine="0"/>
      </w:pPr>
      <w:r>
        <w:tab/>
      </w:r>
      <w:r w:rsidR="00F92798">
        <w:t xml:space="preserve">The </w:t>
      </w:r>
      <w:r w:rsidR="00522C64">
        <w:t xml:space="preserve">costs </w:t>
      </w:r>
      <w:r w:rsidR="00F92798">
        <w:t xml:space="preserve">to the Federal government </w:t>
      </w:r>
      <w:r w:rsidR="00522C64">
        <w:t xml:space="preserve">are comprised of contractor staff salaries, </w:t>
      </w:r>
      <w:r w:rsidRPr="009F5A43" w:rsidR="00522C64">
        <w:t>federal employee salaries,</w:t>
      </w:r>
      <w:r w:rsidR="00522C64">
        <w:t xml:space="preserve"> and operational expenses (e.g., equipment, printing, telephone calls).</w:t>
      </w:r>
      <w:r w:rsidRPr="00522C64" w:rsidR="00522C64">
        <w:t xml:space="preserve"> </w:t>
      </w:r>
    </w:p>
    <w:p w:rsidR="00DE3ECA" w:rsidP="00AB4A1F" w14:paraId="784CC0B2" w14:textId="259179DD">
      <w:pPr>
        <w:pStyle w:val="NormalSS"/>
        <w:spacing w:after="0"/>
      </w:pPr>
      <w:r w:rsidRPr="00522C64">
        <w:t>Contractor salaries include fringe benefits (e.g., costs for health insurance, travel, paid vacation).</w:t>
      </w:r>
      <w:r>
        <w:t xml:space="preserve"> </w:t>
      </w:r>
      <w:r>
        <w:t>The cost</w:t>
      </w:r>
      <w:r w:rsidR="00CD6B55">
        <w:t xml:space="preserve">, including operational expenses, </w:t>
      </w:r>
      <w:r>
        <w:t>incurred by the contractor for</w:t>
      </w:r>
      <w:r>
        <w:t xml:space="preserve"> </w:t>
      </w:r>
      <w:r w:rsidR="005531A8">
        <w:t xml:space="preserve">this data collection effort as part of </w:t>
      </w:r>
      <w:r>
        <w:t xml:space="preserve">the 4-year evaluation </w:t>
      </w:r>
      <w:r w:rsidRPr="00DE3ECA">
        <w:t>is $2,068,608</w:t>
      </w:r>
      <w:r w:rsidR="005531A8">
        <w:t xml:space="preserve"> or </w:t>
      </w:r>
      <w:r w:rsidRPr="005531A8" w:rsidR="005531A8">
        <w:t>$517,152</w:t>
      </w:r>
      <w:r w:rsidR="005531A8">
        <w:t xml:space="preserve"> per year</w:t>
      </w:r>
      <w:r w:rsidRPr="00DE3ECA">
        <w:t xml:space="preserve">. The </w:t>
      </w:r>
      <w:r w:rsidR="005531A8">
        <w:t xml:space="preserve">contractor’s </w:t>
      </w:r>
      <w:r w:rsidRPr="00DE3ECA">
        <w:t xml:space="preserve">total average cost for the project is $517,152 over a 1-year period. </w:t>
      </w:r>
      <w:r w:rsidR="005531A8">
        <w:t>This cost</w:t>
      </w:r>
      <w:r w:rsidRPr="00DE3ECA">
        <w:t xml:space="preserve"> cover</w:t>
      </w:r>
      <w:r w:rsidR="005531A8">
        <w:t>s</w:t>
      </w:r>
      <w:r w:rsidRPr="00DE3ECA">
        <w:t xml:space="preserve"> </w:t>
      </w:r>
      <w:r w:rsidR="005531A8">
        <w:t>tasks that include Federal staff trainings</w:t>
      </w:r>
      <w:r w:rsidRPr="00DE3ECA">
        <w:t xml:space="preserve">, project management, instrument design and development, web survey programming, testing, data collection, analysis, and reporting. </w:t>
      </w:r>
    </w:p>
    <w:p w:rsidR="00AB4A1F" w:rsidP="00AB4A1F" w14:paraId="45E08D24" w14:textId="68DA2C91">
      <w:pPr>
        <w:pStyle w:val="NormalSS"/>
        <w:spacing w:after="0"/>
      </w:pPr>
      <w:r>
        <w:t>Federal staff supporting this effort include the following (along with</w:t>
      </w:r>
      <w:r w:rsidR="7CB5E0E0">
        <w:t xml:space="preserve"> their</w:t>
      </w:r>
      <w:r>
        <w:t xml:space="preserve"> </w:t>
      </w:r>
      <w:r w:rsidR="35F3014E">
        <w:t xml:space="preserve">salary and </w:t>
      </w:r>
      <w:r>
        <w:t>time estimates)</w:t>
      </w:r>
      <w:r w:rsidR="61725C6D">
        <w:t xml:space="preserve">: </w:t>
      </w:r>
      <w:r w:rsidR="5D713256">
        <w:t>one full-time equivalent</w:t>
      </w:r>
      <w:r w:rsidR="356ECF2C">
        <w:t xml:space="preserve"> </w:t>
      </w:r>
      <w:r w:rsidR="5D713256">
        <w:t xml:space="preserve">HRSA staff member will spend </w:t>
      </w:r>
      <w:r w:rsidR="3D82BE89">
        <w:t>3</w:t>
      </w:r>
      <w:r w:rsidR="5D713256">
        <w:t>0% of his or her time (</w:t>
      </w:r>
      <w:r w:rsidR="3D82BE89">
        <w:t>576</w:t>
      </w:r>
      <w:r w:rsidR="5D713256">
        <w:t xml:space="preserve"> hours) to manage and administer the project</w:t>
      </w:r>
      <w:r w:rsidR="3FEAED1D">
        <w:t xml:space="preserve">, </w:t>
      </w:r>
      <w:r w:rsidR="3BD56590">
        <w:t>th</w:t>
      </w:r>
      <w:r w:rsidR="3FEAED1D">
        <w:t xml:space="preserve">e </w:t>
      </w:r>
      <w:r w:rsidR="6AE6CA19">
        <w:t xml:space="preserve">COR will spend </w:t>
      </w:r>
      <w:r w:rsidR="49AD5792">
        <w:t>15</w:t>
      </w:r>
      <w:r w:rsidR="6AE6CA19">
        <w:t xml:space="preserve">% of his or her time </w:t>
      </w:r>
      <w:r w:rsidR="473B2BAA">
        <w:t>(</w:t>
      </w:r>
      <w:r w:rsidR="6EFFC1DA">
        <w:t xml:space="preserve">288 </w:t>
      </w:r>
      <w:r w:rsidR="1A1FD724">
        <w:t xml:space="preserve">hours) </w:t>
      </w:r>
      <w:r w:rsidR="6AE6CA19">
        <w:t>overseeing contractual matters</w:t>
      </w:r>
      <w:r w:rsidR="704C1043">
        <w:t xml:space="preserve">, one </w:t>
      </w:r>
      <w:r w:rsidR="1F8539A2">
        <w:t>staff member</w:t>
      </w:r>
      <w:r w:rsidR="704C1043">
        <w:t xml:space="preserve"> will spend </w:t>
      </w:r>
      <w:r w:rsidR="7BAB7D95">
        <w:t>25% of his or her time</w:t>
      </w:r>
      <w:r w:rsidR="562BFB55">
        <w:t xml:space="preserve"> (480 hours)</w:t>
      </w:r>
      <w:r w:rsidR="7BAB7D95">
        <w:t xml:space="preserve"> </w:t>
      </w:r>
      <w:r w:rsidR="6738B1BA">
        <w:t>providing subject matter expertise and management support</w:t>
      </w:r>
      <w:r w:rsidR="0CA983BD">
        <w:t xml:space="preserve">, one staff member will spend 10% of his or her time </w:t>
      </w:r>
      <w:r w:rsidR="5CD462F2">
        <w:t xml:space="preserve">(192 hours) </w:t>
      </w:r>
      <w:r w:rsidR="70EE3EFE">
        <w:t>providing subject matter expertise support</w:t>
      </w:r>
      <w:r w:rsidR="0CA983BD">
        <w:t xml:space="preserve">, and one staff member will </w:t>
      </w:r>
      <w:r w:rsidR="7C9E7861">
        <w:t xml:space="preserve">spend 5% </w:t>
      </w:r>
      <w:r w:rsidR="54B8CAD7">
        <w:t xml:space="preserve">(96 hours) </w:t>
      </w:r>
      <w:r w:rsidR="7C9E7861">
        <w:t xml:space="preserve">of his or her time </w:t>
      </w:r>
      <w:r w:rsidR="25DD96EC">
        <w:t>providing higher-level consultative services</w:t>
      </w:r>
      <w:r w:rsidR="5D713256">
        <w:t xml:space="preserve">. Assuming </w:t>
      </w:r>
      <w:r w:rsidR="70CB76C3">
        <w:t>that these staff are</w:t>
      </w:r>
      <w:r w:rsidR="43A63DE8">
        <w:t xml:space="preserve"> all approximately in the Grade 13, Step 5 category with</w:t>
      </w:r>
      <w:r w:rsidR="70CB76C3">
        <w:t xml:space="preserve"> </w:t>
      </w:r>
      <w:r w:rsidR="5D713256">
        <w:t>an annual salary of $</w:t>
      </w:r>
      <w:r w:rsidR="3D82BE89">
        <w:t>1</w:t>
      </w:r>
      <w:r w:rsidR="7050AFA3">
        <w:t>21,065</w:t>
      </w:r>
      <w:r w:rsidR="5D713256">
        <w:t xml:space="preserve">, government personnel costs will be </w:t>
      </w:r>
      <w:bookmarkStart w:id="1" w:name="_Hlk141973037"/>
      <w:r w:rsidR="5D713256">
        <w:t>$</w:t>
      </w:r>
      <w:r w:rsidR="46C9DB64">
        <w:t>102,905</w:t>
      </w:r>
      <w:r w:rsidR="5D713256">
        <w:t xml:space="preserve"> </w:t>
      </w:r>
      <w:bookmarkEnd w:id="1"/>
      <w:r w:rsidR="5D713256">
        <w:t>over a 1-year period</w:t>
      </w:r>
      <w:r w:rsidR="35E659A3">
        <w:t xml:space="preserve">. </w:t>
      </w:r>
    </w:p>
    <w:p w:rsidR="009F5A43" w:rsidP="00AB4A1F" w14:paraId="0CC8DF86" w14:textId="618BF074">
      <w:pPr>
        <w:pStyle w:val="NormalSS"/>
        <w:spacing w:after="0"/>
      </w:pPr>
      <w:r>
        <w:t>The total approximate annualized cost to the government for this data collection effort is $</w:t>
      </w:r>
      <w:r w:rsidR="307970FE">
        <w:t>620,057</w:t>
      </w:r>
      <w:r>
        <w:t>.</w:t>
      </w:r>
    </w:p>
    <w:p w:rsidR="00792364" w:rsidP="00AB4A1F" w14:paraId="3963792E" w14:textId="77777777">
      <w:pPr>
        <w:pStyle w:val="NormalSS"/>
        <w:spacing w:after="0"/>
      </w:pPr>
    </w:p>
    <w:p w:rsidR="009B3794" w:rsidRPr="005F026E" w:rsidP="00C96CF8" w14:paraId="4D2DCE1F" w14:textId="0680473A">
      <w:pPr>
        <w:pStyle w:val="Heading3"/>
      </w:pPr>
      <w:r>
        <w:rPr>
          <w:u w:val="none"/>
        </w:rPr>
        <w:t>1</w:t>
      </w:r>
      <w:r w:rsidRPr="005F026E" w:rsidR="006D780C">
        <w:rPr>
          <w:u w:val="none"/>
        </w:rPr>
        <w:t>5</w:t>
      </w:r>
      <w:r w:rsidRPr="005F026E" w:rsidR="00C96CF8">
        <w:rPr>
          <w:u w:val="none"/>
        </w:rPr>
        <w:t>.</w:t>
      </w:r>
      <w:r w:rsidRPr="005F026E" w:rsidR="00C96CF8">
        <w:rPr>
          <w:u w:val="none"/>
        </w:rPr>
        <w:tab/>
      </w:r>
      <w:r w:rsidRPr="005F026E">
        <w:t xml:space="preserve">Explanation for </w:t>
      </w:r>
      <w:r>
        <w:t>P</w:t>
      </w:r>
      <w:r w:rsidRPr="005F026E">
        <w:t xml:space="preserve">rogram </w:t>
      </w:r>
      <w:r>
        <w:t>C</w:t>
      </w:r>
      <w:r w:rsidRPr="005F026E">
        <w:t xml:space="preserve">hanges or </w:t>
      </w:r>
      <w:r>
        <w:t>A</w:t>
      </w:r>
      <w:r w:rsidRPr="005F026E">
        <w:t>djustments</w:t>
      </w:r>
    </w:p>
    <w:p w:rsidR="008F0138" w:rsidRPr="005F026E" w:rsidP="00FD0181" w14:paraId="10285634" w14:textId="550F9E7F">
      <w:pPr>
        <w:rPr>
          <w:sz w:val="24"/>
        </w:rPr>
      </w:pPr>
      <w:r>
        <w:rPr>
          <w:sz w:val="24"/>
        </w:rPr>
        <w:t xml:space="preserve">   </w:t>
      </w:r>
      <w:r>
        <w:rPr>
          <w:sz w:val="24"/>
        </w:rPr>
        <w:t>This is a new information collection effort.</w:t>
      </w:r>
    </w:p>
    <w:p w:rsidR="0059509A" w:rsidRPr="005F026E" w:rsidP="0059509A" w14:paraId="6CC2D1B9" w14:textId="77777777">
      <w:pPr>
        <w:ind w:firstLine="432"/>
        <w:rPr>
          <w:color w:val="000000"/>
          <w:sz w:val="24"/>
          <w:highlight w:val="green"/>
        </w:rPr>
      </w:pPr>
    </w:p>
    <w:p w:rsidR="009B3794" w:rsidRPr="005F026E" w:rsidP="00C96CF8" w14:paraId="198B3E8C" w14:textId="7C7FDF97">
      <w:pPr>
        <w:pStyle w:val="Heading3"/>
      </w:pPr>
      <w:r w:rsidRPr="005F026E">
        <w:rPr>
          <w:u w:val="none"/>
        </w:rPr>
        <w:t>1</w:t>
      </w:r>
      <w:r w:rsidRPr="005F026E" w:rsidR="00647E89">
        <w:rPr>
          <w:u w:val="none"/>
        </w:rPr>
        <w:t>6</w:t>
      </w:r>
      <w:r w:rsidRPr="005F026E">
        <w:rPr>
          <w:u w:val="none"/>
        </w:rPr>
        <w:t>.</w:t>
      </w:r>
      <w:r w:rsidRPr="005F026E">
        <w:rPr>
          <w:u w:val="none"/>
        </w:rPr>
        <w:tab/>
      </w:r>
      <w:r w:rsidRPr="005F026E">
        <w:t xml:space="preserve">Plans for </w:t>
      </w:r>
      <w:r w:rsidR="004B0661">
        <w:t>T</w:t>
      </w:r>
      <w:r w:rsidRPr="005F026E">
        <w:t>abulation</w:t>
      </w:r>
      <w:r w:rsidRPr="005F026E" w:rsidR="002118B4">
        <w:t xml:space="preserve">, </w:t>
      </w:r>
      <w:r w:rsidR="004B0661">
        <w:t>P</w:t>
      </w:r>
      <w:r w:rsidRPr="005F026E">
        <w:t>ublication</w:t>
      </w:r>
      <w:r w:rsidRPr="005F026E" w:rsidR="002118B4">
        <w:t>,</w:t>
      </w:r>
      <w:r w:rsidRPr="005F026E">
        <w:t xml:space="preserve"> and </w:t>
      </w:r>
      <w:r w:rsidR="004B0661">
        <w:t>T</w:t>
      </w:r>
      <w:r w:rsidRPr="005F026E">
        <w:t xml:space="preserve">ime </w:t>
      </w:r>
      <w:r w:rsidR="004B0661">
        <w:t>S</w:t>
      </w:r>
      <w:r w:rsidRPr="005F026E">
        <w:t>chedule</w:t>
      </w:r>
    </w:p>
    <w:p w:rsidR="00AB4A1F" w:rsidP="00AB4A1F" w14:paraId="6A1D2A60" w14:textId="283A087B">
      <w:pPr>
        <w:pStyle w:val="NormalSS"/>
        <w:spacing w:after="0"/>
        <w:ind w:firstLine="0"/>
      </w:pPr>
      <w:bookmarkStart w:id="2" w:name="_Toc270005967"/>
      <w:bookmarkStart w:id="3" w:name="_Toc270007354"/>
      <w:bookmarkStart w:id="4" w:name="_Toc270011505"/>
      <w:r>
        <w:tab/>
      </w:r>
      <w:r w:rsidRPr="005F026E" w:rsidR="00F32058">
        <w:t>Although information from the various data collec</w:t>
      </w:r>
      <w:r w:rsidRPr="005F026E" w:rsidR="004C3EDF">
        <w:t>tion efforts will be combined</w:t>
      </w:r>
      <w:r w:rsidRPr="005F026E" w:rsidR="00F32058">
        <w:t xml:space="preserve"> to answer the evaluation quest</w:t>
      </w:r>
      <w:r w:rsidRPr="005F026E" w:rsidR="004C3EDF">
        <w:t xml:space="preserve">ions, the analyses of data will vary based on the </w:t>
      </w:r>
      <w:r w:rsidRPr="005F026E" w:rsidR="00D0628F">
        <w:t>specific</w:t>
      </w:r>
      <w:r w:rsidRPr="005F026E" w:rsidR="001D44BC">
        <w:t xml:space="preserve"> </w:t>
      </w:r>
      <w:r w:rsidRPr="005F026E" w:rsidR="004C3EDF">
        <w:t>questions</w:t>
      </w:r>
      <w:r w:rsidRPr="005F026E" w:rsidR="00F32058">
        <w:t xml:space="preserve">. </w:t>
      </w:r>
      <w:r w:rsidRPr="005F026E" w:rsidR="0060616B">
        <w:t xml:space="preserve">The type </w:t>
      </w:r>
      <w:r w:rsidRPr="005F026E" w:rsidR="0060616B">
        <w:t xml:space="preserve">of </w:t>
      </w:r>
      <w:r w:rsidR="000D0CF4">
        <w:t>evaluation,</w:t>
      </w:r>
      <w:r w:rsidRPr="005F026E" w:rsidR="0060616B">
        <w:t xml:space="preserve"> </w:t>
      </w:r>
      <w:r w:rsidRPr="000D0CF4" w:rsidR="0060616B">
        <w:t xml:space="preserve">evaluation questions, </w:t>
      </w:r>
      <w:r w:rsidRPr="000D0CF4" w:rsidR="000D0CF4">
        <w:t xml:space="preserve">and analytic </w:t>
      </w:r>
      <w:r w:rsidRPr="000D0CF4" w:rsidR="0060616B">
        <w:t>approache</w:t>
      </w:r>
      <w:r w:rsidRPr="000D0CF4" w:rsidR="000D0CF4">
        <w:t>s for the instruments included in this Statement A</w:t>
      </w:r>
      <w:r w:rsidRPr="000D0CF4" w:rsidR="0060616B">
        <w:t xml:space="preserve"> </w:t>
      </w:r>
      <w:r w:rsidRPr="000D0CF4" w:rsidR="00F32058">
        <w:t xml:space="preserve">are described </w:t>
      </w:r>
      <w:r w:rsidRPr="000D0CF4" w:rsidR="009902F1">
        <w:t xml:space="preserve">in </w:t>
      </w:r>
      <w:r w:rsidRPr="000D0CF4" w:rsidR="00BC7578">
        <w:t xml:space="preserve">Table </w:t>
      </w:r>
      <w:r w:rsidRPr="000D0CF4" w:rsidR="000D0CF4">
        <w:t>A.</w:t>
      </w:r>
      <w:r w:rsidR="005A525B">
        <w:t>1</w:t>
      </w:r>
      <w:r w:rsidRPr="000D0CF4" w:rsidR="005A525B">
        <w:t xml:space="preserve"> </w:t>
      </w:r>
      <w:r w:rsidR="005A525B">
        <w:t>above</w:t>
      </w:r>
      <w:r w:rsidRPr="000D0CF4" w:rsidR="000D0CF4">
        <w:t>.</w:t>
      </w:r>
      <w:r w:rsidR="000D0CF4">
        <w:t xml:space="preserve"> </w:t>
      </w:r>
      <w:r>
        <w:t xml:space="preserve">Both quantitative and qualitative data analysis will be conducted to address the evaluation questions. </w:t>
      </w:r>
    </w:p>
    <w:p w:rsidR="00AB4A1F" w:rsidP="00AB4A1F" w14:paraId="7BEFA3E0" w14:textId="5D2ECA37">
      <w:pPr>
        <w:pStyle w:val="NormalSS"/>
        <w:spacing w:after="0"/>
        <w:ind w:firstLine="0"/>
      </w:pPr>
    </w:p>
    <w:p w:rsidR="00537D86" w:rsidRPr="00BB31C8" w:rsidP="00537D86" w14:paraId="017118AF" w14:textId="77777777">
      <w:pPr>
        <w:pStyle w:val="NormalSS"/>
        <w:spacing w:after="0"/>
        <w:ind w:firstLine="0"/>
        <w:rPr>
          <w:b/>
          <w:bCs/>
        </w:rPr>
      </w:pPr>
      <w:r w:rsidRPr="00BB31C8">
        <w:rPr>
          <w:b/>
          <w:bCs/>
        </w:rPr>
        <w:t xml:space="preserve">Quantitative Analyses </w:t>
      </w:r>
    </w:p>
    <w:p w:rsidR="00537D86" w:rsidP="00537D86" w14:paraId="6ACCAC64" w14:textId="4FC3BE67">
      <w:pPr>
        <w:pStyle w:val="NormalSS"/>
        <w:spacing w:after="0"/>
        <w:ind w:firstLine="0"/>
      </w:pPr>
      <w:r>
        <w:tab/>
      </w:r>
      <w:r w:rsidR="00F55E02">
        <w:t>Descriptive statistical analysis will be conducted on the d</w:t>
      </w:r>
      <w:r>
        <w:t xml:space="preserve">ata collected </w:t>
      </w:r>
      <w:r>
        <w:t>from</w:t>
      </w:r>
      <w:r>
        <w:t xml:space="preserve"> the Program Survey, Network Survey</w:t>
      </w:r>
      <w:r w:rsidR="00BF4869">
        <w:t>, and Participant Survey</w:t>
      </w:r>
      <w:r>
        <w:t xml:space="preserve"> </w:t>
      </w:r>
      <w:r w:rsidR="00F55E02">
        <w:t>and will be used to</w:t>
      </w:r>
      <w:r>
        <w:t xml:space="preserve"> produce frequencies, measures of central tendency, and standard deviations</w:t>
      </w:r>
      <w:r w:rsidR="00F55E02">
        <w:t xml:space="preserve"> for each survey</w:t>
      </w:r>
      <w:r>
        <w:t xml:space="preserve">. The analyses will be used to describe program services for Healthy Start participants (screenings, referrals, health education and case management); participant characteristics and experiences with the program (involvement and satisfaction); and the community members, networks, </w:t>
      </w:r>
      <w:r w:rsidR="00DC7897">
        <w:t>agencies,</w:t>
      </w:r>
      <w:r>
        <w:t xml:space="preserve"> and programs working with Healthy Start (including the Healthy Start Community Action Networks (CANs)) and in the Healthy Start communities. These analyses will also describe the efforts of the Healthy Start programs to advance health equity in their programs and communities and improve their program benchmarks. </w:t>
      </w:r>
      <w:bookmarkStart w:id="5" w:name="_Hlk103251356"/>
    </w:p>
    <w:bookmarkEnd w:id="5"/>
    <w:p w:rsidR="00537D86" w:rsidP="00537D86" w14:paraId="630451E7" w14:textId="26E300B6">
      <w:pPr>
        <w:pStyle w:val="NormalSS"/>
        <w:spacing w:after="0"/>
        <w:ind w:firstLine="0"/>
      </w:pPr>
      <w:r>
        <w:tab/>
      </w:r>
      <w:r w:rsidR="094226A1">
        <w:t xml:space="preserve">The quantitative information collected can be used to make crude comparisons between programs, such as the proportion of participants from multiple programs who report </w:t>
      </w:r>
      <w:r w:rsidR="17002DCD">
        <w:t xml:space="preserve">receiving </w:t>
      </w:r>
      <w:r w:rsidR="094226A1">
        <w:t xml:space="preserve">referrals for specific services. The results from the surveys </w:t>
      </w:r>
      <w:r w:rsidR="086199CF">
        <w:t xml:space="preserve">can </w:t>
      </w:r>
      <w:r w:rsidR="094226A1">
        <w:t xml:space="preserve">be combined </w:t>
      </w:r>
      <w:r w:rsidR="0141ECA5">
        <w:t xml:space="preserve">across </w:t>
      </w:r>
      <w:r w:rsidR="094226A1">
        <w:t xml:space="preserve">all sites into one pooled analytic sample to further explore relationships between participant demographics (such as gender </w:t>
      </w:r>
      <w:r w:rsidR="797F88B5">
        <w:t>identity</w:t>
      </w:r>
      <w:r w:rsidR="094226A1">
        <w:t xml:space="preserve">, age, race/ethnicity, etc.), length of time in Healthy Start and evaluation measures. This will allow for a larger sample for the descriptive statistics described above (frequencies, proportions, etc.). Depending upon the sample size for the demographics and heterogeneity of the programs in which the data are collected, bivariate analyses </w:t>
      </w:r>
      <w:r w:rsidR="1A3C504F">
        <w:t>may</w:t>
      </w:r>
      <w:r w:rsidR="47AE68B5">
        <w:t xml:space="preserve"> also </w:t>
      </w:r>
      <w:r w:rsidR="094226A1">
        <w:t>be used to test for statistically significant differences in the implementation of program activities, referrals, or participant perceptions of their experiences with respectful care, among other evaluation measures. This type of statistical analysis would rely on assumptions of the pooled data being from comparable programs and would need large enough samples for the demographics of interest but could allow for the identification of statistically significant differences between groups. The usefulness of conducting bivariate analyses can be determined after data collection, once the number of completed surveys is known.</w:t>
      </w:r>
    </w:p>
    <w:p w:rsidR="00537D86" w:rsidP="00537D86" w14:paraId="37C6FCCF" w14:textId="77777777">
      <w:pPr>
        <w:pStyle w:val="NormalSS"/>
        <w:spacing w:after="0"/>
        <w:ind w:firstLine="0"/>
      </w:pPr>
    </w:p>
    <w:p w:rsidR="00FD6DD0" w:rsidRPr="00FD6DD0" w:rsidP="00537D86" w14:paraId="41B28770" w14:textId="3B8CD091">
      <w:pPr>
        <w:pStyle w:val="NormalSS"/>
        <w:spacing w:after="0"/>
        <w:ind w:firstLine="0"/>
        <w:rPr>
          <w:b/>
        </w:rPr>
      </w:pPr>
      <w:r w:rsidRPr="00FD6DD0">
        <w:rPr>
          <w:b/>
        </w:rPr>
        <w:t>Network Analysis</w:t>
      </w:r>
    </w:p>
    <w:p w:rsidR="00537D86" w:rsidP="00537D86" w14:paraId="67DD6EA2" w14:textId="34D9E060">
      <w:pPr>
        <w:pStyle w:val="NormalSS"/>
        <w:spacing w:after="0"/>
        <w:ind w:firstLine="0"/>
      </w:pPr>
      <w:r>
        <w:tab/>
      </w:r>
      <w:r>
        <w:t xml:space="preserve">The Network Survey data, in addition to the analyses described above, will be used to conduct a network analysis to discover linkages among the Healthy Start programs, CAN members and other local organizations. </w:t>
      </w:r>
      <w:r w:rsidRPr="00F26612">
        <w:t>Th</w:t>
      </w:r>
      <w:r>
        <w:t>is</w:t>
      </w:r>
      <w:r w:rsidRPr="00F26612">
        <w:t xml:space="preserve"> analysis will </w:t>
      </w:r>
      <w:r>
        <w:t xml:space="preserve">include </w:t>
      </w:r>
      <w:r w:rsidRPr="00F26612">
        <w:t xml:space="preserve">quantitative metrics to characterize the structure of the network and centrality of each </w:t>
      </w:r>
      <w:r>
        <w:t xml:space="preserve">network </w:t>
      </w:r>
      <w:r w:rsidRPr="00F26612">
        <w:t xml:space="preserve">participant and </w:t>
      </w:r>
      <w:r>
        <w:t xml:space="preserve">will </w:t>
      </w:r>
      <w:r w:rsidRPr="00F26612">
        <w:t>assess how centralized or fragmented the relationships are between those in the network</w:t>
      </w:r>
      <w:r>
        <w:t xml:space="preserve">. Graphic </w:t>
      </w:r>
      <w:r w:rsidRPr="00F26612">
        <w:t xml:space="preserve">representations </w:t>
      </w:r>
      <w:r>
        <w:t xml:space="preserve">will also be used in this analysis </w:t>
      </w:r>
      <w:r w:rsidRPr="00F26612">
        <w:t xml:space="preserve">to depict </w:t>
      </w:r>
      <w:r>
        <w:t xml:space="preserve">the </w:t>
      </w:r>
      <w:r w:rsidRPr="00F26612">
        <w:t xml:space="preserve">linkages across </w:t>
      </w:r>
      <w:r>
        <w:t xml:space="preserve">the </w:t>
      </w:r>
      <w:r w:rsidRPr="00F26612">
        <w:t>organizations</w:t>
      </w:r>
      <w:r>
        <w:t>.</w:t>
      </w:r>
      <w:r w:rsidRPr="00F26612">
        <w:t xml:space="preserve"> </w:t>
      </w:r>
    </w:p>
    <w:p w:rsidR="00537D86" w:rsidP="00537D86" w14:paraId="34EA2A19" w14:textId="77777777">
      <w:pPr>
        <w:pStyle w:val="NormalSS"/>
        <w:spacing w:after="0"/>
        <w:ind w:firstLine="0"/>
        <w:rPr>
          <w:b/>
          <w:bCs/>
        </w:rPr>
      </w:pPr>
    </w:p>
    <w:p w:rsidR="00537D86" w:rsidRPr="00266AFC" w:rsidP="00537D86" w14:paraId="28AD2C88" w14:textId="77777777">
      <w:pPr>
        <w:pStyle w:val="NormalSS"/>
        <w:spacing w:after="0"/>
        <w:ind w:firstLine="0"/>
        <w:rPr>
          <w:b/>
          <w:bCs/>
        </w:rPr>
      </w:pPr>
      <w:r w:rsidRPr="00266AFC">
        <w:rPr>
          <w:b/>
          <w:bCs/>
        </w:rPr>
        <w:t>Qualitative Analyses</w:t>
      </w:r>
    </w:p>
    <w:p w:rsidR="00537D86" w:rsidP="00537D86" w14:paraId="16921994" w14:textId="50FA0268">
      <w:pPr>
        <w:pStyle w:val="NormalSS"/>
        <w:spacing w:after="0"/>
        <w:ind w:firstLine="0"/>
      </w:pPr>
      <w:r>
        <w:tab/>
      </w:r>
      <w:r>
        <w:t xml:space="preserve">The qualitative analyses will use the data collected from the interviews with Healthy Start project and administrative staff to examine in-depth information about five Healthy Start areas (Maternal Health, Fatherhood, CAN, Health Equity and Benchmarks), including facilitators and barriers to the efforts in these areas. The interview data will be analyzed </w:t>
      </w:r>
      <w:r w:rsidR="00DC7897">
        <w:t>to identify s</w:t>
      </w:r>
      <w:r>
        <w:t>alient themes and common patterns that emerge to address the related evaluation question</w:t>
      </w:r>
      <w:r w:rsidR="00A16AFA">
        <w:t>s</w:t>
      </w:r>
      <w:r>
        <w:t>.</w:t>
      </w:r>
      <w:r w:rsidRPr="00973EEE">
        <w:t xml:space="preserve"> </w:t>
      </w:r>
    </w:p>
    <w:p w:rsidR="00537D86" w:rsidRPr="005F026E" w:rsidP="00537D86" w14:paraId="6512779C" w14:textId="5564146C">
      <w:pPr>
        <w:pStyle w:val="NormalSS"/>
        <w:spacing w:after="0"/>
        <w:ind w:firstLine="0"/>
      </w:pPr>
      <w:r>
        <w:tab/>
      </w:r>
      <w:r w:rsidRPr="00973EEE">
        <w:t xml:space="preserve">As the first step in the data-cleaning process, </w:t>
      </w:r>
      <w:r>
        <w:t>audio recordings</w:t>
      </w:r>
      <w:r w:rsidRPr="00973EEE">
        <w:t xml:space="preserve"> of the interviews will be transcribed, de</w:t>
      </w:r>
      <w:r>
        <w:t>-</w:t>
      </w:r>
      <w:r w:rsidRPr="00973EEE">
        <w:t>identified, and clea</w:t>
      </w:r>
      <w:r>
        <w:t>n</w:t>
      </w:r>
      <w:r w:rsidRPr="00973EEE">
        <w:t>ed of any transcription mistakes; these transcriptions will serve as the qualitative data used for the study.</w:t>
      </w:r>
      <w:r>
        <w:t xml:space="preserve"> To analyze the data, </w:t>
      </w:r>
      <w:r w:rsidR="00954EFF">
        <w:t xml:space="preserve">we will use </w:t>
      </w:r>
      <w:r>
        <w:t>the software package NVivo (Version 11)</w:t>
      </w:r>
      <w:r w:rsidR="00954EFF">
        <w:t>.</w:t>
      </w:r>
      <w:r>
        <w:t xml:space="preserve"> </w:t>
      </w:r>
      <w:r w:rsidRPr="00973EEE">
        <w:t xml:space="preserve">A codebook </w:t>
      </w:r>
      <w:r>
        <w:t>containing</w:t>
      </w:r>
      <w:r w:rsidRPr="00973EEE">
        <w:t xml:space="preserve"> the descriptive codes and their operational definitions </w:t>
      </w:r>
      <w:r>
        <w:t xml:space="preserve">will be developed </w:t>
      </w:r>
      <w:r w:rsidRPr="00973EEE">
        <w:t>based on the specific evaluation question under investigation</w:t>
      </w:r>
      <w:r>
        <w:t>, which are</w:t>
      </w:r>
      <w:r w:rsidRPr="00973EEE">
        <w:t xml:space="preserve"> covered </w:t>
      </w:r>
      <w:r>
        <w:t xml:space="preserve">in the discussion topics of </w:t>
      </w:r>
      <w:r w:rsidRPr="00973EEE">
        <w:t xml:space="preserve">the </w:t>
      </w:r>
      <w:r>
        <w:t>Stakeholder Interview</w:t>
      </w:r>
      <w:r w:rsidRPr="00973EEE">
        <w:t xml:space="preserve"> </w:t>
      </w:r>
      <w:r>
        <w:t>G</w:t>
      </w:r>
      <w:r w:rsidRPr="00973EEE">
        <w:t xml:space="preserve">uide. </w:t>
      </w:r>
      <w:r>
        <w:t>The</w:t>
      </w:r>
      <w:r w:rsidRPr="00973EEE">
        <w:t xml:space="preserve"> descriptive codes in the codebook </w:t>
      </w:r>
      <w:r>
        <w:t xml:space="preserve">will be applied </w:t>
      </w:r>
      <w:r w:rsidRPr="00973EEE">
        <w:t xml:space="preserve">to </w:t>
      </w:r>
      <w:r>
        <w:t>text passages of the</w:t>
      </w:r>
      <w:r w:rsidRPr="00973EEE">
        <w:t xml:space="preserve"> </w:t>
      </w:r>
      <w:r>
        <w:t>interview transcripts to conduct a thematic analysis. The thematic analysis will first identify l</w:t>
      </w:r>
      <w:r w:rsidRPr="004C271A">
        <w:t>ower order themes</w:t>
      </w:r>
      <w:r>
        <w:t xml:space="preserve">, which will then </w:t>
      </w:r>
      <w:r w:rsidRPr="004C271A">
        <w:t>be grouped into higher order themes</w:t>
      </w:r>
      <w:r>
        <w:t xml:space="preserve">, which in turn </w:t>
      </w:r>
      <w:r w:rsidRPr="004C271A">
        <w:t>will</w:t>
      </w:r>
      <w:r>
        <w:t xml:space="preserve"> finally</w:t>
      </w:r>
      <w:r w:rsidRPr="004C271A">
        <w:t xml:space="preserve"> be grouped into major categories. Consensus among evaluation team members conducting the analyses will be reached at each step o</w:t>
      </w:r>
      <w:r>
        <w:t xml:space="preserve">f the analytical process (i.e., lower order themes, higher order themes, major categories) </w:t>
      </w:r>
      <w:r w:rsidRPr="004C271A">
        <w:t>before proceeding to the next step to achieve inter-coder reliability. This process ensures a consistent understanding and interpretation of the data.</w:t>
      </w:r>
    </w:p>
    <w:p w:rsidR="00F32058" w:rsidRPr="005F026E" w:rsidP="00D93F2E" w14:paraId="6C18EFFD" w14:textId="77777777">
      <w:pPr>
        <w:pStyle w:val="Heading4"/>
        <w:spacing w:before="360" w:after="0"/>
      </w:pPr>
      <w:r w:rsidRPr="005F026E">
        <w:t xml:space="preserve">Reports </w:t>
      </w:r>
    </w:p>
    <w:p w:rsidR="00F32058" w:rsidRPr="005F026E" w:rsidP="00841CF0" w14:paraId="13BBAAAF" w14:textId="482DCE16">
      <w:pPr>
        <w:pStyle w:val="NormalSS"/>
      </w:pPr>
      <w:r w:rsidRPr="005F026E">
        <w:t>Annual reports of the evaluation findings-to-date will be produced and submitted to MCHB</w:t>
      </w:r>
      <w:r w:rsidRPr="005F026E" w:rsidR="0035278F">
        <w:t xml:space="preserve">. </w:t>
      </w:r>
      <w:r w:rsidRPr="005F026E" w:rsidR="006E0B01">
        <w:t xml:space="preserve">A final report will be submitted at the end of Year 4. </w:t>
      </w:r>
      <w:r w:rsidRPr="005F026E">
        <w:t>Study briefings</w:t>
      </w:r>
      <w:r w:rsidRPr="005F026E" w:rsidR="00D34E6B">
        <w:t xml:space="preserve">/presentations </w:t>
      </w:r>
      <w:r w:rsidRPr="005F026E">
        <w:t xml:space="preserve">will be </w:t>
      </w:r>
      <w:r w:rsidRPr="005F026E" w:rsidR="00D34E6B">
        <w:t xml:space="preserve">made to </w:t>
      </w:r>
      <w:r w:rsidRPr="005F026E">
        <w:t xml:space="preserve">key </w:t>
      </w:r>
      <w:r w:rsidRPr="005F026E" w:rsidR="00506357">
        <w:t>HRSA/</w:t>
      </w:r>
      <w:r w:rsidRPr="005F026E" w:rsidR="00E40FEB">
        <w:t>MCHB</w:t>
      </w:r>
      <w:r w:rsidRPr="005F026E">
        <w:t xml:space="preserve"> staff, </w:t>
      </w:r>
      <w:r w:rsidRPr="005F026E" w:rsidR="00E40FEB">
        <w:t xml:space="preserve">the </w:t>
      </w:r>
      <w:r w:rsidRPr="005F026E" w:rsidR="00885979">
        <w:t xml:space="preserve">Secretary’s Advisory Committee on Infant Mortality, </w:t>
      </w:r>
      <w:r w:rsidRPr="005F026E" w:rsidR="00E40FEB">
        <w:t>grantees</w:t>
      </w:r>
      <w:r w:rsidRPr="005F026E" w:rsidR="005A3033">
        <w:t>, and other program stakeholders</w:t>
      </w:r>
      <w:r w:rsidR="008D63FF">
        <w:t xml:space="preserve"> upon request. </w:t>
      </w:r>
      <w:r w:rsidRPr="005F026E" w:rsidR="00647A80">
        <w:t>Additional publications may include peer-review</w:t>
      </w:r>
      <w:r w:rsidRPr="005F026E" w:rsidR="001C0DBC">
        <w:t>ed</w:t>
      </w:r>
      <w:r w:rsidRPr="005F026E" w:rsidR="00647A80">
        <w:t xml:space="preserve"> journal articles and issue briefs to disseminate results to the broader community of maternal and child health (MCH) policymakers and practitioners.</w:t>
      </w:r>
    </w:p>
    <w:bookmarkEnd w:id="2"/>
    <w:bookmarkEnd w:id="3"/>
    <w:bookmarkEnd w:id="4"/>
    <w:p w:rsidR="00F32058" w:rsidRPr="005F026E" w:rsidP="00D93F2E" w14:paraId="218FB319" w14:textId="77777777">
      <w:pPr>
        <w:pStyle w:val="Heading4"/>
        <w:spacing w:after="0"/>
      </w:pPr>
      <w:r w:rsidRPr="005F026E">
        <w:t>Schedule</w:t>
      </w:r>
    </w:p>
    <w:p w:rsidR="00841CF0" w:rsidRPr="005F026E" w:rsidP="003C1FFE" w14:paraId="20D6906A" w14:textId="0D8C3896">
      <w:pPr>
        <w:pStyle w:val="NormalSS"/>
      </w:pPr>
      <w:r w:rsidRPr="005F026E">
        <w:t xml:space="preserve">Funding for the Healthy Start </w:t>
      </w:r>
      <w:r w:rsidRPr="005F026E" w:rsidR="00D34E6B">
        <w:t xml:space="preserve">evaluation </w:t>
      </w:r>
      <w:r w:rsidRPr="005F026E" w:rsidR="005A3033">
        <w:t>began</w:t>
      </w:r>
      <w:r w:rsidRPr="005F026E">
        <w:t xml:space="preserve"> </w:t>
      </w:r>
      <w:r w:rsidRPr="005F026E" w:rsidR="00942C4C">
        <w:t xml:space="preserve">in </w:t>
      </w:r>
      <w:r w:rsidRPr="005F026E" w:rsidR="0072591B">
        <w:t>September 2021 and</w:t>
      </w:r>
      <w:r w:rsidRPr="005F026E" w:rsidR="005A3033">
        <w:t xml:space="preserve"> will </w:t>
      </w:r>
      <w:r w:rsidRPr="005F026E" w:rsidR="000177B6">
        <w:t xml:space="preserve">end </w:t>
      </w:r>
      <w:r w:rsidRPr="005F026E" w:rsidR="00942C4C">
        <w:t xml:space="preserve">in </w:t>
      </w:r>
      <w:r w:rsidRPr="005F026E" w:rsidR="00D34E6B">
        <w:t xml:space="preserve">September 2025. </w:t>
      </w:r>
      <w:r w:rsidRPr="005F026E" w:rsidR="00F32058">
        <w:t xml:space="preserve">The </w:t>
      </w:r>
      <w:r w:rsidRPr="005F026E" w:rsidR="00676CB6">
        <w:t xml:space="preserve">estimated </w:t>
      </w:r>
      <w:r w:rsidRPr="005F026E" w:rsidR="00F32058">
        <w:t xml:space="preserve">schedule for </w:t>
      </w:r>
      <w:r w:rsidRPr="008D63FF" w:rsidR="00D34E6B">
        <w:t>key</w:t>
      </w:r>
      <w:r w:rsidRPr="005F026E" w:rsidR="00D34E6B">
        <w:t xml:space="preserve"> data collection, analysis, and reporting tasks relevant to this request for OMB approval </w:t>
      </w:r>
      <w:r w:rsidRPr="005F026E" w:rsidR="00F32058">
        <w:t xml:space="preserve">is presented in </w:t>
      </w:r>
      <w:r w:rsidRPr="005F026E" w:rsidR="00036278">
        <w:t xml:space="preserve">Table </w:t>
      </w:r>
      <w:r w:rsidR="008D63FF">
        <w:t>A.</w:t>
      </w:r>
      <w:r w:rsidR="009C0B95">
        <w:t>6</w:t>
      </w:r>
      <w:r w:rsidRPr="005F026E" w:rsidR="00273B7A">
        <w:t xml:space="preserve"> </w:t>
      </w:r>
      <w:r w:rsidRPr="005F026E" w:rsidR="00D34E6B">
        <w:t>below</w:t>
      </w:r>
      <w:r w:rsidRPr="005F026E" w:rsidR="00F32058">
        <w:t>.</w:t>
      </w:r>
      <w:r w:rsidRPr="005F026E" w:rsidR="000177B6">
        <w:t xml:space="preserve"> The maximum three years of clearance is requested with </w:t>
      </w:r>
      <w:r w:rsidRPr="005F026E" w:rsidR="00942C4C">
        <w:t xml:space="preserve">the </w:t>
      </w:r>
      <w:r w:rsidRPr="005F026E" w:rsidR="000177B6">
        <w:t xml:space="preserve">intent that </w:t>
      </w:r>
      <w:r w:rsidRPr="005F026E" w:rsidR="00D85AFB">
        <w:t>an extension</w:t>
      </w:r>
      <w:r w:rsidRPr="005F026E" w:rsidR="000177B6">
        <w:t xml:space="preserve"> for OMB clearance will be requested to continue data collection </w:t>
      </w:r>
      <w:r w:rsidRPr="005F026E" w:rsidR="00E91D9B">
        <w:t>if needed.</w:t>
      </w:r>
      <w:r w:rsidRPr="005F026E" w:rsidR="004615F8">
        <w:t xml:space="preserve"> </w:t>
      </w:r>
    </w:p>
    <w:p w:rsidR="00F32058" w:rsidRPr="005F026E" w:rsidP="00841CF0" w14:paraId="626EED2D" w14:textId="2375A5F8">
      <w:pPr>
        <w:pStyle w:val="MarkforTableHeading"/>
        <w:rPr>
          <w:rFonts w:ascii="Times New Roman" w:hAnsi="Times New Roman"/>
          <w:b/>
          <w:bCs/>
          <w:sz w:val="24"/>
        </w:rPr>
      </w:pPr>
      <w:r w:rsidRPr="005F026E">
        <w:rPr>
          <w:rFonts w:ascii="Times New Roman" w:hAnsi="Times New Roman"/>
          <w:b/>
          <w:bCs/>
          <w:sz w:val="24"/>
        </w:rPr>
        <w:t xml:space="preserve">Table </w:t>
      </w:r>
      <w:r w:rsidR="00AC3399">
        <w:rPr>
          <w:rFonts w:ascii="Times New Roman" w:hAnsi="Times New Roman"/>
          <w:b/>
          <w:bCs/>
          <w:sz w:val="24"/>
        </w:rPr>
        <w:t>A.</w:t>
      </w:r>
      <w:r w:rsidR="009C0B95">
        <w:rPr>
          <w:rFonts w:ascii="Times New Roman" w:hAnsi="Times New Roman"/>
          <w:b/>
          <w:bCs/>
          <w:sz w:val="24"/>
        </w:rPr>
        <w:t>6</w:t>
      </w:r>
      <w:r w:rsidR="00AC3399">
        <w:rPr>
          <w:rFonts w:ascii="Times New Roman" w:hAnsi="Times New Roman"/>
          <w:b/>
          <w:bCs/>
          <w:sz w:val="24"/>
        </w:rPr>
        <w:t>.</w:t>
      </w:r>
      <w:r w:rsidRPr="005F026E" w:rsidR="00676CB6">
        <w:rPr>
          <w:rFonts w:ascii="Times New Roman" w:hAnsi="Times New Roman"/>
          <w:b/>
          <w:bCs/>
          <w:sz w:val="24"/>
        </w:rPr>
        <w:t xml:space="preserve"> </w:t>
      </w:r>
      <w:r w:rsidRPr="005F026E">
        <w:rPr>
          <w:rFonts w:ascii="Times New Roman" w:hAnsi="Times New Roman"/>
          <w:b/>
          <w:bCs/>
          <w:sz w:val="24"/>
        </w:rPr>
        <w:t xml:space="preserve">Estimated </w:t>
      </w:r>
      <w:r w:rsidR="00AC3399">
        <w:rPr>
          <w:rFonts w:ascii="Times New Roman" w:hAnsi="Times New Roman"/>
          <w:b/>
          <w:bCs/>
          <w:sz w:val="24"/>
        </w:rPr>
        <w:t>T</w:t>
      </w:r>
      <w:r w:rsidRPr="005F026E">
        <w:rPr>
          <w:rFonts w:ascii="Times New Roman" w:hAnsi="Times New Roman"/>
          <w:b/>
          <w:bCs/>
          <w:sz w:val="24"/>
        </w:rPr>
        <w:t xml:space="preserve">ime </w:t>
      </w:r>
      <w:r w:rsidR="00AC3399">
        <w:rPr>
          <w:rFonts w:ascii="Times New Roman" w:hAnsi="Times New Roman"/>
          <w:b/>
          <w:bCs/>
          <w:sz w:val="24"/>
        </w:rPr>
        <w:t>S</w:t>
      </w:r>
      <w:r w:rsidRPr="005F026E">
        <w:rPr>
          <w:rFonts w:ascii="Times New Roman" w:hAnsi="Times New Roman"/>
          <w:b/>
          <w:bCs/>
          <w:sz w:val="24"/>
        </w:rPr>
        <w:t xml:space="preserve">chedule for </w:t>
      </w:r>
      <w:r w:rsidR="00AC3399">
        <w:rPr>
          <w:rFonts w:ascii="Times New Roman" w:hAnsi="Times New Roman"/>
          <w:b/>
          <w:bCs/>
          <w:sz w:val="24"/>
        </w:rPr>
        <w:t>D</w:t>
      </w:r>
      <w:r w:rsidRPr="005F026E">
        <w:rPr>
          <w:rFonts w:ascii="Times New Roman" w:hAnsi="Times New Roman"/>
          <w:b/>
          <w:bCs/>
          <w:sz w:val="24"/>
        </w:rPr>
        <w:t xml:space="preserve">ata </w:t>
      </w:r>
      <w:r w:rsidR="00AC3399">
        <w:rPr>
          <w:rFonts w:ascii="Times New Roman" w:hAnsi="Times New Roman"/>
          <w:b/>
          <w:bCs/>
          <w:sz w:val="24"/>
        </w:rPr>
        <w:t>C</w:t>
      </w:r>
      <w:r w:rsidRPr="005F026E">
        <w:rPr>
          <w:rFonts w:ascii="Times New Roman" w:hAnsi="Times New Roman"/>
          <w:b/>
          <w:bCs/>
          <w:sz w:val="24"/>
        </w:rPr>
        <w:t xml:space="preserve">ollection, </w:t>
      </w:r>
      <w:r w:rsidR="00AC3399">
        <w:rPr>
          <w:rFonts w:ascii="Times New Roman" w:hAnsi="Times New Roman"/>
          <w:b/>
          <w:bCs/>
          <w:sz w:val="24"/>
        </w:rPr>
        <w:t>A</w:t>
      </w:r>
      <w:r w:rsidRPr="005F026E">
        <w:rPr>
          <w:rFonts w:ascii="Times New Roman" w:hAnsi="Times New Roman"/>
          <w:b/>
          <w:bCs/>
          <w:sz w:val="24"/>
        </w:rPr>
        <w:t xml:space="preserve">nalysis, and </w:t>
      </w:r>
      <w:r w:rsidR="00AC3399">
        <w:rPr>
          <w:rFonts w:ascii="Times New Roman" w:hAnsi="Times New Roman"/>
          <w:b/>
          <w:bCs/>
          <w:sz w:val="24"/>
        </w:rPr>
        <w:t>R</w:t>
      </w:r>
      <w:r w:rsidRPr="005F026E">
        <w:rPr>
          <w:rFonts w:ascii="Times New Roman" w:hAnsi="Times New Roman"/>
          <w:b/>
          <w:bCs/>
          <w:sz w:val="24"/>
        </w:rPr>
        <w:t>eports</w:t>
      </w:r>
    </w:p>
    <w:p w:rsidR="00A250E2" w:rsidRPr="005F026E" w:rsidP="00A250E2" w14:paraId="18AF012F" w14:textId="2D010756">
      <w:pPr>
        <w:rPr>
          <w:sz w:val="24"/>
        </w:rPr>
      </w:pPr>
    </w:p>
    <w:tbl>
      <w:tblPr>
        <w:tblStyle w:val="LightList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0"/>
        <w:gridCol w:w="4258"/>
      </w:tblGrid>
      <w:tr w14:paraId="69F25DCC" w14:textId="77777777" w:rsidTr="7435F17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80" w:type="dxa"/>
            <w:shd w:val="clear" w:color="auto" w:fill="BFBFBF" w:themeFill="background1" w:themeFillShade="BF"/>
          </w:tcPr>
          <w:p w:rsidR="007F4C52" w:rsidRPr="005F026E" w:rsidP="00F53AC0" w14:paraId="14C4D293" w14:textId="77777777">
            <w:pPr>
              <w:tabs>
                <w:tab w:val="center" w:pos="3741"/>
              </w:tabs>
              <w:rPr>
                <w:rFonts w:ascii="Times New Roman" w:hAnsi="Times New Roman" w:cs="Times New Roman"/>
                <w:b w:val="0"/>
                <w:color w:val="auto"/>
                <w:sz w:val="24"/>
              </w:rPr>
            </w:pPr>
            <w:r w:rsidRPr="005F026E">
              <w:rPr>
                <w:rFonts w:ascii="Times New Roman" w:hAnsi="Times New Roman" w:cs="Times New Roman"/>
                <w:color w:val="auto"/>
                <w:sz w:val="24"/>
              </w:rPr>
              <w:tab/>
              <w:t>Task</w:t>
            </w:r>
          </w:p>
        </w:tc>
        <w:tc>
          <w:tcPr>
            <w:tcW w:w="4258" w:type="dxa"/>
            <w:shd w:val="clear" w:color="auto" w:fill="BFBFBF" w:themeFill="background1" w:themeFillShade="BF"/>
          </w:tcPr>
          <w:p w:rsidR="007F4C52" w:rsidRPr="005F026E" w:rsidP="00F53AC0" w14:paraId="5DCF04A7" w14:textId="77777777">
            <w:pPr>
              <w:jc w:val="center"/>
              <w:rPr>
                <w:rFonts w:ascii="Times New Roman" w:hAnsi="Times New Roman" w:cs="Times New Roman"/>
                <w:b w:val="0"/>
                <w:color w:val="auto"/>
                <w:sz w:val="24"/>
              </w:rPr>
            </w:pPr>
            <w:r w:rsidRPr="7435F173">
              <w:rPr>
                <w:rFonts w:ascii="Times New Roman" w:hAnsi="Times New Roman" w:cs="Times New Roman"/>
                <w:color w:val="auto"/>
                <w:sz w:val="24"/>
              </w:rPr>
              <w:t>Time Schedule</w:t>
            </w:r>
          </w:p>
        </w:tc>
      </w:tr>
      <w:tr w14:paraId="120B4B49" w14:textId="77777777" w:rsidTr="7435F173">
        <w:tblPrEx>
          <w:tblW w:w="9738" w:type="dxa"/>
          <w:tblLook w:val="04A0"/>
        </w:tblPrEx>
        <w:tc>
          <w:tcPr>
            <w:tcW w:w="9738" w:type="dxa"/>
            <w:gridSpan w:val="2"/>
          </w:tcPr>
          <w:p w:rsidR="009A1DC8" w:rsidRPr="005F026E" w:rsidP="00F53AC0" w14:paraId="6E962B62" w14:textId="736CEBCA">
            <w:pPr>
              <w:rPr>
                <w:rFonts w:ascii="Times New Roman" w:hAnsi="Times New Roman" w:cs="Times New Roman"/>
                <w:color w:val="FF0000"/>
                <w:sz w:val="24"/>
              </w:rPr>
            </w:pPr>
            <w:r w:rsidRPr="005F026E">
              <w:rPr>
                <w:rFonts w:ascii="Times New Roman" w:hAnsi="Times New Roman" w:cs="Times New Roman"/>
                <w:sz w:val="24"/>
              </w:rPr>
              <w:t xml:space="preserve">Healthy Start </w:t>
            </w:r>
            <w:r w:rsidR="00647650">
              <w:rPr>
                <w:rFonts w:ascii="Times New Roman" w:hAnsi="Times New Roman" w:cs="Times New Roman"/>
                <w:sz w:val="24"/>
              </w:rPr>
              <w:t>Participant</w:t>
            </w:r>
            <w:r w:rsidRPr="005F026E" w:rsidR="00647650">
              <w:rPr>
                <w:rFonts w:ascii="Times New Roman" w:hAnsi="Times New Roman" w:cs="Times New Roman"/>
                <w:sz w:val="24"/>
              </w:rPr>
              <w:t xml:space="preserve"> </w:t>
            </w:r>
            <w:r w:rsidRPr="005F026E">
              <w:rPr>
                <w:rFonts w:ascii="Times New Roman" w:hAnsi="Times New Roman" w:cs="Times New Roman"/>
                <w:sz w:val="24"/>
              </w:rPr>
              <w:t xml:space="preserve">Survey </w:t>
            </w:r>
          </w:p>
        </w:tc>
      </w:tr>
      <w:tr w14:paraId="06BDFC19" w14:textId="77777777" w:rsidTr="7435F173">
        <w:tblPrEx>
          <w:tblW w:w="9738" w:type="dxa"/>
          <w:tblLook w:val="04A0"/>
        </w:tblPrEx>
        <w:tc>
          <w:tcPr>
            <w:tcW w:w="5480" w:type="dxa"/>
          </w:tcPr>
          <w:p w:rsidR="007F4C52" w:rsidRPr="005F026E" w:rsidP="00F53AC0" w14:paraId="5653EC96" w14:textId="638C19B3">
            <w:pPr>
              <w:rPr>
                <w:rFonts w:ascii="Times New Roman" w:hAnsi="Times New Roman" w:cs="Times New Roman"/>
                <w:b w:val="0"/>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Administer the survey to grantees </w:t>
            </w:r>
          </w:p>
        </w:tc>
        <w:tc>
          <w:tcPr>
            <w:tcW w:w="4258" w:type="dxa"/>
          </w:tcPr>
          <w:p w:rsidR="007F4C52" w:rsidRPr="005F026E" w:rsidP="00651D73" w14:paraId="6CA811C1" w14:textId="078DCBCE">
            <w:pPr>
              <w:rPr>
                <w:rFonts w:ascii="Times New Roman" w:hAnsi="Times New Roman" w:cs="Times New Roman"/>
                <w:sz w:val="24"/>
              </w:rPr>
            </w:pPr>
            <w:r>
              <w:rPr>
                <w:rFonts w:ascii="Times New Roman" w:hAnsi="Times New Roman" w:cs="Times New Roman"/>
                <w:sz w:val="24"/>
              </w:rPr>
              <w:t>September – November 2023</w:t>
            </w:r>
          </w:p>
        </w:tc>
      </w:tr>
      <w:tr w14:paraId="0D723CFF" w14:textId="77777777" w:rsidTr="7435F173">
        <w:tblPrEx>
          <w:tblW w:w="9738" w:type="dxa"/>
          <w:tblLook w:val="04A0"/>
        </w:tblPrEx>
        <w:tc>
          <w:tcPr>
            <w:tcW w:w="5480" w:type="dxa"/>
            <w:tcBorders>
              <w:top w:val="none" w:sz="0" w:space="0" w:color="auto"/>
              <w:left w:val="none" w:sz="0" w:space="0" w:color="auto"/>
              <w:bottom w:val="none" w:sz="0" w:space="0" w:color="auto"/>
            </w:tcBorders>
          </w:tcPr>
          <w:p w:rsidR="007F4C52" w:rsidRPr="005F026E" w:rsidP="00F53AC0" w14:paraId="417CFC9C" w14:textId="1B68E9C1">
            <w:pPr>
              <w:rPr>
                <w:rFonts w:ascii="Times New Roman" w:hAnsi="Times New Roman" w:cs="Times New Roman"/>
                <w:b w:val="0"/>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Analyze survey data</w:t>
            </w:r>
          </w:p>
        </w:tc>
        <w:tc>
          <w:tcPr>
            <w:tcW w:w="4258" w:type="dxa"/>
            <w:tcBorders>
              <w:top w:val="none" w:sz="0" w:space="0" w:color="auto"/>
              <w:bottom w:val="none" w:sz="0" w:space="0" w:color="auto"/>
              <w:right w:val="none" w:sz="0" w:space="0" w:color="auto"/>
            </w:tcBorders>
          </w:tcPr>
          <w:p w:rsidR="007F4C52" w:rsidRPr="005F026E" w:rsidP="00F53AC0" w14:paraId="72F3C8FB" w14:textId="700BF365">
            <w:pPr>
              <w:rPr>
                <w:rFonts w:ascii="Times New Roman" w:hAnsi="Times New Roman" w:cs="Times New Roman"/>
                <w:sz w:val="24"/>
              </w:rPr>
            </w:pPr>
            <w:r>
              <w:rPr>
                <w:rFonts w:ascii="Times New Roman" w:hAnsi="Times New Roman" w:cs="Times New Roman"/>
                <w:sz w:val="24"/>
              </w:rPr>
              <w:t>December 2023 – January 2024</w:t>
            </w:r>
            <w:r w:rsidR="00AD6916">
              <w:rPr>
                <w:rFonts w:ascii="Times New Roman" w:hAnsi="Times New Roman" w:cs="Times New Roman"/>
                <w:sz w:val="24"/>
              </w:rPr>
              <w:t xml:space="preserve"> </w:t>
            </w:r>
          </w:p>
        </w:tc>
      </w:tr>
      <w:tr w14:paraId="311A41DE" w14:textId="77777777" w:rsidTr="7435F173">
        <w:tblPrEx>
          <w:tblW w:w="9738" w:type="dxa"/>
          <w:tblLook w:val="04A0"/>
        </w:tblPrEx>
        <w:tc>
          <w:tcPr>
            <w:tcW w:w="5480" w:type="dxa"/>
          </w:tcPr>
          <w:p w:rsidR="007F4C52" w:rsidRPr="005F026E" w:rsidP="00F53AC0" w14:paraId="729AC731" w14:textId="7779A3F0">
            <w:pPr>
              <w:rPr>
                <w:rFonts w:ascii="Times New Roman" w:hAnsi="Times New Roman" w:cs="Times New Roman"/>
                <w:b w:val="0"/>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Prepare report and brief stakeholders</w:t>
            </w:r>
          </w:p>
        </w:tc>
        <w:tc>
          <w:tcPr>
            <w:tcW w:w="4258" w:type="dxa"/>
          </w:tcPr>
          <w:p w:rsidR="007F4C52" w:rsidRPr="005F026E" w:rsidP="00F53AC0" w14:paraId="36D8AAB9" w14:textId="3BAFC630">
            <w:pPr>
              <w:rPr>
                <w:rFonts w:ascii="Times New Roman" w:hAnsi="Times New Roman" w:cs="Times New Roman"/>
                <w:sz w:val="24"/>
              </w:rPr>
            </w:pPr>
            <w:r>
              <w:rPr>
                <w:rFonts w:ascii="Times New Roman" w:hAnsi="Times New Roman" w:cs="Times New Roman"/>
                <w:sz w:val="24"/>
              </w:rPr>
              <w:t>February – March 2024</w:t>
            </w:r>
          </w:p>
        </w:tc>
      </w:tr>
      <w:tr w14:paraId="2399857E" w14:textId="77777777" w:rsidTr="7435F173">
        <w:tblPrEx>
          <w:tblW w:w="9738" w:type="dxa"/>
          <w:tblLook w:val="04A0"/>
        </w:tblPrEx>
        <w:tc>
          <w:tcPr>
            <w:tcW w:w="9738" w:type="dxa"/>
            <w:gridSpan w:val="2"/>
          </w:tcPr>
          <w:p w:rsidR="009A1DC8" w:rsidRPr="005F026E" w:rsidP="007F4C52" w14:paraId="74C0CD86" w14:textId="193C22F4">
            <w:pPr>
              <w:rPr>
                <w:rFonts w:ascii="Times New Roman" w:hAnsi="Times New Roman" w:cs="Times New Roman"/>
                <w:sz w:val="24"/>
              </w:rPr>
            </w:pPr>
            <w:r w:rsidRPr="005F026E">
              <w:rPr>
                <w:rFonts w:ascii="Times New Roman" w:hAnsi="Times New Roman" w:cs="Times New Roman"/>
                <w:sz w:val="24"/>
              </w:rPr>
              <w:t>Healthy Start Network Survey</w:t>
            </w:r>
          </w:p>
        </w:tc>
      </w:tr>
      <w:tr w14:paraId="25A2C632" w14:textId="77777777" w:rsidTr="7435F173">
        <w:tblPrEx>
          <w:tblW w:w="9738" w:type="dxa"/>
          <w:tblLook w:val="04A0"/>
        </w:tblPrEx>
        <w:tc>
          <w:tcPr>
            <w:tcW w:w="5480" w:type="dxa"/>
          </w:tcPr>
          <w:p w:rsidR="007F4C52" w:rsidRPr="005F026E" w:rsidP="007F4C52" w14:paraId="6BE007C7" w14:textId="787BCEAD">
            <w:pPr>
              <w:rPr>
                <w:rFonts w:ascii="Times New Roman" w:hAnsi="Times New Roman" w:cs="Times New Roman"/>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Administer the survey </w:t>
            </w:r>
          </w:p>
        </w:tc>
        <w:tc>
          <w:tcPr>
            <w:tcW w:w="4258" w:type="dxa"/>
          </w:tcPr>
          <w:p w:rsidR="007F4C52" w:rsidRPr="005F026E" w:rsidP="00AE26C1" w14:paraId="0C975BA0" w14:textId="57D0222C">
            <w:pPr>
              <w:rPr>
                <w:rFonts w:ascii="Times New Roman" w:hAnsi="Times New Roman" w:cs="Times New Roman"/>
                <w:sz w:val="24"/>
              </w:rPr>
            </w:pPr>
            <w:r>
              <w:rPr>
                <w:rFonts w:ascii="Times New Roman" w:hAnsi="Times New Roman" w:cs="Times New Roman"/>
                <w:sz w:val="24"/>
              </w:rPr>
              <w:t xml:space="preserve">October </w:t>
            </w:r>
            <w:r w:rsidR="00AE26C1">
              <w:rPr>
                <w:rFonts w:ascii="Times New Roman" w:hAnsi="Times New Roman" w:cs="Times New Roman"/>
                <w:sz w:val="24"/>
              </w:rPr>
              <w:t xml:space="preserve">2023 </w:t>
            </w:r>
            <w:r>
              <w:rPr>
                <w:rFonts w:ascii="Times New Roman" w:hAnsi="Times New Roman" w:cs="Times New Roman"/>
                <w:sz w:val="24"/>
              </w:rPr>
              <w:t xml:space="preserve">– </w:t>
            </w:r>
            <w:r w:rsidR="00AE26C1">
              <w:rPr>
                <w:rFonts w:ascii="Times New Roman" w:hAnsi="Times New Roman" w:cs="Times New Roman"/>
                <w:sz w:val="24"/>
              </w:rPr>
              <w:t>January 2024</w:t>
            </w:r>
          </w:p>
        </w:tc>
      </w:tr>
      <w:tr w14:paraId="22068E11" w14:textId="77777777" w:rsidTr="7435F173">
        <w:tblPrEx>
          <w:tblW w:w="9738" w:type="dxa"/>
          <w:tblLook w:val="04A0"/>
        </w:tblPrEx>
        <w:tc>
          <w:tcPr>
            <w:tcW w:w="5480" w:type="dxa"/>
          </w:tcPr>
          <w:p w:rsidR="007F4C52" w:rsidRPr="005F026E" w:rsidP="007F4C52" w14:paraId="5235EC10" w14:textId="718BFCD0">
            <w:pPr>
              <w:rPr>
                <w:rFonts w:ascii="Times New Roman" w:hAnsi="Times New Roman" w:cs="Times New Roman"/>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Analyze survey data</w:t>
            </w:r>
          </w:p>
        </w:tc>
        <w:tc>
          <w:tcPr>
            <w:tcW w:w="4258" w:type="dxa"/>
          </w:tcPr>
          <w:p w:rsidR="007F4C52" w:rsidRPr="005F026E" w:rsidP="00AE26C1" w14:paraId="79ADF7C1" w14:textId="7BEE6DD8">
            <w:pPr>
              <w:rPr>
                <w:rFonts w:ascii="Times New Roman" w:hAnsi="Times New Roman" w:cs="Times New Roman"/>
                <w:sz w:val="24"/>
              </w:rPr>
            </w:pPr>
            <w:r>
              <w:rPr>
                <w:rFonts w:ascii="Times New Roman" w:hAnsi="Times New Roman" w:cs="Times New Roman"/>
                <w:sz w:val="24"/>
              </w:rPr>
              <w:t>February</w:t>
            </w:r>
            <w:r w:rsidR="00013F9E">
              <w:rPr>
                <w:rFonts w:ascii="Times New Roman" w:hAnsi="Times New Roman" w:cs="Times New Roman"/>
                <w:sz w:val="24"/>
              </w:rPr>
              <w:t xml:space="preserve"> – </w:t>
            </w:r>
            <w:r>
              <w:rPr>
                <w:rFonts w:ascii="Times New Roman" w:hAnsi="Times New Roman" w:cs="Times New Roman"/>
                <w:sz w:val="24"/>
              </w:rPr>
              <w:t>April</w:t>
            </w:r>
            <w:r w:rsidR="00013F9E">
              <w:rPr>
                <w:rFonts w:ascii="Times New Roman" w:hAnsi="Times New Roman" w:cs="Times New Roman"/>
                <w:sz w:val="24"/>
              </w:rPr>
              <w:t xml:space="preserve"> 2024</w:t>
            </w:r>
          </w:p>
        </w:tc>
      </w:tr>
      <w:tr w14:paraId="1898FDE3" w14:textId="77777777" w:rsidTr="7435F173">
        <w:tblPrEx>
          <w:tblW w:w="9738" w:type="dxa"/>
          <w:tblLook w:val="04A0"/>
        </w:tblPrEx>
        <w:tc>
          <w:tcPr>
            <w:tcW w:w="5480" w:type="dxa"/>
          </w:tcPr>
          <w:p w:rsidR="007F4C52" w:rsidRPr="005F026E" w:rsidP="007F4C52" w14:paraId="239E98AA" w14:textId="0D86C0C7">
            <w:pPr>
              <w:rPr>
                <w:rFonts w:ascii="Times New Roman" w:hAnsi="Times New Roman" w:cs="Times New Roman"/>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Prepare report and brief stakeholders</w:t>
            </w:r>
          </w:p>
        </w:tc>
        <w:tc>
          <w:tcPr>
            <w:tcW w:w="4258" w:type="dxa"/>
          </w:tcPr>
          <w:p w:rsidR="007F4C52" w:rsidRPr="005F026E" w:rsidP="00244E40" w14:paraId="165366BC" w14:textId="5BCCCF7A">
            <w:pPr>
              <w:rPr>
                <w:rFonts w:ascii="Times New Roman" w:hAnsi="Times New Roman" w:cs="Times New Roman"/>
                <w:sz w:val="24"/>
              </w:rPr>
            </w:pPr>
            <w:r>
              <w:rPr>
                <w:rFonts w:ascii="Times New Roman" w:hAnsi="Times New Roman" w:cs="Times New Roman"/>
                <w:sz w:val="24"/>
              </w:rPr>
              <w:t>May – June 2024</w:t>
            </w:r>
          </w:p>
        </w:tc>
      </w:tr>
      <w:tr w14:paraId="34F58943" w14:textId="77777777" w:rsidTr="7435F173">
        <w:tblPrEx>
          <w:tblW w:w="9738" w:type="dxa"/>
          <w:tblLook w:val="04A0"/>
        </w:tblPrEx>
        <w:tc>
          <w:tcPr>
            <w:tcW w:w="9738" w:type="dxa"/>
            <w:gridSpan w:val="2"/>
          </w:tcPr>
          <w:p w:rsidR="009A1DC8" w:rsidRPr="005F026E" w:rsidP="007F4C52" w14:paraId="16898665" w14:textId="5B4068DD">
            <w:pPr>
              <w:rPr>
                <w:rFonts w:ascii="Times New Roman" w:hAnsi="Times New Roman" w:cs="Times New Roman"/>
                <w:sz w:val="24"/>
              </w:rPr>
            </w:pPr>
            <w:r w:rsidRPr="005F026E">
              <w:rPr>
                <w:rFonts w:ascii="Times New Roman" w:hAnsi="Times New Roman" w:cs="Times New Roman"/>
                <w:sz w:val="24"/>
              </w:rPr>
              <w:t xml:space="preserve">Healthy Start </w:t>
            </w:r>
            <w:r w:rsidR="00647650">
              <w:rPr>
                <w:rFonts w:ascii="Times New Roman" w:hAnsi="Times New Roman" w:cs="Times New Roman"/>
                <w:sz w:val="24"/>
              </w:rPr>
              <w:t>Program</w:t>
            </w:r>
            <w:r w:rsidRPr="005F026E" w:rsidR="00647650">
              <w:rPr>
                <w:rFonts w:ascii="Times New Roman" w:hAnsi="Times New Roman" w:cs="Times New Roman"/>
                <w:sz w:val="24"/>
              </w:rPr>
              <w:t xml:space="preserve"> </w:t>
            </w:r>
            <w:r w:rsidRPr="005F026E">
              <w:rPr>
                <w:rFonts w:ascii="Times New Roman" w:hAnsi="Times New Roman" w:cs="Times New Roman"/>
                <w:sz w:val="24"/>
              </w:rPr>
              <w:t>Survey</w:t>
            </w:r>
          </w:p>
        </w:tc>
      </w:tr>
      <w:tr w14:paraId="09E1CD80" w14:textId="77777777" w:rsidTr="7435F173">
        <w:tblPrEx>
          <w:tblW w:w="9738" w:type="dxa"/>
          <w:tblLook w:val="04A0"/>
        </w:tblPrEx>
        <w:tc>
          <w:tcPr>
            <w:tcW w:w="5480" w:type="dxa"/>
          </w:tcPr>
          <w:p w:rsidR="007F4C52" w:rsidRPr="005F026E" w:rsidP="007F4C52" w14:paraId="22D03BFA" w14:textId="23F007DA">
            <w:pPr>
              <w:rPr>
                <w:rFonts w:ascii="Times New Roman" w:hAnsi="Times New Roman" w:cs="Times New Roman"/>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Administer survey</w:t>
            </w:r>
          </w:p>
        </w:tc>
        <w:tc>
          <w:tcPr>
            <w:tcW w:w="4258" w:type="dxa"/>
          </w:tcPr>
          <w:p w:rsidR="007F4C52" w:rsidRPr="005F026E" w:rsidP="00EE2949" w14:paraId="2999BC84" w14:textId="2DE51D8D">
            <w:pPr>
              <w:rPr>
                <w:rFonts w:ascii="Times New Roman" w:hAnsi="Times New Roman" w:cs="Times New Roman"/>
                <w:sz w:val="24"/>
              </w:rPr>
            </w:pPr>
            <w:r>
              <w:rPr>
                <w:rFonts w:ascii="Times New Roman" w:hAnsi="Times New Roman" w:cs="Times New Roman"/>
                <w:sz w:val="24"/>
              </w:rPr>
              <w:t>January</w:t>
            </w:r>
            <w:r w:rsidR="00E44FA1">
              <w:rPr>
                <w:rFonts w:ascii="Times New Roman" w:hAnsi="Times New Roman" w:cs="Times New Roman"/>
                <w:sz w:val="24"/>
              </w:rPr>
              <w:t xml:space="preserve"> </w:t>
            </w:r>
            <w:r w:rsidR="00BE35A7">
              <w:rPr>
                <w:rFonts w:ascii="Times New Roman" w:hAnsi="Times New Roman" w:cs="Times New Roman"/>
                <w:sz w:val="24"/>
              </w:rPr>
              <w:t>202</w:t>
            </w:r>
            <w:r>
              <w:rPr>
                <w:rFonts w:ascii="Times New Roman" w:hAnsi="Times New Roman" w:cs="Times New Roman"/>
                <w:sz w:val="24"/>
              </w:rPr>
              <w:t>4</w:t>
            </w:r>
            <w:r w:rsidR="00BE35A7">
              <w:rPr>
                <w:rFonts w:ascii="Times New Roman" w:hAnsi="Times New Roman" w:cs="Times New Roman"/>
                <w:sz w:val="24"/>
              </w:rPr>
              <w:t xml:space="preserve"> – </w:t>
            </w:r>
            <w:r w:rsidR="00E44FA1">
              <w:rPr>
                <w:rFonts w:ascii="Times New Roman" w:hAnsi="Times New Roman" w:cs="Times New Roman"/>
                <w:sz w:val="24"/>
              </w:rPr>
              <w:t xml:space="preserve">February </w:t>
            </w:r>
            <w:r w:rsidR="00BE35A7">
              <w:rPr>
                <w:rFonts w:ascii="Times New Roman" w:hAnsi="Times New Roman" w:cs="Times New Roman"/>
                <w:sz w:val="24"/>
              </w:rPr>
              <w:t>202</w:t>
            </w:r>
            <w:r w:rsidR="00E44FA1">
              <w:rPr>
                <w:rFonts w:ascii="Times New Roman" w:hAnsi="Times New Roman" w:cs="Times New Roman"/>
                <w:sz w:val="24"/>
              </w:rPr>
              <w:t>4</w:t>
            </w:r>
            <w:r w:rsidR="00BE35A7">
              <w:rPr>
                <w:rFonts w:ascii="Times New Roman" w:hAnsi="Times New Roman" w:cs="Times New Roman"/>
                <w:sz w:val="24"/>
              </w:rPr>
              <w:t xml:space="preserve"> </w:t>
            </w:r>
          </w:p>
        </w:tc>
      </w:tr>
      <w:tr w14:paraId="14FF8DFF" w14:textId="77777777" w:rsidTr="7435F173">
        <w:tblPrEx>
          <w:tblW w:w="9738" w:type="dxa"/>
          <w:tblLook w:val="04A0"/>
        </w:tblPrEx>
        <w:tc>
          <w:tcPr>
            <w:tcW w:w="5480" w:type="dxa"/>
          </w:tcPr>
          <w:p w:rsidR="007F4C52" w:rsidRPr="005F026E" w:rsidP="007F4C52" w14:paraId="791FF790" w14:textId="600A710E">
            <w:pPr>
              <w:rPr>
                <w:rFonts w:ascii="Times New Roman" w:hAnsi="Times New Roman" w:cs="Times New Roman"/>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Analyze survey data</w:t>
            </w:r>
          </w:p>
        </w:tc>
        <w:tc>
          <w:tcPr>
            <w:tcW w:w="4258" w:type="dxa"/>
          </w:tcPr>
          <w:p w:rsidR="007F4C52" w:rsidRPr="005F026E" w:rsidP="00244E40" w14:paraId="5A694EC4" w14:textId="612852BA">
            <w:pPr>
              <w:rPr>
                <w:rFonts w:ascii="Times New Roman" w:hAnsi="Times New Roman" w:cs="Times New Roman"/>
                <w:sz w:val="24"/>
              </w:rPr>
            </w:pPr>
            <w:r>
              <w:rPr>
                <w:rFonts w:ascii="Times New Roman" w:hAnsi="Times New Roman" w:cs="Times New Roman"/>
                <w:sz w:val="24"/>
              </w:rPr>
              <w:t>March – May 2024</w:t>
            </w:r>
          </w:p>
        </w:tc>
      </w:tr>
      <w:tr w14:paraId="521064DC" w14:textId="77777777" w:rsidTr="7435F173">
        <w:tblPrEx>
          <w:tblW w:w="9738" w:type="dxa"/>
          <w:tblLook w:val="04A0"/>
        </w:tblPrEx>
        <w:tc>
          <w:tcPr>
            <w:tcW w:w="5480" w:type="dxa"/>
          </w:tcPr>
          <w:p w:rsidR="007F4C52" w:rsidRPr="005F026E" w:rsidP="007F4C52" w14:paraId="00D2794B" w14:textId="1638011B">
            <w:pPr>
              <w:rPr>
                <w:rFonts w:ascii="Times New Roman" w:hAnsi="Times New Roman" w:cs="Times New Roman"/>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Prepare report and brief stakeholders</w:t>
            </w:r>
          </w:p>
        </w:tc>
        <w:tc>
          <w:tcPr>
            <w:tcW w:w="4258" w:type="dxa"/>
          </w:tcPr>
          <w:p w:rsidR="007F4C52" w:rsidRPr="005F026E" w:rsidP="007F4C52" w14:paraId="2583F310" w14:textId="36EB11DF">
            <w:pPr>
              <w:rPr>
                <w:rFonts w:ascii="Times New Roman" w:hAnsi="Times New Roman" w:cs="Times New Roman"/>
                <w:sz w:val="24"/>
              </w:rPr>
            </w:pPr>
            <w:r>
              <w:rPr>
                <w:rFonts w:ascii="Times New Roman" w:hAnsi="Times New Roman" w:cs="Times New Roman"/>
                <w:sz w:val="24"/>
              </w:rPr>
              <w:t>June – July 2024</w:t>
            </w:r>
          </w:p>
        </w:tc>
      </w:tr>
      <w:tr w14:paraId="06FAEF08" w14:textId="77777777" w:rsidTr="7435F173">
        <w:tblPrEx>
          <w:tblW w:w="9738" w:type="dxa"/>
          <w:tblLook w:val="04A0"/>
        </w:tblPrEx>
        <w:tc>
          <w:tcPr>
            <w:tcW w:w="9738" w:type="dxa"/>
            <w:gridSpan w:val="2"/>
          </w:tcPr>
          <w:p w:rsidR="009A1DC8" w:rsidRPr="005F026E" w:rsidP="007F4C52" w14:paraId="1D169911" w14:textId="57CB59B8">
            <w:pPr>
              <w:rPr>
                <w:rFonts w:ascii="Times New Roman" w:hAnsi="Times New Roman" w:cs="Times New Roman"/>
                <w:sz w:val="24"/>
              </w:rPr>
            </w:pPr>
            <w:r w:rsidRPr="005F026E">
              <w:rPr>
                <w:rFonts w:ascii="Times New Roman" w:hAnsi="Times New Roman" w:cs="Times New Roman"/>
                <w:sz w:val="24"/>
              </w:rPr>
              <w:t xml:space="preserve">Healthy Start Stakeholder Interviews </w:t>
            </w:r>
          </w:p>
        </w:tc>
      </w:tr>
      <w:tr w14:paraId="11C9223D" w14:textId="77777777" w:rsidTr="7435F173">
        <w:tblPrEx>
          <w:tblW w:w="9738" w:type="dxa"/>
          <w:tblLook w:val="04A0"/>
        </w:tblPrEx>
        <w:tc>
          <w:tcPr>
            <w:tcW w:w="5480" w:type="dxa"/>
          </w:tcPr>
          <w:p w:rsidR="007F4C52" w:rsidRPr="005F026E" w:rsidP="007F4C52" w14:paraId="63B0AED1" w14:textId="7822B855">
            <w:pPr>
              <w:rPr>
                <w:rFonts w:ascii="Times New Roman" w:hAnsi="Times New Roman" w:cs="Times New Roman"/>
                <w:b w:val="0"/>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Conduct key stakeholder interviews </w:t>
            </w:r>
          </w:p>
        </w:tc>
        <w:tc>
          <w:tcPr>
            <w:tcW w:w="4258" w:type="dxa"/>
          </w:tcPr>
          <w:p w:rsidR="007F4C52" w:rsidRPr="005F026E" w:rsidP="00013F9E" w14:paraId="0C2F6883" w14:textId="5CACB0EF">
            <w:pPr>
              <w:rPr>
                <w:rFonts w:ascii="Times New Roman" w:hAnsi="Times New Roman" w:cs="Times New Roman"/>
                <w:sz w:val="24"/>
              </w:rPr>
            </w:pPr>
            <w:r>
              <w:rPr>
                <w:rFonts w:ascii="Times New Roman" w:hAnsi="Times New Roman" w:cs="Times New Roman"/>
                <w:sz w:val="24"/>
              </w:rPr>
              <w:t>September 2023 – April 2024</w:t>
            </w:r>
          </w:p>
        </w:tc>
      </w:tr>
      <w:tr w14:paraId="7264B312" w14:textId="77777777" w:rsidTr="7435F173">
        <w:tblPrEx>
          <w:tblW w:w="9738" w:type="dxa"/>
          <w:tblLook w:val="04A0"/>
        </w:tblPrEx>
        <w:tc>
          <w:tcPr>
            <w:tcW w:w="5480" w:type="dxa"/>
          </w:tcPr>
          <w:p w:rsidR="007F4C52" w:rsidRPr="005F026E" w:rsidP="007F4C52" w14:paraId="6C333DEC" w14:textId="01A0A33E">
            <w:pPr>
              <w:rPr>
                <w:rFonts w:ascii="Times New Roman" w:hAnsi="Times New Roman" w:cs="Times New Roman"/>
                <w:b w:val="0"/>
                <w:sz w:val="24"/>
              </w:rPr>
            </w:pPr>
            <w:r>
              <w:rPr>
                <w:rFonts w:ascii="Times New Roman" w:hAnsi="Times New Roman" w:cs="Times New Roman"/>
                <w:b w:val="0"/>
                <w:sz w:val="24"/>
              </w:rPr>
              <w:t xml:space="preserve"> </w:t>
            </w:r>
            <w:r w:rsidRPr="005F026E">
              <w:rPr>
                <w:rFonts w:ascii="Times New Roman" w:hAnsi="Times New Roman" w:cs="Times New Roman"/>
                <w:b w:val="0"/>
                <w:sz w:val="24"/>
              </w:rPr>
              <w:t xml:space="preserve"> Analyze interview data </w:t>
            </w:r>
          </w:p>
        </w:tc>
        <w:tc>
          <w:tcPr>
            <w:tcW w:w="4258" w:type="dxa"/>
          </w:tcPr>
          <w:p w:rsidR="007F4C52" w:rsidRPr="005F026E" w:rsidP="00013F9E" w14:paraId="04DB76AE" w14:textId="3B1CE687">
            <w:pPr>
              <w:rPr>
                <w:rFonts w:ascii="Times New Roman" w:hAnsi="Times New Roman" w:cs="Times New Roman"/>
                <w:sz w:val="24"/>
              </w:rPr>
            </w:pPr>
            <w:r>
              <w:rPr>
                <w:rFonts w:ascii="Times New Roman" w:hAnsi="Times New Roman" w:cs="Times New Roman"/>
                <w:sz w:val="24"/>
              </w:rPr>
              <w:t>September 2023 – June 2024</w:t>
            </w:r>
          </w:p>
        </w:tc>
      </w:tr>
      <w:tr w14:paraId="291FD9B6" w14:textId="77777777" w:rsidTr="7435F173">
        <w:tblPrEx>
          <w:tblW w:w="9738" w:type="dxa"/>
          <w:tblLook w:val="04A0"/>
        </w:tblPrEx>
        <w:tc>
          <w:tcPr>
            <w:tcW w:w="5480" w:type="dxa"/>
          </w:tcPr>
          <w:p w:rsidR="007F4C52" w:rsidRPr="005F026E" w:rsidP="007F4C52" w14:paraId="1C36ACC8" w14:textId="3351A5DF">
            <w:pPr>
              <w:rPr>
                <w:rFonts w:ascii="Times New Roman" w:hAnsi="Times New Roman" w:cs="Times New Roman"/>
                <w:b w:val="0"/>
                <w:sz w:val="24"/>
              </w:rPr>
            </w:pPr>
            <w:r>
              <w:rPr>
                <w:rFonts w:ascii="Times New Roman" w:hAnsi="Times New Roman" w:cs="Times New Roman"/>
                <w:b w:val="0"/>
                <w:sz w:val="24"/>
              </w:rPr>
              <w:t xml:space="preserve"> </w:t>
            </w:r>
            <w:r w:rsidR="005D3D72">
              <w:rPr>
                <w:rFonts w:ascii="Times New Roman" w:hAnsi="Times New Roman" w:cs="Times New Roman"/>
                <w:b w:val="0"/>
                <w:sz w:val="24"/>
              </w:rPr>
              <w:t xml:space="preserve"> </w:t>
            </w:r>
            <w:r w:rsidRPr="005F026E">
              <w:rPr>
                <w:rFonts w:ascii="Times New Roman" w:hAnsi="Times New Roman" w:cs="Times New Roman"/>
                <w:b w:val="0"/>
                <w:sz w:val="24"/>
              </w:rPr>
              <w:t>Prepare report and brief stakeholders</w:t>
            </w:r>
          </w:p>
        </w:tc>
        <w:tc>
          <w:tcPr>
            <w:tcW w:w="4258" w:type="dxa"/>
          </w:tcPr>
          <w:p w:rsidR="007F4C52" w:rsidRPr="005F026E" w:rsidP="00E44FA1" w14:paraId="788F3637" w14:textId="13F2B7AC">
            <w:pPr>
              <w:rPr>
                <w:rFonts w:ascii="Times New Roman" w:hAnsi="Times New Roman" w:cs="Times New Roman"/>
                <w:sz w:val="24"/>
              </w:rPr>
            </w:pPr>
            <w:r>
              <w:rPr>
                <w:rFonts w:ascii="Times New Roman" w:hAnsi="Times New Roman" w:cs="Times New Roman"/>
                <w:sz w:val="24"/>
              </w:rPr>
              <w:t>July – August 2024</w:t>
            </w:r>
          </w:p>
        </w:tc>
      </w:tr>
      <w:tr w14:paraId="2E1776EE" w14:textId="77777777" w:rsidTr="7435F173">
        <w:tblPrEx>
          <w:tblW w:w="9738" w:type="dxa"/>
          <w:tblLook w:val="04A0"/>
        </w:tblPrEx>
        <w:tc>
          <w:tcPr>
            <w:tcW w:w="9738" w:type="dxa"/>
            <w:gridSpan w:val="2"/>
          </w:tcPr>
          <w:p w:rsidR="009A1DC8" w:rsidRPr="005F026E" w:rsidP="007F4C52" w14:paraId="0C0EC7E6" w14:textId="7A98D5FA">
            <w:pPr>
              <w:rPr>
                <w:rFonts w:ascii="Times New Roman" w:hAnsi="Times New Roman" w:cs="Times New Roman"/>
                <w:sz w:val="24"/>
              </w:rPr>
            </w:pPr>
            <w:r w:rsidRPr="005F026E">
              <w:rPr>
                <w:rFonts w:ascii="Times New Roman" w:hAnsi="Times New Roman" w:cs="Times New Roman"/>
                <w:sz w:val="24"/>
              </w:rPr>
              <w:t xml:space="preserve">Final </w:t>
            </w:r>
            <w:r>
              <w:rPr>
                <w:rFonts w:ascii="Times New Roman" w:hAnsi="Times New Roman" w:cs="Times New Roman"/>
                <w:sz w:val="24"/>
              </w:rPr>
              <w:t xml:space="preserve">Report </w:t>
            </w:r>
          </w:p>
        </w:tc>
      </w:tr>
      <w:tr w14:paraId="2EBD85FA" w14:textId="77777777" w:rsidTr="7435F173">
        <w:tblPrEx>
          <w:tblW w:w="9738" w:type="dxa"/>
          <w:tblLook w:val="04A0"/>
        </w:tblPrEx>
        <w:tc>
          <w:tcPr>
            <w:tcW w:w="5480" w:type="dxa"/>
          </w:tcPr>
          <w:p w:rsidR="0060616B" w:rsidRPr="005F026E" w:rsidP="007F4C52" w14:paraId="52C9E6FD" w14:textId="512F6CCD">
            <w:pPr>
              <w:rPr>
                <w:rFonts w:ascii="Times New Roman" w:hAnsi="Times New Roman" w:cs="Times New Roman"/>
                <w:b w:val="0"/>
                <w:bCs w:val="0"/>
                <w:sz w:val="24"/>
              </w:rPr>
            </w:pPr>
            <w:r>
              <w:rPr>
                <w:rFonts w:ascii="Times New Roman" w:hAnsi="Times New Roman" w:cs="Times New Roman"/>
                <w:b w:val="0"/>
                <w:bCs w:val="0"/>
                <w:sz w:val="24"/>
              </w:rPr>
              <w:t xml:space="preserve"> </w:t>
            </w:r>
            <w:r w:rsidR="003820F2">
              <w:rPr>
                <w:rFonts w:ascii="Times New Roman" w:hAnsi="Times New Roman" w:cs="Times New Roman"/>
                <w:b w:val="0"/>
                <w:bCs w:val="0"/>
                <w:sz w:val="24"/>
              </w:rPr>
              <w:t xml:space="preserve"> </w:t>
            </w:r>
            <w:r w:rsidR="0022639B">
              <w:rPr>
                <w:rFonts w:ascii="Times New Roman" w:hAnsi="Times New Roman" w:cs="Times New Roman"/>
                <w:b w:val="0"/>
                <w:bCs w:val="0"/>
                <w:sz w:val="24"/>
              </w:rPr>
              <w:t>Prepare and submit final report</w:t>
            </w:r>
            <w:r>
              <w:rPr>
                <w:rFonts w:ascii="Times New Roman" w:hAnsi="Times New Roman" w:cs="Times New Roman"/>
                <w:b w:val="0"/>
                <w:bCs w:val="0"/>
                <w:sz w:val="24"/>
              </w:rPr>
              <w:t xml:space="preserve"> </w:t>
            </w:r>
          </w:p>
        </w:tc>
        <w:tc>
          <w:tcPr>
            <w:tcW w:w="4258" w:type="dxa"/>
          </w:tcPr>
          <w:p w:rsidR="0060616B" w:rsidRPr="005F026E" w:rsidP="007F4C52" w14:paraId="26AF50DA" w14:textId="617CF52F">
            <w:pPr>
              <w:rPr>
                <w:rFonts w:ascii="Times New Roman" w:eastAsia="Arial" w:hAnsi="Times New Roman" w:cs="Times New Roman"/>
                <w:sz w:val="24"/>
              </w:rPr>
            </w:pPr>
            <w:r>
              <w:rPr>
                <w:rFonts w:ascii="Times New Roman" w:eastAsia="Arial" w:hAnsi="Times New Roman" w:cs="Times New Roman"/>
                <w:sz w:val="24"/>
              </w:rPr>
              <w:t xml:space="preserve">September </w:t>
            </w:r>
            <w:r w:rsidR="00D36BBF">
              <w:rPr>
                <w:rFonts w:ascii="Times New Roman" w:eastAsia="Arial" w:hAnsi="Times New Roman" w:cs="Times New Roman"/>
                <w:sz w:val="24"/>
              </w:rPr>
              <w:t>2024</w:t>
            </w:r>
          </w:p>
        </w:tc>
      </w:tr>
      <w:tr w14:paraId="61048C30" w14:textId="77777777" w:rsidTr="7435F173">
        <w:tblPrEx>
          <w:tblW w:w="9738" w:type="dxa"/>
          <w:tblLook w:val="04A0"/>
        </w:tblPrEx>
        <w:tc>
          <w:tcPr>
            <w:tcW w:w="5480" w:type="dxa"/>
          </w:tcPr>
          <w:p w:rsidR="007F4C52" w:rsidRPr="005F026E" w:rsidP="007F4C52" w14:paraId="553A6106" w14:textId="48B5AC08">
            <w:pPr>
              <w:rPr>
                <w:rFonts w:ascii="Times New Roman" w:hAnsi="Times New Roman" w:cs="Times New Roman"/>
                <w:b w:val="0"/>
                <w:sz w:val="24"/>
              </w:rPr>
            </w:pPr>
            <w:r>
              <w:rPr>
                <w:rFonts w:ascii="Times New Roman" w:hAnsi="Times New Roman" w:cs="Times New Roman"/>
                <w:b w:val="0"/>
                <w:sz w:val="24"/>
              </w:rPr>
              <w:t xml:space="preserve"> </w:t>
            </w:r>
            <w:r w:rsidR="003820F2">
              <w:rPr>
                <w:rFonts w:ascii="Times New Roman" w:hAnsi="Times New Roman" w:cs="Times New Roman"/>
                <w:b w:val="0"/>
                <w:sz w:val="24"/>
              </w:rPr>
              <w:t xml:space="preserve"> </w:t>
            </w:r>
            <w:r w:rsidR="0022639B">
              <w:rPr>
                <w:rFonts w:ascii="Times New Roman" w:hAnsi="Times New Roman" w:cs="Times New Roman"/>
                <w:b w:val="0"/>
                <w:sz w:val="24"/>
              </w:rPr>
              <w:t xml:space="preserve">Presentation of final report to HSRA </w:t>
            </w:r>
          </w:p>
        </w:tc>
        <w:tc>
          <w:tcPr>
            <w:tcW w:w="4258" w:type="dxa"/>
          </w:tcPr>
          <w:p w:rsidR="007F4C52" w:rsidRPr="005F026E" w:rsidP="007F4C52" w14:paraId="3BA917D8" w14:textId="11D6F2A7">
            <w:pPr>
              <w:rPr>
                <w:rFonts w:ascii="Times New Roman" w:hAnsi="Times New Roman" w:cs="Times New Roman"/>
                <w:sz w:val="24"/>
              </w:rPr>
            </w:pPr>
            <w:r w:rsidRPr="005F026E">
              <w:rPr>
                <w:rFonts w:ascii="Times New Roman" w:eastAsia="Arial" w:hAnsi="Times New Roman" w:cs="Times New Roman"/>
                <w:sz w:val="24"/>
              </w:rPr>
              <w:t xml:space="preserve">September </w:t>
            </w:r>
            <w:r w:rsidRPr="005F026E" w:rsidR="00D36BBF">
              <w:rPr>
                <w:rFonts w:ascii="Times New Roman" w:eastAsia="Arial" w:hAnsi="Times New Roman" w:cs="Times New Roman"/>
                <w:sz w:val="24"/>
              </w:rPr>
              <w:t>202</w:t>
            </w:r>
            <w:r w:rsidR="00D36BBF">
              <w:rPr>
                <w:rFonts w:ascii="Times New Roman" w:eastAsia="Arial" w:hAnsi="Times New Roman" w:cs="Times New Roman"/>
                <w:sz w:val="24"/>
              </w:rPr>
              <w:t>4</w:t>
            </w:r>
          </w:p>
        </w:tc>
      </w:tr>
    </w:tbl>
    <w:p w:rsidR="005F66E8" w:rsidRPr="005F026E" w:rsidP="00841CF0" w14:paraId="4E4FFC0C" w14:textId="226C3A60">
      <w:pPr>
        <w:pStyle w:val="Heading3"/>
        <w:spacing w:before="360"/>
      </w:pPr>
      <w:r w:rsidRPr="005F026E">
        <w:rPr>
          <w:u w:val="none"/>
        </w:rPr>
        <w:t>1</w:t>
      </w:r>
      <w:r w:rsidRPr="005F026E" w:rsidR="007A7E82">
        <w:rPr>
          <w:u w:val="none"/>
        </w:rPr>
        <w:t>7</w:t>
      </w:r>
      <w:r w:rsidRPr="005F026E" w:rsidR="00841CF0">
        <w:rPr>
          <w:u w:val="none"/>
        </w:rPr>
        <w:t>.</w:t>
      </w:r>
      <w:r w:rsidRPr="005F026E" w:rsidR="00841CF0">
        <w:rPr>
          <w:u w:val="none"/>
        </w:rPr>
        <w:tab/>
      </w:r>
      <w:r w:rsidRPr="005F026E">
        <w:t xml:space="preserve">Reason </w:t>
      </w:r>
      <w:r w:rsidR="004B0661">
        <w:t>D</w:t>
      </w:r>
      <w:r w:rsidRPr="005F026E">
        <w:t xml:space="preserve">isplay of OMB </w:t>
      </w:r>
      <w:r w:rsidR="004B0661">
        <w:t>E</w:t>
      </w:r>
      <w:r w:rsidRPr="005F026E">
        <w:t xml:space="preserve">xpiration </w:t>
      </w:r>
      <w:r w:rsidR="004B0661">
        <w:t>D</w:t>
      </w:r>
      <w:r w:rsidRPr="005F026E">
        <w:t xml:space="preserve">ate is </w:t>
      </w:r>
      <w:r w:rsidR="004B0661">
        <w:t>I</w:t>
      </w:r>
      <w:r w:rsidRPr="005F026E">
        <w:t>nappropriate</w:t>
      </w:r>
    </w:p>
    <w:p w:rsidR="005F66E8" w:rsidRPr="005F026E" w:rsidP="00D93F2E" w14:paraId="6D85447A" w14:textId="0DCAB8E2">
      <w:pPr>
        <w:pStyle w:val="NormalSS"/>
        <w:ind w:firstLine="0"/>
      </w:pPr>
      <w:r>
        <w:tab/>
      </w:r>
      <w:r w:rsidR="004B0661">
        <w:t>T</w:t>
      </w:r>
      <w:r w:rsidRPr="005F026E" w:rsidR="00F14060">
        <w:t xml:space="preserve">he </w:t>
      </w:r>
      <w:r w:rsidR="004B0661">
        <w:t xml:space="preserve">OMB number and </w:t>
      </w:r>
      <w:r w:rsidRPr="005F026E" w:rsidR="00F14060">
        <w:t>expiration date will be displayed</w:t>
      </w:r>
      <w:r w:rsidR="004B0661">
        <w:t xml:space="preserve"> on every page </w:t>
      </w:r>
      <w:r w:rsidRPr="00142A16" w:rsidR="004B0661">
        <w:t xml:space="preserve">of every </w:t>
      </w:r>
      <w:r w:rsidRPr="00142A16" w:rsidR="007A1D9C">
        <w:t>instrument.</w:t>
      </w:r>
      <w:r w:rsidRPr="005F026E" w:rsidR="004615F8">
        <w:t xml:space="preserve"> </w:t>
      </w:r>
    </w:p>
    <w:p w:rsidR="009B3794" w:rsidRPr="005F026E" w:rsidP="00841CF0" w14:paraId="2CA100A5" w14:textId="5E7C48D4">
      <w:pPr>
        <w:pStyle w:val="Heading3"/>
      </w:pPr>
      <w:r w:rsidRPr="005F026E">
        <w:rPr>
          <w:u w:val="none"/>
        </w:rPr>
        <w:t>1</w:t>
      </w:r>
      <w:r w:rsidRPr="005F026E" w:rsidR="007A7E82">
        <w:rPr>
          <w:u w:val="none"/>
        </w:rPr>
        <w:t>8</w:t>
      </w:r>
      <w:r w:rsidRPr="005F026E">
        <w:rPr>
          <w:u w:val="none"/>
        </w:rPr>
        <w:t>.</w:t>
      </w:r>
      <w:r w:rsidRPr="005F026E">
        <w:rPr>
          <w:u w:val="none"/>
        </w:rPr>
        <w:tab/>
      </w:r>
      <w:r w:rsidRPr="005F026E">
        <w:t xml:space="preserve">Exceptions to </w:t>
      </w:r>
      <w:r w:rsidR="00E32785">
        <w:t>C</w:t>
      </w:r>
      <w:r w:rsidRPr="005F026E">
        <w:t xml:space="preserve">ertification for </w:t>
      </w:r>
      <w:r w:rsidR="00E32785">
        <w:t>P</w:t>
      </w:r>
      <w:r w:rsidRPr="005F026E">
        <w:t xml:space="preserve">aperwork </w:t>
      </w:r>
      <w:r w:rsidR="00E32785">
        <w:t>R</w:t>
      </w:r>
      <w:r w:rsidRPr="005F026E">
        <w:t xml:space="preserve">eduction </w:t>
      </w:r>
      <w:r w:rsidR="00E32785">
        <w:t>A</w:t>
      </w:r>
      <w:r w:rsidRPr="005F026E">
        <w:t xml:space="preserve">ct </w:t>
      </w:r>
      <w:r w:rsidR="00E32785">
        <w:t>S</w:t>
      </w:r>
      <w:r w:rsidRPr="005F026E">
        <w:t>ubmissions</w:t>
      </w:r>
    </w:p>
    <w:p w:rsidR="009B3794" w:rsidRPr="005F026E" w:rsidP="00841CF0" w14:paraId="37A28B64" w14:textId="77777777">
      <w:pPr>
        <w:pStyle w:val="NormalSS"/>
      </w:pPr>
      <w:r w:rsidRPr="005F026E">
        <w:t>There are no e</w:t>
      </w:r>
      <w:r w:rsidRPr="005F026E" w:rsidR="00506357">
        <w:t>xceptions to the certification.</w:t>
      </w:r>
    </w:p>
    <w:sectPr w:rsidSect="007667E5">
      <w:headerReference w:type="default" r:id="rId12"/>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19412709"/>
      <w:docPartObj>
        <w:docPartGallery w:val="Page Numbers (Bottom of Page)"/>
        <w:docPartUnique/>
      </w:docPartObj>
    </w:sdtPr>
    <w:sdtEndPr>
      <w:rPr>
        <w:noProof/>
      </w:rPr>
    </w:sdtEndPr>
    <w:sdtContent>
      <w:p w:rsidR="00AA5F6F" w14:paraId="41DF2543" w14:textId="489ECB98">
        <w:pPr>
          <w:pStyle w:val="Footer"/>
          <w:jc w:val="center"/>
        </w:pPr>
        <w:r>
          <w:fldChar w:fldCharType="begin"/>
        </w:r>
        <w:r>
          <w:instrText xml:space="preserve"> PAGE   \* MERGEFORMAT </w:instrText>
        </w:r>
        <w:r>
          <w:fldChar w:fldCharType="separate"/>
        </w:r>
        <w:r w:rsidR="007F1EF8">
          <w:rPr>
            <w:noProof/>
          </w:rPr>
          <w:t>6</w:t>
        </w:r>
        <w:r>
          <w:rPr>
            <w:noProof/>
          </w:rPr>
          <w:fldChar w:fldCharType="end"/>
        </w:r>
      </w:p>
    </w:sdtContent>
  </w:sdt>
  <w:p w:rsidR="00AA5F6F" w14:paraId="074B12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A5F6F" w14:paraId="6420B479" w14:textId="77777777">
      <w:r>
        <w:separator/>
      </w:r>
    </w:p>
  </w:footnote>
  <w:footnote w:type="continuationSeparator" w:id="1">
    <w:p w:rsidR="00AA5F6F" w14:paraId="1FE37F65" w14:textId="77777777">
      <w:r>
        <w:continuationSeparator/>
      </w:r>
    </w:p>
  </w:footnote>
  <w:footnote w:id="2">
    <w:p w:rsidR="00851C7A" w:rsidP="00851C7A" w14:paraId="516B03DD" w14:textId="3BA472B3">
      <w:pPr>
        <w:pStyle w:val="FootnoteText"/>
      </w:pPr>
      <w:r>
        <w:rPr>
          <w:rStyle w:val="FootnoteReference"/>
        </w:rPr>
        <w:footnoteRef/>
      </w:r>
      <w:r w:rsidR="00EA65C8">
        <w:t xml:space="preserve"> </w:t>
      </w:r>
      <w:r w:rsidRPr="00C515A0">
        <w:t>Goyal NK, Hall ES, Meinzen-Derr JK, Kahn RS, Short JA, Van Ginkel JB, Ammerman RT. Dosage effect of prenatal home visiting on pregnancy outcomes in at-risk, first-time mothers. Pediatrics. 2013 Nov;132 Suppl 2(Suppl 2):S118-25. doi: 10.1542/peds.2013-1021J. PMID: 24187113; PMCID: PMC3943375.</w:t>
      </w:r>
    </w:p>
  </w:footnote>
  <w:footnote w:id="3">
    <w:p w:rsidR="00206105" w:rsidP="00206105" w14:paraId="05903FDF" w14:textId="4C042718">
      <w:pPr>
        <w:pStyle w:val="FootnoteText"/>
      </w:pPr>
      <w:r>
        <w:rPr>
          <w:rStyle w:val="FootnoteReference"/>
        </w:rPr>
        <w:footnoteRef/>
      </w:r>
      <w:r w:rsidR="00EA65C8">
        <w:t xml:space="preserve"> </w:t>
      </w:r>
      <w:r w:rsidRPr="00C515A0">
        <w:t xml:space="preserve">Manian, N, Wagner, CA, Placzek, H, Darby, BA, Kaiser, TJ, Rog, DJ. Relationship between intervention dosage and success of resource connections in a social needs intervention. </w:t>
      </w:r>
      <w:r w:rsidRPr="00F723C9">
        <w:t>Public Health</w:t>
      </w:r>
      <w:r>
        <w:t>. 2020;</w:t>
      </w:r>
      <w:r w:rsidRPr="00C515A0">
        <w:t xml:space="preserve"> 185, 324-331.</w:t>
      </w:r>
      <w:r w:rsidR="006B5483">
        <w:t xml:space="preserve"> </w:t>
      </w:r>
      <w:hyperlink r:id="rId1" w:history="1">
        <w:r w:rsidRPr="00EA65C8" w:rsidR="00EA65C8">
          <w:rPr>
            <w:rStyle w:val="Hyperlink"/>
          </w:rPr>
          <w:t>https://pubmed.ncbi.nlm.nih.gov/32726729/</w:t>
        </w:r>
      </w:hyperlink>
      <w:r>
        <w:t xml:space="preserve"> </w:t>
      </w:r>
    </w:p>
  </w:footnote>
  <w:footnote w:id="4">
    <w:p w:rsidR="00AA5F6F" w14:paraId="5243AE51" w14:textId="6493B092">
      <w:pPr>
        <w:pStyle w:val="FootnoteText"/>
      </w:pPr>
      <w:r>
        <w:rPr>
          <w:rStyle w:val="FootnoteReference"/>
        </w:rPr>
        <w:footnoteRef/>
      </w:r>
      <w:r>
        <w:t xml:space="preserve"> Mertens, D. M. (2009). Transformative research &amp; evaluation. NY: Guilford</w:t>
      </w:r>
    </w:p>
  </w:footnote>
  <w:footnote w:id="5">
    <w:p w:rsidR="00AA5F6F" w14:paraId="3859643F" w14:textId="575C22C6">
      <w:pPr>
        <w:pStyle w:val="FootnoteText"/>
      </w:pPr>
      <w:r>
        <w:rPr>
          <w:rStyle w:val="FootnoteReference"/>
        </w:rPr>
        <w:footnoteRef/>
      </w:r>
      <w:r>
        <w:t xml:space="preserve"> </w:t>
      </w:r>
      <w:r w:rsidRPr="0062166A">
        <w:t>This is the maximum number of responses for this data collection instrument.</w:t>
      </w:r>
    </w:p>
  </w:footnote>
  <w:footnote w:id="6">
    <w:p w:rsidR="00AA5F6F" w14:paraId="2CBB688F" w14:textId="5ECEFBD1">
      <w:pPr>
        <w:pStyle w:val="FootnoteText"/>
      </w:pPr>
      <w:r>
        <w:rPr>
          <w:rStyle w:val="FootnoteReference"/>
        </w:rPr>
        <w:footnoteRef/>
      </w:r>
      <w:r>
        <w:t xml:space="preserve"> Ibid.</w:t>
      </w:r>
    </w:p>
  </w:footnote>
  <w:footnote w:id="7">
    <w:p w:rsidR="00AA5F6F" w14:paraId="3DB9C1D9" w14:textId="24C4F2F2">
      <w:pPr>
        <w:pStyle w:val="FootnoteText"/>
      </w:pPr>
      <w:r>
        <w:rPr>
          <w:rStyle w:val="FootnoteReference"/>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5F6F" w:rsidP="003257A9" w14:paraId="35C944A8" w14:textId="77777777">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 Part A</w:t>
    </w:r>
    <w:r>
      <w:rPr>
        <w:rFonts w:ascii="Arial" w:hAnsi="Arial"/>
        <w:caps/>
        <w:sz w:val="14"/>
        <w:szCs w:val="20"/>
      </w:rPr>
      <w:t xml:space="preserve">: </w:t>
    </w:r>
    <w:r w:rsidRPr="003257A9">
      <w:rPr>
        <w:rFonts w:ascii="Arial" w:hAnsi="Arial"/>
        <w:caps/>
        <w:sz w:val="14"/>
        <w:szCs w:val="20"/>
      </w:rPr>
      <w:t>Healthy Start</w:t>
    </w:r>
    <w:r>
      <w:rPr>
        <w:rFonts w:ascii="Arial" w:hAnsi="Arial"/>
        <w:caps/>
        <w:sz w:val="14"/>
        <w:szCs w:val="20"/>
      </w:rPr>
      <w:t xml:space="preserve"> </w:t>
    </w:r>
    <w:r w:rsidRPr="003257A9">
      <w:rPr>
        <w:rFonts w:ascii="Arial" w:hAnsi="Arial"/>
        <w:caps/>
        <w:sz w:val="14"/>
        <w:szCs w:val="20"/>
      </w:rPr>
      <w:t>Evaluation</w:t>
    </w:r>
    <w:r>
      <w:rPr>
        <w:rFonts w:ascii="Arial" w:hAnsi="Arial"/>
        <w:caps/>
        <w:sz w:val="14"/>
        <w:szCs w:val="20"/>
      </w:rPr>
      <w:t xml:space="preserve"> AND CAPACITY BUILDING SUPPORT</w:t>
    </w:r>
  </w:p>
  <w:p w:rsidR="00AA5F6F" w:rsidRPr="00841CF0" w:rsidP="003257A9" w14:paraId="055BAF56" w14:textId="77777777">
    <w:pPr>
      <w:pStyle w:val="Header"/>
      <w:widowControl/>
      <w:pBdr>
        <w:bottom w:val="single" w:sz="2" w:space="3" w:color="auto"/>
      </w:pBdr>
      <w:tabs>
        <w:tab w:val="clear" w:pos="4680"/>
      </w:tabs>
      <w:autoSpaceDE/>
      <w:autoSpaceDN/>
      <w:adjustRightInd/>
      <w:rPr>
        <w:rFonts w:ascii="Arial" w:hAnsi="Arial"/>
        <w:caps/>
        <w:sz w:val="14"/>
        <w:szCs w:val="20"/>
      </w:rPr>
    </w:pPr>
    <w:r w:rsidRPr="00A82F99">
      <w:rPr>
        <w:rFonts w:ascii="Arial" w:hAnsi="Arial"/>
        <w:caps/>
        <w:sz w:val="14"/>
        <w:szCs w:val="20"/>
      </w:rPr>
      <w:t>omb control no</w:t>
    </w:r>
    <w:r w:rsidRPr="00970832">
      <w:rPr>
        <w:rFonts w:ascii="Arial" w:hAnsi="Arial"/>
        <w:caps/>
        <w:sz w:val="14"/>
        <w:szCs w:val="20"/>
        <w:highlight w:val="yellow"/>
      </w:rPr>
      <w:t>. xxxx-xxxx</w:t>
    </w:r>
    <w:r w:rsidRPr="00841CF0">
      <w:rPr>
        <w:rFonts w:ascii="Arial" w:hAnsi="Arial"/>
        <w:caps/>
        <w:sz w:val="14"/>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6767FCB"/>
    <w:multiLevelType w:val="hybridMultilevel"/>
    <w:tmpl w:val="AE8C9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C248B8"/>
    <w:multiLevelType w:val="hybridMultilevel"/>
    <w:tmpl w:val="0C3CD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5C904B8"/>
    <w:multiLevelType w:val="hybridMultilevel"/>
    <w:tmpl w:val="849E0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556CD7"/>
    <w:multiLevelType w:val="hybridMultilevel"/>
    <w:tmpl w:val="98743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21697767"/>
    <w:multiLevelType w:val="hybridMultilevel"/>
    <w:tmpl w:val="4628FEB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344160"/>
    <w:multiLevelType w:val="hybridMultilevel"/>
    <w:tmpl w:val="929A87C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1C69D1"/>
    <w:multiLevelType w:val="hybridMultilevel"/>
    <w:tmpl w:val="64544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425C53"/>
    <w:multiLevelType w:val="hybridMultilevel"/>
    <w:tmpl w:val="549A3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FB2B70"/>
    <w:multiLevelType w:val="hybridMultilevel"/>
    <w:tmpl w:val="508C9C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3A407477"/>
    <w:multiLevelType w:val="hybridMultilevel"/>
    <w:tmpl w:val="92C03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85F51"/>
    <w:multiLevelType w:val="hybridMultilevel"/>
    <w:tmpl w:val="0B2029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D3257E1"/>
    <w:multiLevelType w:val="hybridMultilevel"/>
    <w:tmpl w:val="EAAC7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F92C61"/>
    <w:multiLevelType w:val="hybridMultilevel"/>
    <w:tmpl w:val="73DE7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0269E6"/>
    <w:multiLevelType w:val="hybridMultilevel"/>
    <w:tmpl w:val="1FAA188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1D7109"/>
    <w:multiLevelType w:val="hybridMultilevel"/>
    <w:tmpl w:val="3B1AB7B2"/>
    <w:lvl w:ilvl="0">
      <w:start w:val="1"/>
      <w:numFmt w:val="decimal"/>
      <w:pStyle w:val="heading30"/>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3467C5"/>
    <w:multiLevelType w:val="hybridMultilevel"/>
    <w:tmpl w:val="5D2484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CB044D4"/>
    <w:multiLevelType w:val="hybridMultilevel"/>
    <w:tmpl w:val="57FA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803EB7"/>
    <w:multiLevelType w:val="multilevel"/>
    <w:tmpl w:val="8C703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3EB2DEA"/>
    <w:multiLevelType w:val="hybridMultilevel"/>
    <w:tmpl w:val="6CFECC4A"/>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71D38EF"/>
    <w:multiLevelType w:val="hybridMultilevel"/>
    <w:tmpl w:val="DFBC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E5354C7"/>
    <w:multiLevelType w:val="multilevel"/>
    <w:tmpl w:val="3E243D88"/>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0543FD8"/>
    <w:multiLevelType w:val="hybridMultilevel"/>
    <w:tmpl w:val="09429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3F029C9"/>
    <w:multiLevelType w:val="hybridMultilevel"/>
    <w:tmpl w:val="D77ADF82"/>
    <w:lvl w:ilvl="0">
      <w:start w:val="1"/>
      <w:numFmt w:val="decimal"/>
      <w:pStyle w:val="NumberedBulle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6C09E8"/>
    <w:multiLevelType w:val="hybridMultilevel"/>
    <w:tmpl w:val="02AA6F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020478C"/>
    <w:multiLevelType w:val="hybridMultilevel"/>
    <w:tmpl w:val="63B47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BC1859"/>
    <w:multiLevelType w:val="multilevel"/>
    <w:tmpl w:val="A466839C"/>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7F71F6C"/>
    <w:multiLevelType w:val="hybridMultilevel"/>
    <w:tmpl w:val="C43CDE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E54BE2"/>
    <w:multiLevelType w:val="hybridMultilevel"/>
    <w:tmpl w:val="E54E6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B262F21"/>
    <w:multiLevelType w:val="hybridMultilevel"/>
    <w:tmpl w:val="61240E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E9033B8"/>
    <w:multiLevelType w:val="hybridMultilevel"/>
    <w:tmpl w:val="CED2E6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1775517">
    <w:abstractNumId w:val="21"/>
  </w:num>
  <w:num w:numId="2" w16cid:durableId="1194349265">
    <w:abstractNumId w:val="23"/>
  </w:num>
  <w:num w:numId="3" w16cid:durableId="991254943">
    <w:abstractNumId w:val="5"/>
  </w:num>
  <w:num w:numId="4" w16cid:durableId="92015500">
    <w:abstractNumId w:val="0"/>
  </w:num>
  <w:num w:numId="5" w16cid:durableId="949239693">
    <w:abstractNumId w:val="33"/>
  </w:num>
  <w:num w:numId="6" w16cid:durableId="947616853">
    <w:abstractNumId w:val="30"/>
  </w:num>
  <w:num w:numId="7" w16cid:durableId="1117064851">
    <w:abstractNumId w:val="32"/>
  </w:num>
  <w:num w:numId="8" w16cid:durableId="1260721338">
    <w:abstractNumId w:val="44"/>
  </w:num>
  <w:num w:numId="9" w16cid:durableId="1899824244">
    <w:abstractNumId w:val="41"/>
  </w:num>
  <w:num w:numId="10" w16cid:durableId="73669306">
    <w:abstractNumId w:val="2"/>
  </w:num>
  <w:num w:numId="11" w16cid:durableId="350567347">
    <w:abstractNumId w:val="15"/>
  </w:num>
  <w:num w:numId="12" w16cid:durableId="1318682424">
    <w:abstractNumId w:val="38"/>
  </w:num>
  <w:num w:numId="13" w16cid:durableId="1639801146">
    <w:abstractNumId w:val="35"/>
  </w:num>
  <w:num w:numId="14" w16cid:durableId="331571457">
    <w:abstractNumId w:val="28"/>
  </w:num>
  <w:num w:numId="15" w16cid:durableId="1262301313">
    <w:abstractNumId w:val="8"/>
  </w:num>
  <w:num w:numId="16" w16cid:durableId="229662291">
    <w:abstractNumId w:val="29"/>
  </w:num>
  <w:num w:numId="17" w16cid:durableId="999308781">
    <w:abstractNumId w:val="3"/>
  </w:num>
  <w:num w:numId="18" w16cid:durableId="796071506">
    <w:abstractNumId w:val="10"/>
  </w:num>
  <w:num w:numId="19" w16cid:durableId="1114401069">
    <w:abstractNumId w:val="34"/>
  </w:num>
  <w:num w:numId="20" w16cid:durableId="1933512403">
    <w:abstractNumId w:val="36"/>
  </w:num>
  <w:num w:numId="21" w16cid:durableId="756638119">
    <w:abstractNumId w:val="11"/>
  </w:num>
  <w:num w:numId="22" w16cid:durableId="1229875190">
    <w:abstractNumId w:val="9"/>
  </w:num>
  <w:num w:numId="23" w16cid:durableId="620108342">
    <w:abstractNumId w:val="43"/>
  </w:num>
  <w:num w:numId="24" w16cid:durableId="1221866869">
    <w:abstractNumId w:val="4"/>
  </w:num>
  <w:num w:numId="25" w16cid:durableId="1057316894">
    <w:abstractNumId w:val="13"/>
  </w:num>
  <w:num w:numId="26" w16cid:durableId="1694838552">
    <w:abstractNumId w:val="24"/>
  </w:num>
  <w:num w:numId="27" w16cid:durableId="272834022">
    <w:abstractNumId w:val="42"/>
  </w:num>
  <w:num w:numId="28" w16cid:durableId="990525188">
    <w:abstractNumId w:val="26"/>
  </w:num>
  <w:num w:numId="29" w16cid:durableId="1378628602">
    <w:abstractNumId w:val="12"/>
  </w:num>
  <w:num w:numId="30" w16cid:durableId="641691214">
    <w:abstractNumId w:val="27"/>
  </w:num>
  <w:num w:numId="31" w16cid:durableId="360472666">
    <w:abstractNumId w:val="7"/>
  </w:num>
  <w:num w:numId="32" w16cid:durableId="2038042892">
    <w:abstractNumId w:val="19"/>
  </w:num>
  <w:num w:numId="33" w16cid:durableId="1807041790">
    <w:abstractNumId w:val="14"/>
  </w:num>
  <w:num w:numId="34" w16cid:durableId="312176684">
    <w:abstractNumId w:val="20"/>
  </w:num>
  <w:num w:numId="35" w16cid:durableId="456602691">
    <w:abstractNumId w:val="39"/>
  </w:num>
  <w:num w:numId="36" w16cid:durableId="1713966512">
    <w:abstractNumId w:val="22"/>
  </w:num>
  <w:num w:numId="37" w16cid:durableId="17966806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0530571">
    <w:abstractNumId w:val="6"/>
  </w:num>
  <w:num w:numId="39" w16cid:durableId="1161313068">
    <w:abstractNumId w:val="17"/>
  </w:num>
  <w:num w:numId="40" w16cid:durableId="1703169200">
    <w:abstractNumId w:val="45"/>
  </w:num>
  <w:num w:numId="41" w16cid:durableId="834491126">
    <w:abstractNumId w:val="1"/>
  </w:num>
  <w:num w:numId="42" w16cid:durableId="136343453">
    <w:abstractNumId w:val="46"/>
  </w:num>
  <w:num w:numId="43" w16cid:durableId="2040424871">
    <w:abstractNumId w:val="37"/>
  </w:num>
  <w:num w:numId="44" w16cid:durableId="257325341">
    <w:abstractNumId w:val="31"/>
  </w:num>
  <w:num w:numId="45" w16cid:durableId="1754424260">
    <w:abstractNumId w:val="40"/>
  </w:num>
  <w:num w:numId="46" w16cid:durableId="2109041917">
    <w:abstractNumId w:val="18"/>
  </w:num>
  <w:num w:numId="47" w16cid:durableId="754089412">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wyer, Maura (HRSA)">
    <w15:presenceInfo w15:providerId="AD" w15:userId="S::MDwyer@HRSA.Gov::6533388e-9a08-49bf-91e2-6d00b254d593"/>
  </w15:person>
  <w15:person w15:author="M EOP/OMB">
    <w15:presenceInfo w15:providerId="None" w15:userId="M EOP/OMB"/>
  </w15:person>
  <w15:person w15:author="Saloni Sapru">
    <w15:presenceInfo w15:providerId="AD" w15:userId="S-1-5-21-2083667071-1112689225-1550850067-28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4"/>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547"/>
    <w:rsid w:val="00003A4D"/>
    <w:rsid w:val="0000560C"/>
    <w:rsid w:val="000057D5"/>
    <w:rsid w:val="00007B72"/>
    <w:rsid w:val="00010387"/>
    <w:rsid w:val="000136B5"/>
    <w:rsid w:val="000136DF"/>
    <w:rsid w:val="00013AC2"/>
    <w:rsid w:val="00013F9E"/>
    <w:rsid w:val="0001447E"/>
    <w:rsid w:val="00015505"/>
    <w:rsid w:val="000161D3"/>
    <w:rsid w:val="0001691A"/>
    <w:rsid w:val="0001712A"/>
    <w:rsid w:val="00017166"/>
    <w:rsid w:val="000177B6"/>
    <w:rsid w:val="000177C7"/>
    <w:rsid w:val="00021248"/>
    <w:rsid w:val="0002130D"/>
    <w:rsid w:val="000228DF"/>
    <w:rsid w:val="00023788"/>
    <w:rsid w:val="00024107"/>
    <w:rsid w:val="000251EA"/>
    <w:rsid w:val="0002567F"/>
    <w:rsid w:val="00025AC6"/>
    <w:rsid w:val="00025C34"/>
    <w:rsid w:val="00026F74"/>
    <w:rsid w:val="000304B7"/>
    <w:rsid w:val="000346EC"/>
    <w:rsid w:val="00035146"/>
    <w:rsid w:val="00036278"/>
    <w:rsid w:val="00037B1B"/>
    <w:rsid w:val="00040B97"/>
    <w:rsid w:val="00041CD9"/>
    <w:rsid w:val="00043A72"/>
    <w:rsid w:val="00044CFD"/>
    <w:rsid w:val="00045D88"/>
    <w:rsid w:val="00046959"/>
    <w:rsid w:val="00050D72"/>
    <w:rsid w:val="00051A3C"/>
    <w:rsid w:val="00052A46"/>
    <w:rsid w:val="00053463"/>
    <w:rsid w:val="000538F6"/>
    <w:rsid w:val="000556DA"/>
    <w:rsid w:val="0005633D"/>
    <w:rsid w:val="000566F0"/>
    <w:rsid w:val="0005708B"/>
    <w:rsid w:val="000603BA"/>
    <w:rsid w:val="00065C7C"/>
    <w:rsid w:val="00065F64"/>
    <w:rsid w:val="000660FF"/>
    <w:rsid w:val="00067876"/>
    <w:rsid w:val="00067D4F"/>
    <w:rsid w:val="0007186E"/>
    <w:rsid w:val="00071A84"/>
    <w:rsid w:val="00072209"/>
    <w:rsid w:val="00073207"/>
    <w:rsid w:val="00073933"/>
    <w:rsid w:val="0007396B"/>
    <w:rsid w:val="00073F6C"/>
    <w:rsid w:val="00074088"/>
    <w:rsid w:val="00075262"/>
    <w:rsid w:val="00076867"/>
    <w:rsid w:val="0007738E"/>
    <w:rsid w:val="00077F03"/>
    <w:rsid w:val="00083404"/>
    <w:rsid w:val="00084184"/>
    <w:rsid w:val="0008621F"/>
    <w:rsid w:val="00090541"/>
    <w:rsid w:val="0009160B"/>
    <w:rsid w:val="00092B8F"/>
    <w:rsid w:val="00093941"/>
    <w:rsid w:val="000939DC"/>
    <w:rsid w:val="00094FC8"/>
    <w:rsid w:val="000959A3"/>
    <w:rsid w:val="000977E0"/>
    <w:rsid w:val="000978B9"/>
    <w:rsid w:val="000978F0"/>
    <w:rsid w:val="00097D4D"/>
    <w:rsid w:val="00097DB3"/>
    <w:rsid w:val="000A09B7"/>
    <w:rsid w:val="000A1081"/>
    <w:rsid w:val="000A1C0F"/>
    <w:rsid w:val="000A1FD5"/>
    <w:rsid w:val="000A237E"/>
    <w:rsid w:val="000A2C30"/>
    <w:rsid w:val="000A2DDF"/>
    <w:rsid w:val="000A35D4"/>
    <w:rsid w:val="000A5242"/>
    <w:rsid w:val="000A5F0E"/>
    <w:rsid w:val="000A6987"/>
    <w:rsid w:val="000A765A"/>
    <w:rsid w:val="000B0B5A"/>
    <w:rsid w:val="000B15CC"/>
    <w:rsid w:val="000B232E"/>
    <w:rsid w:val="000B3C5B"/>
    <w:rsid w:val="000B3FE7"/>
    <w:rsid w:val="000B5303"/>
    <w:rsid w:val="000B5355"/>
    <w:rsid w:val="000B680A"/>
    <w:rsid w:val="000B6C15"/>
    <w:rsid w:val="000B7C47"/>
    <w:rsid w:val="000C3D8E"/>
    <w:rsid w:val="000C54C0"/>
    <w:rsid w:val="000C56F2"/>
    <w:rsid w:val="000C6EDC"/>
    <w:rsid w:val="000C7485"/>
    <w:rsid w:val="000D0B6F"/>
    <w:rsid w:val="000D0CF4"/>
    <w:rsid w:val="000D2BF3"/>
    <w:rsid w:val="000D3380"/>
    <w:rsid w:val="000D6756"/>
    <w:rsid w:val="000D7B5C"/>
    <w:rsid w:val="000E33F4"/>
    <w:rsid w:val="000E34AE"/>
    <w:rsid w:val="000E4CBC"/>
    <w:rsid w:val="000E4E6B"/>
    <w:rsid w:val="000E5925"/>
    <w:rsid w:val="000E60A8"/>
    <w:rsid w:val="000E60D0"/>
    <w:rsid w:val="000E7E11"/>
    <w:rsid w:val="000F00F5"/>
    <w:rsid w:val="000F0963"/>
    <w:rsid w:val="000F4CBC"/>
    <w:rsid w:val="000F5773"/>
    <w:rsid w:val="000F6F9F"/>
    <w:rsid w:val="000F6FE6"/>
    <w:rsid w:val="000F7AAE"/>
    <w:rsid w:val="00102860"/>
    <w:rsid w:val="00103B0E"/>
    <w:rsid w:val="00104C3A"/>
    <w:rsid w:val="001054B4"/>
    <w:rsid w:val="00105A16"/>
    <w:rsid w:val="001061AB"/>
    <w:rsid w:val="0010723B"/>
    <w:rsid w:val="001113A9"/>
    <w:rsid w:val="00112566"/>
    <w:rsid w:val="001129D3"/>
    <w:rsid w:val="00112D06"/>
    <w:rsid w:val="00113237"/>
    <w:rsid w:val="00114A3E"/>
    <w:rsid w:val="00114E48"/>
    <w:rsid w:val="00115B76"/>
    <w:rsid w:val="001165F3"/>
    <w:rsid w:val="00116A0D"/>
    <w:rsid w:val="001172FC"/>
    <w:rsid w:val="00120FD1"/>
    <w:rsid w:val="00121BD5"/>
    <w:rsid w:val="00121EE0"/>
    <w:rsid w:val="00123A3F"/>
    <w:rsid w:val="001243AC"/>
    <w:rsid w:val="00124488"/>
    <w:rsid w:val="001325B2"/>
    <w:rsid w:val="00132B5D"/>
    <w:rsid w:val="00133B7F"/>
    <w:rsid w:val="00135A7B"/>
    <w:rsid w:val="00137782"/>
    <w:rsid w:val="00137CEC"/>
    <w:rsid w:val="00141DC5"/>
    <w:rsid w:val="00142A16"/>
    <w:rsid w:val="0014401F"/>
    <w:rsid w:val="001442CE"/>
    <w:rsid w:val="0014533D"/>
    <w:rsid w:val="00145D8E"/>
    <w:rsid w:val="00145E12"/>
    <w:rsid w:val="00146447"/>
    <w:rsid w:val="001469BD"/>
    <w:rsid w:val="00150C18"/>
    <w:rsid w:val="00152086"/>
    <w:rsid w:val="001530E3"/>
    <w:rsid w:val="00153619"/>
    <w:rsid w:val="00153962"/>
    <w:rsid w:val="00160C17"/>
    <w:rsid w:val="0016130F"/>
    <w:rsid w:val="0016177E"/>
    <w:rsid w:val="00161F4A"/>
    <w:rsid w:val="00163395"/>
    <w:rsid w:val="001639D0"/>
    <w:rsid w:val="00163DE3"/>
    <w:rsid w:val="001640AB"/>
    <w:rsid w:val="001656CE"/>
    <w:rsid w:val="00165953"/>
    <w:rsid w:val="001672B6"/>
    <w:rsid w:val="00171F41"/>
    <w:rsid w:val="001733AE"/>
    <w:rsid w:val="00174932"/>
    <w:rsid w:val="00176808"/>
    <w:rsid w:val="00180625"/>
    <w:rsid w:val="00181089"/>
    <w:rsid w:val="001828D8"/>
    <w:rsid w:val="00186B4C"/>
    <w:rsid w:val="00190992"/>
    <w:rsid w:val="00193EC9"/>
    <w:rsid w:val="00193F12"/>
    <w:rsid w:val="00194403"/>
    <w:rsid w:val="00194627"/>
    <w:rsid w:val="00196033"/>
    <w:rsid w:val="00196100"/>
    <w:rsid w:val="00196350"/>
    <w:rsid w:val="001970AA"/>
    <w:rsid w:val="001A28F3"/>
    <w:rsid w:val="001A4894"/>
    <w:rsid w:val="001A53C5"/>
    <w:rsid w:val="001A7C7F"/>
    <w:rsid w:val="001B06D5"/>
    <w:rsid w:val="001B1022"/>
    <w:rsid w:val="001B139C"/>
    <w:rsid w:val="001B4EB8"/>
    <w:rsid w:val="001B4EC0"/>
    <w:rsid w:val="001B529A"/>
    <w:rsid w:val="001B5872"/>
    <w:rsid w:val="001B5BF0"/>
    <w:rsid w:val="001B62B7"/>
    <w:rsid w:val="001B63BD"/>
    <w:rsid w:val="001C0DBC"/>
    <w:rsid w:val="001C0E09"/>
    <w:rsid w:val="001C14CB"/>
    <w:rsid w:val="001C2A47"/>
    <w:rsid w:val="001C39A3"/>
    <w:rsid w:val="001C4A48"/>
    <w:rsid w:val="001C5A20"/>
    <w:rsid w:val="001C62E4"/>
    <w:rsid w:val="001C64CE"/>
    <w:rsid w:val="001C6FB1"/>
    <w:rsid w:val="001D0F11"/>
    <w:rsid w:val="001D1CB5"/>
    <w:rsid w:val="001D1F09"/>
    <w:rsid w:val="001D44BC"/>
    <w:rsid w:val="001D4856"/>
    <w:rsid w:val="001D4CEC"/>
    <w:rsid w:val="001D5596"/>
    <w:rsid w:val="001D6554"/>
    <w:rsid w:val="001E0571"/>
    <w:rsid w:val="001E0B77"/>
    <w:rsid w:val="001E46C0"/>
    <w:rsid w:val="001E4FF1"/>
    <w:rsid w:val="001E5617"/>
    <w:rsid w:val="001E5EEA"/>
    <w:rsid w:val="001E6CFD"/>
    <w:rsid w:val="001E7D66"/>
    <w:rsid w:val="001F0DC1"/>
    <w:rsid w:val="001F18D6"/>
    <w:rsid w:val="001F21E9"/>
    <w:rsid w:val="001F47BE"/>
    <w:rsid w:val="001F5220"/>
    <w:rsid w:val="001F668D"/>
    <w:rsid w:val="001F6945"/>
    <w:rsid w:val="001F6D1B"/>
    <w:rsid w:val="001F7F5D"/>
    <w:rsid w:val="0020224B"/>
    <w:rsid w:val="002033CF"/>
    <w:rsid w:val="00204523"/>
    <w:rsid w:val="00205191"/>
    <w:rsid w:val="002055B7"/>
    <w:rsid w:val="00205B65"/>
    <w:rsid w:val="00206105"/>
    <w:rsid w:val="00206FA2"/>
    <w:rsid w:val="002071C0"/>
    <w:rsid w:val="00207630"/>
    <w:rsid w:val="00211627"/>
    <w:rsid w:val="002118B4"/>
    <w:rsid w:val="002151A9"/>
    <w:rsid w:val="00216524"/>
    <w:rsid w:val="002205E0"/>
    <w:rsid w:val="00220EA1"/>
    <w:rsid w:val="00221D45"/>
    <w:rsid w:val="00221F5C"/>
    <w:rsid w:val="0022207C"/>
    <w:rsid w:val="00222428"/>
    <w:rsid w:val="002224E8"/>
    <w:rsid w:val="0022394A"/>
    <w:rsid w:val="0022402D"/>
    <w:rsid w:val="0022625C"/>
    <w:rsid w:val="0022639B"/>
    <w:rsid w:val="00226F9C"/>
    <w:rsid w:val="00227BFA"/>
    <w:rsid w:val="00227EE0"/>
    <w:rsid w:val="00230E85"/>
    <w:rsid w:val="002313C1"/>
    <w:rsid w:val="002313D0"/>
    <w:rsid w:val="00232C81"/>
    <w:rsid w:val="00234ECA"/>
    <w:rsid w:val="0023533D"/>
    <w:rsid w:val="002354C9"/>
    <w:rsid w:val="00240BB0"/>
    <w:rsid w:val="00240C55"/>
    <w:rsid w:val="002419D7"/>
    <w:rsid w:val="00241E98"/>
    <w:rsid w:val="00244E40"/>
    <w:rsid w:val="0024501B"/>
    <w:rsid w:val="002456BF"/>
    <w:rsid w:val="0024598D"/>
    <w:rsid w:val="00245A4D"/>
    <w:rsid w:val="002471D8"/>
    <w:rsid w:val="002549B4"/>
    <w:rsid w:val="00254BCB"/>
    <w:rsid w:val="0025547A"/>
    <w:rsid w:val="0026096C"/>
    <w:rsid w:val="00260A54"/>
    <w:rsid w:val="00260FD3"/>
    <w:rsid w:val="0026257A"/>
    <w:rsid w:val="0026265B"/>
    <w:rsid w:val="00263260"/>
    <w:rsid w:val="002638B8"/>
    <w:rsid w:val="002640E7"/>
    <w:rsid w:val="0026433E"/>
    <w:rsid w:val="00264565"/>
    <w:rsid w:val="00266AFC"/>
    <w:rsid w:val="00266E1E"/>
    <w:rsid w:val="00266F4F"/>
    <w:rsid w:val="002719CC"/>
    <w:rsid w:val="00271B01"/>
    <w:rsid w:val="00273B7A"/>
    <w:rsid w:val="0027442C"/>
    <w:rsid w:val="00275295"/>
    <w:rsid w:val="00281550"/>
    <w:rsid w:val="00281A86"/>
    <w:rsid w:val="00283365"/>
    <w:rsid w:val="002833DC"/>
    <w:rsid w:val="002860BC"/>
    <w:rsid w:val="0028636C"/>
    <w:rsid w:val="00290030"/>
    <w:rsid w:val="00292A51"/>
    <w:rsid w:val="00292F84"/>
    <w:rsid w:val="00293497"/>
    <w:rsid w:val="00293D3B"/>
    <w:rsid w:val="0029491F"/>
    <w:rsid w:val="00295A0A"/>
    <w:rsid w:val="00295D18"/>
    <w:rsid w:val="00297119"/>
    <w:rsid w:val="002A018B"/>
    <w:rsid w:val="002A1BA2"/>
    <w:rsid w:val="002A21B0"/>
    <w:rsid w:val="002A28C9"/>
    <w:rsid w:val="002A3A75"/>
    <w:rsid w:val="002A4404"/>
    <w:rsid w:val="002A7467"/>
    <w:rsid w:val="002A7564"/>
    <w:rsid w:val="002A7C32"/>
    <w:rsid w:val="002B008B"/>
    <w:rsid w:val="002B00F6"/>
    <w:rsid w:val="002B109F"/>
    <w:rsid w:val="002B1F0D"/>
    <w:rsid w:val="002B237F"/>
    <w:rsid w:val="002B2540"/>
    <w:rsid w:val="002B61C7"/>
    <w:rsid w:val="002B71F2"/>
    <w:rsid w:val="002B74A4"/>
    <w:rsid w:val="002B7575"/>
    <w:rsid w:val="002B75FD"/>
    <w:rsid w:val="002B7EB1"/>
    <w:rsid w:val="002C1C0D"/>
    <w:rsid w:val="002C2810"/>
    <w:rsid w:val="002C4D70"/>
    <w:rsid w:val="002C5C37"/>
    <w:rsid w:val="002C66CD"/>
    <w:rsid w:val="002C6EA3"/>
    <w:rsid w:val="002C72CE"/>
    <w:rsid w:val="002D081D"/>
    <w:rsid w:val="002D11B2"/>
    <w:rsid w:val="002D1872"/>
    <w:rsid w:val="002D3435"/>
    <w:rsid w:val="002D5D3D"/>
    <w:rsid w:val="002D6C24"/>
    <w:rsid w:val="002D6DD5"/>
    <w:rsid w:val="002D7DB1"/>
    <w:rsid w:val="002D7E43"/>
    <w:rsid w:val="002E072C"/>
    <w:rsid w:val="002E0865"/>
    <w:rsid w:val="002E1C68"/>
    <w:rsid w:val="002E226D"/>
    <w:rsid w:val="002E2B17"/>
    <w:rsid w:val="002E4AE9"/>
    <w:rsid w:val="002E610E"/>
    <w:rsid w:val="002F0946"/>
    <w:rsid w:val="002F0DBC"/>
    <w:rsid w:val="002F193D"/>
    <w:rsid w:val="002F1C0C"/>
    <w:rsid w:val="002F5788"/>
    <w:rsid w:val="0030019C"/>
    <w:rsid w:val="0030026D"/>
    <w:rsid w:val="00301C3E"/>
    <w:rsid w:val="00302D6A"/>
    <w:rsid w:val="0030408A"/>
    <w:rsid w:val="00307386"/>
    <w:rsid w:val="00307851"/>
    <w:rsid w:val="0031013B"/>
    <w:rsid w:val="003125CB"/>
    <w:rsid w:val="0031330E"/>
    <w:rsid w:val="00313E06"/>
    <w:rsid w:val="00314F6C"/>
    <w:rsid w:val="003162BA"/>
    <w:rsid w:val="00316DCC"/>
    <w:rsid w:val="003200DB"/>
    <w:rsid w:val="003208B4"/>
    <w:rsid w:val="00320A59"/>
    <w:rsid w:val="00322313"/>
    <w:rsid w:val="00324035"/>
    <w:rsid w:val="003254AD"/>
    <w:rsid w:val="0032574E"/>
    <w:rsid w:val="003257A9"/>
    <w:rsid w:val="00326ACD"/>
    <w:rsid w:val="003273AA"/>
    <w:rsid w:val="0032771C"/>
    <w:rsid w:val="00330329"/>
    <w:rsid w:val="00330B3A"/>
    <w:rsid w:val="003329DE"/>
    <w:rsid w:val="003349CC"/>
    <w:rsid w:val="00336CED"/>
    <w:rsid w:val="00336E81"/>
    <w:rsid w:val="003375A1"/>
    <w:rsid w:val="0034175C"/>
    <w:rsid w:val="003421DC"/>
    <w:rsid w:val="003427D2"/>
    <w:rsid w:val="00342953"/>
    <w:rsid w:val="00343B7F"/>
    <w:rsid w:val="0034756E"/>
    <w:rsid w:val="00347F8D"/>
    <w:rsid w:val="00350019"/>
    <w:rsid w:val="00350622"/>
    <w:rsid w:val="00350F0F"/>
    <w:rsid w:val="0035278F"/>
    <w:rsid w:val="00353BEE"/>
    <w:rsid w:val="00354F7B"/>
    <w:rsid w:val="0035565A"/>
    <w:rsid w:val="00355A2D"/>
    <w:rsid w:val="00355F42"/>
    <w:rsid w:val="00355FAF"/>
    <w:rsid w:val="00356517"/>
    <w:rsid w:val="00356628"/>
    <w:rsid w:val="00357252"/>
    <w:rsid w:val="00360633"/>
    <w:rsid w:val="003607FC"/>
    <w:rsid w:val="00361025"/>
    <w:rsid w:val="00361613"/>
    <w:rsid w:val="00363218"/>
    <w:rsid w:val="003633C3"/>
    <w:rsid w:val="003641E2"/>
    <w:rsid w:val="00364E5A"/>
    <w:rsid w:val="00365387"/>
    <w:rsid w:val="00365A2A"/>
    <w:rsid w:val="00366648"/>
    <w:rsid w:val="00366821"/>
    <w:rsid w:val="00367A79"/>
    <w:rsid w:val="00367C40"/>
    <w:rsid w:val="00370264"/>
    <w:rsid w:val="00370F30"/>
    <w:rsid w:val="00371232"/>
    <w:rsid w:val="00372619"/>
    <w:rsid w:val="003740C5"/>
    <w:rsid w:val="00375C44"/>
    <w:rsid w:val="00375E99"/>
    <w:rsid w:val="00381234"/>
    <w:rsid w:val="00381295"/>
    <w:rsid w:val="00381667"/>
    <w:rsid w:val="00381F5A"/>
    <w:rsid w:val="003820F2"/>
    <w:rsid w:val="003826B4"/>
    <w:rsid w:val="0038512A"/>
    <w:rsid w:val="00385F6E"/>
    <w:rsid w:val="0038758A"/>
    <w:rsid w:val="00390008"/>
    <w:rsid w:val="00390324"/>
    <w:rsid w:val="003911B0"/>
    <w:rsid w:val="003918FB"/>
    <w:rsid w:val="00391E16"/>
    <w:rsid w:val="0039417F"/>
    <w:rsid w:val="003960FE"/>
    <w:rsid w:val="003963F9"/>
    <w:rsid w:val="003A083A"/>
    <w:rsid w:val="003A1D4F"/>
    <w:rsid w:val="003A2E47"/>
    <w:rsid w:val="003A32CA"/>
    <w:rsid w:val="003A361A"/>
    <w:rsid w:val="003A5EA9"/>
    <w:rsid w:val="003A6997"/>
    <w:rsid w:val="003A71ED"/>
    <w:rsid w:val="003A732F"/>
    <w:rsid w:val="003B075D"/>
    <w:rsid w:val="003B0C52"/>
    <w:rsid w:val="003B2598"/>
    <w:rsid w:val="003B3106"/>
    <w:rsid w:val="003B33DC"/>
    <w:rsid w:val="003B33FD"/>
    <w:rsid w:val="003B5F6F"/>
    <w:rsid w:val="003B753E"/>
    <w:rsid w:val="003B7D80"/>
    <w:rsid w:val="003C0609"/>
    <w:rsid w:val="003C0AF4"/>
    <w:rsid w:val="003C15E4"/>
    <w:rsid w:val="003C1FFE"/>
    <w:rsid w:val="003C3CDA"/>
    <w:rsid w:val="003C42B8"/>
    <w:rsid w:val="003C42DD"/>
    <w:rsid w:val="003C55F1"/>
    <w:rsid w:val="003C5EE4"/>
    <w:rsid w:val="003C6317"/>
    <w:rsid w:val="003C670A"/>
    <w:rsid w:val="003C781F"/>
    <w:rsid w:val="003C7ED1"/>
    <w:rsid w:val="003D0D8F"/>
    <w:rsid w:val="003D196B"/>
    <w:rsid w:val="003D23B1"/>
    <w:rsid w:val="003D2725"/>
    <w:rsid w:val="003D47BB"/>
    <w:rsid w:val="003D58ED"/>
    <w:rsid w:val="003D621E"/>
    <w:rsid w:val="003E0071"/>
    <w:rsid w:val="003E07A9"/>
    <w:rsid w:val="003E3847"/>
    <w:rsid w:val="003E39C8"/>
    <w:rsid w:val="003E5B37"/>
    <w:rsid w:val="003E7390"/>
    <w:rsid w:val="003F0732"/>
    <w:rsid w:val="003F107F"/>
    <w:rsid w:val="003F13EA"/>
    <w:rsid w:val="003F1A83"/>
    <w:rsid w:val="003F22AD"/>
    <w:rsid w:val="003F2BE5"/>
    <w:rsid w:val="003F2DFD"/>
    <w:rsid w:val="003F36C4"/>
    <w:rsid w:val="003F7C2F"/>
    <w:rsid w:val="003F7D8E"/>
    <w:rsid w:val="00400D9C"/>
    <w:rsid w:val="004048CF"/>
    <w:rsid w:val="00405CEB"/>
    <w:rsid w:val="004064DA"/>
    <w:rsid w:val="00410E66"/>
    <w:rsid w:val="0041275B"/>
    <w:rsid w:val="00412C45"/>
    <w:rsid w:val="004152DE"/>
    <w:rsid w:val="004153E4"/>
    <w:rsid w:val="00415A31"/>
    <w:rsid w:val="00415A71"/>
    <w:rsid w:val="00415ECA"/>
    <w:rsid w:val="00416D6F"/>
    <w:rsid w:val="004171B3"/>
    <w:rsid w:val="00420714"/>
    <w:rsid w:val="0042185F"/>
    <w:rsid w:val="0042363A"/>
    <w:rsid w:val="00424CC4"/>
    <w:rsid w:val="0042560F"/>
    <w:rsid w:val="00425848"/>
    <w:rsid w:val="00426610"/>
    <w:rsid w:val="00426D4D"/>
    <w:rsid w:val="00426EFD"/>
    <w:rsid w:val="004273C3"/>
    <w:rsid w:val="00430AD3"/>
    <w:rsid w:val="0043143F"/>
    <w:rsid w:val="004327E4"/>
    <w:rsid w:val="00432B68"/>
    <w:rsid w:val="00433777"/>
    <w:rsid w:val="00433F41"/>
    <w:rsid w:val="0043499B"/>
    <w:rsid w:val="00434ECB"/>
    <w:rsid w:val="0044175A"/>
    <w:rsid w:val="00441F60"/>
    <w:rsid w:val="00442AF2"/>
    <w:rsid w:val="00442B03"/>
    <w:rsid w:val="004438BE"/>
    <w:rsid w:val="0044483A"/>
    <w:rsid w:val="004460D2"/>
    <w:rsid w:val="0044664C"/>
    <w:rsid w:val="0044743E"/>
    <w:rsid w:val="00447B01"/>
    <w:rsid w:val="0045072B"/>
    <w:rsid w:val="00450A76"/>
    <w:rsid w:val="00450BC9"/>
    <w:rsid w:val="004510FE"/>
    <w:rsid w:val="00451203"/>
    <w:rsid w:val="0045142D"/>
    <w:rsid w:val="00451CCD"/>
    <w:rsid w:val="004524BF"/>
    <w:rsid w:val="004577AF"/>
    <w:rsid w:val="004609A4"/>
    <w:rsid w:val="00460C13"/>
    <w:rsid w:val="00461597"/>
    <w:rsid w:val="004615F8"/>
    <w:rsid w:val="0046291F"/>
    <w:rsid w:val="00463E92"/>
    <w:rsid w:val="00464E9E"/>
    <w:rsid w:val="00467616"/>
    <w:rsid w:val="00471B7D"/>
    <w:rsid w:val="00471C17"/>
    <w:rsid w:val="00472847"/>
    <w:rsid w:val="00473E6E"/>
    <w:rsid w:val="004742FD"/>
    <w:rsid w:val="0047443E"/>
    <w:rsid w:val="004746CA"/>
    <w:rsid w:val="00474DFB"/>
    <w:rsid w:val="004752CB"/>
    <w:rsid w:val="0047658C"/>
    <w:rsid w:val="00476BBD"/>
    <w:rsid w:val="00477DE0"/>
    <w:rsid w:val="004803A4"/>
    <w:rsid w:val="0048097F"/>
    <w:rsid w:val="00481711"/>
    <w:rsid w:val="00482D03"/>
    <w:rsid w:val="004840F1"/>
    <w:rsid w:val="004844F7"/>
    <w:rsid w:val="00485DC5"/>
    <w:rsid w:val="00490720"/>
    <w:rsid w:val="00490E20"/>
    <w:rsid w:val="00491E58"/>
    <w:rsid w:val="0049226C"/>
    <w:rsid w:val="004929F9"/>
    <w:rsid w:val="00493EC4"/>
    <w:rsid w:val="00493F38"/>
    <w:rsid w:val="00494E9B"/>
    <w:rsid w:val="00496424"/>
    <w:rsid w:val="004966F9"/>
    <w:rsid w:val="00496ED7"/>
    <w:rsid w:val="004A2B1C"/>
    <w:rsid w:val="004A3720"/>
    <w:rsid w:val="004A4BD5"/>
    <w:rsid w:val="004A4E10"/>
    <w:rsid w:val="004A6B33"/>
    <w:rsid w:val="004A6B52"/>
    <w:rsid w:val="004A70F6"/>
    <w:rsid w:val="004A76BF"/>
    <w:rsid w:val="004A7C1C"/>
    <w:rsid w:val="004B0661"/>
    <w:rsid w:val="004B081D"/>
    <w:rsid w:val="004B36E0"/>
    <w:rsid w:val="004B3703"/>
    <w:rsid w:val="004B3C51"/>
    <w:rsid w:val="004B7946"/>
    <w:rsid w:val="004B7A3D"/>
    <w:rsid w:val="004C271A"/>
    <w:rsid w:val="004C2ACE"/>
    <w:rsid w:val="004C3EDF"/>
    <w:rsid w:val="004C4751"/>
    <w:rsid w:val="004C6C19"/>
    <w:rsid w:val="004C76F0"/>
    <w:rsid w:val="004D042C"/>
    <w:rsid w:val="004D2200"/>
    <w:rsid w:val="004D29DC"/>
    <w:rsid w:val="004D3B39"/>
    <w:rsid w:val="004D3D1A"/>
    <w:rsid w:val="004D4018"/>
    <w:rsid w:val="004D4FF8"/>
    <w:rsid w:val="004D611F"/>
    <w:rsid w:val="004D6D5C"/>
    <w:rsid w:val="004E1ACB"/>
    <w:rsid w:val="004E1FF0"/>
    <w:rsid w:val="004E2261"/>
    <w:rsid w:val="004E2B43"/>
    <w:rsid w:val="004E2D39"/>
    <w:rsid w:val="004E30D7"/>
    <w:rsid w:val="004E3337"/>
    <w:rsid w:val="004E4B90"/>
    <w:rsid w:val="004E62E2"/>
    <w:rsid w:val="004E687D"/>
    <w:rsid w:val="004E7016"/>
    <w:rsid w:val="004E78FC"/>
    <w:rsid w:val="004E7F4A"/>
    <w:rsid w:val="004F0B27"/>
    <w:rsid w:val="004F0D44"/>
    <w:rsid w:val="004F31D5"/>
    <w:rsid w:val="004F4472"/>
    <w:rsid w:val="004F53C6"/>
    <w:rsid w:val="00500799"/>
    <w:rsid w:val="00500C33"/>
    <w:rsid w:val="00500FB3"/>
    <w:rsid w:val="00502256"/>
    <w:rsid w:val="00502C4C"/>
    <w:rsid w:val="00503173"/>
    <w:rsid w:val="00503BAB"/>
    <w:rsid w:val="00506357"/>
    <w:rsid w:val="00506434"/>
    <w:rsid w:val="005114C8"/>
    <w:rsid w:val="00511A7D"/>
    <w:rsid w:val="005137EE"/>
    <w:rsid w:val="0051395D"/>
    <w:rsid w:val="00513C7B"/>
    <w:rsid w:val="005155FE"/>
    <w:rsid w:val="0051577E"/>
    <w:rsid w:val="00516116"/>
    <w:rsid w:val="005172A6"/>
    <w:rsid w:val="0051771C"/>
    <w:rsid w:val="00521C3E"/>
    <w:rsid w:val="00522B73"/>
    <w:rsid w:val="00522C64"/>
    <w:rsid w:val="005240CB"/>
    <w:rsid w:val="00526A9D"/>
    <w:rsid w:val="00527BA3"/>
    <w:rsid w:val="00527BE9"/>
    <w:rsid w:val="00530C5D"/>
    <w:rsid w:val="00530F46"/>
    <w:rsid w:val="00531573"/>
    <w:rsid w:val="00532191"/>
    <w:rsid w:val="00532799"/>
    <w:rsid w:val="00533ADC"/>
    <w:rsid w:val="005346C8"/>
    <w:rsid w:val="00534E45"/>
    <w:rsid w:val="00535A9E"/>
    <w:rsid w:val="00536053"/>
    <w:rsid w:val="00537D86"/>
    <w:rsid w:val="00540A19"/>
    <w:rsid w:val="0054256A"/>
    <w:rsid w:val="00543E72"/>
    <w:rsid w:val="00544293"/>
    <w:rsid w:val="00550C7B"/>
    <w:rsid w:val="005529A6"/>
    <w:rsid w:val="005531A8"/>
    <w:rsid w:val="00553357"/>
    <w:rsid w:val="00554682"/>
    <w:rsid w:val="0055476D"/>
    <w:rsid w:val="005548DD"/>
    <w:rsid w:val="005576DA"/>
    <w:rsid w:val="005577D0"/>
    <w:rsid w:val="00560140"/>
    <w:rsid w:val="00560B45"/>
    <w:rsid w:val="00560DD1"/>
    <w:rsid w:val="005610F0"/>
    <w:rsid w:val="00561C79"/>
    <w:rsid w:val="00561CBF"/>
    <w:rsid w:val="005640E2"/>
    <w:rsid w:val="00566DA5"/>
    <w:rsid w:val="005703A5"/>
    <w:rsid w:val="005711BF"/>
    <w:rsid w:val="00571AE2"/>
    <w:rsid w:val="00572F38"/>
    <w:rsid w:val="005744AC"/>
    <w:rsid w:val="00574E45"/>
    <w:rsid w:val="00577178"/>
    <w:rsid w:val="00580D0E"/>
    <w:rsid w:val="0058125F"/>
    <w:rsid w:val="005823E8"/>
    <w:rsid w:val="00585606"/>
    <w:rsid w:val="00585C7E"/>
    <w:rsid w:val="005870CB"/>
    <w:rsid w:val="005878DC"/>
    <w:rsid w:val="005905A3"/>
    <w:rsid w:val="00590BB4"/>
    <w:rsid w:val="005911B3"/>
    <w:rsid w:val="0059509A"/>
    <w:rsid w:val="00595E0C"/>
    <w:rsid w:val="00597BF8"/>
    <w:rsid w:val="005A293B"/>
    <w:rsid w:val="005A3033"/>
    <w:rsid w:val="005A3632"/>
    <w:rsid w:val="005A3DFE"/>
    <w:rsid w:val="005A4816"/>
    <w:rsid w:val="005A487F"/>
    <w:rsid w:val="005A525B"/>
    <w:rsid w:val="005A60CF"/>
    <w:rsid w:val="005A6F79"/>
    <w:rsid w:val="005A770C"/>
    <w:rsid w:val="005B08AE"/>
    <w:rsid w:val="005B2230"/>
    <w:rsid w:val="005B2959"/>
    <w:rsid w:val="005B34C3"/>
    <w:rsid w:val="005B3763"/>
    <w:rsid w:val="005B49D8"/>
    <w:rsid w:val="005B53B4"/>
    <w:rsid w:val="005B59D8"/>
    <w:rsid w:val="005B71B0"/>
    <w:rsid w:val="005C1489"/>
    <w:rsid w:val="005C1BE3"/>
    <w:rsid w:val="005C3C7A"/>
    <w:rsid w:val="005C5DE0"/>
    <w:rsid w:val="005C6027"/>
    <w:rsid w:val="005C6599"/>
    <w:rsid w:val="005C7478"/>
    <w:rsid w:val="005D09B1"/>
    <w:rsid w:val="005D239E"/>
    <w:rsid w:val="005D30DC"/>
    <w:rsid w:val="005D3D72"/>
    <w:rsid w:val="005D42E7"/>
    <w:rsid w:val="005D54AB"/>
    <w:rsid w:val="005E0DE2"/>
    <w:rsid w:val="005E1748"/>
    <w:rsid w:val="005E1765"/>
    <w:rsid w:val="005E245B"/>
    <w:rsid w:val="005E3515"/>
    <w:rsid w:val="005E3BC8"/>
    <w:rsid w:val="005E5E81"/>
    <w:rsid w:val="005E6AAD"/>
    <w:rsid w:val="005F026E"/>
    <w:rsid w:val="005F080B"/>
    <w:rsid w:val="005F08DA"/>
    <w:rsid w:val="005F0AF1"/>
    <w:rsid w:val="005F12CD"/>
    <w:rsid w:val="005F26A4"/>
    <w:rsid w:val="005F3C3A"/>
    <w:rsid w:val="005F52CB"/>
    <w:rsid w:val="005F5C46"/>
    <w:rsid w:val="005F66E8"/>
    <w:rsid w:val="006005BD"/>
    <w:rsid w:val="00600B87"/>
    <w:rsid w:val="00601154"/>
    <w:rsid w:val="00602103"/>
    <w:rsid w:val="0060291E"/>
    <w:rsid w:val="00602B67"/>
    <w:rsid w:val="00603335"/>
    <w:rsid w:val="00603734"/>
    <w:rsid w:val="00603A91"/>
    <w:rsid w:val="00604342"/>
    <w:rsid w:val="0060616B"/>
    <w:rsid w:val="0060700E"/>
    <w:rsid w:val="00607EC4"/>
    <w:rsid w:val="00610E49"/>
    <w:rsid w:val="00612A72"/>
    <w:rsid w:val="00616522"/>
    <w:rsid w:val="00617238"/>
    <w:rsid w:val="00617537"/>
    <w:rsid w:val="006176BD"/>
    <w:rsid w:val="006207D6"/>
    <w:rsid w:val="00620D4D"/>
    <w:rsid w:val="00620EF6"/>
    <w:rsid w:val="0062166A"/>
    <w:rsid w:val="00622018"/>
    <w:rsid w:val="0062222D"/>
    <w:rsid w:val="006230A6"/>
    <w:rsid w:val="00623898"/>
    <w:rsid w:val="00624019"/>
    <w:rsid w:val="00626FE1"/>
    <w:rsid w:val="006275B7"/>
    <w:rsid w:val="00630F7C"/>
    <w:rsid w:val="0063218D"/>
    <w:rsid w:val="00632FC9"/>
    <w:rsid w:val="00633BA4"/>
    <w:rsid w:val="0063779E"/>
    <w:rsid w:val="00637986"/>
    <w:rsid w:val="00640F02"/>
    <w:rsid w:val="00642848"/>
    <w:rsid w:val="006430E2"/>
    <w:rsid w:val="00643F82"/>
    <w:rsid w:val="00644CB1"/>
    <w:rsid w:val="0064708A"/>
    <w:rsid w:val="00647650"/>
    <w:rsid w:val="00647A80"/>
    <w:rsid w:val="00647E89"/>
    <w:rsid w:val="00650930"/>
    <w:rsid w:val="0065096C"/>
    <w:rsid w:val="00650AE3"/>
    <w:rsid w:val="0065189D"/>
    <w:rsid w:val="00651D73"/>
    <w:rsid w:val="006526C8"/>
    <w:rsid w:val="00653AFE"/>
    <w:rsid w:val="00654C77"/>
    <w:rsid w:val="00654EC3"/>
    <w:rsid w:val="00655C5F"/>
    <w:rsid w:val="006564A5"/>
    <w:rsid w:val="006569AF"/>
    <w:rsid w:val="00657BA0"/>
    <w:rsid w:val="00660022"/>
    <w:rsid w:val="006602A2"/>
    <w:rsid w:val="00661AA4"/>
    <w:rsid w:val="00661CFD"/>
    <w:rsid w:val="006622F0"/>
    <w:rsid w:val="0066356F"/>
    <w:rsid w:val="00663E49"/>
    <w:rsid w:val="00663ED7"/>
    <w:rsid w:val="00664898"/>
    <w:rsid w:val="00665E5B"/>
    <w:rsid w:val="00665F7F"/>
    <w:rsid w:val="006668CC"/>
    <w:rsid w:val="00666A42"/>
    <w:rsid w:val="00670AF5"/>
    <w:rsid w:val="00670B8C"/>
    <w:rsid w:val="006712AC"/>
    <w:rsid w:val="006716CD"/>
    <w:rsid w:val="00671745"/>
    <w:rsid w:val="00675891"/>
    <w:rsid w:val="00675A33"/>
    <w:rsid w:val="00676B1C"/>
    <w:rsid w:val="00676CB6"/>
    <w:rsid w:val="00680623"/>
    <w:rsid w:val="00680D76"/>
    <w:rsid w:val="00683DF5"/>
    <w:rsid w:val="006845C0"/>
    <w:rsid w:val="00684E4B"/>
    <w:rsid w:val="006865D2"/>
    <w:rsid w:val="00690F51"/>
    <w:rsid w:val="0069133C"/>
    <w:rsid w:val="0069178A"/>
    <w:rsid w:val="006941E3"/>
    <w:rsid w:val="0069567E"/>
    <w:rsid w:val="00696DB4"/>
    <w:rsid w:val="006A0786"/>
    <w:rsid w:val="006A07C6"/>
    <w:rsid w:val="006A208A"/>
    <w:rsid w:val="006A2BED"/>
    <w:rsid w:val="006A3208"/>
    <w:rsid w:val="006A39D7"/>
    <w:rsid w:val="006A3CED"/>
    <w:rsid w:val="006A3FAF"/>
    <w:rsid w:val="006A4322"/>
    <w:rsid w:val="006A4711"/>
    <w:rsid w:val="006A74C0"/>
    <w:rsid w:val="006B01BA"/>
    <w:rsid w:val="006B0964"/>
    <w:rsid w:val="006B2361"/>
    <w:rsid w:val="006B2F28"/>
    <w:rsid w:val="006B2F77"/>
    <w:rsid w:val="006B34B8"/>
    <w:rsid w:val="006B350C"/>
    <w:rsid w:val="006B5483"/>
    <w:rsid w:val="006B7493"/>
    <w:rsid w:val="006C08C4"/>
    <w:rsid w:val="006C10AC"/>
    <w:rsid w:val="006C1CBD"/>
    <w:rsid w:val="006C27B8"/>
    <w:rsid w:val="006C4B9D"/>
    <w:rsid w:val="006C56E8"/>
    <w:rsid w:val="006C6235"/>
    <w:rsid w:val="006D0F71"/>
    <w:rsid w:val="006D105A"/>
    <w:rsid w:val="006D1583"/>
    <w:rsid w:val="006D2020"/>
    <w:rsid w:val="006D202B"/>
    <w:rsid w:val="006D5933"/>
    <w:rsid w:val="006D722B"/>
    <w:rsid w:val="006D780C"/>
    <w:rsid w:val="006D78A1"/>
    <w:rsid w:val="006D795F"/>
    <w:rsid w:val="006D799E"/>
    <w:rsid w:val="006E0B01"/>
    <w:rsid w:val="006E1DAF"/>
    <w:rsid w:val="006E7AB3"/>
    <w:rsid w:val="006F26AC"/>
    <w:rsid w:val="006F33F1"/>
    <w:rsid w:val="006F420B"/>
    <w:rsid w:val="006F4A34"/>
    <w:rsid w:val="006F5867"/>
    <w:rsid w:val="006F778B"/>
    <w:rsid w:val="00700EE2"/>
    <w:rsid w:val="007014CC"/>
    <w:rsid w:val="00701D78"/>
    <w:rsid w:val="00701FA2"/>
    <w:rsid w:val="007021AE"/>
    <w:rsid w:val="00702581"/>
    <w:rsid w:val="00703B60"/>
    <w:rsid w:val="007044AC"/>
    <w:rsid w:val="007050F4"/>
    <w:rsid w:val="007058C9"/>
    <w:rsid w:val="00710682"/>
    <w:rsid w:val="00710F51"/>
    <w:rsid w:val="00711181"/>
    <w:rsid w:val="00712218"/>
    <w:rsid w:val="00712309"/>
    <w:rsid w:val="0071326A"/>
    <w:rsid w:val="0072102D"/>
    <w:rsid w:val="007228EE"/>
    <w:rsid w:val="00722FE6"/>
    <w:rsid w:val="00723A61"/>
    <w:rsid w:val="007254E5"/>
    <w:rsid w:val="0072591B"/>
    <w:rsid w:val="007268A3"/>
    <w:rsid w:val="00727026"/>
    <w:rsid w:val="00730421"/>
    <w:rsid w:val="00731E27"/>
    <w:rsid w:val="00732566"/>
    <w:rsid w:val="00733729"/>
    <w:rsid w:val="0073435D"/>
    <w:rsid w:val="00734A51"/>
    <w:rsid w:val="007363AD"/>
    <w:rsid w:val="00736873"/>
    <w:rsid w:val="00736AEA"/>
    <w:rsid w:val="00736F2F"/>
    <w:rsid w:val="00737126"/>
    <w:rsid w:val="007420BD"/>
    <w:rsid w:val="007426CC"/>
    <w:rsid w:val="00742FBC"/>
    <w:rsid w:val="00744AFD"/>
    <w:rsid w:val="00744FB9"/>
    <w:rsid w:val="0074580A"/>
    <w:rsid w:val="0074658E"/>
    <w:rsid w:val="007470D8"/>
    <w:rsid w:val="00747488"/>
    <w:rsid w:val="0075005F"/>
    <w:rsid w:val="00750180"/>
    <w:rsid w:val="00750983"/>
    <w:rsid w:val="00750CF9"/>
    <w:rsid w:val="00750DB6"/>
    <w:rsid w:val="007518A7"/>
    <w:rsid w:val="00751E84"/>
    <w:rsid w:val="00753CA7"/>
    <w:rsid w:val="00754E97"/>
    <w:rsid w:val="00755FD3"/>
    <w:rsid w:val="0075753D"/>
    <w:rsid w:val="00760A1E"/>
    <w:rsid w:val="00761466"/>
    <w:rsid w:val="007623AD"/>
    <w:rsid w:val="007636C7"/>
    <w:rsid w:val="00763A89"/>
    <w:rsid w:val="007642C8"/>
    <w:rsid w:val="007653CD"/>
    <w:rsid w:val="00765717"/>
    <w:rsid w:val="00765A73"/>
    <w:rsid w:val="007667E5"/>
    <w:rsid w:val="007704C8"/>
    <w:rsid w:val="00771521"/>
    <w:rsid w:val="00771691"/>
    <w:rsid w:val="00772E8B"/>
    <w:rsid w:val="00773CC6"/>
    <w:rsid w:val="00774F6A"/>
    <w:rsid w:val="007753E6"/>
    <w:rsid w:val="00775CB2"/>
    <w:rsid w:val="007774D9"/>
    <w:rsid w:val="00780ACE"/>
    <w:rsid w:val="0078301A"/>
    <w:rsid w:val="0078690E"/>
    <w:rsid w:val="00786ECD"/>
    <w:rsid w:val="0079012B"/>
    <w:rsid w:val="00790672"/>
    <w:rsid w:val="00790911"/>
    <w:rsid w:val="00790BB6"/>
    <w:rsid w:val="0079179C"/>
    <w:rsid w:val="00791D27"/>
    <w:rsid w:val="00792364"/>
    <w:rsid w:val="00792576"/>
    <w:rsid w:val="00793D6E"/>
    <w:rsid w:val="00794B08"/>
    <w:rsid w:val="00794D62"/>
    <w:rsid w:val="007951C9"/>
    <w:rsid w:val="00795BEB"/>
    <w:rsid w:val="00796932"/>
    <w:rsid w:val="007978CF"/>
    <w:rsid w:val="007A0E2A"/>
    <w:rsid w:val="007A0FCC"/>
    <w:rsid w:val="007A1D9C"/>
    <w:rsid w:val="007A21AF"/>
    <w:rsid w:val="007A3095"/>
    <w:rsid w:val="007A39F7"/>
    <w:rsid w:val="007A7E82"/>
    <w:rsid w:val="007B2EBC"/>
    <w:rsid w:val="007B3A08"/>
    <w:rsid w:val="007B5118"/>
    <w:rsid w:val="007B7429"/>
    <w:rsid w:val="007C15C7"/>
    <w:rsid w:val="007C1A86"/>
    <w:rsid w:val="007C1DAC"/>
    <w:rsid w:val="007C2DB8"/>
    <w:rsid w:val="007C4DEE"/>
    <w:rsid w:val="007C5680"/>
    <w:rsid w:val="007C5C73"/>
    <w:rsid w:val="007C5DE9"/>
    <w:rsid w:val="007C62A2"/>
    <w:rsid w:val="007C63D0"/>
    <w:rsid w:val="007C67D7"/>
    <w:rsid w:val="007C6C65"/>
    <w:rsid w:val="007C779F"/>
    <w:rsid w:val="007D0EB2"/>
    <w:rsid w:val="007D17D9"/>
    <w:rsid w:val="007D1B1F"/>
    <w:rsid w:val="007D3788"/>
    <w:rsid w:val="007D4785"/>
    <w:rsid w:val="007D48AD"/>
    <w:rsid w:val="007D6092"/>
    <w:rsid w:val="007D7D1D"/>
    <w:rsid w:val="007E0D56"/>
    <w:rsid w:val="007E20E3"/>
    <w:rsid w:val="007E2A21"/>
    <w:rsid w:val="007E2F91"/>
    <w:rsid w:val="007E42C0"/>
    <w:rsid w:val="007E496C"/>
    <w:rsid w:val="007E54EE"/>
    <w:rsid w:val="007E5CF5"/>
    <w:rsid w:val="007E642C"/>
    <w:rsid w:val="007E6B33"/>
    <w:rsid w:val="007F047A"/>
    <w:rsid w:val="007F0EE6"/>
    <w:rsid w:val="007F10E9"/>
    <w:rsid w:val="007F1633"/>
    <w:rsid w:val="007F1EF8"/>
    <w:rsid w:val="007F22FB"/>
    <w:rsid w:val="007F297F"/>
    <w:rsid w:val="007F431B"/>
    <w:rsid w:val="007F4793"/>
    <w:rsid w:val="007F4C52"/>
    <w:rsid w:val="007F5017"/>
    <w:rsid w:val="007F5AA5"/>
    <w:rsid w:val="007F796F"/>
    <w:rsid w:val="00800575"/>
    <w:rsid w:val="008011B1"/>
    <w:rsid w:val="00805368"/>
    <w:rsid w:val="00807080"/>
    <w:rsid w:val="00807C4C"/>
    <w:rsid w:val="0081006C"/>
    <w:rsid w:val="0081049E"/>
    <w:rsid w:val="00812586"/>
    <w:rsid w:val="00812658"/>
    <w:rsid w:val="0081399A"/>
    <w:rsid w:val="00813E5F"/>
    <w:rsid w:val="008142FE"/>
    <w:rsid w:val="008174B4"/>
    <w:rsid w:val="00817C7E"/>
    <w:rsid w:val="008205F8"/>
    <w:rsid w:val="008223F2"/>
    <w:rsid w:val="008240EC"/>
    <w:rsid w:val="008255A0"/>
    <w:rsid w:val="0082613E"/>
    <w:rsid w:val="00826734"/>
    <w:rsid w:val="00826BF1"/>
    <w:rsid w:val="008272A7"/>
    <w:rsid w:val="008278CC"/>
    <w:rsid w:val="00831584"/>
    <w:rsid w:val="0083279C"/>
    <w:rsid w:val="00832DFA"/>
    <w:rsid w:val="008337CD"/>
    <w:rsid w:val="00833E70"/>
    <w:rsid w:val="00834A5F"/>
    <w:rsid w:val="00834C43"/>
    <w:rsid w:val="008364D2"/>
    <w:rsid w:val="00840744"/>
    <w:rsid w:val="00841998"/>
    <w:rsid w:val="00841CF0"/>
    <w:rsid w:val="008420AB"/>
    <w:rsid w:val="008424D9"/>
    <w:rsid w:val="00842667"/>
    <w:rsid w:val="00842836"/>
    <w:rsid w:val="00842D82"/>
    <w:rsid w:val="008439CA"/>
    <w:rsid w:val="00843FFF"/>
    <w:rsid w:val="00845DA4"/>
    <w:rsid w:val="00845EF6"/>
    <w:rsid w:val="0084677E"/>
    <w:rsid w:val="0084743B"/>
    <w:rsid w:val="008474F3"/>
    <w:rsid w:val="00850103"/>
    <w:rsid w:val="00851C7A"/>
    <w:rsid w:val="00852535"/>
    <w:rsid w:val="00853460"/>
    <w:rsid w:val="008536E6"/>
    <w:rsid w:val="008537BF"/>
    <w:rsid w:val="0085540B"/>
    <w:rsid w:val="0085794C"/>
    <w:rsid w:val="00857E6F"/>
    <w:rsid w:val="008602EA"/>
    <w:rsid w:val="008604D8"/>
    <w:rsid w:val="008627B7"/>
    <w:rsid w:val="00862FD8"/>
    <w:rsid w:val="0086339F"/>
    <w:rsid w:val="008638D6"/>
    <w:rsid w:val="00863A48"/>
    <w:rsid w:val="00864DEC"/>
    <w:rsid w:val="00867F2C"/>
    <w:rsid w:val="00870008"/>
    <w:rsid w:val="0087196A"/>
    <w:rsid w:val="00871E07"/>
    <w:rsid w:val="00872FFE"/>
    <w:rsid w:val="00873A86"/>
    <w:rsid w:val="00874547"/>
    <w:rsid w:val="00874AA6"/>
    <w:rsid w:val="00874CF7"/>
    <w:rsid w:val="0088027B"/>
    <w:rsid w:val="00880660"/>
    <w:rsid w:val="00880C3B"/>
    <w:rsid w:val="00880FB2"/>
    <w:rsid w:val="00881BC3"/>
    <w:rsid w:val="00883422"/>
    <w:rsid w:val="008837FC"/>
    <w:rsid w:val="008847E8"/>
    <w:rsid w:val="00885021"/>
    <w:rsid w:val="00885979"/>
    <w:rsid w:val="0088615B"/>
    <w:rsid w:val="00886C7B"/>
    <w:rsid w:val="00890490"/>
    <w:rsid w:val="00891780"/>
    <w:rsid w:val="0089186D"/>
    <w:rsid w:val="00892A05"/>
    <w:rsid w:val="0089405C"/>
    <w:rsid w:val="0089434A"/>
    <w:rsid w:val="00895BE5"/>
    <w:rsid w:val="00896502"/>
    <w:rsid w:val="00896A6E"/>
    <w:rsid w:val="008979BC"/>
    <w:rsid w:val="008A1305"/>
    <w:rsid w:val="008A2FAA"/>
    <w:rsid w:val="008A36DC"/>
    <w:rsid w:val="008A3AE5"/>
    <w:rsid w:val="008A4CC9"/>
    <w:rsid w:val="008A5CB5"/>
    <w:rsid w:val="008A63E5"/>
    <w:rsid w:val="008A6B3B"/>
    <w:rsid w:val="008B1091"/>
    <w:rsid w:val="008B1099"/>
    <w:rsid w:val="008B1317"/>
    <w:rsid w:val="008B2CA1"/>
    <w:rsid w:val="008B3277"/>
    <w:rsid w:val="008B34A2"/>
    <w:rsid w:val="008B41F2"/>
    <w:rsid w:val="008B4320"/>
    <w:rsid w:val="008B5AED"/>
    <w:rsid w:val="008B6E78"/>
    <w:rsid w:val="008C0E0B"/>
    <w:rsid w:val="008C184E"/>
    <w:rsid w:val="008C1DF6"/>
    <w:rsid w:val="008C5BED"/>
    <w:rsid w:val="008C6A88"/>
    <w:rsid w:val="008C709F"/>
    <w:rsid w:val="008C720E"/>
    <w:rsid w:val="008C7336"/>
    <w:rsid w:val="008D0339"/>
    <w:rsid w:val="008D0BB7"/>
    <w:rsid w:val="008D16B1"/>
    <w:rsid w:val="008D2D67"/>
    <w:rsid w:val="008D345D"/>
    <w:rsid w:val="008D5174"/>
    <w:rsid w:val="008D60F5"/>
    <w:rsid w:val="008D63FF"/>
    <w:rsid w:val="008D64C8"/>
    <w:rsid w:val="008D697E"/>
    <w:rsid w:val="008D71BF"/>
    <w:rsid w:val="008D7296"/>
    <w:rsid w:val="008E050A"/>
    <w:rsid w:val="008E051D"/>
    <w:rsid w:val="008E0796"/>
    <w:rsid w:val="008E0C9B"/>
    <w:rsid w:val="008E0E82"/>
    <w:rsid w:val="008E15AE"/>
    <w:rsid w:val="008E1F4A"/>
    <w:rsid w:val="008E2780"/>
    <w:rsid w:val="008E28C0"/>
    <w:rsid w:val="008E2950"/>
    <w:rsid w:val="008E322F"/>
    <w:rsid w:val="008E3268"/>
    <w:rsid w:val="008E59EE"/>
    <w:rsid w:val="008E5B78"/>
    <w:rsid w:val="008E6381"/>
    <w:rsid w:val="008F00AD"/>
    <w:rsid w:val="008F0138"/>
    <w:rsid w:val="008F28BA"/>
    <w:rsid w:val="008F2D04"/>
    <w:rsid w:val="008F3865"/>
    <w:rsid w:val="008F509A"/>
    <w:rsid w:val="008F544B"/>
    <w:rsid w:val="008F67A2"/>
    <w:rsid w:val="008F6FBF"/>
    <w:rsid w:val="008F7339"/>
    <w:rsid w:val="008F763C"/>
    <w:rsid w:val="00901967"/>
    <w:rsid w:val="00903056"/>
    <w:rsid w:val="009039D7"/>
    <w:rsid w:val="00903A9D"/>
    <w:rsid w:val="00906B3C"/>
    <w:rsid w:val="00906C60"/>
    <w:rsid w:val="00907C74"/>
    <w:rsid w:val="00910315"/>
    <w:rsid w:val="0091040E"/>
    <w:rsid w:val="00910461"/>
    <w:rsid w:val="0091325B"/>
    <w:rsid w:val="0091329D"/>
    <w:rsid w:val="00913673"/>
    <w:rsid w:val="0091425A"/>
    <w:rsid w:val="00914555"/>
    <w:rsid w:val="009145D8"/>
    <w:rsid w:val="00917E6F"/>
    <w:rsid w:val="00918288"/>
    <w:rsid w:val="00920421"/>
    <w:rsid w:val="00921675"/>
    <w:rsid w:val="00924FD8"/>
    <w:rsid w:val="00926F0F"/>
    <w:rsid w:val="00926F55"/>
    <w:rsid w:val="00926FDC"/>
    <w:rsid w:val="00927791"/>
    <w:rsid w:val="00932227"/>
    <w:rsid w:val="00932810"/>
    <w:rsid w:val="009332AB"/>
    <w:rsid w:val="00936213"/>
    <w:rsid w:val="00936347"/>
    <w:rsid w:val="00936CCC"/>
    <w:rsid w:val="00937468"/>
    <w:rsid w:val="00940315"/>
    <w:rsid w:val="00941062"/>
    <w:rsid w:val="0094147B"/>
    <w:rsid w:val="009421F6"/>
    <w:rsid w:val="00942385"/>
    <w:rsid w:val="00942C4C"/>
    <w:rsid w:val="00943AFC"/>
    <w:rsid w:val="009459FC"/>
    <w:rsid w:val="00945E8A"/>
    <w:rsid w:val="009469F7"/>
    <w:rsid w:val="00946A58"/>
    <w:rsid w:val="00947AB3"/>
    <w:rsid w:val="00953B98"/>
    <w:rsid w:val="0095408A"/>
    <w:rsid w:val="009548DC"/>
    <w:rsid w:val="00954EFF"/>
    <w:rsid w:val="009553A7"/>
    <w:rsid w:val="00955DBB"/>
    <w:rsid w:val="00956063"/>
    <w:rsid w:val="00956C7D"/>
    <w:rsid w:val="0095740C"/>
    <w:rsid w:val="009578A3"/>
    <w:rsid w:val="00962525"/>
    <w:rsid w:val="00963421"/>
    <w:rsid w:val="009650EE"/>
    <w:rsid w:val="00965CAB"/>
    <w:rsid w:val="00967471"/>
    <w:rsid w:val="00970820"/>
    <w:rsid w:val="00970832"/>
    <w:rsid w:val="0097091A"/>
    <w:rsid w:val="00970D5C"/>
    <w:rsid w:val="00972135"/>
    <w:rsid w:val="00972D14"/>
    <w:rsid w:val="00973441"/>
    <w:rsid w:val="00973EEE"/>
    <w:rsid w:val="00976681"/>
    <w:rsid w:val="00980900"/>
    <w:rsid w:val="009811C0"/>
    <w:rsid w:val="0098172A"/>
    <w:rsid w:val="00982398"/>
    <w:rsid w:val="009823DA"/>
    <w:rsid w:val="009843DD"/>
    <w:rsid w:val="0098599A"/>
    <w:rsid w:val="009859EB"/>
    <w:rsid w:val="0098695B"/>
    <w:rsid w:val="009902F1"/>
    <w:rsid w:val="00995504"/>
    <w:rsid w:val="00995B02"/>
    <w:rsid w:val="00995F68"/>
    <w:rsid w:val="00997661"/>
    <w:rsid w:val="009A0CF7"/>
    <w:rsid w:val="009A1DC8"/>
    <w:rsid w:val="009A2C49"/>
    <w:rsid w:val="009A3B16"/>
    <w:rsid w:val="009A4076"/>
    <w:rsid w:val="009A42CF"/>
    <w:rsid w:val="009A467F"/>
    <w:rsid w:val="009A6B22"/>
    <w:rsid w:val="009A7C1F"/>
    <w:rsid w:val="009B1D64"/>
    <w:rsid w:val="009B3149"/>
    <w:rsid w:val="009B3794"/>
    <w:rsid w:val="009B6EAE"/>
    <w:rsid w:val="009B7E4D"/>
    <w:rsid w:val="009C0B95"/>
    <w:rsid w:val="009C127D"/>
    <w:rsid w:val="009C1B61"/>
    <w:rsid w:val="009C327F"/>
    <w:rsid w:val="009C3425"/>
    <w:rsid w:val="009C4110"/>
    <w:rsid w:val="009C5A14"/>
    <w:rsid w:val="009C72B8"/>
    <w:rsid w:val="009C737D"/>
    <w:rsid w:val="009D02CA"/>
    <w:rsid w:val="009D1343"/>
    <w:rsid w:val="009D1DA7"/>
    <w:rsid w:val="009D2FDD"/>
    <w:rsid w:val="009D39BE"/>
    <w:rsid w:val="009D535D"/>
    <w:rsid w:val="009D6C0A"/>
    <w:rsid w:val="009D6F04"/>
    <w:rsid w:val="009D7049"/>
    <w:rsid w:val="009E0EDD"/>
    <w:rsid w:val="009E1428"/>
    <w:rsid w:val="009E155B"/>
    <w:rsid w:val="009E195D"/>
    <w:rsid w:val="009E1C4B"/>
    <w:rsid w:val="009E3285"/>
    <w:rsid w:val="009E3286"/>
    <w:rsid w:val="009E3711"/>
    <w:rsid w:val="009E4A67"/>
    <w:rsid w:val="009E5230"/>
    <w:rsid w:val="009E62CA"/>
    <w:rsid w:val="009E7536"/>
    <w:rsid w:val="009F1123"/>
    <w:rsid w:val="009F14AF"/>
    <w:rsid w:val="009F27A2"/>
    <w:rsid w:val="009F378D"/>
    <w:rsid w:val="009F40BA"/>
    <w:rsid w:val="009F5A43"/>
    <w:rsid w:val="009F6700"/>
    <w:rsid w:val="009F6ACE"/>
    <w:rsid w:val="00A0228E"/>
    <w:rsid w:val="00A02D2C"/>
    <w:rsid w:val="00A02EF4"/>
    <w:rsid w:val="00A031EC"/>
    <w:rsid w:val="00A04097"/>
    <w:rsid w:val="00A04D5F"/>
    <w:rsid w:val="00A05BD5"/>
    <w:rsid w:val="00A0621D"/>
    <w:rsid w:val="00A071AB"/>
    <w:rsid w:val="00A105AD"/>
    <w:rsid w:val="00A118CC"/>
    <w:rsid w:val="00A12B68"/>
    <w:rsid w:val="00A1563C"/>
    <w:rsid w:val="00A16AFA"/>
    <w:rsid w:val="00A16B5A"/>
    <w:rsid w:val="00A232D3"/>
    <w:rsid w:val="00A2391E"/>
    <w:rsid w:val="00A250E2"/>
    <w:rsid w:val="00A259E1"/>
    <w:rsid w:val="00A27648"/>
    <w:rsid w:val="00A32544"/>
    <w:rsid w:val="00A32876"/>
    <w:rsid w:val="00A33578"/>
    <w:rsid w:val="00A35B13"/>
    <w:rsid w:val="00A36917"/>
    <w:rsid w:val="00A37398"/>
    <w:rsid w:val="00A4086D"/>
    <w:rsid w:val="00A41AAC"/>
    <w:rsid w:val="00A41F42"/>
    <w:rsid w:val="00A431E5"/>
    <w:rsid w:val="00A43372"/>
    <w:rsid w:val="00A43680"/>
    <w:rsid w:val="00A43819"/>
    <w:rsid w:val="00A457AB"/>
    <w:rsid w:val="00A46A21"/>
    <w:rsid w:val="00A472F8"/>
    <w:rsid w:val="00A47488"/>
    <w:rsid w:val="00A478A0"/>
    <w:rsid w:val="00A5611E"/>
    <w:rsid w:val="00A569A1"/>
    <w:rsid w:val="00A579FE"/>
    <w:rsid w:val="00A601E5"/>
    <w:rsid w:val="00A60E04"/>
    <w:rsid w:val="00A60FA8"/>
    <w:rsid w:val="00A61F77"/>
    <w:rsid w:val="00A62129"/>
    <w:rsid w:val="00A64633"/>
    <w:rsid w:val="00A65B2C"/>
    <w:rsid w:val="00A65C06"/>
    <w:rsid w:val="00A7055D"/>
    <w:rsid w:val="00A70EAC"/>
    <w:rsid w:val="00A712E2"/>
    <w:rsid w:val="00A71566"/>
    <w:rsid w:val="00A7332E"/>
    <w:rsid w:val="00A74F32"/>
    <w:rsid w:val="00A75603"/>
    <w:rsid w:val="00A76342"/>
    <w:rsid w:val="00A76E82"/>
    <w:rsid w:val="00A80442"/>
    <w:rsid w:val="00A814F1"/>
    <w:rsid w:val="00A81AD7"/>
    <w:rsid w:val="00A8259A"/>
    <w:rsid w:val="00A82F99"/>
    <w:rsid w:val="00A832DD"/>
    <w:rsid w:val="00A83E3C"/>
    <w:rsid w:val="00A83EC5"/>
    <w:rsid w:val="00A850D9"/>
    <w:rsid w:val="00A8659F"/>
    <w:rsid w:val="00A87247"/>
    <w:rsid w:val="00A90BAB"/>
    <w:rsid w:val="00A912FC"/>
    <w:rsid w:val="00A92CAB"/>
    <w:rsid w:val="00A94671"/>
    <w:rsid w:val="00A9576D"/>
    <w:rsid w:val="00A95F0E"/>
    <w:rsid w:val="00A9666F"/>
    <w:rsid w:val="00A97967"/>
    <w:rsid w:val="00AA016F"/>
    <w:rsid w:val="00AA0D58"/>
    <w:rsid w:val="00AA4553"/>
    <w:rsid w:val="00AA4674"/>
    <w:rsid w:val="00AA46C9"/>
    <w:rsid w:val="00AA5F6F"/>
    <w:rsid w:val="00AA7E38"/>
    <w:rsid w:val="00AB15E3"/>
    <w:rsid w:val="00AB171D"/>
    <w:rsid w:val="00AB1AEB"/>
    <w:rsid w:val="00AB4A1F"/>
    <w:rsid w:val="00AB55A1"/>
    <w:rsid w:val="00AB6578"/>
    <w:rsid w:val="00AB796D"/>
    <w:rsid w:val="00AB7AF6"/>
    <w:rsid w:val="00AC0AE1"/>
    <w:rsid w:val="00AC24E4"/>
    <w:rsid w:val="00AC3399"/>
    <w:rsid w:val="00AC3898"/>
    <w:rsid w:val="00AC3F8C"/>
    <w:rsid w:val="00AC50F1"/>
    <w:rsid w:val="00AC793C"/>
    <w:rsid w:val="00AD0AD9"/>
    <w:rsid w:val="00AD0FF6"/>
    <w:rsid w:val="00AD162B"/>
    <w:rsid w:val="00AD3684"/>
    <w:rsid w:val="00AD548C"/>
    <w:rsid w:val="00AD6916"/>
    <w:rsid w:val="00AD706D"/>
    <w:rsid w:val="00AE0771"/>
    <w:rsid w:val="00AE26C1"/>
    <w:rsid w:val="00AE51E1"/>
    <w:rsid w:val="00AE59F1"/>
    <w:rsid w:val="00AE7154"/>
    <w:rsid w:val="00AE74F8"/>
    <w:rsid w:val="00AF1F8E"/>
    <w:rsid w:val="00AF212C"/>
    <w:rsid w:val="00AF2840"/>
    <w:rsid w:val="00AF5859"/>
    <w:rsid w:val="00AF5B45"/>
    <w:rsid w:val="00AF67BD"/>
    <w:rsid w:val="00AF70FB"/>
    <w:rsid w:val="00AF79AD"/>
    <w:rsid w:val="00AF7C67"/>
    <w:rsid w:val="00B0027C"/>
    <w:rsid w:val="00B00716"/>
    <w:rsid w:val="00B013DA"/>
    <w:rsid w:val="00B04022"/>
    <w:rsid w:val="00B04629"/>
    <w:rsid w:val="00B04F04"/>
    <w:rsid w:val="00B0589F"/>
    <w:rsid w:val="00B0604C"/>
    <w:rsid w:val="00B068AA"/>
    <w:rsid w:val="00B06DBA"/>
    <w:rsid w:val="00B06F92"/>
    <w:rsid w:val="00B07D29"/>
    <w:rsid w:val="00B106E8"/>
    <w:rsid w:val="00B1173D"/>
    <w:rsid w:val="00B12D43"/>
    <w:rsid w:val="00B15EAF"/>
    <w:rsid w:val="00B16884"/>
    <w:rsid w:val="00B17C73"/>
    <w:rsid w:val="00B21E1C"/>
    <w:rsid w:val="00B22B11"/>
    <w:rsid w:val="00B23859"/>
    <w:rsid w:val="00B2584A"/>
    <w:rsid w:val="00B26C27"/>
    <w:rsid w:val="00B27B3E"/>
    <w:rsid w:val="00B30B31"/>
    <w:rsid w:val="00B32CFC"/>
    <w:rsid w:val="00B33E93"/>
    <w:rsid w:val="00B342C2"/>
    <w:rsid w:val="00B34CFD"/>
    <w:rsid w:val="00B36110"/>
    <w:rsid w:val="00B36C35"/>
    <w:rsid w:val="00B36D24"/>
    <w:rsid w:val="00B37C97"/>
    <w:rsid w:val="00B41825"/>
    <w:rsid w:val="00B42080"/>
    <w:rsid w:val="00B42638"/>
    <w:rsid w:val="00B4277A"/>
    <w:rsid w:val="00B437CE"/>
    <w:rsid w:val="00B44553"/>
    <w:rsid w:val="00B46273"/>
    <w:rsid w:val="00B467B3"/>
    <w:rsid w:val="00B47177"/>
    <w:rsid w:val="00B51771"/>
    <w:rsid w:val="00B52D3A"/>
    <w:rsid w:val="00B530EF"/>
    <w:rsid w:val="00B55213"/>
    <w:rsid w:val="00B555A7"/>
    <w:rsid w:val="00B57EAE"/>
    <w:rsid w:val="00B60849"/>
    <w:rsid w:val="00B60B2B"/>
    <w:rsid w:val="00B623BB"/>
    <w:rsid w:val="00B655C6"/>
    <w:rsid w:val="00B6573D"/>
    <w:rsid w:val="00B65B48"/>
    <w:rsid w:val="00B6787F"/>
    <w:rsid w:val="00B67F46"/>
    <w:rsid w:val="00B70A49"/>
    <w:rsid w:val="00B74747"/>
    <w:rsid w:val="00B75957"/>
    <w:rsid w:val="00B771C5"/>
    <w:rsid w:val="00B813CB"/>
    <w:rsid w:val="00B81D3B"/>
    <w:rsid w:val="00B832D0"/>
    <w:rsid w:val="00B842A1"/>
    <w:rsid w:val="00B84984"/>
    <w:rsid w:val="00B84D35"/>
    <w:rsid w:val="00B85455"/>
    <w:rsid w:val="00B8787B"/>
    <w:rsid w:val="00B931B7"/>
    <w:rsid w:val="00B9350B"/>
    <w:rsid w:val="00B93AD8"/>
    <w:rsid w:val="00B9542F"/>
    <w:rsid w:val="00B95A4C"/>
    <w:rsid w:val="00B96068"/>
    <w:rsid w:val="00BA1A0C"/>
    <w:rsid w:val="00BA21E6"/>
    <w:rsid w:val="00BA2A28"/>
    <w:rsid w:val="00BA2FE9"/>
    <w:rsid w:val="00BA52FE"/>
    <w:rsid w:val="00BA5877"/>
    <w:rsid w:val="00BA64F1"/>
    <w:rsid w:val="00BA6F75"/>
    <w:rsid w:val="00BA71FF"/>
    <w:rsid w:val="00BA7BA9"/>
    <w:rsid w:val="00BB31C8"/>
    <w:rsid w:val="00BB3BAD"/>
    <w:rsid w:val="00BB61BC"/>
    <w:rsid w:val="00BC1482"/>
    <w:rsid w:val="00BC2476"/>
    <w:rsid w:val="00BC2F4B"/>
    <w:rsid w:val="00BC37DC"/>
    <w:rsid w:val="00BC459F"/>
    <w:rsid w:val="00BC60BC"/>
    <w:rsid w:val="00BC6945"/>
    <w:rsid w:val="00BC6AAB"/>
    <w:rsid w:val="00BC7578"/>
    <w:rsid w:val="00BC75E6"/>
    <w:rsid w:val="00BD0516"/>
    <w:rsid w:val="00BD0B21"/>
    <w:rsid w:val="00BD1A92"/>
    <w:rsid w:val="00BD1B09"/>
    <w:rsid w:val="00BD1F79"/>
    <w:rsid w:val="00BD2F1B"/>
    <w:rsid w:val="00BD395C"/>
    <w:rsid w:val="00BD4C47"/>
    <w:rsid w:val="00BD6399"/>
    <w:rsid w:val="00BD7EE6"/>
    <w:rsid w:val="00BE0223"/>
    <w:rsid w:val="00BE05F0"/>
    <w:rsid w:val="00BE15D5"/>
    <w:rsid w:val="00BE196B"/>
    <w:rsid w:val="00BE35A7"/>
    <w:rsid w:val="00BE4220"/>
    <w:rsid w:val="00BE45AD"/>
    <w:rsid w:val="00BE5B14"/>
    <w:rsid w:val="00BF1B84"/>
    <w:rsid w:val="00BF2236"/>
    <w:rsid w:val="00BF25CF"/>
    <w:rsid w:val="00BF3754"/>
    <w:rsid w:val="00BF44DC"/>
    <w:rsid w:val="00BF4869"/>
    <w:rsid w:val="00BF4BBF"/>
    <w:rsid w:val="00C01B4B"/>
    <w:rsid w:val="00C02ECF"/>
    <w:rsid w:val="00C02EE7"/>
    <w:rsid w:val="00C03A4D"/>
    <w:rsid w:val="00C05D7A"/>
    <w:rsid w:val="00C13556"/>
    <w:rsid w:val="00C13F1C"/>
    <w:rsid w:val="00C147E3"/>
    <w:rsid w:val="00C157BB"/>
    <w:rsid w:val="00C16821"/>
    <w:rsid w:val="00C20C6B"/>
    <w:rsid w:val="00C22864"/>
    <w:rsid w:val="00C2361F"/>
    <w:rsid w:val="00C2464C"/>
    <w:rsid w:val="00C24C7D"/>
    <w:rsid w:val="00C265D1"/>
    <w:rsid w:val="00C26DB4"/>
    <w:rsid w:val="00C279C2"/>
    <w:rsid w:val="00C30FBC"/>
    <w:rsid w:val="00C33267"/>
    <w:rsid w:val="00C33340"/>
    <w:rsid w:val="00C33DDC"/>
    <w:rsid w:val="00C35C10"/>
    <w:rsid w:val="00C40A58"/>
    <w:rsid w:val="00C42B4C"/>
    <w:rsid w:val="00C4442C"/>
    <w:rsid w:val="00C455CB"/>
    <w:rsid w:val="00C45804"/>
    <w:rsid w:val="00C45A93"/>
    <w:rsid w:val="00C45CA2"/>
    <w:rsid w:val="00C4606F"/>
    <w:rsid w:val="00C46E36"/>
    <w:rsid w:val="00C46E99"/>
    <w:rsid w:val="00C47FE8"/>
    <w:rsid w:val="00C512FE"/>
    <w:rsid w:val="00C515A0"/>
    <w:rsid w:val="00C516D1"/>
    <w:rsid w:val="00C53B77"/>
    <w:rsid w:val="00C53F9F"/>
    <w:rsid w:val="00C54ABC"/>
    <w:rsid w:val="00C60398"/>
    <w:rsid w:val="00C60EDD"/>
    <w:rsid w:val="00C62240"/>
    <w:rsid w:val="00C62300"/>
    <w:rsid w:val="00C62BCB"/>
    <w:rsid w:val="00C64690"/>
    <w:rsid w:val="00C653A8"/>
    <w:rsid w:val="00C657F5"/>
    <w:rsid w:val="00C67D3F"/>
    <w:rsid w:val="00C7257C"/>
    <w:rsid w:val="00C73266"/>
    <w:rsid w:val="00C7403E"/>
    <w:rsid w:val="00C74B40"/>
    <w:rsid w:val="00C74B86"/>
    <w:rsid w:val="00C75020"/>
    <w:rsid w:val="00C754CB"/>
    <w:rsid w:val="00C759DF"/>
    <w:rsid w:val="00C77A64"/>
    <w:rsid w:val="00C8164B"/>
    <w:rsid w:val="00C826C1"/>
    <w:rsid w:val="00C82968"/>
    <w:rsid w:val="00C82FBD"/>
    <w:rsid w:val="00C83900"/>
    <w:rsid w:val="00C8478F"/>
    <w:rsid w:val="00C8480E"/>
    <w:rsid w:val="00C852E8"/>
    <w:rsid w:val="00C86876"/>
    <w:rsid w:val="00C90A0B"/>
    <w:rsid w:val="00C915C4"/>
    <w:rsid w:val="00C918C5"/>
    <w:rsid w:val="00C92430"/>
    <w:rsid w:val="00C926A2"/>
    <w:rsid w:val="00C93563"/>
    <w:rsid w:val="00C94AB1"/>
    <w:rsid w:val="00C9558D"/>
    <w:rsid w:val="00C966D6"/>
    <w:rsid w:val="00C96CF8"/>
    <w:rsid w:val="00C97CA4"/>
    <w:rsid w:val="00CA10ED"/>
    <w:rsid w:val="00CA13AE"/>
    <w:rsid w:val="00CA1952"/>
    <w:rsid w:val="00CA355D"/>
    <w:rsid w:val="00CA3DA6"/>
    <w:rsid w:val="00CA4366"/>
    <w:rsid w:val="00CA5199"/>
    <w:rsid w:val="00CA53FA"/>
    <w:rsid w:val="00CA7E27"/>
    <w:rsid w:val="00CB0FC7"/>
    <w:rsid w:val="00CB20D1"/>
    <w:rsid w:val="00CB3AD2"/>
    <w:rsid w:val="00CB488F"/>
    <w:rsid w:val="00CB4978"/>
    <w:rsid w:val="00CB5703"/>
    <w:rsid w:val="00CC132B"/>
    <w:rsid w:val="00CC2318"/>
    <w:rsid w:val="00CC2C4D"/>
    <w:rsid w:val="00CC503D"/>
    <w:rsid w:val="00CC51B9"/>
    <w:rsid w:val="00CC5438"/>
    <w:rsid w:val="00CC5759"/>
    <w:rsid w:val="00CC63CF"/>
    <w:rsid w:val="00CC6D2B"/>
    <w:rsid w:val="00CD1390"/>
    <w:rsid w:val="00CD139E"/>
    <w:rsid w:val="00CD1AC4"/>
    <w:rsid w:val="00CD1C62"/>
    <w:rsid w:val="00CD253B"/>
    <w:rsid w:val="00CD2910"/>
    <w:rsid w:val="00CD36E7"/>
    <w:rsid w:val="00CD3B80"/>
    <w:rsid w:val="00CD3ECB"/>
    <w:rsid w:val="00CD3F15"/>
    <w:rsid w:val="00CD407B"/>
    <w:rsid w:val="00CD41CA"/>
    <w:rsid w:val="00CD5533"/>
    <w:rsid w:val="00CD5C5B"/>
    <w:rsid w:val="00CD5D8E"/>
    <w:rsid w:val="00CD66FA"/>
    <w:rsid w:val="00CD6B55"/>
    <w:rsid w:val="00CE16F3"/>
    <w:rsid w:val="00CE2957"/>
    <w:rsid w:val="00CE2ACE"/>
    <w:rsid w:val="00CE3DA3"/>
    <w:rsid w:val="00CE44FC"/>
    <w:rsid w:val="00CE559A"/>
    <w:rsid w:val="00CE55F7"/>
    <w:rsid w:val="00CE5AA9"/>
    <w:rsid w:val="00CE650A"/>
    <w:rsid w:val="00CF1656"/>
    <w:rsid w:val="00CF4647"/>
    <w:rsid w:val="00CF5054"/>
    <w:rsid w:val="00CF6A33"/>
    <w:rsid w:val="00CF73AB"/>
    <w:rsid w:val="00CF7431"/>
    <w:rsid w:val="00D03C8B"/>
    <w:rsid w:val="00D042A2"/>
    <w:rsid w:val="00D04F3B"/>
    <w:rsid w:val="00D05367"/>
    <w:rsid w:val="00D05576"/>
    <w:rsid w:val="00D0628F"/>
    <w:rsid w:val="00D06537"/>
    <w:rsid w:val="00D07322"/>
    <w:rsid w:val="00D10BE7"/>
    <w:rsid w:val="00D11A03"/>
    <w:rsid w:val="00D12128"/>
    <w:rsid w:val="00D123AA"/>
    <w:rsid w:val="00D12C0E"/>
    <w:rsid w:val="00D134A8"/>
    <w:rsid w:val="00D14095"/>
    <w:rsid w:val="00D1460F"/>
    <w:rsid w:val="00D15C17"/>
    <w:rsid w:val="00D1626A"/>
    <w:rsid w:val="00D16D4D"/>
    <w:rsid w:val="00D17B49"/>
    <w:rsid w:val="00D2058E"/>
    <w:rsid w:val="00D20D9E"/>
    <w:rsid w:val="00D23365"/>
    <w:rsid w:val="00D23606"/>
    <w:rsid w:val="00D2440A"/>
    <w:rsid w:val="00D24641"/>
    <w:rsid w:val="00D26439"/>
    <w:rsid w:val="00D2669E"/>
    <w:rsid w:val="00D267EF"/>
    <w:rsid w:val="00D34E6B"/>
    <w:rsid w:val="00D35495"/>
    <w:rsid w:val="00D36BBF"/>
    <w:rsid w:val="00D4242C"/>
    <w:rsid w:val="00D447AD"/>
    <w:rsid w:val="00D44897"/>
    <w:rsid w:val="00D46313"/>
    <w:rsid w:val="00D464E9"/>
    <w:rsid w:val="00D465FC"/>
    <w:rsid w:val="00D4777D"/>
    <w:rsid w:val="00D5083D"/>
    <w:rsid w:val="00D51D1B"/>
    <w:rsid w:val="00D53B37"/>
    <w:rsid w:val="00D53BDB"/>
    <w:rsid w:val="00D553A6"/>
    <w:rsid w:val="00D57A04"/>
    <w:rsid w:val="00D57CB5"/>
    <w:rsid w:val="00D60350"/>
    <w:rsid w:val="00D61065"/>
    <w:rsid w:val="00D61455"/>
    <w:rsid w:val="00D6335E"/>
    <w:rsid w:val="00D63C32"/>
    <w:rsid w:val="00D65476"/>
    <w:rsid w:val="00D67006"/>
    <w:rsid w:val="00D67F5C"/>
    <w:rsid w:val="00D70A5E"/>
    <w:rsid w:val="00D71C55"/>
    <w:rsid w:val="00D72584"/>
    <w:rsid w:val="00D73FC6"/>
    <w:rsid w:val="00D74208"/>
    <w:rsid w:val="00D74B86"/>
    <w:rsid w:val="00D7518E"/>
    <w:rsid w:val="00D7667E"/>
    <w:rsid w:val="00D77FBD"/>
    <w:rsid w:val="00D8009E"/>
    <w:rsid w:val="00D81599"/>
    <w:rsid w:val="00D820A0"/>
    <w:rsid w:val="00D8212C"/>
    <w:rsid w:val="00D85AFB"/>
    <w:rsid w:val="00D86BC3"/>
    <w:rsid w:val="00D87956"/>
    <w:rsid w:val="00D87AC5"/>
    <w:rsid w:val="00D92A23"/>
    <w:rsid w:val="00D92CDD"/>
    <w:rsid w:val="00D92E1D"/>
    <w:rsid w:val="00D93F2E"/>
    <w:rsid w:val="00D9566B"/>
    <w:rsid w:val="00D97674"/>
    <w:rsid w:val="00D97C03"/>
    <w:rsid w:val="00D97D90"/>
    <w:rsid w:val="00DA02F9"/>
    <w:rsid w:val="00DA1030"/>
    <w:rsid w:val="00DA37F2"/>
    <w:rsid w:val="00DA48CC"/>
    <w:rsid w:val="00DA6103"/>
    <w:rsid w:val="00DA7169"/>
    <w:rsid w:val="00DA737D"/>
    <w:rsid w:val="00DA7840"/>
    <w:rsid w:val="00DA7E83"/>
    <w:rsid w:val="00DB170A"/>
    <w:rsid w:val="00DB4A61"/>
    <w:rsid w:val="00DB5454"/>
    <w:rsid w:val="00DB57C9"/>
    <w:rsid w:val="00DB6ACF"/>
    <w:rsid w:val="00DB791B"/>
    <w:rsid w:val="00DB7948"/>
    <w:rsid w:val="00DC04D6"/>
    <w:rsid w:val="00DC07BD"/>
    <w:rsid w:val="00DC2B6B"/>
    <w:rsid w:val="00DC4307"/>
    <w:rsid w:val="00DC4C7D"/>
    <w:rsid w:val="00DC561A"/>
    <w:rsid w:val="00DC6DA4"/>
    <w:rsid w:val="00DC7165"/>
    <w:rsid w:val="00DC73FE"/>
    <w:rsid w:val="00DC7897"/>
    <w:rsid w:val="00DD0C9D"/>
    <w:rsid w:val="00DD1B13"/>
    <w:rsid w:val="00DD2FAD"/>
    <w:rsid w:val="00DD3386"/>
    <w:rsid w:val="00DD4E73"/>
    <w:rsid w:val="00DD6202"/>
    <w:rsid w:val="00DE05CB"/>
    <w:rsid w:val="00DE2241"/>
    <w:rsid w:val="00DE3575"/>
    <w:rsid w:val="00DE3A45"/>
    <w:rsid w:val="00DE3ECA"/>
    <w:rsid w:val="00DE428B"/>
    <w:rsid w:val="00DE63BB"/>
    <w:rsid w:val="00DE7124"/>
    <w:rsid w:val="00DE746D"/>
    <w:rsid w:val="00DE77A8"/>
    <w:rsid w:val="00DF0D06"/>
    <w:rsid w:val="00DF281A"/>
    <w:rsid w:val="00DF2828"/>
    <w:rsid w:val="00DF37BA"/>
    <w:rsid w:val="00DF39C6"/>
    <w:rsid w:val="00DF3A44"/>
    <w:rsid w:val="00DF3E9A"/>
    <w:rsid w:val="00DF3FB3"/>
    <w:rsid w:val="00DF4348"/>
    <w:rsid w:val="00DF43A9"/>
    <w:rsid w:val="00DF68F1"/>
    <w:rsid w:val="00DF7CE1"/>
    <w:rsid w:val="00E0176A"/>
    <w:rsid w:val="00E025C5"/>
    <w:rsid w:val="00E0494F"/>
    <w:rsid w:val="00E05147"/>
    <w:rsid w:val="00E060A8"/>
    <w:rsid w:val="00E070A4"/>
    <w:rsid w:val="00E10493"/>
    <w:rsid w:val="00E10543"/>
    <w:rsid w:val="00E119B5"/>
    <w:rsid w:val="00E13C5F"/>
    <w:rsid w:val="00E203FA"/>
    <w:rsid w:val="00E2558D"/>
    <w:rsid w:val="00E25703"/>
    <w:rsid w:val="00E258FB"/>
    <w:rsid w:val="00E30CDB"/>
    <w:rsid w:val="00E32785"/>
    <w:rsid w:val="00E32B5B"/>
    <w:rsid w:val="00E3476F"/>
    <w:rsid w:val="00E34A1F"/>
    <w:rsid w:val="00E3522B"/>
    <w:rsid w:val="00E35D65"/>
    <w:rsid w:val="00E3781B"/>
    <w:rsid w:val="00E40FEB"/>
    <w:rsid w:val="00E42711"/>
    <w:rsid w:val="00E44FA1"/>
    <w:rsid w:val="00E4528F"/>
    <w:rsid w:val="00E46751"/>
    <w:rsid w:val="00E46D3D"/>
    <w:rsid w:val="00E50C95"/>
    <w:rsid w:val="00E50D48"/>
    <w:rsid w:val="00E52F80"/>
    <w:rsid w:val="00E54163"/>
    <w:rsid w:val="00E559C3"/>
    <w:rsid w:val="00E56F0F"/>
    <w:rsid w:val="00E579AD"/>
    <w:rsid w:val="00E57B83"/>
    <w:rsid w:val="00E60B5F"/>
    <w:rsid w:val="00E620B3"/>
    <w:rsid w:val="00E621B4"/>
    <w:rsid w:val="00E6488C"/>
    <w:rsid w:val="00E64B69"/>
    <w:rsid w:val="00E65FD4"/>
    <w:rsid w:val="00E66805"/>
    <w:rsid w:val="00E66B14"/>
    <w:rsid w:val="00E700DD"/>
    <w:rsid w:val="00E712E0"/>
    <w:rsid w:val="00E714E7"/>
    <w:rsid w:val="00E71E9F"/>
    <w:rsid w:val="00E7257D"/>
    <w:rsid w:val="00E73BC0"/>
    <w:rsid w:val="00E74365"/>
    <w:rsid w:val="00E75B80"/>
    <w:rsid w:val="00E802DA"/>
    <w:rsid w:val="00E80647"/>
    <w:rsid w:val="00E80C53"/>
    <w:rsid w:val="00E8116A"/>
    <w:rsid w:val="00E816E2"/>
    <w:rsid w:val="00E83E27"/>
    <w:rsid w:val="00E8480B"/>
    <w:rsid w:val="00E856D6"/>
    <w:rsid w:val="00E85AF1"/>
    <w:rsid w:val="00E85CC4"/>
    <w:rsid w:val="00E85E11"/>
    <w:rsid w:val="00E8628D"/>
    <w:rsid w:val="00E86DBE"/>
    <w:rsid w:val="00E8710B"/>
    <w:rsid w:val="00E900A5"/>
    <w:rsid w:val="00E903B8"/>
    <w:rsid w:val="00E904B0"/>
    <w:rsid w:val="00E906FF"/>
    <w:rsid w:val="00E911EC"/>
    <w:rsid w:val="00E9168A"/>
    <w:rsid w:val="00E91D9B"/>
    <w:rsid w:val="00E91E29"/>
    <w:rsid w:val="00E92166"/>
    <w:rsid w:val="00E92876"/>
    <w:rsid w:val="00E95375"/>
    <w:rsid w:val="00E956A1"/>
    <w:rsid w:val="00E962DB"/>
    <w:rsid w:val="00E97AA2"/>
    <w:rsid w:val="00EA2231"/>
    <w:rsid w:val="00EA34A3"/>
    <w:rsid w:val="00EA38F8"/>
    <w:rsid w:val="00EA41E8"/>
    <w:rsid w:val="00EA5A97"/>
    <w:rsid w:val="00EA65C8"/>
    <w:rsid w:val="00EA6D8E"/>
    <w:rsid w:val="00EA7806"/>
    <w:rsid w:val="00EB06CB"/>
    <w:rsid w:val="00EB0BC7"/>
    <w:rsid w:val="00EB15BC"/>
    <w:rsid w:val="00EB1C07"/>
    <w:rsid w:val="00EB2100"/>
    <w:rsid w:val="00EB21A0"/>
    <w:rsid w:val="00EB279D"/>
    <w:rsid w:val="00EB2F4C"/>
    <w:rsid w:val="00EB34CA"/>
    <w:rsid w:val="00EB36B5"/>
    <w:rsid w:val="00EB38DD"/>
    <w:rsid w:val="00EB3F4F"/>
    <w:rsid w:val="00EB4AED"/>
    <w:rsid w:val="00EB5E53"/>
    <w:rsid w:val="00EB6691"/>
    <w:rsid w:val="00EB6BFB"/>
    <w:rsid w:val="00EB722C"/>
    <w:rsid w:val="00EB7827"/>
    <w:rsid w:val="00EC06C3"/>
    <w:rsid w:val="00EC0A53"/>
    <w:rsid w:val="00EC227A"/>
    <w:rsid w:val="00EC2481"/>
    <w:rsid w:val="00EC27C4"/>
    <w:rsid w:val="00EC4892"/>
    <w:rsid w:val="00EC4DF6"/>
    <w:rsid w:val="00EC5715"/>
    <w:rsid w:val="00EC6363"/>
    <w:rsid w:val="00EC6DB4"/>
    <w:rsid w:val="00ED18EA"/>
    <w:rsid w:val="00ED1D74"/>
    <w:rsid w:val="00ED62F0"/>
    <w:rsid w:val="00ED7058"/>
    <w:rsid w:val="00EE1C81"/>
    <w:rsid w:val="00EE2949"/>
    <w:rsid w:val="00EE4BB9"/>
    <w:rsid w:val="00EE529C"/>
    <w:rsid w:val="00EE5F8B"/>
    <w:rsid w:val="00EE6714"/>
    <w:rsid w:val="00EE76E8"/>
    <w:rsid w:val="00EF0170"/>
    <w:rsid w:val="00EF093E"/>
    <w:rsid w:val="00EF133F"/>
    <w:rsid w:val="00EF2572"/>
    <w:rsid w:val="00EF2B6D"/>
    <w:rsid w:val="00EF3C78"/>
    <w:rsid w:val="00EF3D7E"/>
    <w:rsid w:val="00EF4A28"/>
    <w:rsid w:val="00EF4D6C"/>
    <w:rsid w:val="00EF5C63"/>
    <w:rsid w:val="00EF5D5B"/>
    <w:rsid w:val="00F0162F"/>
    <w:rsid w:val="00F018E5"/>
    <w:rsid w:val="00F02244"/>
    <w:rsid w:val="00F0237B"/>
    <w:rsid w:val="00F024E5"/>
    <w:rsid w:val="00F04B95"/>
    <w:rsid w:val="00F05176"/>
    <w:rsid w:val="00F05417"/>
    <w:rsid w:val="00F06142"/>
    <w:rsid w:val="00F06317"/>
    <w:rsid w:val="00F063A0"/>
    <w:rsid w:val="00F106DA"/>
    <w:rsid w:val="00F10BF8"/>
    <w:rsid w:val="00F13231"/>
    <w:rsid w:val="00F13C4E"/>
    <w:rsid w:val="00F14060"/>
    <w:rsid w:val="00F14302"/>
    <w:rsid w:val="00F146D9"/>
    <w:rsid w:val="00F15385"/>
    <w:rsid w:val="00F16CC0"/>
    <w:rsid w:val="00F16FDD"/>
    <w:rsid w:val="00F204B8"/>
    <w:rsid w:val="00F210A2"/>
    <w:rsid w:val="00F22D5A"/>
    <w:rsid w:val="00F2388D"/>
    <w:rsid w:val="00F25E7A"/>
    <w:rsid w:val="00F26612"/>
    <w:rsid w:val="00F2734B"/>
    <w:rsid w:val="00F318D7"/>
    <w:rsid w:val="00F32058"/>
    <w:rsid w:val="00F335F8"/>
    <w:rsid w:val="00F35114"/>
    <w:rsid w:val="00F35223"/>
    <w:rsid w:val="00F36613"/>
    <w:rsid w:val="00F36C78"/>
    <w:rsid w:val="00F4165A"/>
    <w:rsid w:val="00F4221E"/>
    <w:rsid w:val="00F43B01"/>
    <w:rsid w:val="00F44490"/>
    <w:rsid w:val="00F44E20"/>
    <w:rsid w:val="00F4687C"/>
    <w:rsid w:val="00F50915"/>
    <w:rsid w:val="00F50DBB"/>
    <w:rsid w:val="00F50F32"/>
    <w:rsid w:val="00F51249"/>
    <w:rsid w:val="00F53A65"/>
    <w:rsid w:val="00F53AC0"/>
    <w:rsid w:val="00F55E02"/>
    <w:rsid w:val="00F56779"/>
    <w:rsid w:val="00F5791E"/>
    <w:rsid w:val="00F60604"/>
    <w:rsid w:val="00F60D73"/>
    <w:rsid w:val="00F613F6"/>
    <w:rsid w:val="00F617C7"/>
    <w:rsid w:val="00F61FEC"/>
    <w:rsid w:val="00F62BC0"/>
    <w:rsid w:val="00F62E26"/>
    <w:rsid w:val="00F6340A"/>
    <w:rsid w:val="00F63F18"/>
    <w:rsid w:val="00F63F91"/>
    <w:rsid w:val="00F65BA6"/>
    <w:rsid w:val="00F66242"/>
    <w:rsid w:val="00F66C93"/>
    <w:rsid w:val="00F71ACA"/>
    <w:rsid w:val="00F723C9"/>
    <w:rsid w:val="00F7456B"/>
    <w:rsid w:val="00F749EC"/>
    <w:rsid w:val="00F772A0"/>
    <w:rsid w:val="00F777C4"/>
    <w:rsid w:val="00F77BBF"/>
    <w:rsid w:val="00F80009"/>
    <w:rsid w:val="00F8251F"/>
    <w:rsid w:val="00F8425A"/>
    <w:rsid w:val="00F84299"/>
    <w:rsid w:val="00F8658E"/>
    <w:rsid w:val="00F865AC"/>
    <w:rsid w:val="00F90278"/>
    <w:rsid w:val="00F902F4"/>
    <w:rsid w:val="00F90D50"/>
    <w:rsid w:val="00F90EC0"/>
    <w:rsid w:val="00F910A6"/>
    <w:rsid w:val="00F914A8"/>
    <w:rsid w:val="00F92798"/>
    <w:rsid w:val="00F93A6C"/>
    <w:rsid w:val="00F94564"/>
    <w:rsid w:val="00F97A7A"/>
    <w:rsid w:val="00FA01A4"/>
    <w:rsid w:val="00FA02F2"/>
    <w:rsid w:val="00FA371E"/>
    <w:rsid w:val="00FA3D16"/>
    <w:rsid w:val="00FA602C"/>
    <w:rsid w:val="00FA7C96"/>
    <w:rsid w:val="00FB01FC"/>
    <w:rsid w:val="00FB067D"/>
    <w:rsid w:val="00FB0F8C"/>
    <w:rsid w:val="00FB2ED5"/>
    <w:rsid w:val="00FB3071"/>
    <w:rsid w:val="00FB39B8"/>
    <w:rsid w:val="00FB6223"/>
    <w:rsid w:val="00FB66BE"/>
    <w:rsid w:val="00FB7077"/>
    <w:rsid w:val="00FB7582"/>
    <w:rsid w:val="00FB7B72"/>
    <w:rsid w:val="00FC0C98"/>
    <w:rsid w:val="00FC0F5A"/>
    <w:rsid w:val="00FC32DA"/>
    <w:rsid w:val="00FC39EA"/>
    <w:rsid w:val="00FC4A85"/>
    <w:rsid w:val="00FC5A3A"/>
    <w:rsid w:val="00FC6462"/>
    <w:rsid w:val="00FC6E30"/>
    <w:rsid w:val="00FC78CA"/>
    <w:rsid w:val="00FC7FE5"/>
    <w:rsid w:val="00FD0181"/>
    <w:rsid w:val="00FD0A52"/>
    <w:rsid w:val="00FD14A7"/>
    <w:rsid w:val="00FD3352"/>
    <w:rsid w:val="00FD39C0"/>
    <w:rsid w:val="00FD43B5"/>
    <w:rsid w:val="00FD6237"/>
    <w:rsid w:val="00FD6DD0"/>
    <w:rsid w:val="00FE1440"/>
    <w:rsid w:val="00FE22CF"/>
    <w:rsid w:val="00FE2D42"/>
    <w:rsid w:val="00FE34F7"/>
    <w:rsid w:val="00FE4BE8"/>
    <w:rsid w:val="00FE528F"/>
    <w:rsid w:val="00FE5F44"/>
    <w:rsid w:val="00FE630F"/>
    <w:rsid w:val="00FE631B"/>
    <w:rsid w:val="00FF03CC"/>
    <w:rsid w:val="00FF06AA"/>
    <w:rsid w:val="00FF0E9E"/>
    <w:rsid w:val="00FF1FBB"/>
    <w:rsid w:val="00FF3EA8"/>
    <w:rsid w:val="00FF4BF5"/>
    <w:rsid w:val="00FF4EFA"/>
    <w:rsid w:val="00FF71AA"/>
    <w:rsid w:val="00FF78AC"/>
    <w:rsid w:val="00FF7BD0"/>
    <w:rsid w:val="00FF7FDF"/>
    <w:rsid w:val="011E4147"/>
    <w:rsid w:val="0141ECA5"/>
    <w:rsid w:val="0148A5BC"/>
    <w:rsid w:val="016A5B73"/>
    <w:rsid w:val="024C07C7"/>
    <w:rsid w:val="03062BD4"/>
    <w:rsid w:val="03A08A75"/>
    <w:rsid w:val="03F76920"/>
    <w:rsid w:val="0455E209"/>
    <w:rsid w:val="07444E00"/>
    <w:rsid w:val="0757C6AB"/>
    <w:rsid w:val="07766110"/>
    <w:rsid w:val="086199CF"/>
    <w:rsid w:val="0871D603"/>
    <w:rsid w:val="0909F30A"/>
    <w:rsid w:val="0929532C"/>
    <w:rsid w:val="094226A1"/>
    <w:rsid w:val="09E3453A"/>
    <w:rsid w:val="0A82229B"/>
    <w:rsid w:val="0AA9F85A"/>
    <w:rsid w:val="0C01BFA6"/>
    <w:rsid w:val="0C60F3EE"/>
    <w:rsid w:val="0CA983BD"/>
    <w:rsid w:val="0CC072B4"/>
    <w:rsid w:val="0D98C43F"/>
    <w:rsid w:val="0DBD97CE"/>
    <w:rsid w:val="0DDD4BF0"/>
    <w:rsid w:val="0DE1991C"/>
    <w:rsid w:val="0DFCC44F"/>
    <w:rsid w:val="0E3DA087"/>
    <w:rsid w:val="0EE10A0E"/>
    <w:rsid w:val="0F9894B0"/>
    <w:rsid w:val="0FBA0C34"/>
    <w:rsid w:val="103D5111"/>
    <w:rsid w:val="106F72D4"/>
    <w:rsid w:val="10B68AD4"/>
    <w:rsid w:val="10B97F31"/>
    <w:rsid w:val="11873D45"/>
    <w:rsid w:val="11BA56EA"/>
    <w:rsid w:val="11C28D74"/>
    <w:rsid w:val="123AC63A"/>
    <w:rsid w:val="12947945"/>
    <w:rsid w:val="13245775"/>
    <w:rsid w:val="138A2780"/>
    <w:rsid w:val="13B1A0FB"/>
    <w:rsid w:val="149C6010"/>
    <w:rsid w:val="16596567"/>
    <w:rsid w:val="165B64BA"/>
    <w:rsid w:val="1691F65F"/>
    <w:rsid w:val="17002DCD"/>
    <w:rsid w:val="1741E912"/>
    <w:rsid w:val="18976988"/>
    <w:rsid w:val="18CAB92B"/>
    <w:rsid w:val="18CFF2F4"/>
    <w:rsid w:val="18DF468F"/>
    <w:rsid w:val="18F09279"/>
    <w:rsid w:val="18F44357"/>
    <w:rsid w:val="19748C0A"/>
    <w:rsid w:val="1A1FD724"/>
    <w:rsid w:val="1A3C504F"/>
    <w:rsid w:val="1A425726"/>
    <w:rsid w:val="1AB87EA3"/>
    <w:rsid w:val="1B96CCD6"/>
    <w:rsid w:val="1D518BBA"/>
    <w:rsid w:val="1E198199"/>
    <w:rsid w:val="1E832E42"/>
    <w:rsid w:val="1F14B0CA"/>
    <w:rsid w:val="1F62F066"/>
    <w:rsid w:val="1F7151E2"/>
    <w:rsid w:val="1F8539A2"/>
    <w:rsid w:val="1F921D41"/>
    <w:rsid w:val="1FAEC260"/>
    <w:rsid w:val="20A6D459"/>
    <w:rsid w:val="20BC44DF"/>
    <w:rsid w:val="2226F753"/>
    <w:rsid w:val="22741D9D"/>
    <w:rsid w:val="23241634"/>
    <w:rsid w:val="23365336"/>
    <w:rsid w:val="240A329A"/>
    <w:rsid w:val="241B4A05"/>
    <w:rsid w:val="245D6ABE"/>
    <w:rsid w:val="24646BE3"/>
    <w:rsid w:val="254F8883"/>
    <w:rsid w:val="25DD96EC"/>
    <w:rsid w:val="260552E0"/>
    <w:rsid w:val="26071FAA"/>
    <w:rsid w:val="260ADFE2"/>
    <w:rsid w:val="261558C4"/>
    <w:rsid w:val="26637D6A"/>
    <w:rsid w:val="2665F1E3"/>
    <w:rsid w:val="272F8A97"/>
    <w:rsid w:val="274274D2"/>
    <w:rsid w:val="290EA3C9"/>
    <w:rsid w:val="2946FD2E"/>
    <w:rsid w:val="29844B98"/>
    <w:rsid w:val="29AC68EE"/>
    <w:rsid w:val="29AEBCE5"/>
    <w:rsid w:val="29FA7936"/>
    <w:rsid w:val="2B6A4834"/>
    <w:rsid w:val="2B9304F5"/>
    <w:rsid w:val="2BCF879A"/>
    <w:rsid w:val="2EA1E8F6"/>
    <w:rsid w:val="2F2D79BF"/>
    <w:rsid w:val="2F84ED08"/>
    <w:rsid w:val="2FA0ED6F"/>
    <w:rsid w:val="2FBD9887"/>
    <w:rsid w:val="307970FE"/>
    <w:rsid w:val="30851DE5"/>
    <w:rsid w:val="309E29C8"/>
    <w:rsid w:val="31B5374A"/>
    <w:rsid w:val="31D3188C"/>
    <w:rsid w:val="32C6D2A9"/>
    <w:rsid w:val="32DB5494"/>
    <w:rsid w:val="32F80A01"/>
    <w:rsid w:val="3333EA71"/>
    <w:rsid w:val="33DF0522"/>
    <w:rsid w:val="340C2CB0"/>
    <w:rsid w:val="34241393"/>
    <w:rsid w:val="3454D32F"/>
    <w:rsid w:val="3514A9CF"/>
    <w:rsid w:val="356ECF2C"/>
    <w:rsid w:val="357AD583"/>
    <w:rsid w:val="35E659A3"/>
    <w:rsid w:val="35F3014E"/>
    <w:rsid w:val="35FEDD62"/>
    <w:rsid w:val="3623C07F"/>
    <w:rsid w:val="365B1B8C"/>
    <w:rsid w:val="36999CBF"/>
    <w:rsid w:val="37284648"/>
    <w:rsid w:val="377906C9"/>
    <w:rsid w:val="3887848E"/>
    <w:rsid w:val="38A936EB"/>
    <w:rsid w:val="38DA3482"/>
    <w:rsid w:val="3987D4DF"/>
    <w:rsid w:val="3A0AD798"/>
    <w:rsid w:val="3A128A79"/>
    <w:rsid w:val="3A6106D0"/>
    <w:rsid w:val="3A8696B9"/>
    <w:rsid w:val="3AEFE48D"/>
    <w:rsid w:val="3B660C0A"/>
    <w:rsid w:val="3B6A327E"/>
    <w:rsid w:val="3BD56590"/>
    <w:rsid w:val="3C761112"/>
    <w:rsid w:val="3D1DB879"/>
    <w:rsid w:val="3D76439E"/>
    <w:rsid w:val="3D82BE89"/>
    <w:rsid w:val="3EE5FB9C"/>
    <w:rsid w:val="3F21B7C9"/>
    <w:rsid w:val="3F953091"/>
    <w:rsid w:val="3FEAED1D"/>
    <w:rsid w:val="409DF362"/>
    <w:rsid w:val="41125AFD"/>
    <w:rsid w:val="4185DB3E"/>
    <w:rsid w:val="420ECA2C"/>
    <w:rsid w:val="421BF6C2"/>
    <w:rsid w:val="4230490A"/>
    <w:rsid w:val="42627466"/>
    <w:rsid w:val="42EF179C"/>
    <w:rsid w:val="435E7733"/>
    <w:rsid w:val="436092F0"/>
    <w:rsid w:val="43A63DE8"/>
    <w:rsid w:val="455CA5BD"/>
    <w:rsid w:val="455D43E9"/>
    <w:rsid w:val="45EEF50B"/>
    <w:rsid w:val="46137BE8"/>
    <w:rsid w:val="461C8D51"/>
    <w:rsid w:val="4667FF49"/>
    <w:rsid w:val="46C759B5"/>
    <w:rsid w:val="46C9DB64"/>
    <w:rsid w:val="46D3A49D"/>
    <w:rsid w:val="47248119"/>
    <w:rsid w:val="473B2BAA"/>
    <w:rsid w:val="47767FD6"/>
    <w:rsid w:val="47AE68B5"/>
    <w:rsid w:val="48D17BDE"/>
    <w:rsid w:val="49AD5792"/>
    <w:rsid w:val="49E84EFE"/>
    <w:rsid w:val="4AC44663"/>
    <w:rsid w:val="4AE96E6F"/>
    <w:rsid w:val="4AF4B700"/>
    <w:rsid w:val="4C612D62"/>
    <w:rsid w:val="4CAABFDC"/>
    <w:rsid w:val="4CD678C2"/>
    <w:rsid w:val="4D860A03"/>
    <w:rsid w:val="4EB46B08"/>
    <w:rsid w:val="4F60190D"/>
    <w:rsid w:val="4FBDD967"/>
    <w:rsid w:val="504567F8"/>
    <w:rsid w:val="507F3A27"/>
    <w:rsid w:val="51B51A5E"/>
    <w:rsid w:val="51DB6E18"/>
    <w:rsid w:val="5244E8D7"/>
    <w:rsid w:val="5277158F"/>
    <w:rsid w:val="54AA2B1F"/>
    <w:rsid w:val="54B8CAD7"/>
    <w:rsid w:val="54CCBEEF"/>
    <w:rsid w:val="559FD95A"/>
    <w:rsid w:val="562BFB55"/>
    <w:rsid w:val="564BFB8D"/>
    <w:rsid w:val="5672866A"/>
    <w:rsid w:val="57135CA9"/>
    <w:rsid w:val="5771650E"/>
    <w:rsid w:val="583591A8"/>
    <w:rsid w:val="584827B0"/>
    <w:rsid w:val="58D77A1C"/>
    <w:rsid w:val="5B248F81"/>
    <w:rsid w:val="5B6DF466"/>
    <w:rsid w:val="5BC22B8D"/>
    <w:rsid w:val="5BDF70EA"/>
    <w:rsid w:val="5C11D21C"/>
    <w:rsid w:val="5CD462F2"/>
    <w:rsid w:val="5D713256"/>
    <w:rsid w:val="5DB2C398"/>
    <w:rsid w:val="5E07CE1C"/>
    <w:rsid w:val="5E11E3B2"/>
    <w:rsid w:val="5E3DE515"/>
    <w:rsid w:val="5EE681D2"/>
    <w:rsid w:val="5F3DBF14"/>
    <w:rsid w:val="5F44D058"/>
    <w:rsid w:val="5F9A2746"/>
    <w:rsid w:val="613E5A63"/>
    <w:rsid w:val="616C1576"/>
    <w:rsid w:val="61725C6D"/>
    <w:rsid w:val="61795E98"/>
    <w:rsid w:val="627543BA"/>
    <w:rsid w:val="62B30829"/>
    <w:rsid w:val="632FDE29"/>
    <w:rsid w:val="63954FC9"/>
    <w:rsid w:val="64A772B5"/>
    <w:rsid w:val="64AD2699"/>
    <w:rsid w:val="64BC2E74"/>
    <w:rsid w:val="64E2E2B9"/>
    <w:rsid w:val="657225A2"/>
    <w:rsid w:val="65A6B21C"/>
    <w:rsid w:val="66EE2844"/>
    <w:rsid w:val="6738B1BA"/>
    <w:rsid w:val="679DDC3E"/>
    <w:rsid w:val="67D36A6F"/>
    <w:rsid w:val="69FAB761"/>
    <w:rsid w:val="6A4AE287"/>
    <w:rsid w:val="6AAA8FE9"/>
    <w:rsid w:val="6AE6CA19"/>
    <w:rsid w:val="6B059903"/>
    <w:rsid w:val="6B755FF7"/>
    <w:rsid w:val="6B7D1977"/>
    <w:rsid w:val="6BE7178F"/>
    <w:rsid w:val="6C04EB12"/>
    <w:rsid w:val="6CBE95F5"/>
    <w:rsid w:val="6E2B8EF8"/>
    <w:rsid w:val="6E472830"/>
    <w:rsid w:val="6EFFC1DA"/>
    <w:rsid w:val="6F55F4A6"/>
    <w:rsid w:val="704C1043"/>
    <w:rsid w:val="7050AFA3"/>
    <w:rsid w:val="70CB76C3"/>
    <w:rsid w:val="70E2321A"/>
    <w:rsid w:val="70EE3EFE"/>
    <w:rsid w:val="721116FA"/>
    <w:rsid w:val="72668042"/>
    <w:rsid w:val="742937FB"/>
    <w:rsid w:val="7435F173"/>
    <w:rsid w:val="7450F915"/>
    <w:rsid w:val="74B5E094"/>
    <w:rsid w:val="759DE4F9"/>
    <w:rsid w:val="763B06E7"/>
    <w:rsid w:val="7661083D"/>
    <w:rsid w:val="76EA8383"/>
    <w:rsid w:val="77D6D748"/>
    <w:rsid w:val="77EE066C"/>
    <w:rsid w:val="78296388"/>
    <w:rsid w:val="783563FE"/>
    <w:rsid w:val="78B66A0C"/>
    <w:rsid w:val="797F88B5"/>
    <w:rsid w:val="7989D6CD"/>
    <w:rsid w:val="7994C9BE"/>
    <w:rsid w:val="79C3136D"/>
    <w:rsid w:val="7A0AF13B"/>
    <w:rsid w:val="7ADF4648"/>
    <w:rsid w:val="7B0E780A"/>
    <w:rsid w:val="7BAB7D95"/>
    <w:rsid w:val="7BFBC991"/>
    <w:rsid w:val="7C4AFF5B"/>
    <w:rsid w:val="7C62C689"/>
    <w:rsid w:val="7C9E7861"/>
    <w:rsid w:val="7CB5E0E0"/>
    <w:rsid w:val="7DA0F940"/>
    <w:rsid w:val="7EF51E5D"/>
    <w:rsid w:val="7F0C5325"/>
    <w:rsid w:val="7FCE8B11"/>
    <w:rsid w:val="7FFF63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D30FFF"/>
  <w15:docId w15:val="{176BF0BB-87C1-4518-A31D-CB6CD4A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EB15BC"/>
    <w:pPr>
      <w:keepNext/>
      <w:widowControl/>
      <w:pBdr>
        <w:bottom w:val="single" w:sz="2" w:space="1" w:color="auto"/>
      </w:pBdr>
      <w:autoSpaceDE/>
      <w:autoSpaceDN/>
      <w:adjustRightInd/>
      <w:spacing w:before="240" w:after="240"/>
      <w:outlineLvl w:val="0"/>
    </w:pPr>
    <w:rPr>
      <w:rFonts w:ascii="Arial Black" w:hAnsi="Arial Black" w:cs="Arial"/>
      <w:b/>
      <w:bCs/>
      <w:sz w:val="24"/>
    </w:rPr>
  </w:style>
  <w:style w:type="paragraph" w:styleId="Heading2">
    <w:name w:val="heading 2"/>
    <w:basedOn w:val="Normal"/>
    <w:next w:val="Normal"/>
    <w:link w:val="Heading2Char"/>
    <w:unhideWhenUsed/>
    <w:qFormat/>
    <w:rsid w:val="00EB15BC"/>
    <w:pPr>
      <w:keepNext/>
      <w:keepLines/>
      <w:spacing w:after="120"/>
      <w:ind w:left="432" w:hanging="432"/>
      <w:outlineLvl w:val="1"/>
    </w:pPr>
    <w:rPr>
      <w:rFonts w:ascii="Arial Black" w:hAnsi="Arial Black" w:eastAsiaTheme="majorEastAsia" w:cstheme="majorBidi"/>
      <w:b/>
      <w:bCs/>
      <w:sz w:val="22"/>
      <w:szCs w:val="22"/>
    </w:rPr>
  </w:style>
  <w:style w:type="paragraph" w:styleId="Heading3">
    <w:name w:val="heading 3"/>
    <w:basedOn w:val="Normal"/>
    <w:next w:val="Normal"/>
    <w:link w:val="Heading3Char"/>
    <w:unhideWhenUsed/>
    <w:qFormat/>
    <w:rsid w:val="00EB15BC"/>
    <w:pPr>
      <w:keepNext/>
      <w:keepLines/>
      <w:spacing w:after="120"/>
      <w:ind w:left="432" w:hanging="432"/>
      <w:outlineLvl w:val="2"/>
    </w:pPr>
    <w:rPr>
      <w:rFonts w:eastAsiaTheme="majorEastAsia"/>
      <w:b/>
      <w:bCs/>
      <w:sz w:val="24"/>
      <w:u w:val="single"/>
    </w:rPr>
  </w:style>
  <w:style w:type="paragraph" w:styleId="Heading4">
    <w:name w:val="heading 4"/>
    <w:basedOn w:val="Heading3"/>
    <w:next w:val="Normal"/>
    <w:link w:val="Heading4Char"/>
    <w:unhideWhenUsed/>
    <w:qFormat/>
    <w:rsid w:val="00EB15BC"/>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3A71ED"/>
    <w:rPr>
      <w:sz w:val="16"/>
      <w:szCs w:val="16"/>
    </w:rPr>
  </w:style>
  <w:style w:type="paragraph" w:styleId="CommentText">
    <w:name w:val="annotation text"/>
    <w:basedOn w:val="Normal"/>
    <w:link w:val="CommentTextChar"/>
    <w:rsid w:val="003A71ED"/>
    <w:rPr>
      <w:szCs w:val="20"/>
    </w:rPr>
  </w:style>
  <w:style w:type="character" w:customStyle="1" w:styleId="CommentTextChar">
    <w:name w:val="Comment Text Char"/>
    <w:basedOn w:val="DefaultParagraphFont"/>
    <w:link w:val="CommentText"/>
    <w:rsid w:val="003A71ED"/>
  </w:style>
  <w:style w:type="paragraph" w:styleId="CommentSubject">
    <w:name w:val="annotation subject"/>
    <w:basedOn w:val="CommentText"/>
    <w:next w:val="CommentText"/>
    <w:link w:val="CommentSubjectChar"/>
    <w:rsid w:val="003A71ED"/>
    <w:rPr>
      <w:b/>
      <w:bCs/>
    </w:rPr>
  </w:style>
  <w:style w:type="character" w:customStyle="1" w:styleId="CommentSubjectChar">
    <w:name w:val="Comment Subject Char"/>
    <w:basedOn w:val="CommentTextChar"/>
    <w:link w:val="CommentSubject"/>
    <w:rsid w:val="003A71ED"/>
    <w:rPr>
      <w:b/>
      <w:bCs/>
    </w:rPr>
  </w:style>
  <w:style w:type="paragraph" w:styleId="BodyText">
    <w:name w:val="Body Text"/>
    <w:basedOn w:val="Normal"/>
    <w:link w:val="BodyTextChar"/>
    <w:rsid w:val="004E2261"/>
    <w:pPr>
      <w:spacing w:after="120"/>
    </w:pPr>
  </w:style>
  <w:style w:type="character" w:customStyle="1" w:styleId="BodyTextChar">
    <w:name w:val="Body Text Char"/>
    <w:basedOn w:val="DefaultParagraphFont"/>
    <w:link w:val="BodyText"/>
    <w:rsid w:val="004E2261"/>
    <w:rPr>
      <w:szCs w:val="24"/>
    </w:rPr>
  </w:style>
  <w:style w:type="paragraph" w:styleId="FootnoteText">
    <w:name w:val="footnote text"/>
    <w:aliases w:val="F1"/>
    <w:basedOn w:val="Normal"/>
    <w:link w:val="FootnoteTextChar"/>
    <w:rsid w:val="00EB15BC"/>
    <w:pPr>
      <w:widowControl/>
      <w:autoSpaceDE/>
      <w:autoSpaceDN/>
      <w:adjustRightInd/>
      <w:spacing w:after="120"/>
      <w:ind w:firstLine="450"/>
    </w:pPr>
    <w:rPr>
      <w:szCs w:val="20"/>
    </w:rPr>
  </w:style>
  <w:style w:type="character" w:customStyle="1" w:styleId="FootnoteTextChar">
    <w:name w:val="Footnote Text Char"/>
    <w:aliases w:val="F1 Char"/>
    <w:basedOn w:val="DefaultParagraphFont"/>
    <w:link w:val="FootnoteText"/>
    <w:rsid w:val="00EB15BC"/>
  </w:style>
  <w:style w:type="paragraph" w:customStyle="1" w:styleId="MarkforTableHeading">
    <w:name w:val="Mark for Table Heading"/>
    <w:next w:val="Normal"/>
    <w:qFormat/>
    <w:rsid w:val="002D6DD5"/>
    <w:pPr>
      <w:spacing w:after="60"/>
    </w:pPr>
    <w:rPr>
      <w:rFonts w:ascii="Arial Black" w:hAnsi="Arial Black"/>
      <w:sz w:val="22"/>
      <w:szCs w:val="24"/>
    </w:rPr>
  </w:style>
  <w:style w:type="paragraph" w:customStyle="1" w:styleId="TableHeaderCenter">
    <w:name w:val="Table Header Center"/>
    <w:basedOn w:val="Normal"/>
    <w:qFormat/>
    <w:rsid w:val="002D6DD5"/>
    <w:pPr>
      <w:widowControl/>
      <w:tabs>
        <w:tab w:val="left" w:pos="432"/>
      </w:tabs>
      <w:autoSpaceDE/>
      <w:autoSpaceDN/>
      <w:adjustRightInd/>
      <w:spacing w:before="120" w:after="60"/>
      <w:jc w:val="center"/>
    </w:pPr>
    <w:rPr>
      <w:rFonts w:ascii="Arial Black" w:hAnsi="Arial Black"/>
      <w:color w:val="FFFFFF" w:themeColor="background1"/>
      <w:sz w:val="18"/>
    </w:rPr>
  </w:style>
  <w:style w:type="paragraph" w:customStyle="1" w:styleId="TableHeaderLeft">
    <w:name w:val="Table Header Left"/>
    <w:basedOn w:val="Normal"/>
    <w:qFormat/>
    <w:rsid w:val="002D6DD5"/>
    <w:pPr>
      <w:widowControl/>
      <w:tabs>
        <w:tab w:val="left" w:pos="432"/>
      </w:tabs>
      <w:autoSpaceDE/>
      <w:autoSpaceDN/>
      <w:adjustRightInd/>
      <w:spacing w:before="120" w:after="60"/>
    </w:pPr>
    <w:rPr>
      <w:rFonts w:ascii="Arial Black" w:hAnsi="Arial Black"/>
      <w:color w:val="FFFFFF" w:themeColor="background1"/>
      <w:sz w:val="18"/>
    </w:rPr>
  </w:style>
  <w:style w:type="paragraph" w:customStyle="1" w:styleId="TableText">
    <w:name w:val="Table Text"/>
    <w:basedOn w:val="Normal"/>
    <w:qFormat/>
    <w:rsid w:val="002D6DD5"/>
    <w:pPr>
      <w:widowControl/>
      <w:autoSpaceDE/>
      <w:autoSpaceDN/>
      <w:adjustRightInd/>
    </w:pPr>
    <w:rPr>
      <w:rFonts w:ascii="Arial" w:hAnsi="Arial"/>
      <w:color w:val="000000" w:themeColor="text1"/>
      <w:sz w:val="18"/>
      <w:szCs w:val="18"/>
    </w:rPr>
  </w:style>
  <w:style w:type="paragraph" w:styleId="Revision">
    <w:name w:val="Revision"/>
    <w:hidden/>
    <w:uiPriority w:val="99"/>
    <w:semiHidden/>
    <w:rsid w:val="00907C74"/>
    <w:rPr>
      <w:szCs w:val="24"/>
    </w:rPr>
  </w:style>
  <w:style w:type="paragraph" w:customStyle="1" w:styleId="Heading2BlackNoTOC">
    <w:name w:val="Heading 2_Black No TOC"/>
    <w:basedOn w:val="Normal"/>
    <w:next w:val="Normal"/>
    <w:qFormat/>
    <w:rsid w:val="002224E8"/>
    <w:pPr>
      <w:keepNext/>
      <w:widowControl/>
      <w:tabs>
        <w:tab w:val="left" w:pos="432"/>
      </w:tabs>
      <w:autoSpaceDE/>
      <w:autoSpaceDN/>
      <w:adjustRightInd/>
      <w:spacing w:after="240"/>
      <w:ind w:left="432" w:hanging="432"/>
      <w:jc w:val="both"/>
      <w:outlineLvl w:val="8"/>
    </w:pPr>
    <w:rPr>
      <w:rFonts w:ascii="Lucida Sans" w:hAnsi="Lucida Sans"/>
      <w:b/>
      <w:sz w:val="24"/>
    </w:rPr>
  </w:style>
  <w:style w:type="paragraph" w:customStyle="1" w:styleId="Default">
    <w:name w:val="Default"/>
    <w:rsid w:val="002224E8"/>
    <w:pPr>
      <w:autoSpaceDE w:val="0"/>
      <w:autoSpaceDN w:val="0"/>
      <w:adjustRightInd w:val="0"/>
    </w:pPr>
    <w:rPr>
      <w:color w:val="000000"/>
      <w:sz w:val="24"/>
      <w:szCs w:val="24"/>
    </w:rPr>
  </w:style>
  <w:style w:type="paragraph" w:customStyle="1" w:styleId="NormalSS">
    <w:name w:val="NormalSS"/>
    <w:basedOn w:val="Normal"/>
    <w:link w:val="NormalSSChar"/>
    <w:qFormat/>
    <w:rsid w:val="00EB15BC"/>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EB15BC"/>
    <w:rPr>
      <w:sz w:val="24"/>
      <w:szCs w:val="24"/>
    </w:rPr>
  </w:style>
  <w:style w:type="table" w:customStyle="1" w:styleId="TableGrid1">
    <w:name w:val="Table Grid1"/>
    <w:basedOn w:val="TableNormal"/>
    <w:next w:val="TableGrid"/>
    <w:uiPriority w:val="59"/>
    <w:rsid w:val="000A35D4"/>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F32058"/>
    <w:pPr>
      <w:widowControl/>
      <w:numPr>
        <w:numId w:val="22"/>
      </w:numPr>
      <w:tabs>
        <w:tab w:val="left" w:pos="360"/>
      </w:tabs>
      <w:autoSpaceDE/>
      <w:autoSpaceDN/>
      <w:adjustRightInd/>
      <w:spacing w:after="120"/>
      <w:ind w:left="720" w:right="360" w:hanging="288"/>
      <w:jc w:val="both"/>
    </w:pPr>
    <w:rPr>
      <w:rFonts w:ascii="Garamond" w:hAnsi="Garamond"/>
      <w:sz w:val="24"/>
    </w:rPr>
  </w:style>
  <w:style w:type="paragraph" w:customStyle="1" w:styleId="BulletBlackLastSS">
    <w:name w:val="Bullet_Black (Last SS)"/>
    <w:basedOn w:val="BulletBlack"/>
    <w:next w:val="NormalSS"/>
    <w:qFormat/>
    <w:rsid w:val="00F32058"/>
    <w:pPr>
      <w:spacing w:after="240"/>
    </w:pPr>
  </w:style>
  <w:style w:type="paragraph" w:styleId="Header">
    <w:name w:val="header"/>
    <w:basedOn w:val="Normal"/>
    <w:link w:val="HeaderChar"/>
    <w:qFormat/>
    <w:rsid w:val="00DA7840"/>
    <w:pPr>
      <w:tabs>
        <w:tab w:val="center" w:pos="4680"/>
        <w:tab w:val="right" w:pos="9360"/>
      </w:tabs>
    </w:pPr>
  </w:style>
  <w:style w:type="character" w:customStyle="1" w:styleId="HeaderChar">
    <w:name w:val="Header Char"/>
    <w:basedOn w:val="DefaultParagraphFont"/>
    <w:link w:val="Header"/>
    <w:rsid w:val="00DA7840"/>
    <w:rPr>
      <w:szCs w:val="24"/>
    </w:rPr>
  </w:style>
  <w:style w:type="paragraph" w:styleId="Footer">
    <w:name w:val="footer"/>
    <w:basedOn w:val="Normal"/>
    <w:link w:val="FooterChar"/>
    <w:uiPriority w:val="99"/>
    <w:qFormat/>
    <w:rsid w:val="00DA7840"/>
    <w:pPr>
      <w:tabs>
        <w:tab w:val="center" w:pos="4680"/>
        <w:tab w:val="right" w:pos="9360"/>
      </w:tabs>
    </w:pPr>
  </w:style>
  <w:style w:type="character" w:customStyle="1" w:styleId="FooterChar">
    <w:name w:val="Footer Char"/>
    <w:basedOn w:val="DefaultParagraphFont"/>
    <w:link w:val="Footer"/>
    <w:uiPriority w:val="99"/>
    <w:rsid w:val="00DA7840"/>
    <w:rPr>
      <w:szCs w:val="24"/>
    </w:rPr>
  </w:style>
  <w:style w:type="character" w:styleId="PageNumber">
    <w:name w:val="page number"/>
    <w:basedOn w:val="DefaultParagraphFont"/>
    <w:qFormat/>
    <w:rsid w:val="00EB15BC"/>
    <w:rPr>
      <w:rFonts w:ascii="Arial" w:hAnsi="Arial"/>
      <w:color w:val="auto"/>
      <w:sz w:val="20"/>
      <w:bdr w:val="none" w:sz="0" w:space="0" w:color="auto"/>
    </w:rPr>
  </w:style>
  <w:style w:type="character" w:customStyle="1" w:styleId="Heading2Char">
    <w:name w:val="Heading 2 Char"/>
    <w:basedOn w:val="DefaultParagraphFont"/>
    <w:link w:val="Heading2"/>
    <w:rsid w:val="00EB15BC"/>
    <w:rPr>
      <w:rFonts w:ascii="Arial Black" w:hAnsi="Arial Black" w:eastAsiaTheme="majorEastAsia" w:cstheme="majorBidi"/>
      <w:b/>
      <w:bCs/>
      <w:sz w:val="22"/>
      <w:szCs w:val="22"/>
    </w:rPr>
  </w:style>
  <w:style w:type="character" w:customStyle="1" w:styleId="Heading3Char">
    <w:name w:val="Heading 3 Char"/>
    <w:basedOn w:val="DefaultParagraphFont"/>
    <w:link w:val="Heading3"/>
    <w:rsid w:val="00EB15BC"/>
    <w:rPr>
      <w:rFonts w:eastAsiaTheme="majorEastAsia"/>
      <w:b/>
      <w:bCs/>
      <w:sz w:val="24"/>
      <w:szCs w:val="24"/>
      <w:u w:val="single"/>
    </w:rPr>
  </w:style>
  <w:style w:type="paragraph" w:styleId="DocumentMap">
    <w:name w:val="Document Map"/>
    <w:basedOn w:val="Normal"/>
    <w:link w:val="DocumentMapChar"/>
    <w:rsid w:val="00EB15BC"/>
    <w:rPr>
      <w:rFonts w:ascii="Tahoma" w:hAnsi="Tahoma" w:cs="Tahoma"/>
      <w:sz w:val="16"/>
      <w:szCs w:val="16"/>
    </w:rPr>
  </w:style>
  <w:style w:type="character" w:customStyle="1" w:styleId="DocumentMapChar">
    <w:name w:val="Document Map Char"/>
    <w:basedOn w:val="DefaultParagraphFont"/>
    <w:link w:val="DocumentMap"/>
    <w:rsid w:val="00EB15BC"/>
    <w:rPr>
      <w:rFonts w:ascii="Tahoma" w:hAnsi="Tahoma" w:cs="Tahoma"/>
      <w:sz w:val="16"/>
      <w:szCs w:val="16"/>
    </w:rPr>
  </w:style>
  <w:style w:type="character" w:customStyle="1" w:styleId="Heading4Char">
    <w:name w:val="Heading 4 Char"/>
    <w:basedOn w:val="DefaultParagraphFont"/>
    <w:link w:val="Heading4"/>
    <w:rsid w:val="00EB15BC"/>
    <w:rPr>
      <w:rFonts w:eastAsiaTheme="majorEastAsia"/>
      <w:b/>
      <w:bCs/>
      <w:sz w:val="24"/>
      <w:szCs w:val="24"/>
    </w:rPr>
  </w:style>
  <w:style w:type="paragraph" w:customStyle="1" w:styleId="MarkforFigureHeadings">
    <w:name w:val="Mark for Figure Headings"/>
    <w:basedOn w:val="MarkforTableHeading"/>
    <w:next w:val="NormalSS"/>
    <w:qFormat/>
    <w:rsid w:val="002D6DD5"/>
  </w:style>
  <w:style w:type="table" w:customStyle="1" w:styleId="Table">
    <w:name w:val="Table"/>
    <w:basedOn w:val="TableNormal"/>
    <w:uiPriority w:val="99"/>
    <w:qFormat/>
    <w:locked/>
    <w:rsid w:val="002D6DD5"/>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Myriad Pro Light" w:hAnsi="Myriad Pro Ligh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Bullet">
    <w:name w:val="Bullet"/>
    <w:basedOn w:val="ListParagraph"/>
    <w:qFormat/>
    <w:rsid w:val="002D6DD5"/>
    <w:pPr>
      <w:numPr>
        <w:numId w:val="18"/>
      </w:numPr>
      <w:spacing w:after="120"/>
      <w:ind w:left="432" w:hanging="432"/>
    </w:pPr>
    <w:rPr>
      <w:sz w:val="24"/>
    </w:rPr>
  </w:style>
  <w:style w:type="paragraph" w:customStyle="1" w:styleId="BulletLastSS">
    <w:name w:val="Bullet (Last SS)"/>
    <w:basedOn w:val="Bullet"/>
    <w:qFormat/>
    <w:rsid w:val="00703B60"/>
    <w:pPr>
      <w:spacing w:after="240"/>
    </w:pPr>
  </w:style>
  <w:style w:type="paragraph" w:customStyle="1" w:styleId="NumberedBullet">
    <w:name w:val="Numbered Bullet"/>
    <w:basedOn w:val="ListParagraph"/>
    <w:qFormat/>
    <w:rsid w:val="00703B60"/>
    <w:pPr>
      <w:widowControl/>
      <w:numPr>
        <w:numId w:val="20"/>
      </w:numPr>
      <w:spacing w:after="120"/>
      <w:ind w:left="432" w:hanging="432"/>
    </w:pPr>
    <w:rPr>
      <w:sz w:val="24"/>
    </w:rPr>
  </w:style>
  <w:style w:type="paragraph" w:customStyle="1" w:styleId="heading30">
    <w:name w:val="heading 30"/>
    <w:basedOn w:val="Normal"/>
    <w:rsid w:val="00C96CF8"/>
    <w:pPr>
      <w:numPr>
        <w:numId w:val="1"/>
      </w:numPr>
      <w:tabs>
        <w:tab w:val="num" w:pos="360"/>
        <w:tab w:val="clear" w:pos="1080"/>
      </w:tabs>
      <w:spacing w:before="240"/>
      <w:ind w:left="360"/>
    </w:pPr>
    <w:rPr>
      <w:b/>
      <w:sz w:val="24"/>
      <w:u w:val="single"/>
    </w:rPr>
  </w:style>
  <w:style w:type="paragraph" w:customStyle="1" w:styleId="TableText10pt">
    <w:name w:val="Table Text + 10 pt"/>
    <w:aliases w:val="Black"/>
    <w:basedOn w:val="TableText"/>
    <w:rsid w:val="00661AA4"/>
    <w:pPr>
      <w:tabs>
        <w:tab w:val="decimal" w:pos="576"/>
      </w:tabs>
      <w:spacing w:before="120"/>
    </w:pPr>
    <w:rPr>
      <w:color w:val="000000"/>
      <w:sz w:val="20"/>
      <w:szCs w:val="20"/>
    </w:rPr>
  </w:style>
  <w:style w:type="paragraph" w:customStyle="1" w:styleId="Tablefootnote">
    <w:name w:val="Table footnote"/>
    <w:basedOn w:val="TableFootnoteCaption"/>
    <w:rsid w:val="00661AA4"/>
  </w:style>
  <w:style w:type="paragraph" w:customStyle="1" w:styleId="TableFootnoteCaption">
    <w:name w:val="Table Footnote_Caption"/>
    <w:qFormat/>
    <w:rsid w:val="00661AA4"/>
    <w:pPr>
      <w:tabs>
        <w:tab w:val="left" w:pos="1080"/>
      </w:tabs>
      <w:spacing w:before="60"/>
    </w:pPr>
    <w:rPr>
      <w:rFonts w:ascii="Arial" w:hAnsi="Arial"/>
      <w:sz w:val="18"/>
    </w:rPr>
  </w:style>
  <w:style w:type="paragraph" w:styleId="NormalWeb">
    <w:name w:val="Normal (Web)"/>
    <w:basedOn w:val="Normal"/>
    <w:uiPriority w:val="99"/>
    <w:unhideWhenUsed/>
    <w:rsid w:val="00DE3575"/>
    <w:pPr>
      <w:widowControl/>
      <w:autoSpaceDE/>
      <w:autoSpaceDN/>
      <w:adjustRightInd/>
      <w:spacing w:before="100" w:beforeAutospacing="1" w:after="100" w:afterAutospacing="1"/>
    </w:pPr>
    <w:rPr>
      <w:sz w:val="24"/>
    </w:rPr>
  </w:style>
  <w:style w:type="character" w:customStyle="1" w:styleId="apple-converted-space">
    <w:name w:val="apple-converted-space"/>
    <w:basedOn w:val="DefaultParagraphFont"/>
    <w:rsid w:val="00DE3575"/>
  </w:style>
  <w:style w:type="character" w:styleId="FollowedHyperlink">
    <w:name w:val="FollowedHyperlink"/>
    <w:basedOn w:val="DefaultParagraphFont"/>
    <w:rsid w:val="00874547"/>
    <w:rPr>
      <w:color w:val="800080" w:themeColor="followedHyperlink"/>
      <w:u w:val="single"/>
    </w:rPr>
  </w:style>
  <w:style w:type="paragraph" w:customStyle="1" w:styleId="CM27">
    <w:name w:val="CM27"/>
    <w:basedOn w:val="Default"/>
    <w:next w:val="Default"/>
    <w:rsid w:val="00F25E7A"/>
    <w:pPr>
      <w:widowControl w:val="0"/>
      <w:spacing w:after="555"/>
    </w:pPr>
    <w:rPr>
      <w:rFonts w:ascii="DIGNKC+TimesNewRoman,Bold" w:hAnsi="DIGNKC+TimesNewRoman,Bold"/>
      <w:color w:val="auto"/>
    </w:rPr>
  </w:style>
  <w:style w:type="paragraph" w:customStyle="1" w:styleId="SL-FlLftSgl">
    <w:name w:val="SL-Fl Lft Sgl"/>
    <w:basedOn w:val="Normal"/>
    <w:link w:val="SL-FlLftSglChar"/>
    <w:rsid w:val="00FD6237"/>
    <w:pPr>
      <w:widowControl/>
      <w:autoSpaceDE/>
      <w:autoSpaceDN/>
      <w:adjustRightInd/>
    </w:pPr>
    <w:rPr>
      <w:rFonts w:ascii="Garamond" w:hAnsi="Garamond"/>
      <w:sz w:val="24"/>
      <w:szCs w:val="20"/>
    </w:rPr>
  </w:style>
  <w:style w:type="paragraph" w:customStyle="1" w:styleId="TT-TableTitle">
    <w:name w:val="TT-Table Title"/>
    <w:rsid w:val="00FD6237"/>
    <w:pPr>
      <w:keepNext/>
      <w:keepLines/>
      <w:tabs>
        <w:tab w:val="left" w:pos="1440"/>
      </w:tabs>
      <w:spacing w:after="240"/>
      <w:ind w:left="1440" w:hanging="1440"/>
    </w:pPr>
    <w:rPr>
      <w:rFonts w:ascii="Franklin Gothic Medium" w:hAnsi="Franklin Gothic Medium"/>
      <w:sz w:val="22"/>
    </w:rPr>
  </w:style>
  <w:style w:type="paragraph" w:customStyle="1" w:styleId="TB-TableBullet">
    <w:name w:val="TB-Table Bullet"/>
    <w:basedOn w:val="TX-TableText"/>
    <w:rsid w:val="00FD6237"/>
    <w:pPr>
      <w:numPr>
        <w:numId w:val="45"/>
      </w:numPr>
    </w:pPr>
  </w:style>
  <w:style w:type="table" w:customStyle="1" w:styleId="TableWestatStandardFormat">
    <w:name w:val="Table Westat Standard Format"/>
    <w:basedOn w:val="TableNormal"/>
    <w:rsid w:val="00FD6237"/>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FD6237"/>
    <w:pPr>
      <w:keepNext/>
      <w:keepLines/>
      <w:jc w:val="center"/>
    </w:pPr>
    <w:rPr>
      <w:rFonts w:ascii="Franklin Gothic Medium" w:hAnsi="Franklin Gothic Medium"/>
      <w:b/>
    </w:rPr>
  </w:style>
  <w:style w:type="paragraph" w:customStyle="1" w:styleId="TX-TableText">
    <w:name w:val="TX-Table Text"/>
    <w:rsid w:val="00FD6237"/>
    <w:rPr>
      <w:rFonts w:ascii="Franklin Gothic Medium" w:hAnsi="Franklin Gothic Medium"/>
    </w:rPr>
  </w:style>
  <w:style w:type="paragraph" w:customStyle="1" w:styleId="NB-3rdBullet">
    <w:name w:val="NB-3rd Bullet"/>
    <w:qFormat/>
    <w:rsid w:val="00FD6237"/>
    <w:pPr>
      <w:numPr>
        <w:numId w:val="44"/>
      </w:numPr>
      <w:spacing w:after="240"/>
    </w:pPr>
    <w:rPr>
      <w:rFonts w:ascii="Garamond" w:hAnsi="Garamond"/>
      <w:sz w:val="24"/>
    </w:rPr>
  </w:style>
  <w:style w:type="character" w:customStyle="1" w:styleId="SL-FlLftSglChar">
    <w:name w:val="SL-Fl Lft Sgl Char"/>
    <w:basedOn w:val="DefaultParagraphFont"/>
    <w:link w:val="SL-FlLftSgl"/>
    <w:locked/>
    <w:rsid w:val="00FD6237"/>
    <w:rPr>
      <w:rFonts w:ascii="Garamond" w:hAnsi="Garamond"/>
      <w:sz w:val="24"/>
    </w:rPr>
  </w:style>
  <w:style w:type="table" w:customStyle="1" w:styleId="LightList1">
    <w:name w:val="Light List1"/>
    <w:basedOn w:val="TableNormal"/>
    <w:next w:val="LightList"/>
    <w:uiPriority w:val="61"/>
    <w:rsid w:val="007F4C52"/>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7F4C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464E9E"/>
    <w:rPr>
      <w:color w:val="605E5C"/>
      <w:shd w:val="clear" w:color="auto" w:fill="E1DFDD"/>
    </w:rPr>
  </w:style>
  <w:style w:type="table" w:customStyle="1" w:styleId="TableGrid2">
    <w:name w:val="Table Grid2"/>
    <w:basedOn w:val="TableNormal"/>
    <w:next w:val="TableGrid"/>
    <w:rsid w:val="00A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C561A"/>
    <w:rPr>
      <w:color w:val="605E5C"/>
      <w:shd w:val="clear" w:color="auto" w:fill="E1DFDD"/>
    </w:rPr>
  </w:style>
  <w:style w:type="character" w:styleId="UnresolvedMention">
    <w:name w:val="Unresolved Mention"/>
    <w:basedOn w:val="DefaultParagraphFont"/>
    <w:uiPriority w:val="99"/>
    <w:semiHidden/>
    <w:unhideWhenUsed/>
    <w:rsid w:val="00C51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justice.gov/opcl/privacy-act-1974" TargetMode="Externa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pubmed.ncbi.nlm.nih.gov/327267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a36c8518-5540-4b85-9a88-2de7ee0c48a3">
      <UserInfo>
        <DisplayName>Dwyer, Maura (HRSA)</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9AF25DCB8AC4E8C8BECA78D3269B6" ma:contentTypeVersion="4" ma:contentTypeDescription="Create a new document." ma:contentTypeScope="" ma:versionID="09e87aea9fa870b2013ded19e34fa5bc">
  <xsd:schema xmlns:xsd="http://www.w3.org/2001/XMLSchema" xmlns:xs="http://www.w3.org/2001/XMLSchema" xmlns:p="http://schemas.microsoft.com/office/2006/metadata/properties" xmlns:ns2="58a56360-c1a7-43d4-bda0-498364e4f60c" xmlns:ns3="a36c8518-5540-4b85-9a88-2de7ee0c48a3" targetNamespace="http://schemas.microsoft.com/office/2006/metadata/properties" ma:root="true" ma:fieldsID="9cf9786623c0287adc84ad59fc784125" ns2:_="" ns3:_="">
    <xsd:import namespace="58a56360-c1a7-43d4-bda0-498364e4f60c"/>
    <xsd:import namespace="a36c8518-5540-4b85-9a88-2de7ee0c48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56360-c1a7-43d4-bda0-498364e4f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518-5540-4b85-9a88-2de7ee0c48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5C15C-FEB9-4654-AB7E-A5F13F937DE5}">
  <ds:schemaRefs>
    <ds:schemaRef ds:uri="http://schemas.openxmlformats.org/officeDocument/2006/bibliography"/>
  </ds:schemaRefs>
</ds:datastoreItem>
</file>

<file path=customXml/itemProps2.xml><?xml version="1.0" encoding="utf-8"?>
<ds:datastoreItem xmlns:ds="http://schemas.openxmlformats.org/officeDocument/2006/customXml" ds:itemID="{A94148B2-1C80-4A48-81DB-6AA88FAA3E74}">
  <ds:schemaRefs>
    <ds:schemaRef ds:uri="58a56360-c1a7-43d4-bda0-498364e4f60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36c8518-5540-4b85-9a88-2de7ee0c48a3"/>
    <ds:schemaRef ds:uri="http://www.w3.org/XML/1998/namespace"/>
    <ds:schemaRef ds:uri="http://purl.org/dc/dcmitype/"/>
  </ds:schemaRefs>
</ds:datastoreItem>
</file>

<file path=customXml/itemProps3.xml><?xml version="1.0" encoding="utf-8"?>
<ds:datastoreItem xmlns:ds="http://schemas.openxmlformats.org/officeDocument/2006/customXml" ds:itemID="{3595F213-E733-417F-B025-6C69F1FE0BDD}">
  <ds:schemaRefs>
    <ds:schemaRef ds:uri="http://schemas.microsoft.com/sharepoint/v3/contenttype/forms"/>
  </ds:schemaRefs>
</ds:datastoreItem>
</file>

<file path=customXml/itemProps4.xml><?xml version="1.0" encoding="utf-8"?>
<ds:datastoreItem xmlns:ds="http://schemas.openxmlformats.org/officeDocument/2006/customXml" ds:itemID="{89C529D8-83A3-41B7-B60E-9BF3A7D32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56360-c1a7-43d4-bda0-498364e4f60c"/>
    <ds:schemaRef ds:uri="a36c8518-5540-4b85-9a88-2de7ee0c4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23</Pages>
  <Words>8920</Words>
  <Characters>50846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59647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Dwyer, Maura (HRSA)</cp:lastModifiedBy>
  <cp:revision>28</cp:revision>
  <cp:lastPrinted>2023-04-05T18:46:00Z</cp:lastPrinted>
  <dcterms:created xsi:type="dcterms:W3CDTF">2023-08-15T15:27:00Z</dcterms:created>
  <dcterms:modified xsi:type="dcterms:W3CDTF">2023-08-15T21:22:00Z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0x01010069F9AF25DCB8AC4E8C8BECA78D3269B6</vt:lpwstr>
  </property>
</Properties>
</file>