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550" w14:paraId="2E8FEAF1" w14:textId="77777777">
      <w:pPr>
        <w:spacing w:after="0" w:line="259" w:lineRule="auto"/>
        <w:jc w:val="center"/>
      </w:pPr>
      <w:r>
        <w:t xml:space="preserve">UNITED STATES FOOD &amp; DRUG ADMINISTRATION </w:t>
      </w:r>
    </w:p>
    <w:p w:rsidR="00922550" w14:paraId="6234F0D9" w14:textId="77777777">
      <w:pPr>
        <w:spacing w:after="0" w:line="259" w:lineRule="auto"/>
        <w:ind w:left="60" w:right="0" w:firstLine="0"/>
        <w:jc w:val="center"/>
      </w:pPr>
      <w:r>
        <w:t xml:space="preserve"> </w:t>
      </w:r>
    </w:p>
    <w:p w:rsidR="00E35FEA" w14:paraId="63A222A8" w14:textId="77777777">
      <w:pPr>
        <w:spacing w:after="0" w:line="259" w:lineRule="auto"/>
        <w:ind w:left="60" w:right="0" w:firstLine="0"/>
        <w:jc w:val="center"/>
        <w:rPr>
          <w:color w:val="000000" w:themeColor="text1"/>
          <w:szCs w:val="24"/>
        </w:rPr>
      </w:pPr>
      <w:r>
        <w:rPr>
          <w:color w:val="000000" w:themeColor="text1"/>
          <w:szCs w:val="24"/>
        </w:rPr>
        <w:t>Expanded Access to Investigational Drugs for Treatment Use</w:t>
      </w:r>
    </w:p>
    <w:p w:rsidR="00922550" w14:paraId="77CC08DA" w14:textId="259F1981">
      <w:pPr>
        <w:spacing w:after="0" w:line="259" w:lineRule="auto"/>
        <w:ind w:left="60" w:right="0" w:firstLine="0"/>
        <w:jc w:val="center"/>
      </w:pPr>
      <w:r>
        <w:t xml:space="preserve"> </w:t>
      </w:r>
    </w:p>
    <w:p w:rsidR="00922550" w:rsidRPr="00000121" w14:paraId="697C8370" w14:textId="193A605A">
      <w:pPr>
        <w:spacing w:after="5" w:line="259" w:lineRule="auto"/>
        <w:ind w:left="0" w:firstLine="0"/>
        <w:jc w:val="center"/>
        <w:rPr>
          <w:u w:val="single"/>
        </w:rPr>
      </w:pPr>
      <w:r w:rsidRPr="00000121">
        <w:rPr>
          <w:u w:val="single"/>
        </w:rPr>
        <w:t>OMB Control No. 0910-0814</w:t>
      </w:r>
      <w:r w:rsidRPr="00000121" w:rsidR="00FD5BC2">
        <w:rPr>
          <w:u w:val="single"/>
        </w:rPr>
        <w:t xml:space="preserve"> - Revision</w:t>
      </w:r>
    </w:p>
    <w:p w:rsidR="00922550" w14:paraId="68CB3D6C" w14:textId="77777777">
      <w:pPr>
        <w:spacing w:after="0" w:line="259" w:lineRule="auto"/>
        <w:ind w:left="0" w:right="0" w:firstLine="0"/>
      </w:pPr>
      <w:r>
        <w:t xml:space="preserve"> </w:t>
      </w:r>
      <w:r>
        <w:tab/>
        <w:t xml:space="preserve"> </w:t>
      </w:r>
    </w:p>
    <w:p w:rsidR="009B2F70" w14:paraId="3C6BE878" w14:textId="1FB8C4FA">
      <w:pPr>
        <w:spacing w:after="0" w:line="259" w:lineRule="auto"/>
        <w:ind w:left="0" w:right="0" w:firstLine="0"/>
      </w:pPr>
      <w:r w:rsidRPr="009B2F70">
        <w:rPr>
          <w:i/>
          <w:iCs/>
        </w:rPr>
        <w:t>Terms of Clearance</w:t>
      </w:r>
      <w:r>
        <w:t xml:space="preserve">:  </w:t>
      </w:r>
      <w:r w:rsidR="00EB0098">
        <w:t xml:space="preserve">In our supporting statement of </w:t>
      </w:r>
      <w:r w:rsidR="006516DD">
        <w:t>February 18, 2022</w:t>
      </w:r>
      <w:r w:rsidR="00781AE0">
        <w:t>,</w:t>
      </w:r>
      <w:r w:rsidR="006516DD">
        <w:t xml:space="preserve"> for OMB control no. 0910-0014 (</w:t>
      </w:r>
      <w:r w:rsidRPr="00781AE0" w:rsidR="006516DD">
        <w:rPr>
          <w:i/>
          <w:iCs/>
        </w:rPr>
        <w:t xml:space="preserve">Investigational </w:t>
      </w:r>
      <w:r w:rsidRPr="00781AE0" w:rsidR="00781AE0">
        <w:rPr>
          <w:i/>
          <w:iCs/>
        </w:rPr>
        <w:t>New Drug Regulations</w:t>
      </w:r>
      <w:r w:rsidR="00781AE0">
        <w:t>)</w:t>
      </w:r>
      <w:r w:rsidR="006516DD">
        <w:t>, we note tha</w:t>
      </w:r>
      <w:r w:rsidR="00781AE0">
        <w:t xml:space="preserve">t we account for burden associated with 21 CFR 312, </w:t>
      </w:r>
      <w:r w:rsidRPr="004831BA" w:rsidR="00781AE0">
        <w:rPr>
          <w:b/>
          <w:bCs/>
        </w:rPr>
        <w:t>subpart I</w:t>
      </w:r>
      <w:r w:rsidR="00A444AA">
        <w:t xml:space="preserve"> (§§ 312.300 through 312.320</w:t>
      </w:r>
      <w:r w:rsidR="004831BA">
        <w:t>)</w:t>
      </w:r>
      <w:r w:rsidR="00781AE0">
        <w:t xml:space="preserve"> </w:t>
      </w:r>
      <w:r w:rsidR="004831BA">
        <w:t xml:space="preserve">in </w:t>
      </w:r>
      <w:r w:rsidRPr="00881071" w:rsidR="00881071">
        <w:t>OMB control no. 0910-0814.</w:t>
      </w:r>
      <w:r w:rsidR="00AB7454">
        <w:t xml:space="preserve">  We will ensure this is communicated clearly in supporting statements for both collections.</w:t>
      </w:r>
    </w:p>
    <w:p w:rsidR="009B2F70" w14:paraId="3DBEC82D" w14:textId="77777777">
      <w:pPr>
        <w:spacing w:after="0" w:line="259" w:lineRule="auto"/>
        <w:ind w:left="0" w:right="0" w:firstLine="0"/>
      </w:pPr>
    </w:p>
    <w:p w:rsidR="00922550" w14:paraId="58003AFD" w14:textId="12C22980">
      <w:pPr>
        <w:spacing w:after="0" w:line="259" w:lineRule="auto"/>
        <w:ind w:left="0" w:right="0" w:firstLine="0"/>
      </w:pPr>
      <w:r>
        <w:t xml:space="preserve">SUPPORTING STATEMENT </w:t>
      </w:r>
      <w:r>
        <w:rPr>
          <w:b/>
        </w:rPr>
        <w:t>Part A:  Justification:</w:t>
      </w:r>
      <w:r>
        <w:t xml:space="preserve"> </w:t>
      </w:r>
    </w:p>
    <w:p w:rsidR="00922550" w14:paraId="1BE3E530" w14:textId="77777777">
      <w:pPr>
        <w:spacing w:after="0" w:line="259" w:lineRule="auto"/>
        <w:ind w:left="0" w:right="0" w:firstLine="0"/>
      </w:pPr>
      <w:r>
        <w:t xml:space="preserve"> </w:t>
      </w:r>
    </w:p>
    <w:p w:rsidR="00922550" w14:paraId="10DC1DC9" w14:textId="77777777">
      <w:pPr>
        <w:pStyle w:val="Heading1"/>
        <w:spacing w:after="10" w:line="249" w:lineRule="auto"/>
        <w:ind w:left="-5"/>
      </w:pPr>
      <w:r>
        <w:rPr>
          <w:i w:val="0"/>
        </w:rPr>
        <w:t xml:space="preserve">1.  </w:t>
      </w:r>
      <w:r>
        <w:rPr>
          <w:i w:val="0"/>
          <w:u w:val="single" w:color="000000"/>
        </w:rPr>
        <w:t>Circumstances Making the Collection of Information Necessary</w:t>
      </w:r>
      <w:r>
        <w:rPr>
          <w:i w:val="0"/>
        </w:rPr>
        <w:t xml:space="preserve"> </w:t>
      </w:r>
    </w:p>
    <w:p w:rsidR="00922550" w14:paraId="676F5619" w14:textId="77777777">
      <w:pPr>
        <w:spacing w:after="0" w:line="259" w:lineRule="auto"/>
        <w:ind w:left="0" w:right="0" w:firstLine="0"/>
      </w:pPr>
      <w:r>
        <w:t xml:space="preserve"> </w:t>
      </w:r>
    </w:p>
    <w:p w:rsidR="00922550" w:rsidP="00D15800" w14:paraId="3546F21F" w14:textId="24D2841B">
      <w:pPr>
        <w:spacing w:after="0" w:line="240" w:lineRule="auto"/>
        <w:ind w:left="0" w:right="0"/>
      </w:pPr>
      <w:r>
        <w:t xml:space="preserve">This information collection </w:t>
      </w:r>
      <w:r w:rsidR="004A6D78">
        <w:t xml:space="preserve">helps </w:t>
      </w:r>
      <w:r>
        <w:t>support</w:t>
      </w:r>
      <w:r w:rsidR="004A6D78">
        <w:t xml:space="preserve"> implementation of</w:t>
      </w:r>
      <w:r>
        <w:t xml:space="preserve"> Food and Drug Administration (FDA, agency, us or we) regulations, as well as agency forms and associated guidance.  Provisions in section 561 of the Federal Food, Drug, and Cosmetic Act (21 U.S.C. 360bbb) set forth general requirements relating to expanded access to unapproved therapies and diagnostics.</w:t>
      </w:r>
      <w:r w:rsidR="007F0D09">
        <w:t xml:space="preserve">  </w:t>
      </w:r>
      <w:r>
        <w:t>Sometimes called “</w:t>
      </w:r>
      <w:r>
        <w:rPr>
          <w:i/>
        </w:rPr>
        <w:t>compassionate use</w:t>
      </w:r>
      <w:r>
        <w:t>,” expanded access (EA) is a potential pathway for a patient with an immediately life-threatening condition</w:t>
      </w:r>
      <w:r w:rsidR="006F4339">
        <w:t>,</w:t>
      </w:r>
      <w:r>
        <w:t xml:space="preserve"> or serious disease or condition</w:t>
      </w:r>
      <w:r w:rsidR="006F4339">
        <w:t>,</w:t>
      </w:r>
      <w:r>
        <w:t xml:space="preserve"> to gain access to an investigational medical product (drug, biologic, or medical device) for treatment outside of clinical trials when no comparable or satisfactory alternative therapy options are available.  To facilitate expanded access to investigational drugs by patients, regulations in 21 CFR part 312</w:t>
      </w:r>
      <w:r w:rsidR="000B7A9E">
        <w:t>,</w:t>
      </w:r>
      <w:r>
        <w:t xml:space="preserve"> subpart I</w:t>
      </w:r>
      <w:r w:rsidR="00961A7B">
        <w:t xml:space="preserve">; </w:t>
      </w:r>
      <w:r>
        <w:rPr>
          <w:i/>
        </w:rPr>
        <w:t>Expanded Access to Investigational Drugs for Treatment Use</w:t>
      </w:r>
      <w:r w:rsidR="00961A7B">
        <w:t xml:space="preserve"> </w:t>
      </w:r>
      <w:r w:rsidRPr="00961A7B" w:rsidR="00961A7B">
        <w:t>(21 CFR 312.300 – 21 CFR 312.320)</w:t>
      </w:r>
      <w:r w:rsidR="00961A7B">
        <w:t xml:space="preserve">, </w:t>
      </w:r>
      <w:r>
        <w:t>establish submission requirements that include demonstrating certain criteria have been met, and that content and format requirements have been satisfied.</w:t>
      </w:r>
      <w:r w:rsidR="004A6D78">
        <w:t xml:space="preserve">  Information collection associated with all other provisions in 21 CFR 312</w:t>
      </w:r>
      <w:r>
        <w:t xml:space="preserve"> </w:t>
      </w:r>
      <w:r w:rsidR="004A6D78">
        <w:t>are included in OMB control no. 0910-00</w:t>
      </w:r>
      <w:r w:rsidR="00C44E9F">
        <w:t>14 unless specifically noted.</w:t>
      </w:r>
    </w:p>
    <w:p w:rsidR="00922550" w:rsidP="00D15800" w14:paraId="7DC35E75" w14:textId="77777777">
      <w:pPr>
        <w:spacing w:after="0" w:line="240" w:lineRule="auto"/>
        <w:ind w:left="0" w:right="0" w:firstLine="0"/>
      </w:pPr>
      <w:r>
        <w:t xml:space="preserve"> </w:t>
      </w:r>
    </w:p>
    <w:p w:rsidR="00922550" w:rsidP="00AD78E9" w14:paraId="3BC34AFE" w14:textId="0C386877">
      <w:pPr>
        <w:spacing w:after="0" w:line="240" w:lineRule="auto"/>
        <w:ind w:left="0" w:right="0"/>
      </w:pPr>
      <w:r>
        <w:t xml:space="preserve">We </w:t>
      </w:r>
      <w:r w:rsidR="00FD5BC2">
        <w:t xml:space="preserve">continue to maintain </w:t>
      </w:r>
      <w:r w:rsidR="00673D74">
        <w:t>an expanded access website (</w:t>
      </w:r>
      <w:hyperlink r:id="rId6" w:history="1">
        <w:r w:rsidRPr="00BC1DAA" w:rsidR="00673D74">
          <w:rPr>
            <w:rStyle w:val="Hyperlink"/>
          </w:rPr>
          <w:t>www.fda.gov/news-events/public-health-focus/expanded-access</w:t>
        </w:r>
      </w:hyperlink>
      <w:r w:rsidR="00673D74">
        <w:t>)</w:t>
      </w:r>
      <w:r w:rsidR="005A524B">
        <w:t xml:space="preserve">, including associated guidance </w:t>
      </w:r>
      <w:r w:rsidR="00411CBB">
        <w:t xml:space="preserve">documents.  </w:t>
      </w:r>
      <w:r w:rsidR="005A524B">
        <w:t>Regulations in 21 CFR 312.</w:t>
      </w:r>
      <w:r w:rsidR="00411CBB">
        <w:t>1</w:t>
      </w:r>
      <w:r w:rsidR="005A524B">
        <w:t xml:space="preserve">45 (approved in control. 0910-0014) provide for the issuance of guidance documents </w:t>
      </w:r>
      <w:r w:rsidR="00411CBB">
        <w:t xml:space="preserve">made available to assist respondents </w:t>
      </w:r>
      <w:r w:rsidR="00D07E16">
        <w:t xml:space="preserve">in </w:t>
      </w:r>
      <w:r w:rsidR="00411CBB">
        <w:t>complying</w:t>
      </w:r>
      <w:r w:rsidR="007659C8">
        <w:t xml:space="preserve"> with applicable regulations</w:t>
      </w:r>
      <w:r w:rsidR="00FF09C3">
        <w:t xml:space="preserve"> in 21 CFR 312</w:t>
      </w:r>
      <w:r w:rsidR="007659C8">
        <w:t>.  We</w:t>
      </w:r>
      <w:r w:rsidR="00411CBB">
        <w:t xml:space="preserve"> </w:t>
      </w:r>
      <w:r w:rsidR="00DB030C">
        <w:t>are revising</w:t>
      </w:r>
      <w:r w:rsidR="00FD5BC2">
        <w:t xml:space="preserve"> </w:t>
      </w:r>
      <w:r w:rsidRPr="00FD5BC2">
        <w:rPr>
          <w:b/>
          <w:bCs/>
        </w:rPr>
        <w:t>Form FDA 3926</w:t>
      </w:r>
      <w:r>
        <w:t xml:space="preserve"> entitled, “</w:t>
      </w:r>
      <w:r w:rsidRPr="0010342C">
        <w:rPr>
          <w:i/>
          <w:iCs/>
        </w:rPr>
        <w:t>Individual Patient Expanded Access -- Investigational New Drug Application (IND)</w:t>
      </w:r>
      <w:r w:rsidR="00D07E16">
        <w:rPr>
          <w:i/>
          <w:iCs/>
        </w:rPr>
        <w:t>.</w:t>
      </w:r>
      <w:r w:rsidRPr="0010342C" w:rsidR="00735019">
        <w:rPr>
          <w:i/>
          <w:iCs/>
        </w:rPr>
        <w:t>”</w:t>
      </w:r>
      <w:r>
        <w:t xml:space="preserve"> </w:t>
      </w:r>
      <w:r w:rsidR="00ED196A">
        <w:t>Form</w:t>
      </w:r>
      <w:r w:rsidR="00C6797B">
        <w:t xml:space="preserve"> </w:t>
      </w:r>
      <w:r w:rsidR="00B90EEE">
        <w:t>FDA</w:t>
      </w:r>
      <w:r w:rsidR="00ED196A">
        <w:t xml:space="preserve"> 3926 requires the completion of data fields that enable us to uniformly collect the minimum information necessary from licensed physicians </w:t>
      </w:r>
      <w:r w:rsidR="00673D74">
        <w:t xml:space="preserve">or industry </w:t>
      </w:r>
      <w:r w:rsidR="00ED196A">
        <w:t>who want to request expanded access as prescribed in the applicable regulations.</w:t>
      </w:r>
      <w:r w:rsidR="00CC4B05">
        <w:t xml:space="preserve">  We have revised the form </w:t>
      </w:r>
      <w:r w:rsidR="00BE68EA">
        <w:t xml:space="preserve">to clarify certain data fields and to add </w:t>
      </w:r>
      <w:r w:rsidR="00FB3261">
        <w:t>certain fields pertaining to requests for withdrawal</w:t>
      </w:r>
      <w:r w:rsidR="00E35135">
        <w:t>, alternative IRB review procedures, and certification of the requesting physician.</w:t>
      </w:r>
      <w:r w:rsidR="00AD78E9">
        <w:t xml:space="preserve">  </w:t>
      </w:r>
      <w:r w:rsidR="006B000C">
        <w:t>W</w:t>
      </w:r>
      <w:r w:rsidR="00ED196A">
        <w:t>e are</w:t>
      </w:r>
      <w:r w:rsidR="00FB4A77">
        <w:t xml:space="preserve"> therefore</w:t>
      </w:r>
      <w:r w:rsidR="00ED196A">
        <w:t xml:space="preserve"> requesting approval of </w:t>
      </w:r>
      <w:r w:rsidR="001E7E72">
        <w:t>revised</w:t>
      </w:r>
      <w:r w:rsidR="00ED196A">
        <w:t xml:space="preserve"> Form FDA 3926</w:t>
      </w:r>
      <w:r w:rsidR="006B000C">
        <w:t>.</w:t>
      </w:r>
    </w:p>
    <w:p w:rsidR="00922550" w14:paraId="4E20CBF6" w14:textId="77777777">
      <w:pPr>
        <w:spacing w:after="0" w:line="259" w:lineRule="auto"/>
        <w:ind w:left="0" w:right="0" w:firstLine="0"/>
      </w:pPr>
      <w:r>
        <w:t xml:space="preserve"> </w:t>
      </w:r>
    </w:p>
    <w:p w:rsidR="00922550" w14:paraId="5B3D8677" w14:textId="77777777">
      <w:pPr>
        <w:pStyle w:val="Heading2"/>
        <w:ind w:left="-5" w:right="0"/>
      </w:pPr>
      <w:r>
        <w:rPr>
          <w:u w:val="none"/>
        </w:rPr>
        <w:t xml:space="preserve">2.  </w:t>
      </w:r>
      <w:r>
        <w:t>Purpose and Use of the Information Collection</w:t>
      </w:r>
      <w:r>
        <w:rPr>
          <w:u w:val="none"/>
        </w:rPr>
        <w:t xml:space="preserve">  </w:t>
      </w:r>
    </w:p>
    <w:p w:rsidR="00922550" w14:paraId="625C64DC" w14:textId="77777777">
      <w:pPr>
        <w:spacing w:after="0" w:line="259" w:lineRule="auto"/>
        <w:ind w:left="0" w:right="0" w:firstLine="0"/>
      </w:pPr>
      <w:r>
        <w:t xml:space="preserve"> </w:t>
      </w:r>
    </w:p>
    <w:p w:rsidR="00C6797B" w:rsidP="001016A0" w14:paraId="1D08B9A5" w14:textId="44AF7A18">
      <w:pPr>
        <w:ind w:left="-5" w:right="0"/>
      </w:pPr>
      <w:r>
        <w:t xml:space="preserve">This ICR collects information from licensed physicians who submit requests for expanded access to investigational drugs on behalf of individual patients.  Physicians may use Form FDA 3926 instead of Form FDA 1571 for the submission of information as described in the regulations (e.g., the rationale for the intended use of the drug and the physician’s qualifications).  We use the information to determine whether the access request can be granted.  Form FDA 3926 may also be used for certain follow-up submissions to existing individual patient expanded access INDs as described in FDA regulations (e.g., to submit an annual report or summary of expanded access use (treatment completed)). </w:t>
      </w:r>
    </w:p>
    <w:p w:rsidR="001016A0" w:rsidRPr="001016A0" w:rsidP="001016A0" w14:paraId="1AEBD040" w14:textId="77777777">
      <w:pPr>
        <w:ind w:left="-5" w:right="0"/>
      </w:pPr>
    </w:p>
    <w:p w:rsidR="00922550" w:rsidRPr="00267780" w:rsidP="00267780" w14:paraId="23C606C5" w14:textId="2D306150">
      <w:pPr>
        <w:spacing w:after="160" w:line="240" w:lineRule="auto"/>
        <w:ind w:left="0" w:right="0" w:firstLine="0"/>
        <w:rPr>
          <w:u w:val="single"/>
        </w:rPr>
      </w:pPr>
      <w:r>
        <w:rPr>
          <w:u w:color="000000"/>
        </w:rPr>
        <w:t xml:space="preserve">3.  </w:t>
      </w:r>
      <w:r w:rsidRPr="001770A8">
        <w:rPr>
          <w:u w:val="single"/>
        </w:rPr>
        <w:t xml:space="preserve">Use of Improved Information Technology and Burden Reduction  </w:t>
      </w:r>
    </w:p>
    <w:p w:rsidR="00922550" w:rsidP="003E6EBB" w14:paraId="053ECF12" w14:textId="4E5A7C24">
      <w:pPr>
        <w:ind w:left="-5" w:right="0"/>
      </w:pPr>
      <w:r>
        <w:t>Form FDA 3926 is available</w:t>
      </w:r>
      <w:r w:rsidR="00B347BC">
        <w:t xml:space="preserve"> </w:t>
      </w:r>
      <w:r w:rsidR="00C366C1">
        <w:t xml:space="preserve">as a fillable PDF document for expanded access sponsors and can be used </w:t>
      </w:r>
      <w:r w:rsidR="00B347BC">
        <w:t>as an alternative cover sheet to completion of Form FDA 1571</w:t>
      </w:r>
      <w:r w:rsidR="00302FBA">
        <w:t xml:space="preserve"> - Investigational New Drug Application</w:t>
      </w:r>
      <w:r w:rsidR="00C366C1">
        <w:t xml:space="preserve">.  </w:t>
      </w:r>
      <w:r>
        <w:t xml:space="preserve">We </w:t>
      </w:r>
      <w:r w:rsidR="00B347BC">
        <w:t xml:space="preserve">encourage all </w:t>
      </w:r>
      <w:r>
        <w:t xml:space="preserve">respondents </w:t>
      </w:r>
      <w:r w:rsidR="00B347BC">
        <w:t>to</w:t>
      </w:r>
      <w:r>
        <w:t xml:space="preserve"> </w:t>
      </w:r>
      <w:r w:rsidR="00C366C1">
        <w:t>utilize</w:t>
      </w:r>
      <w:r>
        <w:t xml:space="preserve"> the fillable features of </w:t>
      </w:r>
      <w:r w:rsidR="00C366C1">
        <w:t>Form FDA 3926</w:t>
      </w:r>
      <w:r>
        <w:t xml:space="preserve">.  We </w:t>
      </w:r>
      <w:r w:rsidR="00C366C1">
        <w:t xml:space="preserve">also </w:t>
      </w:r>
      <w:r>
        <w:t>continue to consider additional ways to facilitate submission of the information</w:t>
      </w:r>
      <w:r w:rsidR="001F6B8F">
        <w:t>,</w:t>
      </w:r>
      <w:r>
        <w:t xml:space="preserve"> including direct electronic submissions and possible development</w:t>
      </w:r>
      <w:r w:rsidR="00C366C1">
        <w:t>s</w:t>
      </w:r>
      <w:r>
        <w:t xml:space="preserve"> of mobile application</w:t>
      </w:r>
      <w:r w:rsidR="00C366C1">
        <w:t>s</w:t>
      </w:r>
      <w:r>
        <w:t xml:space="preserve">.  </w:t>
      </w:r>
    </w:p>
    <w:p w:rsidR="00922550" w14:paraId="559A9DF6" w14:textId="77777777">
      <w:pPr>
        <w:spacing w:after="0" w:line="259" w:lineRule="auto"/>
        <w:ind w:left="0" w:right="0" w:firstLine="0"/>
      </w:pPr>
      <w:r>
        <w:t xml:space="preserve"> </w:t>
      </w:r>
    </w:p>
    <w:p w:rsidR="00922550" w14:paraId="27AAB797" w14:textId="77777777">
      <w:pPr>
        <w:pStyle w:val="Heading2"/>
        <w:ind w:left="-5" w:right="0"/>
      </w:pPr>
      <w:r>
        <w:rPr>
          <w:u w:val="none"/>
        </w:rPr>
        <w:t xml:space="preserve">4.  </w:t>
      </w:r>
      <w:r>
        <w:t>Efforts to Identify Duplication and Use of Similar Information</w:t>
      </w:r>
      <w:r>
        <w:rPr>
          <w:u w:val="none"/>
        </w:rPr>
        <w:t xml:space="preserve">  </w:t>
      </w:r>
    </w:p>
    <w:p w:rsidR="00922550" w14:paraId="5B51F1CC" w14:textId="77777777">
      <w:pPr>
        <w:spacing w:after="0" w:line="259" w:lineRule="auto"/>
        <w:ind w:left="0" w:right="0" w:firstLine="0"/>
      </w:pPr>
      <w:r>
        <w:t xml:space="preserve"> </w:t>
      </w:r>
    </w:p>
    <w:p w:rsidR="00922550" w:rsidP="00302FBA" w14:paraId="71B6060F" w14:textId="45D0ECF7">
      <w:pPr>
        <w:ind w:left="-5" w:right="0"/>
      </w:pPr>
      <w:r>
        <w:t>We are unaware of duplicative information collection.</w:t>
      </w:r>
    </w:p>
    <w:p w:rsidR="00922550" w14:paraId="6F135D51" w14:textId="77868D29">
      <w:pPr>
        <w:spacing w:after="0" w:line="259" w:lineRule="auto"/>
        <w:ind w:left="0" w:right="0" w:firstLine="0"/>
      </w:pPr>
      <w:r>
        <w:t xml:space="preserve"> </w:t>
      </w:r>
    </w:p>
    <w:p w:rsidR="00922550" w14:paraId="54EFCD9B" w14:textId="77777777">
      <w:pPr>
        <w:pStyle w:val="Heading2"/>
        <w:ind w:left="-5" w:right="0"/>
      </w:pPr>
      <w:r>
        <w:rPr>
          <w:u w:val="none"/>
        </w:rPr>
        <w:t xml:space="preserve">5.  </w:t>
      </w:r>
      <w:r>
        <w:t>Impact on Small Businesses or Other Small Entities</w:t>
      </w:r>
      <w:r>
        <w:rPr>
          <w:u w:val="none"/>
        </w:rPr>
        <w:t xml:space="preserve"> </w:t>
      </w:r>
    </w:p>
    <w:p w:rsidR="00922550" w14:paraId="0EAFA3C7" w14:textId="77777777">
      <w:pPr>
        <w:spacing w:after="0" w:line="259" w:lineRule="auto"/>
        <w:ind w:left="0" w:right="0" w:firstLine="0"/>
      </w:pPr>
      <w:r>
        <w:t xml:space="preserve"> </w:t>
      </w:r>
    </w:p>
    <w:p w:rsidR="00922550" w:rsidP="00C6797B" w14:paraId="032AD56D" w14:textId="516F41C5">
      <w:pPr>
        <w:ind w:left="-15" w:right="0" w:firstLine="0"/>
      </w:pPr>
      <w:r>
        <w:t>In most cases</w:t>
      </w:r>
      <w:r w:rsidR="00302FBA">
        <w:t>, r</w:t>
      </w:r>
      <w:r w:rsidR="00ED196A">
        <w:t xml:space="preserve">espondents to the information collection are licensed physicians submitting requests on behalf of individual patients who have met specific criteria, as set forth in the applicable regulations.  </w:t>
      </w:r>
      <w:r w:rsidR="00302FBA">
        <w:t>Commercial entities or research facilities may submit emergency applications,</w:t>
      </w:r>
      <w:r w:rsidR="004A7A27">
        <w:t xml:space="preserve"> </w:t>
      </w:r>
      <w:r w:rsidR="00302FBA">
        <w:t>or expanded access applications for treatment INDs</w:t>
      </w:r>
      <w:r w:rsidR="004A7A27">
        <w:t>,</w:t>
      </w:r>
      <w:r w:rsidR="00302FBA">
        <w:t xml:space="preserve"> or treatment protocols provided the product meets the expanded access criteria</w:t>
      </w:r>
      <w:r w:rsidR="00A6209E">
        <w:t xml:space="preserve"> in the regulations</w:t>
      </w:r>
      <w:r w:rsidR="00302FBA">
        <w:t xml:space="preserve">.  </w:t>
      </w:r>
      <w:r w:rsidR="00ED196A">
        <w:t xml:space="preserve">There is no undue burden on small entities.  </w:t>
      </w:r>
    </w:p>
    <w:p w:rsidR="00922550" w14:paraId="1D4A58B1" w14:textId="77777777">
      <w:pPr>
        <w:spacing w:after="0" w:line="259" w:lineRule="auto"/>
        <w:ind w:left="0" w:right="0" w:firstLine="0"/>
      </w:pPr>
      <w:r>
        <w:t xml:space="preserve"> </w:t>
      </w:r>
    </w:p>
    <w:p w:rsidR="00922550" w14:paraId="48394A94" w14:textId="77777777">
      <w:pPr>
        <w:pStyle w:val="Heading2"/>
        <w:ind w:left="-5" w:right="0"/>
      </w:pPr>
      <w:r>
        <w:rPr>
          <w:u w:val="none"/>
        </w:rPr>
        <w:t xml:space="preserve">6.  </w:t>
      </w:r>
      <w:r>
        <w:t>Consequences of Collecting the Information Less Frequently</w:t>
      </w:r>
      <w:r>
        <w:rPr>
          <w:u w:val="none"/>
        </w:rPr>
        <w:t xml:space="preserve"> </w:t>
      </w:r>
    </w:p>
    <w:p w:rsidR="00922550" w14:paraId="58EEFD29" w14:textId="77777777">
      <w:pPr>
        <w:spacing w:after="0" w:line="259" w:lineRule="auto"/>
        <w:ind w:left="0" w:right="0" w:firstLine="0"/>
      </w:pPr>
      <w:r>
        <w:t xml:space="preserve"> </w:t>
      </w:r>
    </w:p>
    <w:p w:rsidR="00922550" w14:paraId="6372EF39" w14:textId="3DF162C7">
      <w:pPr>
        <w:ind w:left="-5" w:right="0"/>
      </w:pPr>
      <w:r>
        <w:t>The information collection schedule is consistent with regulatory requirements and intended to be most beneficial to respondents.  Submissions are made on behalf of patients by their licensed physicians</w:t>
      </w:r>
      <w:r w:rsidR="00764BAC">
        <w:t>, research facilities, or commercial entities</w:t>
      </w:r>
      <w:r>
        <w:t xml:space="preserve">.  We are unaware of any legal obstacles to reducing burden. </w:t>
      </w:r>
    </w:p>
    <w:p w:rsidR="00922550" w14:paraId="4B505C09" w14:textId="77777777">
      <w:pPr>
        <w:spacing w:after="0" w:line="259" w:lineRule="auto"/>
        <w:ind w:left="0" w:right="0" w:firstLine="0"/>
      </w:pPr>
      <w:r>
        <w:t xml:space="preserve"> </w:t>
      </w:r>
    </w:p>
    <w:p w:rsidR="00922550" w14:paraId="64E7A88C" w14:textId="77777777">
      <w:pPr>
        <w:spacing w:after="10"/>
        <w:ind w:left="-5" w:right="0"/>
      </w:pPr>
      <w:r>
        <w:t xml:space="preserve">7.  </w:t>
      </w:r>
      <w:r>
        <w:rPr>
          <w:u w:val="single" w:color="000000"/>
        </w:rPr>
        <w:t>Special Circumstances Relating to the Guidelines of 5 CFR 1320.5</w:t>
      </w:r>
      <w:r>
        <w:t xml:space="preserve"> </w:t>
      </w:r>
    </w:p>
    <w:p w:rsidR="00922550" w14:paraId="2639F68D" w14:textId="77777777">
      <w:pPr>
        <w:spacing w:after="0" w:line="259" w:lineRule="auto"/>
        <w:ind w:left="0" w:right="0" w:firstLine="0"/>
      </w:pPr>
      <w:r>
        <w:t xml:space="preserve"> </w:t>
      </w:r>
    </w:p>
    <w:p w:rsidR="00922550" w14:paraId="18B44416" w14:textId="77777777">
      <w:pPr>
        <w:ind w:left="-5" w:right="0"/>
      </w:pPr>
      <w:r>
        <w:t xml:space="preserve">There are no special circumstances relating to this information collection.   </w:t>
      </w:r>
    </w:p>
    <w:p w:rsidR="00922550" w14:paraId="56A4B0B2" w14:textId="77777777">
      <w:pPr>
        <w:spacing w:after="0" w:line="259" w:lineRule="auto"/>
        <w:ind w:left="0" w:right="0" w:firstLine="0"/>
      </w:pPr>
      <w:r>
        <w:t xml:space="preserve"> </w:t>
      </w:r>
    </w:p>
    <w:p w:rsidR="00922550" w:rsidP="001770A8" w14:paraId="43FFC023" w14:textId="62C4EA63">
      <w:pPr>
        <w:pStyle w:val="Heading2"/>
        <w:ind w:left="-5" w:right="0"/>
      </w:pPr>
      <w:r>
        <w:rPr>
          <w:u w:val="none"/>
        </w:rPr>
        <w:t xml:space="preserve">8.  </w:t>
      </w:r>
      <w:r>
        <w:t>Comments in Response to the Federal Register Notice and Efforts to Consult Outside the</w:t>
      </w:r>
      <w:r>
        <w:rPr>
          <w:u w:val="none"/>
        </w:rPr>
        <w:t xml:space="preserve"> </w:t>
      </w:r>
      <w:r>
        <w:t>Agency</w:t>
      </w:r>
      <w:r>
        <w:rPr>
          <w:u w:val="none"/>
        </w:rPr>
        <w:t xml:space="preserve"> </w:t>
      </w:r>
      <w:r>
        <w:t xml:space="preserve"> </w:t>
      </w:r>
    </w:p>
    <w:p w:rsidR="00922550" w:rsidP="00C6797B" w14:paraId="046A8F90" w14:textId="48F49DC2">
      <w:pPr>
        <w:spacing w:before="240"/>
        <w:ind w:left="-5" w:right="0"/>
      </w:pPr>
      <w:r w:rsidRPr="00C6797B">
        <w:t>In accordance with 5 CFR 1320.8(d), we published a 60-day notice soliciting public comment on the information collection in the</w:t>
      </w:r>
      <w:r w:rsidRPr="00C6797B" w:rsidR="00C6797B">
        <w:t xml:space="preserve"> December 14, 2021</w:t>
      </w:r>
      <w:r w:rsidRPr="00A96EE1" w:rsidR="00C6797B">
        <w:t>,</w:t>
      </w:r>
      <w:r w:rsidRPr="00A96EE1">
        <w:t xml:space="preserve"> </w:t>
      </w:r>
      <w:r w:rsidRPr="001770A8">
        <w:rPr>
          <w:i/>
          <w:iCs/>
        </w:rPr>
        <w:t>Federal Register</w:t>
      </w:r>
      <w:r w:rsidRPr="001770A8" w:rsidR="00C6797B">
        <w:t xml:space="preserve"> (86 FR 71069)</w:t>
      </w:r>
      <w:r w:rsidR="000A35EA">
        <w:t xml:space="preserve">, and subsequently published a notice in the </w:t>
      </w:r>
      <w:r w:rsidRPr="002476F3" w:rsidR="000A35EA">
        <w:rPr>
          <w:i/>
          <w:iCs/>
        </w:rPr>
        <w:t>Federal Register</w:t>
      </w:r>
      <w:r w:rsidR="000A35EA">
        <w:t xml:space="preserve"> of May 10, 2023 (88 FR</w:t>
      </w:r>
      <w:r w:rsidR="002476F3">
        <w:t xml:space="preserve"> 30131</w:t>
      </w:r>
      <w:r w:rsidR="000A35EA">
        <w:t>)</w:t>
      </w:r>
      <w:r w:rsidR="002476F3">
        <w:t>.</w:t>
      </w:r>
      <w:r w:rsidR="000A35EA">
        <w:t xml:space="preserve"> regarding revisions to Form FDA 3926.  No comments were received.</w:t>
      </w:r>
    </w:p>
    <w:p w:rsidR="00922550" w14:paraId="07124941" w14:textId="506080A3">
      <w:pPr>
        <w:spacing w:after="0" w:line="259" w:lineRule="auto"/>
        <w:ind w:left="0" w:right="0" w:firstLine="0"/>
      </w:pPr>
    </w:p>
    <w:p w:rsidR="00922550" w14:paraId="6390F018" w14:textId="2872EB61">
      <w:pPr>
        <w:spacing w:after="10"/>
        <w:ind w:left="-5" w:right="0"/>
      </w:pPr>
      <w:r>
        <w:t xml:space="preserve">9.  </w:t>
      </w:r>
      <w:r>
        <w:rPr>
          <w:u w:val="single" w:color="000000"/>
        </w:rPr>
        <w:t>Explanation of Any Payment or Gift to Respondents</w:t>
      </w:r>
      <w:r>
        <w:t xml:space="preserve"> </w:t>
      </w:r>
    </w:p>
    <w:p w:rsidR="00922550" w14:paraId="4A57AC60" w14:textId="77777777">
      <w:pPr>
        <w:spacing w:after="0" w:line="259" w:lineRule="auto"/>
        <w:ind w:left="0" w:right="0" w:firstLine="0"/>
      </w:pPr>
      <w:r>
        <w:t xml:space="preserve"> </w:t>
      </w:r>
    </w:p>
    <w:p w:rsidR="00922550" w14:paraId="207CA8AE" w14:textId="77777777">
      <w:pPr>
        <w:ind w:left="-5" w:right="0"/>
      </w:pPr>
      <w:r>
        <w:t xml:space="preserve">No remuneration is provided to respondents to the information collection. </w:t>
      </w:r>
    </w:p>
    <w:p w:rsidR="00922550" w14:paraId="695FF1D3" w14:textId="77777777">
      <w:pPr>
        <w:spacing w:after="0" w:line="259" w:lineRule="auto"/>
        <w:ind w:left="0" w:right="0" w:firstLine="0"/>
      </w:pPr>
      <w:r>
        <w:t xml:space="preserve"> </w:t>
      </w:r>
    </w:p>
    <w:p w:rsidR="00922550" w14:paraId="20CD2AF5" w14:textId="77777777">
      <w:pPr>
        <w:pStyle w:val="Heading2"/>
        <w:ind w:left="-5" w:right="0"/>
      </w:pPr>
      <w:r>
        <w:t>10.  Assurance of Confidentiality Provided to Respondents</w:t>
      </w:r>
      <w:r>
        <w:rPr>
          <w:u w:val="none"/>
        </w:rPr>
        <w:t xml:space="preserve"> </w:t>
      </w:r>
    </w:p>
    <w:p w:rsidR="00922550" w14:paraId="79F5C3C7" w14:textId="77777777">
      <w:pPr>
        <w:spacing w:after="0" w:line="259" w:lineRule="auto"/>
        <w:ind w:left="0" w:right="0" w:firstLine="0"/>
      </w:pPr>
      <w:r>
        <w:t xml:space="preserve"> </w:t>
      </w:r>
    </w:p>
    <w:p w:rsidR="0001695B" w:rsidRPr="0001695B" w:rsidP="002F2AA2" w14:paraId="46732869" w14:textId="77777777">
      <w:pPr>
        <w:rPr>
          <w:i/>
          <w:iCs/>
        </w:rPr>
      </w:pPr>
      <w:r w:rsidRPr="0001695B">
        <w:rPr>
          <w:i/>
          <w:iCs/>
        </w:rPr>
        <w:t>The Privacy Act of 1974</w:t>
      </w:r>
    </w:p>
    <w:p w:rsidR="0001695B" w:rsidP="002F2AA2" w14:paraId="5D1E5B51" w14:textId="77777777"/>
    <w:p w:rsidR="002F2AA2" w:rsidP="0001695B" w14:paraId="3EDBEC44" w14:textId="162CA83E">
      <w:r w:rsidRPr="00C33858">
        <w:t xml:space="preserve">In preparing this </w:t>
      </w:r>
      <w:r w:rsidR="0001695B">
        <w:t>s</w:t>
      </w:r>
      <w:r w:rsidRPr="00C33858">
        <w:t xml:space="preserve">upporting </w:t>
      </w:r>
      <w:r w:rsidR="0001695B">
        <w:t>s</w:t>
      </w:r>
      <w:r w:rsidRPr="00C33858">
        <w:t xml:space="preserve">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r w:rsidR="0001695B">
        <w:t xml:space="preserve">  Although t</w:t>
      </w:r>
      <w:r>
        <w:t>his ICR collects personally identifiable information (PII)</w:t>
      </w:r>
      <w:r w:rsidR="0001695B">
        <w:t xml:space="preserve">, it </w:t>
      </w:r>
      <w:r w:rsidRPr="00D66147">
        <w:t>is collected in the context of the subject individuals’ professional capacity and the FDA-related work perform</w:t>
      </w:r>
      <w:r w:rsidR="0001695B">
        <w:t>ed</w:t>
      </w:r>
      <w:r w:rsidRPr="00D66147">
        <w:t xml:space="preserve"> (e.g., point of contact at a regulated entity). </w:t>
      </w:r>
      <w:r>
        <w:t xml:space="preserve"> The PII submitted via Form FDA 3926 (Individual Patient Expanded Access Investigational New Drug Application (IND)) is name, address, email address, telephone number, fax number, and physician IND number.  </w:t>
      </w:r>
      <w:r>
        <w:rPr>
          <w:szCs w:val="24"/>
        </w:rPr>
        <w:t xml:space="preserve">FDA determined that although PII is collected it is not subject to the Privacy Act of 1974 and the particular notice and other requirements of the </w:t>
      </w:r>
      <w:r w:rsidR="00FE094A">
        <w:rPr>
          <w:szCs w:val="24"/>
        </w:rPr>
        <w:t xml:space="preserve">Privacy </w:t>
      </w:r>
      <w:r>
        <w:rPr>
          <w:szCs w:val="24"/>
        </w:rPr>
        <w:t>Act do not apply.</w:t>
      </w:r>
      <w:r w:rsidR="00FE094A">
        <w:rPr>
          <w:szCs w:val="24"/>
        </w:rPr>
        <w:t xml:space="preserve">  </w:t>
      </w:r>
      <w:r>
        <w:rPr>
          <w:szCs w:val="24"/>
        </w:rPr>
        <w:t>Specifically, FDA does not use name or any other personal identifier to retrieve records from the information collected.</w:t>
      </w:r>
      <w:r w:rsidR="00FE094A">
        <w:rPr>
          <w:szCs w:val="24"/>
        </w:rPr>
        <w:t xml:space="preserve">  </w:t>
      </w:r>
      <w:r>
        <w:t xml:space="preserve">Through appropriate form design, </w:t>
      </w:r>
      <w:r w:rsidRPr="00D66147">
        <w:t xml:space="preserve">FDA </w:t>
      </w:r>
      <w:r>
        <w:t xml:space="preserve">limited submission fields and </w:t>
      </w:r>
      <w:r w:rsidRPr="00D66147">
        <w:t>minimized the PII collected to protect the privacy of the individuals.</w:t>
      </w:r>
    </w:p>
    <w:p w:rsidR="002F2AA2" w:rsidP="002F2AA2" w14:paraId="07AB32FD" w14:textId="1CD7D380"/>
    <w:p w:rsidR="0001695B" w:rsidRPr="0001695B" w:rsidP="002F2AA2" w14:paraId="1ED9859B" w14:textId="2A13265A">
      <w:pPr>
        <w:rPr>
          <w:i/>
          <w:iCs/>
        </w:rPr>
      </w:pPr>
      <w:r w:rsidRPr="0001695B">
        <w:rPr>
          <w:i/>
          <w:iCs/>
        </w:rPr>
        <w:t>The Freedom of Information Act (FOIA)</w:t>
      </w:r>
    </w:p>
    <w:p w:rsidR="0001695B" w:rsidP="002F2AA2" w14:paraId="3BB31CBE" w14:textId="77777777"/>
    <w:p w:rsidR="008213D2" w:rsidP="002F2AA2" w14:paraId="20DB6E04" w14:textId="5D61FE31">
      <w:bookmarkStart w:id="0" w:name="_Hlk94771711"/>
      <w:r w:rsidRPr="00C61647">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bookmarkEnd w:id="0"/>
    </w:p>
    <w:p w:rsidR="002F2AA2" w:rsidP="00484C91" w14:paraId="1603B217" w14:textId="066BDFBA">
      <w:pPr>
        <w:ind w:left="0" w:firstLine="0"/>
      </w:pPr>
    </w:p>
    <w:p w:rsidR="00922550" w14:paraId="15D300F0" w14:textId="77777777">
      <w:pPr>
        <w:numPr>
          <w:ilvl w:val="0"/>
          <w:numId w:val="1"/>
        </w:numPr>
        <w:spacing w:after="10"/>
        <w:ind w:right="0" w:hanging="421"/>
      </w:pPr>
      <w:r>
        <w:rPr>
          <w:u w:val="single" w:color="000000"/>
        </w:rPr>
        <w:t>Justification for Sensitive Questions</w:t>
      </w:r>
      <w:r>
        <w:t xml:space="preserve"> </w:t>
      </w:r>
    </w:p>
    <w:p w:rsidR="00922550" w14:paraId="5AD7A9C3" w14:textId="77777777">
      <w:pPr>
        <w:spacing w:after="0" w:line="259" w:lineRule="auto"/>
        <w:ind w:left="0" w:right="0" w:firstLine="0"/>
      </w:pPr>
      <w:r>
        <w:t xml:space="preserve"> </w:t>
      </w:r>
    </w:p>
    <w:p w:rsidR="00922550" w14:paraId="1E988EFC" w14:textId="530C5DEE">
      <w:pPr>
        <w:ind w:left="-5" w:right="0"/>
      </w:pPr>
      <w:r>
        <w:t xml:space="preserve">There are no questions of a sensitive nature applicable to this collection of information. </w:t>
      </w:r>
      <w:r w:rsidR="00A6209E">
        <w:t xml:space="preserve"> </w:t>
      </w:r>
    </w:p>
    <w:p w:rsidR="00922550" w14:paraId="5DB217A9" w14:textId="77777777">
      <w:pPr>
        <w:spacing w:after="0" w:line="259" w:lineRule="auto"/>
        <w:ind w:left="0" w:right="0" w:firstLine="0"/>
      </w:pPr>
      <w:r>
        <w:t xml:space="preserve"> </w:t>
      </w:r>
    </w:p>
    <w:p w:rsidR="005375E1" w14:paraId="565940F2" w14:textId="77777777">
      <w:pPr>
        <w:spacing w:after="160" w:line="259" w:lineRule="auto"/>
        <w:ind w:left="0" w:right="0" w:firstLine="0"/>
        <w:rPr>
          <w:u w:val="single" w:color="000000"/>
        </w:rPr>
      </w:pPr>
      <w:r>
        <w:rPr>
          <w:u w:val="single" w:color="000000"/>
        </w:rPr>
        <w:br w:type="page"/>
      </w:r>
    </w:p>
    <w:p w:rsidR="00922550" w14:paraId="14429E7E" w14:textId="1CCF4365">
      <w:pPr>
        <w:numPr>
          <w:ilvl w:val="0"/>
          <w:numId w:val="1"/>
        </w:numPr>
        <w:spacing w:after="10"/>
        <w:ind w:right="0" w:hanging="421"/>
      </w:pPr>
      <w:r>
        <w:rPr>
          <w:u w:val="single" w:color="000000"/>
        </w:rPr>
        <w:t>Estimates of Annualized Burden Hours and Costs</w:t>
      </w:r>
      <w:r>
        <w:t xml:space="preserve"> </w:t>
      </w:r>
    </w:p>
    <w:p w:rsidR="00922550" w14:paraId="5AC6F10F" w14:textId="77777777">
      <w:pPr>
        <w:spacing w:after="0" w:line="259" w:lineRule="auto"/>
        <w:ind w:left="0" w:right="0" w:firstLine="0"/>
      </w:pPr>
      <w:r>
        <w:t xml:space="preserve"> </w:t>
      </w:r>
    </w:p>
    <w:p w:rsidR="00922550" w14:paraId="658F8846" w14:textId="577A07EB">
      <w:pPr>
        <w:pStyle w:val="Heading1"/>
        <w:tabs>
          <w:tab w:val="center" w:pos="2616"/>
        </w:tabs>
        <w:ind w:left="-15" w:firstLine="0"/>
      </w:pPr>
      <w:r>
        <w:rPr>
          <w:i w:val="0"/>
        </w:rPr>
        <w:tab/>
      </w:r>
      <w:r>
        <w:t xml:space="preserve">12a. Annualized Hour Burden Estimate </w:t>
      </w:r>
    </w:p>
    <w:p w:rsidR="00922550" w:rsidP="00AD78E9" w14:paraId="5A9F7C7D" w14:textId="3423E8F2">
      <w:pPr>
        <w:spacing w:after="5" w:line="259" w:lineRule="auto"/>
        <w:ind w:left="0" w:right="0" w:firstLine="0"/>
      </w:pPr>
      <w:r>
        <w:t xml:space="preserve"> </w:t>
      </w:r>
    </w:p>
    <w:tbl>
      <w:tblPr>
        <w:tblW w:w="9356" w:type="dxa"/>
        <w:tblInd w:w="-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401"/>
        <w:gridCol w:w="1250"/>
        <w:gridCol w:w="1400"/>
        <w:gridCol w:w="1077"/>
        <w:gridCol w:w="1235"/>
        <w:gridCol w:w="993"/>
      </w:tblGrid>
      <w:tr w14:paraId="02506264" w14:textId="77777777" w:rsidTr="00EC0FA4">
        <w:tblPrEx>
          <w:tblW w:w="9356" w:type="dxa"/>
          <w:tblInd w:w="-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trHeight w:val="92"/>
        </w:trPr>
        <w:tc>
          <w:tcPr>
            <w:tcW w:w="9356" w:type="dxa"/>
            <w:gridSpan w:val="6"/>
            <w:tcMar>
              <w:top w:w="0" w:type="dxa"/>
              <w:left w:w="108" w:type="dxa"/>
              <w:bottom w:w="0" w:type="dxa"/>
              <w:right w:w="108" w:type="dxa"/>
            </w:tcMar>
            <w:hideMark/>
          </w:tcPr>
          <w:p w:rsidR="001E32AF" w:rsidRPr="001E32AF" w:rsidP="000E6C42" w14:paraId="685E3CD3" w14:textId="77777777">
            <w:pPr>
              <w:jc w:val="center"/>
              <w:rPr>
                <w:sz w:val="20"/>
                <w:szCs w:val="20"/>
                <w:vertAlign w:val="superscript"/>
              </w:rPr>
            </w:pPr>
            <w:r w:rsidRPr="001E32AF">
              <w:rPr>
                <w:sz w:val="20"/>
                <w:szCs w:val="20"/>
              </w:rPr>
              <w:t>Table 1.--Estimated Annual Reporting Burden--Center for Drug Evaluation and Research</w:t>
            </w:r>
            <w:r w:rsidRPr="001E32AF">
              <w:rPr>
                <w:sz w:val="20"/>
                <w:szCs w:val="20"/>
                <w:vertAlign w:val="superscript"/>
              </w:rPr>
              <w:t>1</w:t>
            </w:r>
          </w:p>
        </w:tc>
      </w:tr>
      <w:tr w14:paraId="2CF97858" w14:textId="77777777" w:rsidTr="00EC0FA4">
        <w:tblPrEx>
          <w:tblW w:w="9356" w:type="dxa"/>
          <w:tblInd w:w="-180" w:type="dxa"/>
          <w:tblCellMar>
            <w:left w:w="0" w:type="dxa"/>
            <w:right w:w="0" w:type="dxa"/>
          </w:tblCellMar>
          <w:tblLook w:val="04A0"/>
        </w:tblPrEx>
        <w:trPr>
          <w:trHeight w:val="739"/>
        </w:trPr>
        <w:tc>
          <w:tcPr>
            <w:tcW w:w="3401" w:type="dxa"/>
            <w:tcMar>
              <w:top w:w="0" w:type="dxa"/>
              <w:left w:w="108" w:type="dxa"/>
              <w:bottom w:w="0" w:type="dxa"/>
              <w:right w:w="108" w:type="dxa"/>
            </w:tcMar>
            <w:hideMark/>
          </w:tcPr>
          <w:p w:rsidR="001E32AF" w:rsidRPr="001E32AF" w:rsidP="000E6C42" w14:paraId="60DB53D8" w14:textId="77777777">
            <w:pPr>
              <w:jc w:val="center"/>
              <w:rPr>
                <w:sz w:val="20"/>
                <w:szCs w:val="20"/>
              </w:rPr>
            </w:pPr>
            <w:r w:rsidRPr="001E32AF">
              <w:rPr>
                <w:sz w:val="20"/>
                <w:szCs w:val="20"/>
              </w:rPr>
              <w:t>21 CFR part 312, subpart I; Information Collection Activity</w:t>
            </w:r>
          </w:p>
        </w:tc>
        <w:tc>
          <w:tcPr>
            <w:tcW w:w="1250" w:type="dxa"/>
            <w:tcMar>
              <w:top w:w="0" w:type="dxa"/>
              <w:left w:w="108" w:type="dxa"/>
              <w:bottom w:w="0" w:type="dxa"/>
              <w:right w:w="108" w:type="dxa"/>
            </w:tcMar>
            <w:hideMark/>
          </w:tcPr>
          <w:p w:rsidR="001E32AF" w:rsidRPr="001E32AF" w:rsidP="000E6C42" w14:paraId="592C642E" w14:textId="77777777">
            <w:pPr>
              <w:jc w:val="center"/>
              <w:rPr>
                <w:sz w:val="20"/>
                <w:szCs w:val="20"/>
              </w:rPr>
            </w:pPr>
            <w:r w:rsidRPr="001E32AF">
              <w:rPr>
                <w:sz w:val="20"/>
                <w:szCs w:val="20"/>
              </w:rPr>
              <w:t>No. of Respondents</w:t>
            </w:r>
          </w:p>
        </w:tc>
        <w:tc>
          <w:tcPr>
            <w:tcW w:w="1400" w:type="dxa"/>
            <w:tcMar>
              <w:top w:w="0" w:type="dxa"/>
              <w:left w:w="108" w:type="dxa"/>
              <w:bottom w:w="0" w:type="dxa"/>
              <w:right w:w="108" w:type="dxa"/>
            </w:tcMar>
            <w:hideMark/>
          </w:tcPr>
          <w:p w:rsidR="001E32AF" w:rsidRPr="001E32AF" w:rsidP="000E6C42" w14:paraId="170C19F8" w14:textId="77777777">
            <w:pPr>
              <w:jc w:val="center"/>
              <w:rPr>
                <w:sz w:val="20"/>
                <w:szCs w:val="20"/>
              </w:rPr>
            </w:pPr>
            <w:r w:rsidRPr="001E32AF">
              <w:rPr>
                <w:sz w:val="20"/>
                <w:szCs w:val="20"/>
              </w:rPr>
              <w:t>No. of Responses per Respondent</w:t>
            </w:r>
          </w:p>
        </w:tc>
        <w:tc>
          <w:tcPr>
            <w:tcW w:w="1077" w:type="dxa"/>
            <w:tcMar>
              <w:top w:w="0" w:type="dxa"/>
              <w:left w:w="108" w:type="dxa"/>
              <w:bottom w:w="0" w:type="dxa"/>
              <w:right w:w="108" w:type="dxa"/>
            </w:tcMar>
            <w:hideMark/>
          </w:tcPr>
          <w:p w:rsidR="001E32AF" w:rsidRPr="001E32AF" w:rsidP="000E6C42" w14:paraId="464D1017" w14:textId="77777777">
            <w:pPr>
              <w:jc w:val="center"/>
              <w:rPr>
                <w:sz w:val="20"/>
                <w:szCs w:val="20"/>
              </w:rPr>
            </w:pPr>
            <w:r w:rsidRPr="001E32AF">
              <w:rPr>
                <w:sz w:val="20"/>
                <w:szCs w:val="20"/>
              </w:rPr>
              <w:t>Total Annual Responses</w:t>
            </w:r>
          </w:p>
        </w:tc>
        <w:tc>
          <w:tcPr>
            <w:tcW w:w="1235" w:type="dxa"/>
            <w:tcMar>
              <w:top w:w="0" w:type="dxa"/>
              <w:left w:w="108" w:type="dxa"/>
              <w:bottom w:w="0" w:type="dxa"/>
              <w:right w:w="108" w:type="dxa"/>
            </w:tcMar>
            <w:hideMark/>
          </w:tcPr>
          <w:p w:rsidR="001E32AF" w:rsidRPr="001E32AF" w:rsidP="000E6C42" w14:paraId="156F29C2" w14:textId="77777777">
            <w:pPr>
              <w:jc w:val="center"/>
              <w:rPr>
                <w:sz w:val="20"/>
                <w:szCs w:val="20"/>
              </w:rPr>
            </w:pPr>
            <w:r w:rsidRPr="001E32AF">
              <w:rPr>
                <w:sz w:val="20"/>
                <w:szCs w:val="20"/>
              </w:rPr>
              <w:t>Average Burden per Response</w:t>
            </w:r>
          </w:p>
        </w:tc>
        <w:tc>
          <w:tcPr>
            <w:tcW w:w="993" w:type="dxa"/>
            <w:tcMar>
              <w:top w:w="0" w:type="dxa"/>
              <w:left w:w="108" w:type="dxa"/>
              <w:bottom w:w="0" w:type="dxa"/>
              <w:right w:w="108" w:type="dxa"/>
            </w:tcMar>
            <w:hideMark/>
          </w:tcPr>
          <w:p w:rsidR="001E32AF" w:rsidRPr="001E32AF" w:rsidP="000E6C42" w14:paraId="64A1C46D" w14:textId="77777777">
            <w:pPr>
              <w:jc w:val="center"/>
              <w:rPr>
                <w:sz w:val="20"/>
                <w:szCs w:val="20"/>
              </w:rPr>
            </w:pPr>
            <w:r w:rsidRPr="001E32AF">
              <w:rPr>
                <w:sz w:val="20"/>
                <w:szCs w:val="20"/>
              </w:rPr>
              <w:t>Total Hours</w:t>
            </w:r>
          </w:p>
        </w:tc>
      </w:tr>
      <w:tr w14:paraId="51F73F75" w14:textId="77777777" w:rsidTr="00EC0FA4">
        <w:tblPrEx>
          <w:tblW w:w="9356" w:type="dxa"/>
          <w:tblInd w:w="-180" w:type="dxa"/>
          <w:tblCellMar>
            <w:left w:w="0" w:type="dxa"/>
            <w:right w:w="0" w:type="dxa"/>
          </w:tblCellMar>
          <w:tblLook w:val="04A0"/>
        </w:tblPrEx>
        <w:trPr>
          <w:trHeight w:val="727"/>
        </w:trPr>
        <w:tc>
          <w:tcPr>
            <w:tcW w:w="3401" w:type="dxa"/>
            <w:tcMar>
              <w:top w:w="0" w:type="dxa"/>
              <w:left w:w="108" w:type="dxa"/>
              <w:bottom w:w="0" w:type="dxa"/>
              <w:right w:w="108" w:type="dxa"/>
            </w:tcMar>
            <w:hideMark/>
          </w:tcPr>
          <w:p w:rsidR="00ED2FFC" w:rsidRPr="001E32AF" w:rsidP="00ED2FFC" w14:paraId="798A8D46" w14:textId="550D3FD6">
            <w:pPr>
              <w:rPr>
                <w:sz w:val="20"/>
                <w:szCs w:val="20"/>
              </w:rPr>
            </w:pPr>
            <w:r w:rsidRPr="00F73465">
              <w:rPr>
                <w:sz w:val="20"/>
                <w:szCs w:val="20"/>
              </w:rPr>
              <w:t>§§ 312.310(b) and 312.305(b); submissions related to expanded access and treatment of an individual patient</w:t>
            </w:r>
          </w:p>
        </w:tc>
        <w:tc>
          <w:tcPr>
            <w:tcW w:w="1250" w:type="dxa"/>
            <w:tcMar>
              <w:top w:w="0" w:type="dxa"/>
              <w:left w:w="108" w:type="dxa"/>
              <w:bottom w:w="0" w:type="dxa"/>
              <w:right w:w="108" w:type="dxa"/>
            </w:tcMar>
            <w:hideMark/>
          </w:tcPr>
          <w:p w:rsidR="00ED2FFC" w:rsidRPr="001E32AF" w:rsidP="00ED2FFC" w14:paraId="535AB74E" w14:textId="369BCC27">
            <w:pPr>
              <w:jc w:val="right"/>
              <w:rPr>
                <w:sz w:val="20"/>
                <w:szCs w:val="20"/>
              </w:rPr>
            </w:pPr>
            <w:r w:rsidRPr="00F73465">
              <w:rPr>
                <w:sz w:val="20"/>
                <w:szCs w:val="20"/>
              </w:rPr>
              <w:t>1,204</w:t>
            </w:r>
          </w:p>
        </w:tc>
        <w:tc>
          <w:tcPr>
            <w:tcW w:w="1400" w:type="dxa"/>
            <w:tcMar>
              <w:top w:w="0" w:type="dxa"/>
              <w:left w:w="108" w:type="dxa"/>
              <w:bottom w:w="0" w:type="dxa"/>
              <w:right w:w="108" w:type="dxa"/>
            </w:tcMar>
            <w:hideMark/>
          </w:tcPr>
          <w:p w:rsidR="00ED2FFC" w:rsidRPr="001E32AF" w:rsidP="00ED2FFC" w14:paraId="5A37155C" w14:textId="512774EA">
            <w:pPr>
              <w:jc w:val="right"/>
              <w:rPr>
                <w:sz w:val="20"/>
                <w:szCs w:val="20"/>
              </w:rPr>
            </w:pPr>
            <w:r w:rsidRPr="00F73465">
              <w:rPr>
                <w:sz w:val="20"/>
                <w:szCs w:val="20"/>
              </w:rPr>
              <w:t>2.</w:t>
            </w:r>
            <w:r>
              <w:rPr>
                <w:sz w:val="20"/>
                <w:szCs w:val="20"/>
              </w:rPr>
              <w:t>5</w:t>
            </w:r>
          </w:p>
        </w:tc>
        <w:tc>
          <w:tcPr>
            <w:tcW w:w="1077" w:type="dxa"/>
            <w:tcMar>
              <w:top w:w="0" w:type="dxa"/>
              <w:left w:w="108" w:type="dxa"/>
              <w:bottom w:w="0" w:type="dxa"/>
              <w:right w:w="108" w:type="dxa"/>
            </w:tcMar>
            <w:hideMark/>
          </w:tcPr>
          <w:p w:rsidR="00ED2FFC" w:rsidRPr="001E32AF" w:rsidP="00ED2FFC" w14:paraId="0E3B4517" w14:textId="7F5690D3">
            <w:pPr>
              <w:jc w:val="right"/>
              <w:rPr>
                <w:sz w:val="20"/>
                <w:szCs w:val="20"/>
              </w:rPr>
            </w:pPr>
            <w:r w:rsidRPr="00F73465">
              <w:rPr>
                <w:sz w:val="20"/>
                <w:szCs w:val="20"/>
              </w:rPr>
              <w:t>3,0</w:t>
            </w:r>
            <w:r>
              <w:rPr>
                <w:sz w:val="20"/>
                <w:szCs w:val="20"/>
              </w:rPr>
              <w:t>10</w:t>
            </w:r>
          </w:p>
        </w:tc>
        <w:tc>
          <w:tcPr>
            <w:tcW w:w="1235" w:type="dxa"/>
            <w:tcMar>
              <w:top w:w="0" w:type="dxa"/>
              <w:left w:w="108" w:type="dxa"/>
              <w:bottom w:w="0" w:type="dxa"/>
              <w:right w:w="108" w:type="dxa"/>
            </w:tcMar>
            <w:hideMark/>
          </w:tcPr>
          <w:p w:rsidR="00ED2FFC" w:rsidRPr="001E32AF" w:rsidP="00ED2FFC" w14:paraId="3DC62947" w14:textId="6D1E194E">
            <w:pPr>
              <w:jc w:val="right"/>
              <w:rPr>
                <w:sz w:val="20"/>
                <w:szCs w:val="20"/>
              </w:rPr>
            </w:pPr>
            <w:r w:rsidRPr="00F73465">
              <w:rPr>
                <w:sz w:val="20"/>
                <w:szCs w:val="20"/>
              </w:rPr>
              <w:t>0.75</w:t>
            </w:r>
          </w:p>
        </w:tc>
        <w:tc>
          <w:tcPr>
            <w:tcW w:w="993" w:type="dxa"/>
            <w:tcMar>
              <w:top w:w="0" w:type="dxa"/>
              <w:left w:w="108" w:type="dxa"/>
              <w:bottom w:w="0" w:type="dxa"/>
              <w:right w:w="108" w:type="dxa"/>
            </w:tcMar>
            <w:hideMark/>
          </w:tcPr>
          <w:p w:rsidR="00ED2FFC" w:rsidRPr="001E32AF" w:rsidP="00ED2FFC" w14:paraId="762A5B23" w14:textId="248A67EC">
            <w:pPr>
              <w:jc w:val="right"/>
              <w:rPr>
                <w:sz w:val="20"/>
                <w:szCs w:val="20"/>
              </w:rPr>
            </w:pPr>
            <w:r w:rsidRPr="00F73465">
              <w:rPr>
                <w:sz w:val="20"/>
                <w:szCs w:val="20"/>
              </w:rPr>
              <w:t>2,25</w:t>
            </w:r>
            <w:r>
              <w:rPr>
                <w:sz w:val="20"/>
                <w:szCs w:val="20"/>
              </w:rPr>
              <w:t>8</w:t>
            </w:r>
          </w:p>
        </w:tc>
      </w:tr>
      <w:tr w14:paraId="5C1D38FB" w14:textId="77777777" w:rsidTr="00EC0FA4">
        <w:tblPrEx>
          <w:tblW w:w="9356" w:type="dxa"/>
          <w:tblInd w:w="-180" w:type="dxa"/>
          <w:tblCellMar>
            <w:left w:w="0" w:type="dxa"/>
            <w:right w:w="0" w:type="dxa"/>
          </w:tblCellMar>
          <w:tblLook w:val="04A0"/>
        </w:tblPrEx>
        <w:trPr>
          <w:trHeight w:val="739"/>
        </w:trPr>
        <w:tc>
          <w:tcPr>
            <w:tcW w:w="3401" w:type="dxa"/>
            <w:tcMar>
              <w:top w:w="0" w:type="dxa"/>
              <w:left w:w="108" w:type="dxa"/>
              <w:bottom w:w="0" w:type="dxa"/>
              <w:right w:w="108" w:type="dxa"/>
            </w:tcMar>
            <w:hideMark/>
          </w:tcPr>
          <w:p w:rsidR="00ED2FFC" w:rsidRPr="001E32AF" w:rsidP="00ED2FFC" w14:paraId="154A3B28" w14:textId="55CF94E6">
            <w:pPr>
              <w:rPr>
                <w:sz w:val="20"/>
                <w:szCs w:val="20"/>
              </w:rPr>
            </w:pPr>
            <w:r w:rsidRPr="00F73465">
              <w:rPr>
                <w:sz w:val="20"/>
                <w:szCs w:val="20"/>
              </w:rPr>
              <w:t>§ 312.310(d); submissions related to emergency use of an investigational new drug</w:t>
            </w:r>
          </w:p>
        </w:tc>
        <w:tc>
          <w:tcPr>
            <w:tcW w:w="1250" w:type="dxa"/>
            <w:tcMar>
              <w:top w:w="0" w:type="dxa"/>
              <w:left w:w="108" w:type="dxa"/>
              <w:bottom w:w="0" w:type="dxa"/>
              <w:right w:w="108" w:type="dxa"/>
            </w:tcMar>
            <w:hideMark/>
          </w:tcPr>
          <w:p w:rsidR="00ED2FFC" w:rsidRPr="001E32AF" w:rsidP="00ED2FFC" w14:paraId="5BCC243A" w14:textId="1168A923">
            <w:pPr>
              <w:jc w:val="right"/>
              <w:rPr>
                <w:sz w:val="20"/>
                <w:szCs w:val="20"/>
              </w:rPr>
            </w:pPr>
            <w:r w:rsidRPr="00F73465">
              <w:rPr>
                <w:sz w:val="20"/>
                <w:szCs w:val="20"/>
              </w:rPr>
              <w:t>1,265</w:t>
            </w:r>
          </w:p>
        </w:tc>
        <w:tc>
          <w:tcPr>
            <w:tcW w:w="1400" w:type="dxa"/>
            <w:tcMar>
              <w:top w:w="0" w:type="dxa"/>
              <w:left w:w="108" w:type="dxa"/>
              <w:bottom w:w="0" w:type="dxa"/>
              <w:right w:w="108" w:type="dxa"/>
            </w:tcMar>
            <w:hideMark/>
          </w:tcPr>
          <w:p w:rsidR="00ED2FFC" w:rsidRPr="001E32AF" w:rsidP="00ED2FFC" w14:paraId="4196B5D6" w14:textId="22E6B3EC">
            <w:pPr>
              <w:jc w:val="right"/>
              <w:rPr>
                <w:sz w:val="20"/>
                <w:szCs w:val="20"/>
              </w:rPr>
            </w:pPr>
            <w:r w:rsidRPr="00F73465">
              <w:rPr>
                <w:sz w:val="20"/>
                <w:szCs w:val="20"/>
              </w:rPr>
              <w:t>2.8</w:t>
            </w:r>
          </w:p>
        </w:tc>
        <w:tc>
          <w:tcPr>
            <w:tcW w:w="1077" w:type="dxa"/>
            <w:tcMar>
              <w:top w:w="0" w:type="dxa"/>
              <w:left w:w="108" w:type="dxa"/>
              <w:bottom w:w="0" w:type="dxa"/>
              <w:right w:w="108" w:type="dxa"/>
            </w:tcMar>
            <w:hideMark/>
          </w:tcPr>
          <w:p w:rsidR="00ED2FFC" w:rsidRPr="001E32AF" w:rsidP="00ED2FFC" w14:paraId="4DCABABE" w14:textId="005945AD">
            <w:pPr>
              <w:jc w:val="right"/>
              <w:rPr>
                <w:sz w:val="20"/>
                <w:szCs w:val="20"/>
              </w:rPr>
            </w:pPr>
            <w:r w:rsidRPr="00F73465">
              <w:rPr>
                <w:sz w:val="20"/>
                <w:szCs w:val="20"/>
              </w:rPr>
              <w:t>3,5</w:t>
            </w:r>
            <w:r w:rsidR="00350204">
              <w:rPr>
                <w:sz w:val="20"/>
                <w:szCs w:val="20"/>
              </w:rPr>
              <w:t>42</w:t>
            </w:r>
          </w:p>
        </w:tc>
        <w:tc>
          <w:tcPr>
            <w:tcW w:w="1235" w:type="dxa"/>
            <w:tcMar>
              <w:top w:w="0" w:type="dxa"/>
              <w:left w:w="108" w:type="dxa"/>
              <w:bottom w:w="0" w:type="dxa"/>
              <w:right w:w="108" w:type="dxa"/>
            </w:tcMar>
            <w:hideMark/>
          </w:tcPr>
          <w:p w:rsidR="00ED2FFC" w:rsidRPr="001E32AF" w:rsidP="00ED2FFC" w14:paraId="756AE95B" w14:textId="6C65BDCC">
            <w:pPr>
              <w:jc w:val="right"/>
              <w:rPr>
                <w:sz w:val="20"/>
                <w:szCs w:val="20"/>
              </w:rPr>
            </w:pPr>
            <w:r w:rsidRPr="00F73465">
              <w:rPr>
                <w:sz w:val="20"/>
                <w:szCs w:val="20"/>
              </w:rPr>
              <w:t>16</w:t>
            </w:r>
          </w:p>
        </w:tc>
        <w:tc>
          <w:tcPr>
            <w:tcW w:w="993" w:type="dxa"/>
            <w:tcMar>
              <w:top w:w="0" w:type="dxa"/>
              <w:left w:w="108" w:type="dxa"/>
              <w:bottom w:w="0" w:type="dxa"/>
              <w:right w:w="108" w:type="dxa"/>
            </w:tcMar>
            <w:hideMark/>
          </w:tcPr>
          <w:p w:rsidR="00ED2FFC" w:rsidRPr="001E32AF" w:rsidP="00ED2FFC" w14:paraId="21873C33" w14:textId="7BD2B418">
            <w:pPr>
              <w:jc w:val="right"/>
              <w:rPr>
                <w:sz w:val="20"/>
                <w:szCs w:val="20"/>
              </w:rPr>
            </w:pPr>
            <w:r>
              <w:rPr>
                <w:sz w:val="20"/>
                <w:szCs w:val="20"/>
              </w:rPr>
              <w:t>56,672</w:t>
            </w:r>
          </w:p>
        </w:tc>
      </w:tr>
      <w:tr w14:paraId="29159309" w14:textId="77777777" w:rsidTr="00EC0FA4">
        <w:tblPrEx>
          <w:tblW w:w="9356" w:type="dxa"/>
          <w:tblInd w:w="-180" w:type="dxa"/>
          <w:tblCellMar>
            <w:left w:w="0" w:type="dxa"/>
            <w:right w:w="0" w:type="dxa"/>
          </w:tblCellMar>
          <w:tblLook w:val="04A0"/>
        </w:tblPrEx>
        <w:trPr>
          <w:trHeight w:val="727"/>
        </w:trPr>
        <w:tc>
          <w:tcPr>
            <w:tcW w:w="3401" w:type="dxa"/>
            <w:tcMar>
              <w:top w:w="0" w:type="dxa"/>
              <w:left w:w="108" w:type="dxa"/>
              <w:bottom w:w="0" w:type="dxa"/>
              <w:right w:w="108" w:type="dxa"/>
            </w:tcMar>
            <w:hideMark/>
          </w:tcPr>
          <w:p w:rsidR="00ED2FFC" w:rsidRPr="001E32AF" w:rsidP="00ED2FFC" w14:paraId="681FE7D2" w14:textId="4A2E0031">
            <w:pPr>
              <w:rPr>
                <w:sz w:val="20"/>
                <w:szCs w:val="20"/>
              </w:rPr>
            </w:pPr>
            <w:r w:rsidRPr="00F73465">
              <w:rPr>
                <w:sz w:val="20"/>
                <w:szCs w:val="20"/>
              </w:rPr>
              <w:t>§§ 312.315(c) and 312.305(b); submissions related to expanded access and treatment of an intermediate-size patient population</w:t>
            </w:r>
          </w:p>
        </w:tc>
        <w:tc>
          <w:tcPr>
            <w:tcW w:w="1250" w:type="dxa"/>
            <w:tcMar>
              <w:top w:w="0" w:type="dxa"/>
              <w:left w:w="108" w:type="dxa"/>
              <w:bottom w:w="0" w:type="dxa"/>
              <w:right w:w="108" w:type="dxa"/>
            </w:tcMar>
            <w:hideMark/>
          </w:tcPr>
          <w:p w:rsidR="00ED2FFC" w:rsidRPr="001E32AF" w:rsidP="00ED2FFC" w14:paraId="2B0D600C" w14:textId="2441195D">
            <w:pPr>
              <w:jc w:val="right"/>
              <w:rPr>
                <w:sz w:val="20"/>
                <w:szCs w:val="20"/>
              </w:rPr>
            </w:pPr>
            <w:r w:rsidRPr="00F73465">
              <w:rPr>
                <w:sz w:val="20"/>
                <w:szCs w:val="20"/>
              </w:rPr>
              <w:t>88</w:t>
            </w:r>
          </w:p>
        </w:tc>
        <w:tc>
          <w:tcPr>
            <w:tcW w:w="1400" w:type="dxa"/>
            <w:tcMar>
              <w:top w:w="0" w:type="dxa"/>
              <w:left w:w="108" w:type="dxa"/>
              <w:bottom w:w="0" w:type="dxa"/>
              <w:right w:w="108" w:type="dxa"/>
            </w:tcMar>
            <w:hideMark/>
          </w:tcPr>
          <w:p w:rsidR="00ED2FFC" w:rsidRPr="001E32AF" w:rsidP="00ED2FFC" w14:paraId="3B2A7065" w14:textId="1AAF18A7">
            <w:pPr>
              <w:jc w:val="right"/>
              <w:rPr>
                <w:sz w:val="20"/>
                <w:szCs w:val="20"/>
              </w:rPr>
            </w:pPr>
            <w:r w:rsidRPr="00F73465">
              <w:rPr>
                <w:sz w:val="20"/>
                <w:szCs w:val="20"/>
              </w:rPr>
              <w:t>3.6</w:t>
            </w:r>
          </w:p>
        </w:tc>
        <w:tc>
          <w:tcPr>
            <w:tcW w:w="1077" w:type="dxa"/>
            <w:tcMar>
              <w:top w:w="0" w:type="dxa"/>
              <w:left w:w="108" w:type="dxa"/>
              <w:bottom w:w="0" w:type="dxa"/>
              <w:right w:w="108" w:type="dxa"/>
            </w:tcMar>
            <w:hideMark/>
          </w:tcPr>
          <w:p w:rsidR="00ED2FFC" w:rsidRPr="001E32AF" w:rsidP="00ED2FFC" w14:paraId="6626A9D5" w14:textId="5D53EA0A">
            <w:pPr>
              <w:jc w:val="right"/>
              <w:rPr>
                <w:sz w:val="20"/>
                <w:szCs w:val="20"/>
              </w:rPr>
            </w:pPr>
            <w:r w:rsidRPr="00F73465">
              <w:rPr>
                <w:sz w:val="20"/>
                <w:szCs w:val="20"/>
              </w:rPr>
              <w:t>3</w:t>
            </w:r>
            <w:r w:rsidR="00350204">
              <w:rPr>
                <w:sz w:val="20"/>
                <w:szCs w:val="20"/>
              </w:rPr>
              <w:t>17</w:t>
            </w:r>
          </w:p>
        </w:tc>
        <w:tc>
          <w:tcPr>
            <w:tcW w:w="1235" w:type="dxa"/>
            <w:tcMar>
              <w:top w:w="0" w:type="dxa"/>
              <w:left w:w="108" w:type="dxa"/>
              <w:bottom w:w="0" w:type="dxa"/>
              <w:right w:w="108" w:type="dxa"/>
            </w:tcMar>
            <w:hideMark/>
          </w:tcPr>
          <w:p w:rsidR="00ED2FFC" w:rsidRPr="001E32AF" w:rsidP="00ED2FFC" w14:paraId="744E33BB" w14:textId="3DC6054B">
            <w:pPr>
              <w:jc w:val="right"/>
              <w:rPr>
                <w:sz w:val="20"/>
                <w:szCs w:val="20"/>
              </w:rPr>
            </w:pPr>
            <w:r w:rsidRPr="00F73465">
              <w:rPr>
                <w:sz w:val="20"/>
                <w:szCs w:val="20"/>
              </w:rPr>
              <w:t>120</w:t>
            </w:r>
          </w:p>
        </w:tc>
        <w:tc>
          <w:tcPr>
            <w:tcW w:w="993" w:type="dxa"/>
            <w:tcMar>
              <w:top w:w="0" w:type="dxa"/>
              <w:left w:w="108" w:type="dxa"/>
              <w:bottom w:w="0" w:type="dxa"/>
              <w:right w:w="108" w:type="dxa"/>
            </w:tcMar>
            <w:hideMark/>
          </w:tcPr>
          <w:p w:rsidR="00ED2FFC" w:rsidRPr="001E32AF" w:rsidP="00ED2FFC" w14:paraId="77238797" w14:textId="77466A74">
            <w:pPr>
              <w:jc w:val="right"/>
              <w:rPr>
                <w:sz w:val="20"/>
                <w:szCs w:val="20"/>
              </w:rPr>
            </w:pPr>
            <w:r w:rsidRPr="00F73465">
              <w:rPr>
                <w:sz w:val="20"/>
                <w:szCs w:val="20"/>
              </w:rPr>
              <w:t>38,</w:t>
            </w:r>
            <w:r w:rsidR="00350204">
              <w:rPr>
                <w:sz w:val="20"/>
                <w:szCs w:val="20"/>
              </w:rPr>
              <w:t>040</w:t>
            </w:r>
          </w:p>
        </w:tc>
      </w:tr>
      <w:tr w14:paraId="63F10F79" w14:textId="77777777" w:rsidTr="00EC0FA4">
        <w:tblPrEx>
          <w:tblW w:w="9356" w:type="dxa"/>
          <w:tblInd w:w="-180" w:type="dxa"/>
          <w:tblCellMar>
            <w:left w:w="0" w:type="dxa"/>
            <w:right w:w="0" w:type="dxa"/>
          </w:tblCellMar>
          <w:tblLook w:val="04A0"/>
        </w:tblPrEx>
        <w:trPr>
          <w:trHeight w:val="493"/>
        </w:trPr>
        <w:tc>
          <w:tcPr>
            <w:tcW w:w="3401" w:type="dxa"/>
            <w:tcMar>
              <w:top w:w="0" w:type="dxa"/>
              <w:left w:w="108" w:type="dxa"/>
              <w:bottom w:w="0" w:type="dxa"/>
              <w:right w:w="108" w:type="dxa"/>
            </w:tcMar>
            <w:hideMark/>
          </w:tcPr>
          <w:p w:rsidR="00ED2FFC" w:rsidRPr="001E32AF" w:rsidP="00ED2FFC" w14:paraId="3BB67864" w14:textId="3A64C0C0">
            <w:pPr>
              <w:rPr>
                <w:sz w:val="20"/>
                <w:szCs w:val="20"/>
              </w:rPr>
            </w:pPr>
            <w:r w:rsidRPr="00F73465">
              <w:rPr>
                <w:sz w:val="20"/>
                <w:szCs w:val="20"/>
              </w:rPr>
              <w:t>§ 312.320(b); submissions related to a treatment IND or treatment protocol</w:t>
            </w:r>
          </w:p>
        </w:tc>
        <w:tc>
          <w:tcPr>
            <w:tcW w:w="1250" w:type="dxa"/>
            <w:tcMar>
              <w:top w:w="0" w:type="dxa"/>
              <w:left w:w="108" w:type="dxa"/>
              <w:bottom w:w="0" w:type="dxa"/>
              <w:right w:w="108" w:type="dxa"/>
            </w:tcMar>
          </w:tcPr>
          <w:p w:rsidR="00ED2FFC" w:rsidRPr="00F73465" w:rsidP="003F7107" w14:paraId="202D273F" w14:textId="77777777">
            <w:pPr>
              <w:spacing w:after="0" w:line="240" w:lineRule="auto"/>
              <w:jc w:val="right"/>
              <w:rPr>
                <w:sz w:val="20"/>
                <w:szCs w:val="20"/>
              </w:rPr>
            </w:pPr>
            <w:r w:rsidRPr="00F73465">
              <w:rPr>
                <w:sz w:val="20"/>
                <w:szCs w:val="20"/>
              </w:rPr>
              <w:t>20</w:t>
            </w:r>
          </w:p>
          <w:p w:rsidR="00ED2FFC" w:rsidRPr="001E32AF" w:rsidP="00ED2FFC" w14:paraId="6235700A" w14:textId="46435553">
            <w:pPr>
              <w:jc w:val="right"/>
              <w:rPr>
                <w:sz w:val="20"/>
                <w:szCs w:val="20"/>
              </w:rPr>
            </w:pPr>
          </w:p>
        </w:tc>
        <w:tc>
          <w:tcPr>
            <w:tcW w:w="1400" w:type="dxa"/>
            <w:tcMar>
              <w:top w:w="0" w:type="dxa"/>
              <w:left w:w="108" w:type="dxa"/>
              <w:bottom w:w="0" w:type="dxa"/>
              <w:right w:w="108" w:type="dxa"/>
            </w:tcMar>
            <w:hideMark/>
          </w:tcPr>
          <w:p w:rsidR="00ED2FFC" w:rsidRPr="001E32AF" w:rsidP="00ED2FFC" w14:paraId="37181610" w14:textId="71CA25C5">
            <w:pPr>
              <w:jc w:val="right"/>
              <w:rPr>
                <w:sz w:val="20"/>
                <w:szCs w:val="20"/>
              </w:rPr>
            </w:pPr>
            <w:r w:rsidRPr="00F73465">
              <w:rPr>
                <w:sz w:val="20"/>
                <w:szCs w:val="20"/>
              </w:rPr>
              <w:t>7</w:t>
            </w:r>
          </w:p>
        </w:tc>
        <w:tc>
          <w:tcPr>
            <w:tcW w:w="1077" w:type="dxa"/>
            <w:tcMar>
              <w:top w:w="0" w:type="dxa"/>
              <w:left w:w="108" w:type="dxa"/>
              <w:bottom w:w="0" w:type="dxa"/>
              <w:right w:w="108" w:type="dxa"/>
            </w:tcMar>
            <w:hideMark/>
          </w:tcPr>
          <w:p w:rsidR="00ED2FFC" w:rsidRPr="001E32AF" w:rsidP="00ED2FFC" w14:paraId="321322E7" w14:textId="74D9698F">
            <w:pPr>
              <w:jc w:val="right"/>
              <w:rPr>
                <w:sz w:val="20"/>
                <w:szCs w:val="20"/>
              </w:rPr>
            </w:pPr>
            <w:r w:rsidRPr="00F73465">
              <w:rPr>
                <w:sz w:val="20"/>
                <w:szCs w:val="20"/>
              </w:rPr>
              <w:t>140</w:t>
            </w:r>
          </w:p>
        </w:tc>
        <w:tc>
          <w:tcPr>
            <w:tcW w:w="1235" w:type="dxa"/>
            <w:tcMar>
              <w:top w:w="0" w:type="dxa"/>
              <w:left w:w="108" w:type="dxa"/>
              <w:bottom w:w="0" w:type="dxa"/>
              <w:right w:w="108" w:type="dxa"/>
            </w:tcMar>
            <w:hideMark/>
          </w:tcPr>
          <w:p w:rsidR="00ED2FFC" w:rsidRPr="001E32AF" w:rsidP="00ED2FFC" w14:paraId="232ECF83" w14:textId="28A8AD5E">
            <w:pPr>
              <w:jc w:val="right"/>
              <w:rPr>
                <w:sz w:val="20"/>
                <w:szCs w:val="20"/>
              </w:rPr>
            </w:pPr>
            <w:r w:rsidRPr="00F73465">
              <w:rPr>
                <w:sz w:val="20"/>
                <w:szCs w:val="20"/>
              </w:rPr>
              <w:t>300</w:t>
            </w:r>
          </w:p>
        </w:tc>
        <w:tc>
          <w:tcPr>
            <w:tcW w:w="993" w:type="dxa"/>
            <w:tcMar>
              <w:top w:w="0" w:type="dxa"/>
              <w:left w:w="108" w:type="dxa"/>
              <w:bottom w:w="0" w:type="dxa"/>
              <w:right w:w="108" w:type="dxa"/>
            </w:tcMar>
            <w:hideMark/>
          </w:tcPr>
          <w:p w:rsidR="00ED2FFC" w:rsidRPr="001E32AF" w:rsidP="00ED2FFC" w14:paraId="55DB9507" w14:textId="797C10A4">
            <w:pPr>
              <w:jc w:val="right"/>
              <w:rPr>
                <w:sz w:val="20"/>
                <w:szCs w:val="20"/>
              </w:rPr>
            </w:pPr>
            <w:r w:rsidRPr="00F73465">
              <w:rPr>
                <w:sz w:val="20"/>
                <w:szCs w:val="20"/>
              </w:rPr>
              <w:t>42,000</w:t>
            </w:r>
          </w:p>
        </w:tc>
      </w:tr>
      <w:tr w14:paraId="7B99FA23" w14:textId="77777777" w:rsidTr="00EC0FA4">
        <w:tblPrEx>
          <w:tblW w:w="9356" w:type="dxa"/>
          <w:tblInd w:w="-180" w:type="dxa"/>
          <w:tblCellMar>
            <w:left w:w="0" w:type="dxa"/>
            <w:right w:w="0" w:type="dxa"/>
          </w:tblCellMar>
          <w:tblLook w:val="04A0"/>
        </w:tblPrEx>
        <w:trPr>
          <w:trHeight w:val="246"/>
        </w:trPr>
        <w:tc>
          <w:tcPr>
            <w:tcW w:w="3401" w:type="dxa"/>
            <w:shd w:val="clear" w:color="auto" w:fill="FFFFFF" w:themeFill="background1"/>
            <w:tcMar>
              <w:top w:w="0" w:type="dxa"/>
              <w:left w:w="108" w:type="dxa"/>
              <w:bottom w:w="0" w:type="dxa"/>
              <w:right w:w="108" w:type="dxa"/>
            </w:tcMar>
          </w:tcPr>
          <w:p w:rsidR="00ED2FFC" w:rsidP="00ED2FFC" w14:paraId="74ED2C0F" w14:textId="77777777">
            <w:pPr>
              <w:spacing w:after="0" w:line="240" w:lineRule="auto"/>
              <w:rPr>
                <w:sz w:val="20"/>
                <w:szCs w:val="20"/>
              </w:rPr>
            </w:pPr>
          </w:p>
          <w:p w:rsidR="00ED2FFC" w:rsidRPr="001E32AF" w:rsidP="00ED2FFC" w14:paraId="31EB7E4F" w14:textId="49C037FB">
            <w:pPr>
              <w:rPr>
                <w:sz w:val="20"/>
                <w:szCs w:val="20"/>
              </w:rPr>
            </w:pPr>
            <w:r>
              <w:rPr>
                <w:sz w:val="20"/>
                <w:szCs w:val="20"/>
              </w:rPr>
              <w:t>Total</w:t>
            </w:r>
          </w:p>
        </w:tc>
        <w:tc>
          <w:tcPr>
            <w:tcW w:w="1250" w:type="dxa"/>
            <w:shd w:val="clear" w:color="auto" w:fill="FFFFFF" w:themeFill="background1"/>
            <w:tcMar>
              <w:top w:w="0" w:type="dxa"/>
              <w:left w:w="108" w:type="dxa"/>
              <w:bottom w:w="0" w:type="dxa"/>
              <w:right w:w="108" w:type="dxa"/>
            </w:tcMar>
          </w:tcPr>
          <w:p w:rsidR="00ED2FFC" w:rsidRPr="001E32AF" w:rsidP="00ED2FFC" w14:paraId="32595F03" w14:textId="77777777">
            <w:pPr>
              <w:jc w:val="right"/>
              <w:rPr>
                <w:sz w:val="20"/>
                <w:szCs w:val="20"/>
                <w:highlight w:val="lightGray"/>
              </w:rPr>
            </w:pPr>
          </w:p>
        </w:tc>
        <w:tc>
          <w:tcPr>
            <w:tcW w:w="1400" w:type="dxa"/>
            <w:shd w:val="clear" w:color="auto" w:fill="FFFFFF" w:themeFill="background1"/>
            <w:tcMar>
              <w:top w:w="0" w:type="dxa"/>
              <w:left w:w="108" w:type="dxa"/>
              <w:bottom w:w="0" w:type="dxa"/>
              <w:right w:w="108" w:type="dxa"/>
            </w:tcMar>
          </w:tcPr>
          <w:p w:rsidR="00ED2FFC" w:rsidRPr="001E32AF" w:rsidP="00ED2FFC" w14:paraId="299EC66A" w14:textId="77777777">
            <w:pPr>
              <w:jc w:val="right"/>
              <w:rPr>
                <w:sz w:val="20"/>
                <w:szCs w:val="20"/>
                <w:highlight w:val="lightGray"/>
              </w:rPr>
            </w:pPr>
          </w:p>
        </w:tc>
        <w:tc>
          <w:tcPr>
            <w:tcW w:w="1077" w:type="dxa"/>
            <w:shd w:val="clear" w:color="auto" w:fill="auto"/>
            <w:tcMar>
              <w:top w:w="0" w:type="dxa"/>
              <w:left w:w="108" w:type="dxa"/>
              <w:bottom w:w="0" w:type="dxa"/>
              <w:right w:w="108" w:type="dxa"/>
            </w:tcMar>
          </w:tcPr>
          <w:p w:rsidR="00ED2FFC" w:rsidRPr="001E32AF" w:rsidP="00ED2FFC" w14:paraId="4B2E9F8F" w14:textId="6E306DD3">
            <w:pPr>
              <w:jc w:val="right"/>
              <w:rPr>
                <w:sz w:val="20"/>
                <w:szCs w:val="20"/>
              </w:rPr>
            </w:pPr>
          </w:p>
        </w:tc>
        <w:tc>
          <w:tcPr>
            <w:tcW w:w="1235" w:type="dxa"/>
            <w:shd w:val="clear" w:color="auto" w:fill="auto"/>
            <w:tcMar>
              <w:top w:w="0" w:type="dxa"/>
              <w:left w:w="108" w:type="dxa"/>
              <w:bottom w:w="0" w:type="dxa"/>
              <w:right w:w="108" w:type="dxa"/>
            </w:tcMar>
          </w:tcPr>
          <w:p w:rsidR="00ED2FFC" w:rsidRPr="001E32AF" w:rsidP="00ED2FFC" w14:paraId="56ABFCA0" w14:textId="77777777">
            <w:pPr>
              <w:jc w:val="right"/>
              <w:rPr>
                <w:sz w:val="20"/>
                <w:szCs w:val="20"/>
              </w:rPr>
            </w:pPr>
          </w:p>
        </w:tc>
        <w:tc>
          <w:tcPr>
            <w:tcW w:w="993" w:type="dxa"/>
            <w:shd w:val="clear" w:color="auto" w:fill="auto"/>
            <w:tcMar>
              <w:top w:w="0" w:type="dxa"/>
              <w:left w:w="108" w:type="dxa"/>
              <w:bottom w:w="0" w:type="dxa"/>
              <w:right w:w="108" w:type="dxa"/>
            </w:tcMar>
          </w:tcPr>
          <w:p w:rsidR="00ED2FFC" w:rsidRPr="001E32AF" w:rsidP="00ED2FFC" w14:paraId="1F077180" w14:textId="636EE8C3">
            <w:pPr>
              <w:jc w:val="right"/>
              <w:rPr>
                <w:sz w:val="20"/>
                <w:szCs w:val="20"/>
              </w:rPr>
            </w:pPr>
            <w:r>
              <w:rPr>
                <w:sz w:val="20"/>
                <w:szCs w:val="20"/>
              </w:rPr>
              <w:t>138,970</w:t>
            </w:r>
          </w:p>
        </w:tc>
      </w:tr>
    </w:tbl>
    <w:p w:rsidR="001E32AF" w:rsidRPr="001E32AF" w:rsidP="001E32AF" w14:paraId="5D1E0B39" w14:textId="77777777">
      <w:pPr>
        <w:rPr>
          <w:sz w:val="20"/>
          <w:szCs w:val="20"/>
        </w:rPr>
      </w:pPr>
      <w:r w:rsidRPr="001E32AF">
        <w:rPr>
          <w:sz w:val="20"/>
          <w:szCs w:val="20"/>
          <w:vertAlign w:val="superscript"/>
        </w:rPr>
        <w:t xml:space="preserve">1 </w:t>
      </w:r>
      <w:r w:rsidRPr="001E32AF">
        <w:rPr>
          <w:sz w:val="20"/>
          <w:szCs w:val="20"/>
        </w:rPr>
        <w:t>There are no capital costs or operating and maintenance costs associated with this collection of information.</w:t>
      </w:r>
    </w:p>
    <w:p w:rsidR="001E32AF" w:rsidRPr="001E32AF" w:rsidP="001E32AF" w14:paraId="64A162F2" w14:textId="77777777">
      <w:pPr>
        <w:rPr>
          <w:sz w:val="20"/>
          <w:szCs w:val="20"/>
        </w:rPr>
      </w:pPr>
      <w:r w:rsidRPr="001E32AF">
        <w:rPr>
          <w:sz w:val="20"/>
          <w:szCs w:val="20"/>
          <w:vertAlign w:val="superscript"/>
        </w:rPr>
        <w:t>2</w:t>
      </w:r>
      <w:r w:rsidRPr="001E32AF">
        <w:rPr>
          <w:sz w:val="20"/>
          <w:szCs w:val="20"/>
        </w:rPr>
        <w:t xml:space="preserve"> Data elements are reported in Forms FDA 1571 and 1572, approved under OMB control number 0910-0014.</w:t>
      </w:r>
    </w:p>
    <w:p w:rsidR="00077F89" w:rsidP="00077F89" w14:paraId="23E288D6" w14:textId="46F23D2A">
      <w:pPr>
        <w:rPr>
          <w:color w:val="auto"/>
          <w:szCs w:val="24"/>
        </w:rPr>
      </w:pPr>
    </w:p>
    <w:tbl>
      <w:tblPr>
        <w:tblW w:w="938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0"/>
        <w:gridCol w:w="1146"/>
        <w:gridCol w:w="1308"/>
        <w:gridCol w:w="990"/>
        <w:gridCol w:w="1063"/>
        <w:gridCol w:w="1196"/>
      </w:tblGrid>
      <w:tr w14:paraId="075C3B29" w14:textId="77777777" w:rsidTr="004D0432">
        <w:tblPrEx>
          <w:tblW w:w="938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217"/>
        </w:trPr>
        <w:tc>
          <w:tcPr>
            <w:tcW w:w="9383" w:type="dxa"/>
            <w:gridSpan w:val="6"/>
            <w:tcBorders>
              <w:top w:val="nil"/>
              <w:left w:val="nil"/>
              <w:bottom w:val="single" w:sz="4" w:space="0" w:color="auto"/>
              <w:right w:val="nil"/>
            </w:tcBorders>
            <w:tcMar>
              <w:top w:w="0" w:type="dxa"/>
              <w:left w:w="108" w:type="dxa"/>
              <w:bottom w:w="0" w:type="dxa"/>
              <w:right w:w="108" w:type="dxa"/>
            </w:tcMar>
            <w:hideMark/>
          </w:tcPr>
          <w:p w:rsidR="00077F89" w:rsidRPr="003F7107" w14:paraId="44A84B44" w14:textId="77777777">
            <w:pPr>
              <w:jc w:val="center"/>
              <w:rPr>
                <w:sz w:val="20"/>
                <w:szCs w:val="20"/>
                <w:vertAlign w:val="superscript"/>
              </w:rPr>
            </w:pPr>
            <w:r w:rsidRPr="003F7107">
              <w:rPr>
                <w:sz w:val="20"/>
                <w:szCs w:val="20"/>
              </w:rPr>
              <w:t>Table 2.--Estimated Annual Reporting Burden--Center for Biologics Evaluation and Research</w:t>
            </w:r>
            <w:r w:rsidRPr="003F7107">
              <w:rPr>
                <w:sz w:val="20"/>
                <w:szCs w:val="20"/>
                <w:vertAlign w:val="superscript"/>
              </w:rPr>
              <w:t>1</w:t>
            </w:r>
          </w:p>
        </w:tc>
      </w:tr>
      <w:tr w14:paraId="329340F1" w14:textId="77777777" w:rsidTr="004D0432">
        <w:tblPrEx>
          <w:tblW w:w="9383" w:type="dxa"/>
          <w:tblInd w:w="-185" w:type="dxa"/>
          <w:tblLayout w:type="fixed"/>
          <w:tblCellMar>
            <w:left w:w="0" w:type="dxa"/>
            <w:right w:w="0" w:type="dxa"/>
          </w:tblCellMar>
          <w:tblLook w:val="04A0"/>
        </w:tblPrEx>
        <w:trPr>
          <w:cantSplit/>
          <w:trHeight w:val="653"/>
        </w:trPr>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785643FF" w14:textId="77777777">
            <w:pPr>
              <w:jc w:val="center"/>
              <w:rPr>
                <w:color w:val="000000" w:themeColor="text1"/>
                <w:sz w:val="20"/>
                <w:szCs w:val="20"/>
              </w:rPr>
            </w:pPr>
            <w:r w:rsidRPr="00C87517">
              <w:rPr>
                <w:color w:val="000000" w:themeColor="text1"/>
                <w:sz w:val="20"/>
                <w:szCs w:val="20"/>
              </w:rPr>
              <w:t>Part 312, subpart I; Activity</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207B7F01" w14:textId="77777777">
            <w:pPr>
              <w:jc w:val="center"/>
              <w:rPr>
                <w:color w:val="000000" w:themeColor="text1"/>
                <w:sz w:val="20"/>
                <w:szCs w:val="20"/>
              </w:rPr>
            </w:pPr>
            <w:r w:rsidRPr="00C87517">
              <w:rPr>
                <w:color w:val="000000" w:themeColor="text1"/>
                <w:sz w:val="20"/>
                <w:szCs w:val="20"/>
              </w:rPr>
              <w:t>No. of Respondents</w:t>
            </w:r>
          </w:p>
        </w:tc>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3CC41C76" w14:textId="77777777">
            <w:pPr>
              <w:jc w:val="center"/>
              <w:rPr>
                <w:color w:val="000000" w:themeColor="text1"/>
                <w:sz w:val="20"/>
                <w:szCs w:val="20"/>
              </w:rPr>
            </w:pPr>
            <w:r w:rsidRPr="00C87517">
              <w:rPr>
                <w:color w:val="000000" w:themeColor="text1"/>
                <w:sz w:val="20"/>
                <w:szCs w:val="20"/>
              </w:rPr>
              <w:t>No. of Responses per Respondent</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4A849F34" w14:textId="77777777">
            <w:pPr>
              <w:jc w:val="center"/>
              <w:rPr>
                <w:color w:val="000000" w:themeColor="text1"/>
                <w:sz w:val="20"/>
                <w:szCs w:val="20"/>
              </w:rPr>
            </w:pPr>
            <w:r w:rsidRPr="00C87517">
              <w:rPr>
                <w:color w:val="000000" w:themeColor="text1"/>
                <w:sz w:val="20"/>
                <w:szCs w:val="20"/>
              </w:rPr>
              <w:t>Total Annual Responses</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5CDC5A8A" w14:textId="77777777">
            <w:pPr>
              <w:jc w:val="center"/>
              <w:rPr>
                <w:color w:val="000000" w:themeColor="text1"/>
                <w:sz w:val="20"/>
                <w:szCs w:val="20"/>
              </w:rPr>
            </w:pPr>
            <w:r w:rsidRPr="00C87517">
              <w:rPr>
                <w:color w:val="000000" w:themeColor="text1"/>
                <w:sz w:val="20"/>
                <w:szCs w:val="20"/>
              </w:rPr>
              <w:t>Average Burden per Response</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0C8A595F" w14:textId="77777777">
            <w:pPr>
              <w:jc w:val="center"/>
              <w:rPr>
                <w:color w:val="000000" w:themeColor="text1"/>
                <w:sz w:val="20"/>
                <w:szCs w:val="20"/>
              </w:rPr>
            </w:pPr>
            <w:r w:rsidRPr="00C87517">
              <w:rPr>
                <w:color w:val="000000" w:themeColor="text1"/>
                <w:sz w:val="20"/>
                <w:szCs w:val="20"/>
              </w:rPr>
              <w:t>Total Hours</w:t>
            </w:r>
          </w:p>
        </w:tc>
      </w:tr>
      <w:tr w14:paraId="27190FB8" w14:textId="77777777" w:rsidTr="004D0432">
        <w:tblPrEx>
          <w:tblW w:w="9383" w:type="dxa"/>
          <w:tblInd w:w="-185" w:type="dxa"/>
          <w:tblLayout w:type="fixed"/>
          <w:tblCellMar>
            <w:left w:w="0" w:type="dxa"/>
            <w:right w:w="0" w:type="dxa"/>
          </w:tblCellMar>
          <w:tblLook w:val="04A0"/>
        </w:tblPrEx>
        <w:trPr>
          <w:cantSplit/>
          <w:trHeight w:val="871"/>
        </w:trPr>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562F3691" w14:textId="4A72A0C8">
            <w:pPr>
              <w:rPr>
                <w:color w:val="000000" w:themeColor="text1"/>
                <w:sz w:val="20"/>
                <w:szCs w:val="20"/>
              </w:rPr>
            </w:pPr>
            <w:r w:rsidRPr="00C87517">
              <w:rPr>
                <w:color w:val="000000" w:themeColor="text1"/>
                <w:sz w:val="20"/>
                <w:szCs w:val="20"/>
              </w:rPr>
              <w:t xml:space="preserve">§§ 312.310(b) and 312.305(b); </w:t>
            </w:r>
            <w:r w:rsidR="005F179A">
              <w:rPr>
                <w:color w:val="000000" w:themeColor="text1"/>
                <w:sz w:val="20"/>
                <w:szCs w:val="20"/>
              </w:rPr>
              <w:t>su</w:t>
            </w:r>
            <w:r w:rsidRPr="00C87517">
              <w:rPr>
                <w:color w:val="000000" w:themeColor="text1"/>
                <w:sz w:val="20"/>
                <w:szCs w:val="20"/>
              </w:rPr>
              <w:t>bmissions related to expanded access and treatment of an individual patient:  Form FDA 3926</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6C4D2A6C" w14:textId="77777777">
            <w:pPr>
              <w:jc w:val="right"/>
              <w:rPr>
                <w:color w:val="000000" w:themeColor="text1"/>
                <w:sz w:val="20"/>
                <w:szCs w:val="20"/>
              </w:rPr>
            </w:pPr>
            <w:r w:rsidRPr="00C87517">
              <w:rPr>
                <w:color w:val="000000" w:themeColor="text1"/>
                <w:sz w:val="20"/>
                <w:szCs w:val="20"/>
              </w:rPr>
              <w:t>118</w:t>
            </w:r>
          </w:p>
        </w:tc>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67615197" w14:textId="77777777">
            <w:pPr>
              <w:jc w:val="right"/>
              <w:rPr>
                <w:color w:val="000000" w:themeColor="text1"/>
                <w:sz w:val="20"/>
                <w:szCs w:val="20"/>
              </w:rPr>
            </w:pPr>
            <w:r w:rsidRPr="00C87517">
              <w:rPr>
                <w:color w:val="000000" w:themeColor="text1"/>
                <w:sz w:val="20"/>
                <w:szCs w:val="20"/>
              </w:rPr>
              <w:t>1.305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1B83FE7A" w14:textId="77777777">
            <w:pPr>
              <w:jc w:val="right"/>
              <w:rPr>
                <w:color w:val="000000" w:themeColor="text1"/>
                <w:sz w:val="20"/>
                <w:szCs w:val="20"/>
              </w:rPr>
            </w:pPr>
            <w:r w:rsidRPr="00C87517">
              <w:rPr>
                <w:color w:val="000000" w:themeColor="text1"/>
                <w:sz w:val="20"/>
                <w:szCs w:val="20"/>
              </w:rPr>
              <w:t>154</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31C64206" w14:textId="77777777">
            <w:pPr>
              <w:jc w:val="right"/>
              <w:rPr>
                <w:color w:val="000000" w:themeColor="text1"/>
                <w:sz w:val="20"/>
                <w:szCs w:val="20"/>
              </w:rPr>
            </w:pPr>
            <w:r w:rsidRPr="00C87517">
              <w:rPr>
                <w:color w:val="000000" w:themeColor="text1"/>
                <w:sz w:val="20"/>
                <w:szCs w:val="20"/>
              </w:rPr>
              <w:t>8</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1DDFA065" w14:textId="77777777">
            <w:pPr>
              <w:jc w:val="right"/>
              <w:rPr>
                <w:color w:val="000000" w:themeColor="text1"/>
                <w:sz w:val="20"/>
                <w:szCs w:val="20"/>
              </w:rPr>
            </w:pPr>
            <w:r w:rsidRPr="00C87517">
              <w:rPr>
                <w:color w:val="000000" w:themeColor="text1"/>
                <w:sz w:val="20"/>
                <w:szCs w:val="20"/>
              </w:rPr>
              <w:t>1,232</w:t>
            </w:r>
          </w:p>
        </w:tc>
      </w:tr>
      <w:tr w14:paraId="3754FAB6" w14:textId="77777777" w:rsidTr="004D0432">
        <w:tblPrEx>
          <w:tblW w:w="9383" w:type="dxa"/>
          <w:tblInd w:w="-185" w:type="dxa"/>
          <w:tblLayout w:type="fixed"/>
          <w:tblCellMar>
            <w:left w:w="0" w:type="dxa"/>
            <w:right w:w="0" w:type="dxa"/>
          </w:tblCellMar>
          <w:tblLook w:val="04A0"/>
        </w:tblPrEx>
        <w:trPr>
          <w:cantSplit/>
          <w:trHeight w:val="653"/>
        </w:trPr>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077CD532" w14:textId="7B831D9A">
            <w:pPr>
              <w:rPr>
                <w:color w:val="000000" w:themeColor="text1"/>
                <w:sz w:val="20"/>
                <w:szCs w:val="20"/>
              </w:rPr>
            </w:pPr>
            <w:r w:rsidRPr="00C87517">
              <w:rPr>
                <w:color w:val="000000" w:themeColor="text1"/>
                <w:sz w:val="20"/>
                <w:szCs w:val="20"/>
              </w:rPr>
              <w:t>§ 312.310(d); submissions related to emergency use of an investigational new drug:  Form FDA 3926</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5B0BA05A" w14:textId="77777777">
            <w:pPr>
              <w:jc w:val="right"/>
              <w:rPr>
                <w:color w:val="000000" w:themeColor="text1"/>
                <w:sz w:val="20"/>
                <w:szCs w:val="20"/>
              </w:rPr>
            </w:pPr>
            <w:r w:rsidRPr="00C87517">
              <w:rPr>
                <w:color w:val="000000" w:themeColor="text1"/>
                <w:sz w:val="20"/>
                <w:szCs w:val="20"/>
              </w:rPr>
              <w:t>1,591</w:t>
            </w:r>
          </w:p>
        </w:tc>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68137795" w14:textId="77777777">
            <w:pPr>
              <w:jc w:val="right"/>
              <w:rPr>
                <w:color w:val="000000" w:themeColor="text1"/>
                <w:sz w:val="20"/>
                <w:szCs w:val="20"/>
              </w:rPr>
            </w:pPr>
            <w:r w:rsidRPr="00C87517">
              <w:rPr>
                <w:color w:val="000000" w:themeColor="text1"/>
                <w:sz w:val="20"/>
                <w:szCs w:val="20"/>
              </w:rPr>
              <w:t>4.2137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4DDF75A1" w14:textId="77777777">
            <w:pPr>
              <w:jc w:val="right"/>
              <w:rPr>
                <w:color w:val="000000" w:themeColor="text1"/>
                <w:sz w:val="20"/>
                <w:szCs w:val="20"/>
              </w:rPr>
            </w:pPr>
            <w:r w:rsidRPr="00C87517">
              <w:rPr>
                <w:color w:val="000000" w:themeColor="text1"/>
                <w:sz w:val="20"/>
                <w:szCs w:val="20"/>
              </w:rPr>
              <w:t>6,704</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10B08DEA" w14:textId="77777777">
            <w:pPr>
              <w:jc w:val="right"/>
              <w:rPr>
                <w:color w:val="000000" w:themeColor="text1"/>
                <w:sz w:val="20"/>
                <w:szCs w:val="20"/>
              </w:rPr>
            </w:pPr>
            <w:r w:rsidRPr="00C87517">
              <w:rPr>
                <w:color w:val="000000" w:themeColor="text1"/>
                <w:sz w:val="20"/>
                <w:szCs w:val="20"/>
              </w:rPr>
              <w:t>16</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6040F71D" w14:textId="77777777">
            <w:pPr>
              <w:jc w:val="right"/>
              <w:rPr>
                <w:color w:val="000000" w:themeColor="text1"/>
                <w:sz w:val="20"/>
                <w:szCs w:val="20"/>
              </w:rPr>
            </w:pPr>
            <w:r w:rsidRPr="00C87517">
              <w:rPr>
                <w:color w:val="000000" w:themeColor="text1"/>
                <w:sz w:val="20"/>
                <w:szCs w:val="20"/>
              </w:rPr>
              <w:t>107,264</w:t>
            </w:r>
          </w:p>
        </w:tc>
      </w:tr>
      <w:tr w14:paraId="5A0E8298" w14:textId="77777777" w:rsidTr="004D0432">
        <w:tblPrEx>
          <w:tblW w:w="9383" w:type="dxa"/>
          <w:tblInd w:w="-185" w:type="dxa"/>
          <w:tblLayout w:type="fixed"/>
          <w:tblCellMar>
            <w:left w:w="0" w:type="dxa"/>
            <w:right w:w="0" w:type="dxa"/>
          </w:tblCellMar>
          <w:tblLook w:val="04A0"/>
        </w:tblPrEx>
        <w:trPr>
          <w:cantSplit/>
          <w:trHeight w:val="871"/>
        </w:trPr>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5222F687" w14:textId="7CCCF2CF">
            <w:pPr>
              <w:rPr>
                <w:color w:val="000000" w:themeColor="text1"/>
                <w:sz w:val="20"/>
                <w:szCs w:val="20"/>
              </w:rPr>
            </w:pPr>
            <w:r w:rsidRPr="00C87517">
              <w:rPr>
                <w:color w:val="000000" w:themeColor="text1"/>
                <w:sz w:val="20"/>
                <w:szCs w:val="20"/>
              </w:rPr>
              <w:t>§§ 312.315(c) and 312.305(b);</w:t>
            </w:r>
            <w:r w:rsidR="005F179A">
              <w:rPr>
                <w:color w:val="000000" w:themeColor="text1"/>
                <w:sz w:val="20"/>
                <w:szCs w:val="20"/>
              </w:rPr>
              <w:t xml:space="preserve"> </w:t>
            </w:r>
            <w:r w:rsidRPr="00C87517">
              <w:rPr>
                <w:color w:val="000000" w:themeColor="text1"/>
                <w:sz w:val="20"/>
                <w:szCs w:val="20"/>
              </w:rPr>
              <w:t>submissions related to expanded access and treatment of an intermediate-size patient population</w:t>
            </w:r>
            <w:r w:rsidRPr="00C87517">
              <w:rPr>
                <w:color w:val="000000" w:themeColor="text1"/>
                <w:sz w:val="20"/>
                <w:szCs w:val="20"/>
                <w:vertAlign w:val="superscript"/>
              </w:rPr>
              <w:t>2</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22586DCA" w14:textId="77777777">
            <w:pPr>
              <w:jc w:val="right"/>
              <w:rPr>
                <w:color w:val="000000" w:themeColor="text1"/>
                <w:sz w:val="20"/>
                <w:szCs w:val="20"/>
              </w:rPr>
            </w:pPr>
            <w:r w:rsidRPr="00C87517">
              <w:rPr>
                <w:color w:val="000000" w:themeColor="text1"/>
                <w:sz w:val="20"/>
                <w:szCs w:val="20"/>
              </w:rPr>
              <w:t>28</w:t>
            </w:r>
          </w:p>
        </w:tc>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3578A292" w14:textId="77777777">
            <w:pPr>
              <w:jc w:val="right"/>
              <w:rPr>
                <w:color w:val="000000" w:themeColor="text1"/>
                <w:sz w:val="20"/>
                <w:szCs w:val="20"/>
              </w:rPr>
            </w:pPr>
            <w:r w:rsidRPr="00C87517">
              <w:rPr>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700179C0" w14:textId="77777777">
            <w:pPr>
              <w:jc w:val="right"/>
              <w:rPr>
                <w:color w:val="000000" w:themeColor="text1"/>
                <w:sz w:val="20"/>
                <w:szCs w:val="20"/>
              </w:rPr>
            </w:pPr>
            <w:r w:rsidRPr="00C87517">
              <w:rPr>
                <w:color w:val="000000" w:themeColor="text1"/>
                <w:sz w:val="20"/>
                <w:szCs w:val="20"/>
              </w:rPr>
              <w:t>28</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03A8BC3B" w14:textId="77777777">
            <w:pPr>
              <w:jc w:val="right"/>
              <w:rPr>
                <w:color w:val="000000" w:themeColor="text1"/>
                <w:sz w:val="20"/>
                <w:szCs w:val="20"/>
              </w:rPr>
            </w:pPr>
            <w:r w:rsidRPr="00C87517">
              <w:rPr>
                <w:color w:val="000000" w:themeColor="text1"/>
                <w:sz w:val="20"/>
                <w:szCs w:val="20"/>
              </w:rPr>
              <w:t>120</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7B49D21C" w14:textId="77777777">
            <w:pPr>
              <w:jc w:val="right"/>
              <w:rPr>
                <w:color w:val="000000" w:themeColor="text1"/>
                <w:sz w:val="20"/>
                <w:szCs w:val="20"/>
              </w:rPr>
            </w:pPr>
            <w:r w:rsidRPr="00C87517">
              <w:rPr>
                <w:color w:val="000000" w:themeColor="text1"/>
                <w:sz w:val="20"/>
                <w:szCs w:val="20"/>
              </w:rPr>
              <w:t>3,360</w:t>
            </w:r>
          </w:p>
        </w:tc>
      </w:tr>
      <w:tr w14:paraId="1F0240F3" w14:textId="77777777" w:rsidTr="004D0432">
        <w:tblPrEx>
          <w:tblW w:w="9383" w:type="dxa"/>
          <w:tblInd w:w="-185" w:type="dxa"/>
          <w:tblLayout w:type="fixed"/>
          <w:tblCellMar>
            <w:left w:w="0" w:type="dxa"/>
            <w:right w:w="0" w:type="dxa"/>
          </w:tblCellMar>
          <w:tblLook w:val="04A0"/>
        </w:tblPrEx>
        <w:trPr>
          <w:cantSplit/>
          <w:trHeight w:val="435"/>
        </w:trPr>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79B4D5F6" w14:textId="2EAE7848">
            <w:pPr>
              <w:rPr>
                <w:color w:val="000000" w:themeColor="text1"/>
                <w:sz w:val="20"/>
                <w:szCs w:val="20"/>
              </w:rPr>
            </w:pPr>
            <w:r w:rsidRPr="00C87517">
              <w:rPr>
                <w:color w:val="000000" w:themeColor="text1"/>
                <w:sz w:val="20"/>
                <w:szCs w:val="20"/>
              </w:rPr>
              <w:t>§ 312.320(b); submissions related to a treatment IND or treatment protocol</w:t>
            </w:r>
            <w:r w:rsidRPr="00C87517">
              <w:rPr>
                <w:color w:val="000000" w:themeColor="text1"/>
                <w:sz w:val="20"/>
                <w:szCs w:val="20"/>
                <w:vertAlign w:val="superscript"/>
              </w:rPr>
              <w:t>2</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298128EB" w14:textId="77777777">
            <w:pPr>
              <w:jc w:val="right"/>
              <w:rPr>
                <w:color w:val="000000" w:themeColor="text1"/>
                <w:sz w:val="20"/>
                <w:szCs w:val="20"/>
              </w:rPr>
            </w:pPr>
            <w:r w:rsidRPr="00C87517">
              <w:rPr>
                <w:color w:val="000000" w:themeColor="text1"/>
                <w:sz w:val="20"/>
                <w:szCs w:val="20"/>
              </w:rPr>
              <w:t>15</w:t>
            </w:r>
          </w:p>
        </w:tc>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5B0B7E3C" w14:textId="77777777">
            <w:pPr>
              <w:jc w:val="right"/>
              <w:rPr>
                <w:color w:val="000000" w:themeColor="text1"/>
                <w:sz w:val="20"/>
                <w:szCs w:val="20"/>
              </w:rPr>
            </w:pPr>
            <w:r w:rsidRPr="00C87517">
              <w:rPr>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62F6ACD8" w14:textId="77777777">
            <w:pPr>
              <w:jc w:val="right"/>
              <w:rPr>
                <w:color w:val="000000" w:themeColor="text1"/>
                <w:sz w:val="20"/>
                <w:szCs w:val="20"/>
              </w:rPr>
            </w:pPr>
            <w:r w:rsidRPr="00C87517">
              <w:rPr>
                <w:color w:val="000000" w:themeColor="text1"/>
                <w:sz w:val="20"/>
                <w:szCs w:val="20"/>
              </w:rPr>
              <w:t>15</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2C51CDA3" w14:textId="77777777">
            <w:pPr>
              <w:jc w:val="right"/>
              <w:rPr>
                <w:color w:val="000000" w:themeColor="text1"/>
                <w:sz w:val="20"/>
                <w:szCs w:val="20"/>
              </w:rPr>
            </w:pPr>
            <w:r w:rsidRPr="00C87517">
              <w:rPr>
                <w:color w:val="000000" w:themeColor="text1"/>
                <w:sz w:val="20"/>
                <w:szCs w:val="20"/>
              </w:rPr>
              <w:t>300</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F89" w:rsidRPr="00C87517" w14:paraId="594AA0A8" w14:textId="77777777">
            <w:pPr>
              <w:jc w:val="right"/>
              <w:rPr>
                <w:color w:val="000000" w:themeColor="text1"/>
                <w:sz w:val="20"/>
                <w:szCs w:val="20"/>
              </w:rPr>
            </w:pPr>
            <w:r w:rsidRPr="00C87517">
              <w:rPr>
                <w:color w:val="000000" w:themeColor="text1"/>
                <w:sz w:val="20"/>
                <w:szCs w:val="20"/>
              </w:rPr>
              <w:t>4,500</w:t>
            </w:r>
          </w:p>
        </w:tc>
      </w:tr>
      <w:tr w14:paraId="3EEB3FF0" w14:textId="77777777" w:rsidTr="004D0432">
        <w:tblPrEx>
          <w:tblW w:w="9383" w:type="dxa"/>
          <w:tblInd w:w="-185" w:type="dxa"/>
          <w:tblLayout w:type="fixed"/>
          <w:tblCellMar>
            <w:left w:w="0" w:type="dxa"/>
            <w:right w:w="0" w:type="dxa"/>
          </w:tblCellMar>
          <w:tblLook w:val="04A0"/>
        </w:tblPrEx>
        <w:trPr>
          <w:cantSplit/>
          <w:trHeight w:val="194"/>
        </w:trPr>
        <w:tc>
          <w:tcPr>
            <w:tcW w:w="36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F89" w:rsidRPr="00C87517" w14:paraId="34825DAE" w14:textId="77777777">
            <w:pPr>
              <w:rPr>
                <w:color w:val="000000" w:themeColor="text1"/>
                <w:sz w:val="20"/>
                <w:szCs w:val="20"/>
              </w:rPr>
            </w:pPr>
            <w:r w:rsidRPr="00C87517">
              <w:rPr>
                <w:color w:val="000000" w:themeColor="text1"/>
                <w:sz w:val="20"/>
                <w:szCs w:val="20"/>
              </w:rPr>
              <w:t>Total</w:t>
            </w:r>
          </w:p>
        </w:tc>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77F89" w:rsidRPr="00C87517" w14:paraId="0850A6EB" w14:textId="77777777">
            <w:pPr>
              <w:jc w:val="right"/>
              <w:rPr>
                <w:color w:val="000000" w:themeColor="text1"/>
                <w:sz w:val="20"/>
                <w:szCs w:val="20"/>
              </w:rPr>
            </w:pP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77F89" w:rsidRPr="00C87517" w14:paraId="19203C85" w14:textId="77777777">
            <w:pPr>
              <w:jc w:val="right"/>
              <w:rPr>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F89" w:rsidRPr="00C87517" w14:paraId="04BE882C" w14:textId="77777777">
            <w:pPr>
              <w:jc w:val="right"/>
              <w:rPr>
                <w:color w:val="000000" w:themeColor="text1"/>
                <w:sz w:val="20"/>
                <w:szCs w:val="20"/>
              </w:rPr>
            </w:pPr>
            <w:r w:rsidRPr="00C87517">
              <w:rPr>
                <w:noProof/>
                <w:color w:val="000000" w:themeColor="text1"/>
                <w:sz w:val="20"/>
                <w:szCs w:val="20"/>
              </w:rPr>
              <w:t>6,901</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77F89" w:rsidRPr="00C87517" w14:paraId="1C7AA8E6" w14:textId="77777777">
            <w:pPr>
              <w:spacing w:line="480" w:lineRule="auto"/>
              <w:jc w:val="right"/>
              <w:rPr>
                <w:color w:val="000000" w:themeColor="text1"/>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F89" w:rsidRPr="00C87517" w14:paraId="28AE39C7" w14:textId="77777777">
            <w:pPr>
              <w:spacing w:line="480" w:lineRule="auto"/>
              <w:jc w:val="right"/>
              <w:rPr>
                <w:color w:val="000000" w:themeColor="text1"/>
                <w:sz w:val="20"/>
                <w:szCs w:val="20"/>
              </w:rPr>
            </w:pPr>
            <w:r w:rsidRPr="00C87517">
              <w:rPr>
                <w:color w:val="000000" w:themeColor="text1"/>
                <w:sz w:val="20"/>
                <w:szCs w:val="20"/>
              </w:rPr>
              <w:t>116,356</w:t>
            </w:r>
          </w:p>
        </w:tc>
      </w:tr>
    </w:tbl>
    <w:p w:rsidR="00077F89" w:rsidRPr="001E32AF" w:rsidP="00077F89" w14:paraId="6200C050" w14:textId="77777777">
      <w:pPr>
        <w:rPr>
          <w:color w:val="auto"/>
          <w:sz w:val="20"/>
          <w:szCs w:val="20"/>
        </w:rPr>
      </w:pPr>
      <w:r w:rsidRPr="001E32AF">
        <w:rPr>
          <w:sz w:val="20"/>
          <w:szCs w:val="20"/>
          <w:vertAlign w:val="superscript"/>
        </w:rPr>
        <w:t xml:space="preserve">1 </w:t>
      </w:r>
      <w:r w:rsidRPr="001E32AF">
        <w:rPr>
          <w:sz w:val="20"/>
          <w:szCs w:val="20"/>
        </w:rPr>
        <w:t>There are no capital costs or operating and maintenance costs associated with this collection of information.</w:t>
      </w:r>
    </w:p>
    <w:p w:rsidR="00407CE3" w:rsidP="00077F89" w14:paraId="51DEAD01" w14:textId="65734362">
      <w:pPr>
        <w:rPr>
          <w:sz w:val="20"/>
          <w:szCs w:val="20"/>
        </w:rPr>
      </w:pPr>
      <w:r w:rsidRPr="001E32AF">
        <w:rPr>
          <w:sz w:val="20"/>
          <w:szCs w:val="20"/>
          <w:vertAlign w:val="superscript"/>
        </w:rPr>
        <w:t>2</w:t>
      </w:r>
      <w:r w:rsidRPr="001E32AF">
        <w:rPr>
          <w:sz w:val="20"/>
          <w:szCs w:val="20"/>
        </w:rPr>
        <w:t xml:space="preserve"> Data elements are reported in Forms FDA 1571 and 1572, approved under OMB control number 0910-0014.</w:t>
      </w:r>
    </w:p>
    <w:p w:rsidR="00922550" w:rsidRPr="0003393E" w:rsidP="0003393E" w14:paraId="585DE9A7" w14:textId="44281801">
      <w:pPr>
        <w:rPr>
          <w:i/>
          <w:iCs/>
        </w:rPr>
      </w:pPr>
      <w:r>
        <w:rPr>
          <w:sz w:val="20"/>
          <w:szCs w:val="20"/>
        </w:rPr>
        <w:br w:type="column"/>
      </w:r>
      <w:r w:rsidR="0003393E">
        <w:rPr>
          <w:sz w:val="20"/>
          <w:szCs w:val="20"/>
        </w:rPr>
        <w:tab/>
      </w:r>
      <w:r w:rsidR="00ED196A">
        <w:tab/>
      </w:r>
      <w:r w:rsidRPr="0003393E" w:rsidR="00ED196A">
        <w:rPr>
          <w:i/>
          <w:iCs/>
        </w:rPr>
        <w:t xml:space="preserve">12b. Annualized Cost Burden Estimate </w:t>
      </w:r>
    </w:p>
    <w:p w:rsidR="00922550" w14:paraId="25D982E3" w14:textId="77777777">
      <w:pPr>
        <w:spacing w:after="5" w:line="259" w:lineRule="auto"/>
        <w:ind w:left="0" w:right="0" w:firstLine="0"/>
      </w:pPr>
      <w:r>
        <w:t xml:space="preserve"> </w:t>
      </w:r>
    </w:p>
    <w:p w:rsidR="00922550" w14:paraId="247F026D" w14:textId="77777777">
      <w:pPr>
        <w:ind w:left="-5" w:right="0"/>
      </w:pPr>
      <w:r>
        <w:t xml:space="preserve"> </w:t>
      </w:r>
      <w:r>
        <w:tab/>
        <w:t xml:space="preserve">We assume industry labor costs by physicians using an hourly wage rate from U.S. Department of Labor, Bureau of Labor Statistics, as below: </w:t>
      </w:r>
    </w:p>
    <w:p w:rsidR="00922550" w14:paraId="378CDFC6" w14:textId="77777777">
      <w:pPr>
        <w:spacing w:after="0" w:line="259" w:lineRule="auto"/>
        <w:ind w:left="0" w:right="0" w:firstLine="0"/>
      </w:pPr>
      <w:r>
        <w:t xml:space="preserve"> </w:t>
      </w:r>
    </w:p>
    <w:tbl>
      <w:tblPr>
        <w:tblStyle w:val="TableGrid"/>
        <w:tblW w:w="9180" w:type="dxa"/>
        <w:tblInd w:w="0" w:type="dxa"/>
        <w:tblCellMar>
          <w:top w:w="58" w:type="dxa"/>
          <w:left w:w="107" w:type="dxa"/>
          <w:right w:w="115" w:type="dxa"/>
        </w:tblCellMar>
        <w:tblLook w:val="04A0"/>
      </w:tblPr>
      <w:tblGrid>
        <w:gridCol w:w="2853"/>
        <w:gridCol w:w="1783"/>
        <w:gridCol w:w="2365"/>
        <w:gridCol w:w="2179"/>
      </w:tblGrid>
      <w:tr w14:paraId="64D69AC3" w14:textId="77777777">
        <w:tblPrEx>
          <w:tblW w:w="9180" w:type="dxa"/>
          <w:tblInd w:w="0" w:type="dxa"/>
          <w:tblCellMar>
            <w:top w:w="58" w:type="dxa"/>
            <w:left w:w="107" w:type="dxa"/>
            <w:right w:w="115" w:type="dxa"/>
          </w:tblCellMar>
          <w:tblLook w:val="04A0"/>
        </w:tblPrEx>
        <w:trPr>
          <w:trHeight w:val="516"/>
        </w:trPr>
        <w:tc>
          <w:tcPr>
            <w:tcW w:w="2852" w:type="dxa"/>
            <w:tcBorders>
              <w:top w:val="single" w:sz="4" w:space="0" w:color="000000"/>
              <w:left w:val="single" w:sz="4" w:space="0" w:color="000000"/>
              <w:bottom w:val="single" w:sz="4" w:space="0" w:color="000000"/>
              <w:right w:val="single" w:sz="4" w:space="0" w:color="000000"/>
            </w:tcBorders>
          </w:tcPr>
          <w:p w:rsidR="00922550" w14:paraId="3271700B" w14:textId="77777777">
            <w:pPr>
              <w:spacing w:after="0" w:line="259" w:lineRule="auto"/>
              <w:ind w:left="1" w:right="0" w:firstLine="0"/>
            </w:pPr>
            <w:r>
              <w:rPr>
                <w:sz w:val="22"/>
              </w:rPr>
              <w:t xml:space="preserve">Type of Respondent </w:t>
            </w:r>
          </w:p>
        </w:tc>
        <w:tc>
          <w:tcPr>
            <w:tcW w:w="1783" w:type="dxa"/>
            <w:tcBorders>
              <w:top w:val="single" w:sz="4" w:space="0" w:color="000000"/>
              <w:left w:val="single" w:sz="4" w:space="0" w:color="000000"/>
              <w:bottom w:val="single" w:sz="4" w:space="0" w:color="000000"/>
              <w:right w:val="single" w:sz="4" w:space="0" w:color="000000"/>
            </w:tcBorders>
          </w:tcPr>
          <w:p w:rsidR="00922550" w14:paraId="44E429EA" w14:textId="77777777">
            <w:pPr>
              <w:spacing w:after="0" w:line="259" w:lineRule="auto"/>
              <w:ind w:left="1" w:right="0" w:firstLine="0"/>
            </w:pPr>
            <w:r>
              <w:rPr>
                <w:sz w:val="22"/>
              </w:rPr>
              <w:t xml:space="preserve">Total Burden Hours </w:t>
            </w:r>
          </w:p>
        </w:tc>
        <w:tc>
          <w:tcPr>
            <w:tcW w:w="2365" w:type="dxa"/>
            <w:tcBorders>
              <w:top w:val="single" w:sz="4" w:space="0" w:color="000000"/>
              <w:left w:val="single" w:sz="4" w:space="0" w:color="000000"/>
              <w:bottom w:val="single" w:sz="4" w:space="0" w:color="000000"/>
              <w:right w:val="single" w:sz="4" w:space="0" w:color="000000"/>
            </w:tcBorders>
          </w:tcPr>
          <w:p w:rsidR="00922550" w14:paraId="0028E0A3" w14:textId="77777777">
            <w:pPr>
              <w:spacing w:after="0" w:line="259" w:lineRule="auto"/>
              <w:ind w:left="0" w:right="0" w:firstLine="0"/>
            </w:pPr>
            <w:r>
              <w:rPr>
                <w:sz w:val="22"/>
              </w:rPr>
              <w:t xml:space="preserve">Hourly Wage Rate </w:t>
            </w:r>
          </w:p>
        </w:tc>
        <w:tc>
          <w:tcPr>
            <w:tcW w:w="2179" w:type="dxa"/>
            <w:tcBorders>
              <w:top w:val="single" w:sz="4" w:space="0" w:color="000000"/>
              <w:left w:val="single" w:sz="4" w:space="0" w:color="000000"/>
              <w:bottom w:val="single" w:sz="4" w:space="0" w:color="000000"/>
              <w:right w:val="single" w:sz="4" w:space="0" w:color="000000"/>
            </w:tcBorders>
          </w:tcPr>
          <w:p w:rsidR="00922550" w14:paraId="3B3E6C89" w14:textId="77777777">
            <w:pPr>
              <w:spacing w:after="0" w:line="259" w:lineRule="auto"/>
              <w:ind w:left="1" w:right="0" w:firstLine="0"/>
            </w:pPr>
            <w:r>
              <w:rPr>
                <w:sz w:val="22"/>
              </w:rPr>
              <w:t xml:space="preserve">Total Respondent Costs </w:t>
            </w:r>
          </w:p>
        </w:tc>
      </w:tr>
      <w:tr w14:paraId="494606D4" w14:textId="77777777">
        <w:tblPrEx>
          <w:tblW w:w="9180" w:type="dxa"/>
          <w:tblInd w:w="0" w:type="dxa"/>
          <w:tblCellMar>
            <w:top w:w="58" w:type="dxa"/>
            <w:left w:w="107" w:type="dxa"/>
            <w:right w:w="115" w:type="dxa"/>
          </w:tblCellMar>
          <w:tblLook w:val="04A0"/>
        </w:tblPrEx>
        <w:trPr>
          <w:trHeight w:val="263"/>
        </w:trPr>
        <w:tc>
          <w:tcPr>
            <w:tcW w:w="2852" w:type="dxa"/>
            <w:tcBorders>
              <w:top w:val="single" w:sz="4" w:space="0" w:color="000000"/>
              <w:left w:val="single" w:sz="4" w:space="0" w:color="000000"/>
              <w:bottom w:val="single" w:sz="4" w:space="0" w:color="000000"/>
              <w:right w:val="single" w:sz="4" w:space="0" w:color="000000"/>
            </w:tcBorders>
          </w:tcPr>
          <w:p w:rsidR="00922550" w14:paraId="17FC0EA6" w14:textId="77777777">
            <w:pPr>
              <w:spacing w:after="0" w:line="259" w:lineRule="auto"/>
              <w:ind w:left="1" w:right="0" w:firstLine="0"/>
            </w:pPr>
            <w:r>
              <w:rPr>
                <w:sz w:val="22"/>
              </w:rPr>
              <w:t xml:space="preserve">Physicians </w:t>
            </w:r>
          </w:p>
        </w:tc>
        <w:tc>
          <w:tcPr>
            <w:tcW w:w="1783" w:type="dxa"/>
            <w:tcBorders>
              <w:top w:val="single" w:sz="4" w:space="0" w:color="000000"/>
              <w:left w:val="single" w:sz="4" w:space="0" w:color="000000"/>
              <w:bottom w:val="single" w:sz="4" w:space="0" w:color="000000"/>
              <w:right w:val="single" w:sz="4" w:space="0" w:color="000000"/>
            </w:tcBorders>
          </w:tcPr>
          <w:p w:rsidR="00922550" w:rsidP="002154E7" w14:paraId="3BCAA7AF" w14:textId="30E46E29">
            <w:pPr>
              <w:spacing w:after="0" w:line="259" w:lineRule="auto"/>
              <w:ind w:left="4" w:right="0" w:firstLine="0"/>
              <w:jc w:val="center"/>
            </w:pPr>
            <w:r>
              <w:rPr>
                <w:sz w:val="20"/>
                <w:szCs w:val="20"/>
              </w:rPr>
              <w:t>255,326</w:t>
            </w:r>
          </w:p>
        </w:tc>
        <w:tc>
          <w:tcPr>
            <w:tcW w:w="2365" w:type="dxa"/>
            <w:tcBorders>
              <w:top w:val="single" w:sz="4" w:space="0" w:color="000000"/>
              <w:left w:val="single" w:sz="4" w:space="0" w:color="000000"/>
              <w:bottom w:val="single" w:sz="4" w:space="0" w:color="000000"/>
              <w:right w:val="single" w:sz="4" w:space="0" w:color="000000"/>
            </w:tcBorders>
          </w:tcPr>
          <w:p w:rsidR="00922550" w14:paraId="688FB2F2" w14:textId="4C953C74">
            <w:pPr>
              <w:spacing w:after="0" w:line="259" w:lineRule="auto"/>
              <w:ind w:left="2" w:right="0" w:firstLine="0"/>
            </w:pPr>
            <w:r>
              <w:rPr>
                <w:sz w:val="22"/>
              </w:rPr>
              <w:t>$</w:t>
            </w:r>
            <w:r w:rsidR="00B04FC0">
              <w:rPr>
                <w:sz w:val="22"/>
              </w:rPr>
              <w:t>103.06</w:t>
            </w:r>
          </w:p>
        </w:tc>
        <w:tc>
          <w:tcPr>
            <w:tcW w:w="2179" w:type="dxa"/>
            <w:tcBorders>
              <w:top w:val="single" w:sz="4" w:space="0" w:color="000000"/>
              <w:left w:val="single" w:sz="4" w:space="0" w:color="000000"/>
              <w:bottom w:val="single" w:sz="4" w:space="0" w:color="000000"/>
              <w:right w:val="single" w:sz="4" w:space="0" w:color="000000"/>
            </w:tcBorders>
          </w:tcPr>
          <w:p w:rsidR="00922550" w14:paraId="6BD0EDF7" w14:textId="4662F542">
            <w:pPr>
              <w:spacing w:after="0" w:line="259" w:lineRule="auto"/>
              <w:ind w:left="3" w:right="0" w:firstLine="0"/>
            </w:pPr>
            <w:r>
              <w:rPr>
                <w:sz w:val="22"/>
              </w:rPr>
              <w:t>$</w:t>
            </w:r>
            <w:r w:rsidR="00F853EE">
              <w:rPr>
                <w:sz w:val="22"/>
              </w:rPr>
              <w:t>26,313,89</w:t>
            </w:r>
            <w:r w:rsidR="00B64E6F">
              <w:rPr>
                <w:sz w:val="22"/>
              </w:rPr>
              <w:t>7.56</w:t>
            </w:r>
          </w:p>
        </w:tc>
      </w:tr>
    </w:tbl>
    <w:p w:rsidR="00922550" w14:paraId="1E80D4A6" w14:textId="77777777">
      <w:pPr>
        <w:spacing w:after="0" w:line="259" w:lineRule="auto"/>
        <w:ind w:left="0" w:right="0" w:firstLine="0"/>
      </w:pPr>
      <w:r>
        <w:t xml:space="preserve"> </w:t>
      </w:r>
    </w:p>
    <w:p w:rsidR="00922550" w14:paraId="4F6AB1C8" w14:textId="77777777">
      <w:pPr>
        <w:pStyle w:val="Heading2"/>
        <w:ind w:left="-5" w:right="0"/>
      </w:pPr>
      <w:r>
        <w:rPr>
          <w:u w:val="none"/>
        </w:rPr>
        <w:t xml:space="preserve">13.  </w:t>
      </w:r>
      <w:r>
        <w:t>Estimates of Other Total Annual Costs to Respondents and/or Recordkeepers/Capital</w:t>
      </w:r>
      <w:r>
        <w:rPr>
          <w:u w:val="none"/>
        </w:rPr>
        <w:t xml:space="preserve"> </w:t>
      </w:r>
      <w:r>
        <w:t>Costs</w:t>
      </w:r>
      <w:r>
        <w:rPr>
          <w:u w:val="none"/>
        </w:rPr>
        <w:t xml:space="preserve"> </w:t>
      </w:r>
    </w:p>
    <w:p w:rsidR="00922550" w14:paraId="4B331874" w14:textId="77777777">
      <w:pPr>
        <w:spacing w:after="0" w:line="259" w:lineRule="auto"/>
        <w:ind w:left="0" w:right="0" w:firstLine="0"/>
      </w:pPr>
      <w:r>
        <w:t xml:space="preserve"> </w:t>
      </w:r>
    </w:p>
    <w:p w:rsidR="00922550" w14:paraId="023DE8F8" w14:textId="77777777">
      <w:pPr>
        <w:ind w:left="-5" w:right="0"/>
      </w:pPr>
      <w:r>
        <w:t xml:space="preserve">There are no capital, start-up, operating, or maintenance costs associated with this information collection. </w:t>
      </w:r>
    </w:p>
    <w:p w:rsidR="00922550" w14:paraId="1C1F28DE" w14:textId="77777777">
      <w:pPr>
        <w:spacing w:after="0" w:line="259" w:lineRule="auto"/>
        <w:ind w:left="0" w:right="0" w:firstLine="0"/>
      </w:pPr>
      <w:r>
        <w:t xml:space="preserve"> </w:t>
      </w:r>
    </w:p>
    <w:p w:rsidR="00922550" w14:paraId="726F9E05" w14:textId="77777777">
      <w:pPr>
        <w:pStyle w:val="Heading2"/>
        <w:ind w:left="-5" w:right="0"/>
      </w:pPr>
      <w:r>
        <w:rPr>
          <w:u w:val="none"/>
        </w:rPr>
        <w:t xml:space="preserve">14.  </w:t>
      </w:r>
      <w:r>
        <w:t>Annualized Cost to the Federal Government</w:t>
      </w:r>
      <w:r>
        <w:rPr>
          <w:u w:val="none"/>
        </w:rPr>
        <w:t xml:space="preserve"> </w:t>
      </w:r>
    </w:p>
    <w:p w:rsidR="00922550" w14:paraId="3F0E20B3" w14:textId="77777777">
      <w:pPr>
        <w:spacing w:after="0" w:line="259" w:lineRule="auto"/>
        <w:ind w:left="0" w:right="0" w:firstLine="0"/>
      </w:pPr>
      <w:r>
        <w:t xml:space="preserve"> </w:t>
      </w:r>
    </w:p>
    <w:p w:rsidR="00922550" w14:paraId="1C0948AC" w14:textId="63115B40">
      <w:pPr>
        <w:ind w:left="-5" w:right="0"/>
      </w:pPr>
      <w:r>
        <w:t>Review, processing, and responding to applications requires scientific expertise across various disciplines.  Our estimate is based on the submissions we have received since establishing the information collection and the number of burden hours allotted for review of expanded access submissions.  FDA estimates that 67.4 FTEs are required.  Where the cost of each FTE is approximately $175,000 (</w:t>
      </w:r>
      <w:r w:rsidR="00694975">
        <w:t>fully loaded</w:t>
      </w:r>
      <w:r>
        <w:t xml:space="preserve">), the total cost burden to the Federal Government is estimated at $11,795,000. </w:t>
      </w:r>
    </w:p>
    <w:p w:rsidR="00922550" w14:paraId="2B35B990" w14:textId="77777777">
      <w:pPr>
        <w:spacing w:after="0" w:line="259" w:lineRule="auto"/>
        <w:ind w:left="0" w:right="0" w:firstLine="0"/>
      </w:pPr>
      <w:r>
        <w:t xml:space="preserve"> </w:t>
      </w:r>
    </w:p>
    <w:p w:rsidR="00922550" w14:paraId="471CA34D" w14:textId="77777777">
      <w:pPr>
        <w:pStyle w:val="Heading2"/>
        <w:ind w:left="-5" w:right="0"/>
      </w:pPr>
      <w:r>
        <w:rPr>
          <w:u w:val="none"/>
        </w:rPr>
        <w:t xml:space="preserve">15.  </w:t>
      </w:r>
      <w:r>
        <w:t>Explanation for Program Changes or Adjustments</w:t>
      </w:r>
      <w:r>
        <w:rPr>
          <w:u w:val="none"/>
        </w:rPr>
        <w:t xml:space="preserve"> </w:t>
      </w:r>
    </w:p>
    <w:p w:rsidR="00922550" w14:paraId="30B1A095" w14:textId="77777777">
      <w:pPr>
        <w:spacing w:after="0" w:line="259" w:lineRule="auto"/>
        <w:ind w:left="0" w:right="0" w:firstLine="0"/>
      </w:pPr>
      <w:r>
        <w:t xml:space="preserve"> </w:t>
      </w:r>
    </w:p>
    <w:p w:rsidR="00922550" w14:paraId="296A4547" w14:textId="442FA172">
      <w:pPr>
        <w:ind w:left="-5" w:right="0"/>
      </w:pPr>
      <w:r>
        <w:t>We have made no changes</w:t>
      </w:r>
      <w:r w:rsidR="001B66F3">
        <w:t xml:space="preserve"> to the approved burden estimate</w:t>
      </w:r>
      <w:r w:rsidR="0051485C">
        <w:t>, however</w:t>
      </w:r>
      <w:r w:rsidR="003B2D42">
        <w:t xml:space="preserve">, on our own initiative, and for efficiency </w:t>
      </w:r>
      <w:r w:rsidR="003315A0">
        <w:t>of a</w:t>
      </w:r>
      <w:r w:rsidR="003B2D42">
        <w:t>gency operations,</w:t>
      </w:r>
      <w:r w:rsidR="001E32AF">
        <w:t xml:space="preserve"> </w:t>
      </w:r>
      <w:r w:rsidR="0051485C">
        <w:t xml:space="preserve">we </w:t>
      </w:r>
      <w:r w:rsidR="008836A8">
        <w:t>are</w:t>
      </w:r>
      <w:r w:rsidR="00D140EC">
        <w:t xml:space="preserve"> revising Form FDA </w:t>
      </w:r>
      <w:r w:rsidR="002F721E">
        <w:t>3926</w:t>
      </w:r>
      <w:r w:rsidR="001B66F3">
        <w:t xml:space="preserve"> to facilitate the submission of information</w:t>
      </w:r>
      <w:r w:rsidR="00613EB1">
        <w:rPr>
          <w:szCs w:val="24"/>
        </w:rPr>
        <w:t>.</w:t>
      </w:r>
    </w:p>
    <w:p w:rsidR="004D0432" w14:paraId="39953CCF" w14:textId="77777777">
      <w:pPr>
        <w:ind w:left="-5" w:right="0"/>
      </w:pPr>
    </w:p>
    <w:p w:rsidR="00922550" w:rsidRPr="00077F89" w:rsidP="001770A8" w14:paraId="61FBE146" w14:textId="77777777">
      <w:pPr>
        <w:spacing w:after="0" w:line="259" w:lineRule="auto"/>
        <w:ind w:left="0" w:right="0" w:firstLine="0"/>
      </w:pPr>
      <w:r>
        <w:t xml:space="preserve">16.  </w:t>
      </w:r>
      <w:r w:rsidRPr="001770A8">
        <w:rPr>
          <w:u w:val="single"/>
        </w:rPr>
        <w:t xml:space="preserve">Plans for Tabulation and Publication and Project Time Schedule </w:t>
      </w:r>
    </w:p>
    <w:p w:rsidR="00922550" w14:paraId="16FE2A00" w14:textId="0D24564F">
      <w:pPr>
        <w:spacing w:after="18" w:line="259" w:lineRule="auto"/>
        <w:ind w:left="0" w:right="0" w:firstLine="0"/>
      </w:pPr>
      <w:r>
        <w:t xml:space="preserve"> </w:t>
      </w:r>
    </w:p>
    <w:p w:rsidR="00922550" w:rsidP="00D213B8" w14:paraId="2F9E073C" w14:textId="54BF2905">
      <w:pPr>
        <w:spacing w:after="18" w:line="259" w:lineRule="auto"/>
        <w:ind w:left="0" w:right="0" w:firstLine="0"/>
      </w:pPr>
      <w:r>
        <w:t>There is no plan to tabulate or publish data from this information collection.</w:t>
      </w:r>
      <w:r w:rsidR="00ED196A">
        <w:t xml:space="preserve"> </w:t>
      </w:r>
    </w:p>
    <w:p w:rsidR="00922550" w14:paraId="5C885C57" w14:textId="77777777">
      <w:pPr>
        <w:spacing w:after="0" w:line="259" w:lineRule="auto"/>
        <w:ind w:left="0" w:right="0" w:firstLine="0"/>
      </w:pPr>
      <w:r>
        <w:t xml:space="preserve"> </w:t>
      </w:r>
    </w:p>
    <w:p w:rsidR="00922550" w14:paraId="764B63BF" w14:textId="77777777">
      <w:pPr>
        <w:pStyle w:val="Heading2"/>
        <w:ind w:left="-5" w:right="0"/>
      </w:pPr>
      <w:r>
        <w:rPr>
          <w:u w:val="none"/>
        </w:rPr>
        <w:t xml:space="preserve">17.  </w:t>
      </w:r>
      <w:r>
        <w:t>Reason(s) Display of OMB Expiration Date is Inappropriate</w:t>
      </w:r>
      <w:r>
        <w:rPr>
          <w:u w:val="none"/>
        </w:rPr>
        <w:t xml:space="preserve"> </w:t>
      </w:r>
    </w:p>
    <w:p w:rsidR="00922550" w14:paraId="453E970A" w14:textId="77777777">
      <w:pPr>
        <w:spacing w:after="0" w:line="259" w:lineRule="auto"/>
        <w:ind w:left="0" w:right="0" w:firstLine="0"/>
      </w:pPr>
      <w:r>
        <w:t xml:space="preserve"> </w:t>
      </w:r>
    </w:p>
    <w:p w:rsidR="00922550" w:rsidP="001770A8" w14:paraId="0D352FD4" w14:textId="4610DB72">
      <w:pPr>
        <w:pStyle w:val="NormalWeb"/>
        <w:kinsoku w:val="0"/>
        <w:overflowPunct w:val="0"/>
        <w:spacing w:after="0"/>
        <w:textAlignment w:val="baseline"/>
      </w:pPr>
      <w:r>
        <w:t>Display of the OMB expiration date is appropriate and included on</w:t>
      </w:r>
      <w:r w:rsidR="001F6B8F">
        <w:t xml:space="preserve"> </w:t>
      </w:r>
      <w:r w:rsidRPr="001F6B8F">
        <w:t>Form FDA 3</w:t>
      </w:r>
      <w:r w:rsidRPr="001F6B8F" w:rsidR="00AA7B2F">
        <w:t>926</w:t>
      </w:r>
      <w:r w:rsidRPr="001F6B8F">
        <w:t xml:space="preserve">. </w:t>
      </w:r>
      <w:r w:rsidRPr="00C6797B" w:rsidR="001F6B8F">
        <w:rPr>
          <w:rFonts w:eastAsia="+mn-ea" w:cs="Calibri"/>
          <w:kern w:val="24"/>
        </w:rPr>
        <w:t>Consistent with established practice</w:t>
      </w:r>
      <w:r w:rsidR="001F6B8F">
        <w:rPr>
          <w:rFonts w:eastAsia="+mn-ea" w:cs="Calibri"/>
          <w:kern w:val="24"/>
        </w:rPr>
        <w:t>,</w:t>
      </w:r>
      <w:r w:rsidRPr="001F6B8F" w:rsidR="001F6B8F">
        <w:rPr>
          <w:rFonts w:eastAsia="+mn-ea" w:cs="Calibri"/>
          <w:kern w:val="24"/>
          <w:sz w:val="40"/>
          <w:szCs w:val="40"/>
        </w:rPr>
        <w:t xml:space="preserve"> </w:t>
      </w:r>
      <w:r w:rsidRPr="00C6797B" w:rsidR="001F6B8F">
        <w:rPr>
          <w:rFonts w:eastAsia="+mn-ea" w:cs="Calibri"/>
          <w:kern w:val="24"/>
        </w:rPr>
        <w:t xml:space="preserve">FDA will publish a </w:t>
      </w:r>
      <w:r w:rsidRPr="00C6797B" w:rsidR="001F6B8F">
        <w:rPr>
          <w:rFonts w:eastAsia="+mn-ea" w:cs="Calibri"/>
          <w:i/>
          <w:iCs/>
          <w:kern w:val="24"/>
        </w:rPr>
        <w:t>Federal Register</w:t>
      </w:r>
      <w:r w:rsidRPr="00C6797B" w:rsidR="001F6B8F">
        <w:rPr>
          <w:rFonts w:eastAsia="+mn-ea" w:cs="Calibri"/>
          <w:kern w:val="24"/>
        </w:rPr>
        <w:t xml:space="preserve"> notice announcing OMB approval of the information collection associated with</w:t>
      </w:r>
      <w:r w:rsidR="001F6B8F">
        <w:rPr>
          <w:rFonts w:eastAsia="+mn-ea" w:cs="Calibri"/>
          <w:kern w:val="24"/>
        </w:rPr>
        <w:t xml:space="preserve"> all </w:t>
      </w:r>
      <w:r w:rsidRPr="00C6797B" w:rsidR="001F6B8F">
        <w:rPr>
          <w:rFonts w:eastAsia="+mn-ea" w:cs="Calibri"/>
          <w:kern w:val="24"/>
        </w:rPr>
        <w:t>guidance document</w:t>
      </w:r>
      <w:r w:rsidR="001F6B8F">
        <w:rPr>
          <w:rFonts w:eastAsia="+mn-ea" w:cs="Calibri"/>
          <w:kern w:val="24"/>
        </w:rPr>
        <w:t>s</w:t>
      </w:r>
      <w:r w:rsidRPr="00C6797B" w:rsidR="001F6B8F">
        <w:rPr>
          <w:rFonts w:eastAsia="+mn-ea" w:cs="Calibri"/>
          <w:kern w:val="24"/>
        </w:rPr>
        <w:t xml:space="preserve"> and will display in that notice both the OMB control number and </w:t>
      </w:r>
      <w:r w:rsidR="001F6B8F">
        <w:rPr>
          <w:rFonts w:eastAsia="+mn-ea" w:cs="Calibri"/>
          <w:kern w:val="24"/>
        </w:rPr>
        <w:t xml:space="preserve">the </w:t>
      </w:r>
      <w:r w:rsidRPr="00C6797B" w:rsidR="001F6B8F">
        <w:rPr>
          <w:rFonts w:eastAsia="+mn-ea" w:cs="Calibri"/>
          <w:kern w:val="24"/>
        </w:rPr>
        <w:t xml:space="preserve">current expiration date. </w:t>
      </w:r>
      <w:r w:rsidR="001F6B8F">
        <w:rPr>
          <w:rFonts w:eastAsia="+mn-ea" w:cs="Calibri"/>
          <w:kern w:val="24"/>
        </w:rPr>
        <w:t xml:space="preserve"> </w:t>
      </w:r>
      <w:r w:rsidRPr="00C6797B" w:rsidR="001F6B8F">
        <w:rPr>
          <w:rFonts w:eastAsia="+mn-ea" w:cs="Calibri"/>
          <w:kern w:val="24"/>
        </w:rPr>
        <w:t xml:space="preserve">In addition, the OMB control number will be displayed on the guidance document cover page and include a link to </w:t>
      </w:r>
      <w:hyperlink r:id="rId7" w:history="1">
        <w:r w:rsidRPr="00C6797B" w:rsidR="001F6B8F">
          <w:rPr>
            <w:rFonts w:eastAsia="+mn-ea" w:cs="Calibri"/>
            <w:kern w:val="24"/>
            <w:u w:val="single"/>
          </w:rPr>
          <w:t>www.reginfo.gov</w:t>
        </w:r>
      </w:hyperlink>
      <w:r w:rsidRPr="00C6797B" w:rsidR="001F6B8F">
        <w:rPr>
          <w:rFonts w:eastAsia="+mn-ea" w:cs="Calibri"/>
          <w:kern w:val="24"/>
        </w:rPr>
        <w:t xml:space="preserve"> to identify the current expiration date.</w:t>
      </w:r>
    </w:p>
    <w:p w:rsidR="00922550" w14:paraId="4C789FA6" w14:textId="77777777">
      <w:pPr>
        <w:spacing w:after="0" w:line="259" w:lineRule="auto"/>
        <w:ind w:left="0" w:right="0" w:firstLine="0"/>
      </w:pPr>
      <w:r>
        <w:t xml:space="preserve"> </w:t>
      </w:r>
    </w:p>
    <w:p w:rsidR="00922550" w14:paraId="4A916FA8" w14:textId="77777777">
      <w:pPr>
        <w:pStyle w:val="Heading2"/>
        <w:ind w:left="-5" w:right="0"/>
      </w:pPr>
      <w:r>
        <w:rPr>
          <w:u w:val="none"/>
        </w:rPr>
        <w:t xml:space="preserve">18.  </w:t>
      </w:r>
      <w:r>
        <w:t>Exceptions to Certification for Paperwork Reduction Act Submissions</w:t>
      </w:r>
      <w:r>
        <w:rPr>
          <w:u w:val="none"/>
        </w:rPr>
        <w:t xml:space="preserve"> </w:t>
      </w:r>
    </w:p>
    <w:p w:rsidR="00922550" w14:paraId="48755D64" w14:textId="77777777">
      <w:pPr>
        <w:spacing w:after="0" w:line="259" w:lineRule="auto"/>
        <w:ind w:left="0" w:right="0" w:firstLine="0"/>
      </w:pPr>
      <w:r>
        <w:t xml:space="preserve"> </w:t>
      </w:r>
    </w:p>
    <w:p w:rsidR="00922550" w14:paraId="598CAB9B" w14:textId="77777777">
      <w:pPr>
        <w:ind w:left="-5" w:right="0"/>
      </w:pPr>
      <w:r>
        <w:t xml:space="preserve">There are no exceptions to the certification. </w:t>
      </w:r>
    </w:p>
    <w:sectPr>
      <w:headerReference w:type="even" r:id="rId8"/>
      <w:headerReference w:type="default" r:id="rId9"/>
      <w:headerReference w:type="first" r:id="rId10"/>
      <w:footnotePr>
        <w:numRestart w:val="eachPage"/>
      </w:footnotePr>
      <w:pgSz w:w="12240" w:h="15840"/>
      <w:pgMar w:top="1642" w:right="1727" w:bottom="15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34381" w14:paraId="354E15A0" w14:textId="77777777">
      <w:pPr>
        <w:spacing w:after="0" w:line="240" w:lineRule="auto"/>
      </w:pPr>
      <w:r>
        <w:separator/>
      </w:r>
    </w:p>
  </w:endnote>
  <w:endnote w:type="continuationSeparator" w:id="1">
    <w:p w:rsidR="00534381" w14:paraId="189A46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4381" w14:paraId="01500789" w14:textId="77777777">
      <w:pPr>
        <w:spacing w:after="0" w:line="275" w:lineRule="auto"/>
        <w:ind w:left="0" w:right="0" w:firstLine="0"/>
      </w:pPr>
      <w:r>
        <w:separator/>
      </w:r>
    </w:p>
  </w:footnote>
  <w:footnote w:type="continuationSeparator" w:id="1">
    <w:p w:rsidR="00534381" w14:paraId="3C2D2213" w14:textId="77777777">
      <w:pPr>
        <w:spacing w:after="0" w:line="275" w:lineRule="auto"/>
        <w:ind w:left="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550" w14:paraId="70EEEB54" w14:textId="77777777">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rsidR="00922550" w14:paraId="18C6EF47" w14:textId="77777777">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550" w14:paraId="0E179F9F" w14:textId="77777777">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rsidR="00922550" w14:paraId="3B5340A6" w14:textId="77777777">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550" w14:paraId="5956EDC3" w14:textId="0F94A5E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410"/>
    <w:multiLevelType w:val="hybridMultilevel"/>
    <w:tmpl w:val="54C6B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68D2BA1"/>
    <w:multiLevelType w:val="hybridMultilevel"/>
    <w:tmpl w:val="CA720B20"/>
    <w:lvl w:ilvl="0">
      <w:start w:val="1"/>
      <w:numFmt w:val="decimal"/>
      <w:lvlText w:val="%1."/>
      <w:lvlJc w:val="left"/>
      <w:pPr>
        <w:ind w:left="1080" w:hanging="360"/>
      </w:pPr>
      <w:rPr>
        <w:rFonts w:eastAsiaTheme="majorEastAsia" w:hint="default"/>
        <w:color w:val="2F5496" w:themeColor="accent1" w:themeShade="BF"/>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E1852FB"/>
    <w:multiLevelType w:val="hybridMultilevel"/>
    <w:tmpl w:val="4E5EEB22"/>
    <w:lvl w:ilvl="0">
      <w:start w:val="11"/>
      <w:numFmt w:val="decimal"/>
      <w:lvlText w:val="%1."/>
      <w:lvlJc w:val="left"/>
      <w:pPr>
        <w:ind w:left="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24502742">
    <w:abstractNumId w:val="2"/>
  </w:num>
  <w:num w:numId="2" w16cid:durableId="634606551">
    <w:abstractNumId w:val="0"/>
  </w:num>
  <w:num w:numId="3" w16cid:durableId="2061663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removeDateAndTime/>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50"/>
    <w:rsid w:val="00000121"/>
    <w:rsid w:val="00015C6E"/>
    <w:rsid w:val="0001695B"/>
    <w:rsid w:val="0003393E"/>
    <w:rsid w:val="0006339D"/>
    <w:rsid w:val="00077F89"/>
    <w:rsid w:val="000A14B7"/>
    <w:rsid w:val="000A35EA"/>
    <w:rsid w:val="000B7A9E"/>
    <w:rsid w:val="000E6C42"/>
    <w:rsid w:val="001016A0"/>
    <w:rsid w:val="0010342C"/>
    <w:rsid w:val="00124E39"/>
    <w:rsid w:val="001338A0"/>
    <w:rsid w:val="001770A8"/>
    <w:rsid w:val="00177CA0"/>
    <w:rsid w:val="001807AC"/>
    <w:rsid w:val="001B66F3"/>
    <w:rsid w:val="001E32AF"/>
    <w:rsid w:val="001E7E72"/>
    <w:rsid w:val="001F32DA"/>
    <w:rsid w:val="001F6B8F"/>
    <w:rsid w:val="002154E7"/>
    <w:rsid w:val="00226F8C"/>
    <w:rsid w:val="002277A9"/>
    <w:rsid w:val="002476F3"/>
    <w:rsid w:val="00267780"/>
    <w:rsid w:val="0027603D"/>
    <w:rsid w:val="002A1A20"/>
    <w:rsid w:val="002F2AA2"/>
    <w:rsid w:val="002F721E"/>
    <w:rsid w:val="00302FBA"/>
    <w:rsid w:val="00307261"/>
    <w:rsid w:val="003315A0"/>
    <w:rsid w:val="00350204"/>
    <w:rsid w:val="003570D1"/>
    <w:rsid w:val="00385F4D"/>
    <w:rsid w:val="00395779"/>
    <w:rsid w:val="003A72FC"/>
    <w:rsid w:val="003B2D42"/>
    <w:rsid w:val="003C7C74"/>
    <w:rsid w:val="003E4FBD"/>
    <w:rsid w:val="003E6EBB"/>
    <w:rsid w:val="003F7107"/>
    <w:rsid w:val="00407CE3"/>
    <w:rsid w:val="00411CBB"/>
    <w:rsid w:val="004326D3"/>
    <w:rsid w:val="00472EDE"/>
    <w:rsid w:val="004831BA"/>
    <w:rsid w:val="00484C91"/>
    <w:rsid w:val="00486968"/>
    <w:rsid w:val="004A6D78"/>
    <w:rsid w:val="004A7A27"/>
    <w:rsid w:val="004D0432"/>
    <w:rsid w:val="0051485C"/>
    <w:rsid w:val="00534381"/>
    <w:rsid w:val="005375E1"/>
    <w:rsid w:val="005549A8"/>
    <w:rsid w:val="00554E24"/>
    <w:rsid w:val="00570C38"/>
    <w:rsid w:val="00584AD2"/>
    <w:rsid w:val="005A4444"/>
    <w:rsid w:val="005A524B"/>
    <w:rsid w:val="005A5E40"/>
    <w:rsid w:val="005B0176"/>
    <w:rsid w:val="005F179A"/>
    <w:rsid w:val="005F45A2"/>
    <w:rsid w:val="00612685"/>
    <w:rsid w:val="00613EB1"/>
    <w:rsid w:val="006203C7"/>
    <w:rsid w:val="006516DD"/>
    <w:rsid w:val="006713E3"/>
    <w:rsid w:val="00673D74"/>
    <w:rsid w:val="00677065"/>
    <w:rsid w:val="00694975"/>
    <w:rsid w:val="006A45D7"/>
    <w:rsid w:val="006B000C"/>
    <w:rsid w:val="006E0D1D"/>
    <w:rsid w:val="006F4339"/>
    <w:rsid w:val="006F5DAA"/>
    <w:rsid w:val="00735019"/>
    <w:rsid w:val="00764BAC"/>
    <w:rsid w:val="007659C8"/>
    <w:rsid w:val="00781AE0"/>
    <w:rsid w:val="007A5926"/>
    <w:rsid w:val="007B6055"/>
    <w:rsid w:val="007C6668"/>
    <w:rsid w:val="007E5831"/>
    <w:rsid w:val="007F0D09"/>
    <w:rsid w:val="008213D2"/>
    <w:rsid w:val="00824383"/>
    <w:rsid w:val="0085773D"/>
    <w:rsid w:val="00881071"/>
    <w:rsid w:val="008836A8"/>
    <w:rsid w:val="008A3800"/>
    <w:rsid w:val="008A4EF3"/>
    <w:rsid w:val="008B0A1F"/>
    <w:rsid w:val="008D27AE"/>
    <w:rsid w:val="009169DD"/>
    <w:rsid w:val="00922550"/>
    <w:rsid w:val="009569BD"/>
    <w:rsid w:val="00961A7B"/>
    <w:rsid w:val="009973E2"/>
    <w:rsid w:val="009B0A12"/>
    <w:rsid w:val="009B2F70"/>
    <w:rsid w:val="00A444AA"/>
    <w:rsid w:val="00A460E1"/>
    <w:rsid w:val="00A6209E"/>
    <w:rsid w:val="00A81CCE"/>
    <w:rsid w:val="00A96EE1"/>
    <w:rsid w:val="00AA0B33"/>
    <w:rsid w:val="00AA7B2F"/>
    <w:rsid w:val="00AB7454"/>
    <w:rsid w:val="00AD78E9"/>
    <w:rsid w:val="00B0270E"/>
    <w:rsid w:val="00B04FC0"/>
    <w:rsid w:val="00B1239B"/>
    <w:rsid w:val="00B347BC"/>
    <w:rsid w:val="00B371FC"/>
    <w:rsid w:val="00B43E25"/>
    <w:rsid w:val="00B441B1"/>
    <w:rsid w:val="00B4577D"/>
    <w:rsid w:val="00B604D0"/>
    <w:rsid w:val="00B64E6F"/>
    <w:rsid w:val="00B71DCD"/>
    <w:rsid w:val="00B90EEE"/>
    <w:rsid w:val="00B94E8E"/>
    <w:rsid w:val="00BC1DAA"/>
    <w:rsid w:val="00BC484E"/>
    <w:rsid w:val="00BE68EA"/>
    <w:rsid w:val="00BF7DDB"/>
    <w:rsid w:val="00C311A4"/>
    <w:rsid w:val="00C33858"/>
    <w:rsid w:val="00C366C1"/>
    <w:rsid w:val="00C409FA"/>
    <w:rsid w:val="00C44E9F"/>
    <w:rsid w:val="00C61647"/>
    <w:rsid w:val="00C637D6"/>
    <w:rsid w:val="00C6797B"/>
    <w:rsid w:val="00C87517"/>
    <w:rsid w:val="00C90EA9"/>
    <w:rsid w:val="00CC4B05"/>
    <w:rsid w:val="00CC69E4"/>
    <w:rsid w:val="00CD61B9"/>
    <w:rsid w:val="00CE1F70"/>
    <w:rsid w:val="00CF13CA"/>
    <w:rsid w:val="00D07E16"/>
    <w:rsid w:val="00D140EC"/>
    <w:rsid w:val="00D15800"/>
    <w:rsid w:val="00D213B8"/>
    <w:rsid w:val="00D534A0"/>
    <w:rsid w:val="00D54656"/>
    <w:rsid w:val="00D574E3"/>
    <w:rsid w:val="00D66147"/>
    <w:rsid w:val="00D9515C"/>
    <w:rsid w:val="00DB0147"/>
    <w:rsid w:val="00DB030C"/>
    <w:rsid w:val="00E2303C"/>
    <w:rsid w:val="00E35135"/>
    <w:rsid w:val="00E35FEA"/>
    <w:rsid w:val="00E72B71"/>
    <w:rsid w:val="00E94E77"/>
    <w:rsid w:val="00EB0098"/>
    <w:rsid w:val="00EC0FA4"/>
    <w:rsid w:val="00ED196A"/>
    <w:rsid w:val="00ED2FFC"/>
    <w:rsid w:val="00ED5F59"/>
    <w:rsid w:val="00F12059"/>
    <w:rsid w:val="00F50FAD"/>
    <w:rsid w:val="00F73465"/>
    <w:rsid w:val="00F853EE"/>
    <w:rsid w:val="00FA2D3F"/>
    <w:rsid w:val="00FA6FD3"/>
    <w:rsid w:val="00FB3261"/>
    <w:rsid w:val="00FB4A77"/>
    <w:rsid w:val="00FD14A0"/>
    <w:rsid w:val="00FD313E"/>
    <w:rsid w:val="00FD5BC2"/>
    <w:rsid w:val="00FD7D72"/>
    <w:rsid w:val="00FE094A"/>
    <w:rsid w:val="00FF09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1E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right="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i/>
      <w:color w:val="000000"/>
      <w:sz w:val="24"/>
    </w:rPr>
  </w:style>
  <w:style w:type="paragraph" w:styleId="Heading2">
    <w:name w:val="heading 2"/>
    <w:next w:val="Normal"/>
    <w:link w:val="Heading2Char"/>
    <w:uiPriority w:val="9"/>
    <w:unhideWhenUsed/>
    <w:qFormat/>
    <w:pPr>
      <w:keepNext/>
      <w:keepLines/>
      <w:spacing w:after="10" w:line="249" w:lineRule="auto"/>
      <w:ind w:left="10" w:right="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line="275"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E6EBB"/>
    <w:rPr>
      <w:sz w:val="16"/>
      <w:szCs w:val="16"/>
    </w:rPr>
  </w:style>
  <w:style w:type="paragraph" w:styleId="CommentText">
    <w:name w:val="annotation text"/>
    <w:basedOn w:val="Normal"/>
    <w:link w:val="CommentTextChar"/>
    <w:uiPriority w:val="99"/>
    <w:semiHidden/>
    <w:unhideWhenUsed/>
    <w:rsid w:val="003E6EBB"/>
    <w:pPr>
      <w:spacing w:line="240" w:lineRule="auto"/>
    </w:pPr>
    <w:rPr>
      <w:sz w:val="20"/>
      <w:szCs w:val="20"/>
    </w:rPr>
  </w:style>
  <w:style w:type="character" w:customStyle="1" w:styleId="CommentTextChar">
    <w:name w:val="Comment Text Char"/>
    <w:basedOn w:val="DefaultParagraphFont"/>
    <w:link w:val="CommentText"/>
    <w:uiPriority w:val="99"/>
    <w:semiHidden/>
    <w:rsid w:val="003E6EB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E6EBB"/>
    <w:rPr>
      <w:b/>
      <w:bCs/>
    </w:rPr>
  </w:style>
  <w:style w:type="character" w:customStyle="1" w:styleId="CommentSubjectChar">
    <w:name w:val="Comment Subject Char"/>
    <w:basedOn w:val="CommentTextChar"/>
    <w:link w:val="CommentSubject"/>
    <w:uiPriority w:val="99"/>
    <w:semiHidden/>
    <w:rsid w:val="003E6EBB"/>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3E6EBB"/>
    <w:rPr>
      <w:color w:val="0000FF"/>
      <w:u w:val="single"/>
    </w:rPr>
  </w:style>
  <w:style w:type="character" w:styleId="UnresolvedMention">
    <w:name w:val="Unresolved Mention"/>
    <w:basedOn w:val="DefaultParagraphFont"/>
    <w:uiPriority w:val="99"/>
    <w:semiHidden/>
    <w:unhideWhenUsed/>
    <w:rsid w:val="00673D74"/>
    <w:rPr>
      <w:color w:val="605E5C"/>
      <w:shd w:val="clear" w:color="auto" w:fill="E1DFDD"/>
    </w:rPr>
  </w:style>
  <w:style w:type="paragraph" w:styleId="ListParagraph">
    <w:name w:val="List Paragraph"/>
    <w:basedOn w:val="Normal"/>
    <w:uiPriority w:val="34"/>
    <w:qFormat/>
    <w:rsid w:val="006B000C"/>
    <w:pPr>
      <w:ind w:left="720"/>
      <w:contextualSpacing/>
    </w:pPr>
  </w:style>
  <w:style w:type="paragraph" w:styleId="NormalWeb">
    <w:name w:val="Normal (Web)"/>
    <w:basedOn w:val="Normal"/>
    <w:uiPriority w:val="99"/>
    <w:unhideWhenUsed/>
    <w:rsid w:val="001F6B8F"/>
    <w:rPr>
      <w:szCs w:val="24"/>
    </w:rPr>
  </w:style>
  <w:style w:type="paragraph" w:styleId="Footer">
    <w:name w:val="footer"/>
    <w:basedOn w:val="Normal"/>
    <w:link w:val="FooterChar"/>
    <w:uiPriority w:val="99"/>
    <w:unhideWhenUsed/>
    <w:rsid w:val="00BF7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DDB"/>
    <w:rPr>
      <w:rFonts w:ascii="Times New Roman" w:eastAsia="Times New Roman" w:hAnsi="Times New Roman" w:cs="Times New Roman"/>
      <w:color w:val="000000"/>
      <w:sz w:val="24"/>
    </w:rPr>
  </w:style>
  <w:style w:type="paragraph" w:styleId="NoSpacing">
    <w:name w:val="No Spacing"/>
    <w:basedOn w:val="Normal"/>
    <w:uiPriority w:val="1"/>
    <w:qFormat/>
    <w:rsid w:val="002F2AA2"/>
    <w:pPr>
      <w:spacing w:after="0" w:line="240" w:lineRule="auto"/>
      <w:ind w:left="0" w:right="0" w:firstLine="0"/>
    </w:pPr>
    <w:rPr>
      <w:rFonts w:ascii="Calibri" w:hAnsi="Calibri" w:eastAsiaTheme="minorHAnsi" w:cs="Calibri"/>
      <w:color w:val="auto"/>
      <w:sz w:val="22"/>
    </w:rPr>
  </w:style>
  <w:style w:type="character" w:styleId="FollowedHyperlink">
    <w:name w:val="FollowedHyperlink"/>
    <w:basedOn w:val="DefaultParagraphFont"/>
    <w:uiPriority w:val="99"/>
    <w:semiHidden/>
    <w:unhideWhenUsed/>
    <w:rsid w:val="00D213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fda.gov/news-events/public-health-focus/expanded-access" TargetMode="External" /><Relationship Id="rId7" Type="http://schemas.openxmlformats.org/officeDocument/2006/relationships/hyperlink" Target="http://www.reginf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2023-09-06T19:08:00Z</dcterms:created>
  <dcterms:modified xsi:type="dcterms:W3CDTF">2023-09-06T19:32:00Z</dcterms:modified>
</cp:coreProperties>
</file>