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327EC" w:rsidRPr="00D10B33" w:rsidP="00F33F83" w14:paraId="48E18B54" w14:textId="77777777">
      <w:pPr>
        <w:jc w:val="center"/>
      </w:pPr>
      <w:r w:rsidRPr="00D10B33">
        <w:t>UNITED STATES FOOD AND DRUG ADMINISTRATION</w:t>
      </w:r>
    </w:p>
    <w:p w:rsidR="00251D51" w:rsidRPr="00D10B33" w:rsidP="00F33F83" w14:paraId="0FAAF73A" w14:textId="77777777">
      <w:pPr>
        <w:jc w:val="center"/>
      </w:pPr>
    </w:p>
    <w:p w:rsidR="00A04DA5" w:rsidP="00F33F83" w14:paraId="2CDB1A27" w14:textId="77777777">
      <w:pPr>
        <w:jc w:val="center"/>
      </w:pPr>
      <w:r w:rsidRPr="00D10B33">
        <w:t>Administrative Practices and Procedures</w:t>
      </w:r>
      <w:r>
        <w:t xml:space="preserve">; </w:t>
      </w:r>
    </w:p>
    <w:p w:rsidR="00A04DA5" w:rsidP="00F33F83" w14:paraId="6C8718D7" w14:textId="77777777">
      <w:pPr>
        <w:jc w:val="center"/>
      </w:pPr>
      <w:r>
        <w:t>Formal Hearings</w:t>
      </w:r>
    </w:p>
    <w:p w:rsidR="002B1E0C" w:rsidRPr="00D10B33" w:rsidP="00F33F83" w14:paraId="15D0E5AC" w14:textId="7138C798">
      <w:pPr>
        <w:jc w:val="center"/>
      </w:pPr>
    </w:p>
    <w:p w:rsidR="00767ACC" w:rsidRPr="007F2BDB" w:rsidP="00F33F83" w14:paraId="0A07AAD0" w14:textId="77777777">
      <w:pPr>
        <w:jc w:val="center"/>
        <w:rPr>
          <w:u w:val="single"/>
        </w:rPr>
      </w:pPr>
      <w:r w:rsidRPr="007F2BDB">
        <w:rPr>
          <w:u w:val="single"/>
        </w:rPr>
        <w:t xml:space="preserve">OMB Control No. </w:t>
      </w:r>
      <w:r w:rsidRPr="007F2BDB">
        <w:rPr>
          <w:u w:val="single"/>
        </w:rPr>
        <w:t>0910-0191</w:t>
      </w:r>
      <w:r w:rsidRPr="007F2BDB" w:rsidR="007F2BDB">
        <w:rPr>
          <w:u w:val="single"/>
        </w:rPr>
        <w:t xml:space="preserve"> - Revision</w:t>
      </w:r>
      <w:r w:rsidRPr="007F2BDB">
        <w:rPr>
          <w:u w:val="single"/>
        </w:rPr>
        <w:br/>
      </w:r>
    </w:p>
    <w:p w:rsidR="008327EC" w:rsidRPr="00D10B33" w:rsidP="00F33F83" w14:paraId="6330B14C" w14:textId="77777777"/>
    <w:p w:rsidR="00767ACC" w:rsidRPr="00D10B33" w:rsidP="00F33F83" w14:paraId="5E0E923D" w14:textId="77777777">
      <w:r w:rsidRPr="00D10B33">
        <w:t>SUPPORTING STATEMENT</w:t>
      </w:r>
      <w:r w:rsidRPr="00D10B33" w:rsidR="00251D51">
        <w:t xml:space="preserve"> – </w:t>
      </w:r>
      <w:r w:rsidRPr="007F2BDB" w:rsidR="00251D51">
        <w:rPr>
          <w:b/>
        </w:rPr>
        <w:t xml:space="preserve">Part </w:t>
      </w:r>
      <w:r w:rsidRPr="007F2BDB" w:rsidR="008327EC">
        <w:rPr>
          <w:b/>
        </w:rPr>
        <w:t>A:  Justification</w:t>
      </w:r>
      <w:r w:rsidRPr="00D10B33" w:rsidR="008327EC">
        <w:t xml:space="preserve"> </w:t>
      </w:r>
    </w:p>
    <w:p w:rsidR="00767ACC" w:rsidRPr="00D10B33" w:rsidP="00F33F83" w14:paraId="700D21FF" w14:textId="77777777"/>
    <w:p w:rsidR="00767ACC" w:rsidRPr="00D10B33" w:rsidP="00F33F83" w14:paraId="42DE2CCC" w14:textId="77777777">
      <w:r>
        <w:t xml:space="preserve">1.  </w:t>
      </w:r>
      <w:r w:rsidRPr="007F2BDB">
        <w:rPr>
          <w:u w:val="single"/>
        </w:rPr>
        <w:t xml:space="preserve">Circumstances </w:t>
      </w:r>
      <w:r w:rsidRPr="007F2BDB" w:rsidR="003E00A1">
        <w:rPr>
          <w:u w:val="single"/>
        </w:rPr>
        <w:t>Making the Collection of Information Necessary</w:t>
      </w:r>
    </w:p>
    <w:p w:rsidR="00767ACC" w:rsidRPr="00D10B33" w:rsidP="00F33F83" w14:paraId="60695D02" w14:textId="77777777"/>
    <w:p w:rsidR="00F948E6" w:rsidP="00F33F83" w14:paraId="4521F9D5" w14:textId="67AC7959">
      <w:r w:rsidRPr="00D10B33">
        <w:t>This information collection supports Food and Drug Administration (</w:t>
      </w:r>
      <w:r w:rsidRPr="00D10B33" w:rsidR="00DB6C1C">
        <w:t xml:space="preserve">FDA, </w:t>
      </w:r>
      <w:r w:rsidR="007F2BDB">
        <w:t xml:space="preserve">the agency, </w:t>
      </w:r>
      <w:r w:rsidRPr="00D10B33" w:rsidR="00DB6C1C">
        <w:t>us or we</w:t>
      </w:r>
      <w:r w:rsidRPr="00D10B33">
        <w:t>) regulations</w:t>
      </w:r>
      <w:r w:rsidRPr="00D10B33" w:rsidR="007E3FB9">
        <w:t xml:space="preserve"> </w:t>
      </w:r>
      <w:r w:rsidRPr="00D10B33" w:rsidR="00D10B33">
        <w:t>found in 21 CFR Part</w:t>
      </w:r>
      <w:r w:rsidR="0061650B">
        <w:t xml:space="preserve"> </w:t>
      </w:r>
      <w:r w:rsidRPr="00D10B33" w:rsidR="00D10B33">
        <w:t>10</w:t>
      </w:r>
      <w:r w:rsidR="0061650B">
        <w:t xml:space="preserve">, 21 CFR Parts 12 </w:t>
      </w:r>
      <w:r w:rsidRPr="00D10B33" w:rsidR="00D10B33">
        <w:t xml:space="preserve">through 16, and </w:t>
      </w:r>
      <w:r w:rsidR="0061650B">
        <w:t xml:space="preserve">21 CFR </w:t>
      </w:r>
      <w:r w:rsidRPr="00D10B33" w:rsidR="00D10B33">
        <w:t>Part 19 (21 CFR §§ 10</w:t>
      </w:r>
      <w:r w:rsidR="0061650B">
        <w:t>, 12-</w:t>
      </w:r>
      <w:r w:rsidRPr="00D10B33" w:rsidR="00D10B33">
        <w:t>16, and 19)</w:t>
      </w:r>
      <w:r w:rsidR="00CD517B">
        <w:t>,</w:t>
      </w:r>
      <w:r w:rsidR="00CB427E">
        <w:t xml:space="preserve"> </w:t>
      </w:r>
      <w:r w:rsidR="00CD517B">
        <w:t xml:space="preserve">which </w:t>
      </w:r>
      <w:r w:rsidR="00CB427E">
        <w:t>i</w:t>
      </w:r>
      <w:r w:rsidR="00E417D1">
        <w:t>mplement general provisions of the Federal Food, Drug, and Cosmetic Act</w:t>
      </w:r>
      <w:r w:rsidR="00CD517B">
        <w:t xml:space="preserve"> (FD&amp;C Act)</w:t>
      </w:r>
      <w:r w:rsidRPr="00D10B33" w:rsidR="00D10B33">
        <w:t xml:space="preserve">.  The regulations </w:t>
      </w:r>
      <w:r w:rsidR="00CD517B">
        <w:t xml:space="preserve">were promulgated </w:t>
      </w:r>
      <w:r w:rsidR="0061650B">
        <w:t xml:space="preserve">in accordance with the Administrative Procedures Act and </w:t>
      </w:r>
      <w:r w:rsidR="00CD517B">
        <w:t>establish</w:t>
      </w:r>
      <w:r w:rsidR="001F67FF">
        <w:t xml:space="preserve"> </w:t>
      </w:r>
      <w:r w:rsidR="00132872">
        <w:t>administrative practice and procedures</w:t>
      </w:r>
      <w:r w:rsidR="0061650B">
        <w:t xml:space="preserve"> to</w:t>
      </w:r>
      <w:r w:rsidR="00132872">
        <w:t xml:space="preserve"> give instructions to those conducting business with FDA.  Regulations in part 10 (21 CFR Part 10) describe </w:t>
      </w:r>
      <w:r w:rsidR="007F2BDB">
        <w:t xml:space="preserve">general administrative practices </w:t>
      </w:r>
      <w:r w:rsidR="001F1C00">
        <w:t xml:space="preserve">and </w:t>
      </w:r>
      <w:r w:rsidR="0061650B">
        <w:t>includ</w:t>
      </w:r>
      <w:r w:rsidR="001F1C00">
        <w:t xml:space="preserve">e content and format instruction </w:t>
      </w:r>
      <w:r w:rsidR="00A17E3E">
        <w:t xml:space="preserve"> </w:t>
      </w:r>
      <w:r w:rsidR="001F1C00">
        <w:t>on</w:t>
      </w:r>
      <w:r w:rsidR="0061650B">
        <w:t xml:space="preserve"> </w:t>
      </w:r>
      <w:r w:rsidR="001F1C00">
        <w:t xml:space="preserve">submitting information to the </w:t>
      </w:r>
      <w:r w:rsidR="0061650B">
        <w:t>agency, petitions for agency action, an</w:t>
      </w:r>
      <w:r w:rsidR="001F1C00">
        <w:t xml:space="preserve">d other topics such as </w:t>
      </w:r>
      <w:r w:rsidR="00C722CF">
        <w:t>the public calendar</w:t>
      </w:r>
      <w:r w:rsidR="0061650B">
        <w:t>.  Regulations in 21 CFR parts 12 through 16 cover formal evidentiary, public, and regulatory hearings.</w:t>
      </w:r>
      <w:r w:rsidR="001F1C00">
        <w:t xml:space="preserve">  </w:t>
      </w:r>
      <w:r>
        <w:t xml:space="preserve">We </w:t>
      </w:r>
      <w:r w:rsidR="00B914B0">
        <w:t xml:space="preserve">also </w:t>
      </w:r>
      <w:r>
        <w:t xml:space="preserve">account for burden associated with waiver requests under </w:t>
      </w:r>
      <w:r w:rsidR="003778C9">
        <w:t xml:space="preserve">21 CFR </w:t>
      </w:r>
      <w:r w:rsidR="00C10795">
        <w:t xml:space="preserve">part </w:t>
      </w:r>
      <w:r>
        <w:t xml:space="preserve">10.19.  </w:t>
      </w:r>
      <w:r w:rsidRPr="00C10795" w:rsidR="00C10795">
        <w:t>Unless a waiver, suspension, or modification submitted under §</w:t>
      </w:r>
      <w:r w:rsidR="003778C9">
        <w:t> </w:t>
      </w:r>
      <w:r w:rsidRPr="00C10795" w:rsidR="00C10795">
        <w:t xml:space="preserve">10.19 (21 CFR 10.19) is granted by the Commissioner of Food and Drugs (the Commissioner), the regulations in 21 CFR part 10 apply to all petitions, hearings, and other administrative proceedings and activities conducted by FDA.  </w:t>
      </w:r>
      <w:r w:rsidR="003778C9">
        <w:t xml:space="preserve">Although </w:t>
      </w:r>
      <w:r w:rsidRPr="00C10795" w:rsidR="00C10795">
        <w:t>we have not received requests under § 10.19, to reflect the attendant burden resulting from submitting such a request, we provide an estimate of 1 response and 1 burden hour annually</w:t>
      </w:r>
      <w:r w:rsidR="00C10795">
        <w:t xml:space="preserve">, as reflected in </w:t>
      </w:r>
      <w:r w:rsidR="00BC4F55">
        <w:t xml:space="preserve">Question-12 of </w:t>
      </w:r>
      <w:r w:rsidR="00C10795">
        <w:t>this supporting statement</w:t>
      </w:r>
      <w:r w:rsidRPr="00C10795" w:rsidR="00C10795">
        <w:t>.</w:t>
      </w:r>
      <w:r w:rsidR="00C10795">
        <w:t xml:space="preserve">  </w:t>
      </w:r>
      <w:r>
        <w:t xml:space="preserve">Also, because </w:t>
      </w:r>
      <w:r w:rsidR="0061650B">
        <w:t xml:space="preserve">most information associated with regulations </w:t>
      </w:r>
      <w:r w:rsidR="00F33F83">
        <w:t xml:space="preserve">in parts 12-16 </w:t>
      </w:r>
      <w:r>
        <w:t>is obtained during the conduct of an official administrative action as described under 5 CFR 1320.4</w:t>
      </w:r>
      <w:r w:rsidR="00F33F83">
        <w:t xml:space="preserve">, </w:t>
      </w:r>
      <w:r>
        <w:t xml:space="preserve">we only include burden associated with </w:t>
      </w:r>
      <w:r w:rsidR="00C722CF">
        <w:t xml:space="preserve">initiating </w:t>
      </w:r>
      <w:r>
        <w:t xml:space="preserve">hearings </w:t>
      </w:r>
      <w:r w:rsidR="00F33F83">
        <w:t>pursuant to the applicable regulations</w:t>
      </w:r>
      <w:r>
        <w:t>.</w:t>
      </w:r>
    </w:p>
    <w:p w:rsidR="009B2D74" w:rsidP="00F33F83" w14:paraId="437A2DA1" w14:textId="77777777"/>
    <w:p w:rsidR="009B2D74" w:rsidP="00F33F83" w14:paraId="41355DBE" w14:textId="47F15B6A">
      <w:r>
        <w:t xml:space="preserve">The information collection also includes activities and </w:t>
      </w:r>
      <w:r>
        <w:t xml:space="preserve">burden associated with </w:t>
      </w:r>
      <w:r w:rsidR="008F38F6">
        <w:t xml:space="preserve">general meeting requests </w:t>
      </w:r>
      <w:r w:rsidR="00A04DA5">
        <w:t xml:space="preserve">and correspondence </w:t>
      </w:r>
      <w:r w:rsidR="00B137DF">
        <w:t xml:space="preserve">submitted </w:t>
      </w:r>
      <w:r w:rsidR="008F38F6">
        <w:t>under section 10.65 (21 CFR 10.65)</w:t>
      </w:r>
      <w:r w:rsidR="00BF34D8">
        <w:t xml:space="preserve">, as well </w:t>
      </w:r>
      <w:r w:rsidR="008F38F6">
        <w:t xml:space="preserve">and </w:t>
      </w:r>
      <w:r w:rsidR="00A04DA5">
        <w:t xml:space="preserve">general submissions associated with </w:t>
      </w:r>
      <w:r>
        <w:t>s</w:t>
      </w:r>
      <w:r w:rsidRPr="009B2D74">
        <w:t>ection 10.115</w:t>
      </w:r>
      <w:r w:rsidR="00BF34D8">
        <w:t xml:space="preserve"> – which </w:t>
      </w:r>
      <w:r w:rsidRPr="009B2D74">
        <w:t xml:space="preserve">provides for public </w:t>
      </w:r>
      <w:r w:rsidR="00A04DA5">
        <w:t xml:space="preserve">participation in the development of agency </w:t>
      </w:r>
      <w:r w:rsidRPr="009B2D74">
        <w:t xml:space="preserve">guidance documents </w:t>
      </w:r>
      <w:r w:rsidR="00A04DA5">
        <w:t xml:space="preserve">through requests to </w:t>
      </w:r>
      <w:r w:rsidRPr="009B2D74">
        <w:t xml:space="preserve">our Dockets Management Staff.  Although most submissions and attendant burden associated with recommendations found in FDA guidance documents is accounted for in </w:t>
      </w:r>
      <w:r>
        <w:t xml:space="preserve">topic-specific and approved ICRs, </w:t>
      </w:r>
      <w:r w:rsidRPr="009B2D74">
        <w:t xml:space="preserve">here we account for burden associated with general public submissions as described in § 10.115(f)(3).  </w:t>
      </w:r>
    </w:p>
    <w:p w:rsidR="002D66D8" w:rsidP="00F33F83" w14:paraId="375A1D36" w14:textId="77777777"/>
    <w:p w:rsidR="002D66D8" w:rsidP="00406CC0" w14:paraId="5F391291" w14:textId="3408C81C">
      <w:r>
        <w:t xml:space="preserve">The information collection also includes </w:t>
      </w:r>
      <w:r w:rsidR="008F025C">
        <w:t xml:space="preserve">burden associated with </w:t>
      </w:r>
      <w:r w:rsidR="00D50CA6">
        <w:t xml:space="preserve">recommendations discussed in </w:t>
      </w:r>
      <w:r w:rsidR="008F025C">
        <w:t xml:space="preserve">the </w:t>
      </w:r>
      <w:r>
        <w:t xml:space="preserve">guidance </w:t>
      </w:r>
      <w:r w:rsidR="008F025C">
        <w:t xml:space="preserve">document </w:t>
      </w:r>
      <w:r>
        <w:t xml:space="preserve">entitled, </w:t>
      </w:r>
      <w:bookmarkStart w:id="0" w:name="_Hlk41801172"/>
      <w:r w:rsidRPr="002D66D8">
        <w:t>“</w:t>
      </w:r>
      <w:r w:rsidRPr="002D66D8">
        <w:rPr>
          <w:i/>
        </w:rPr>
        <w:t>Citizen Petitions and Petitions for Stay of Action Subject to Section 505(q) of the Federal Food, Drug, and Cosmetic Act.”</w:t>
      </w:r>
      <w:bookmarkEnd w:id="0"/>
      <w:r w:rsidR="009C7AA5">
        <w:rPr>
          <w:i/>
        </w:rPr>
        <w:t xml:space="preserve">  </w:t>
      </w:r>
      <w:r w:rsidR="00406CC0">
        <w:t xml:space="preserve">The guidance </w:t>
      </w:r>
      <w:r w:rsidR="00C722CF">
        <w:t xml:space="preserve">document </w:t>
      </w:r>
      <w:r w:rsidR="00F755BF">
        <w:t xml:space="preserve">communicates </w:t>
      </w:r>
      <w:r w:rsidR="008F025C">
        <w:t xml:space="preserve">FDA’s </w:t>
      </w:r>
      <w:r w:rsidRPr="00C722CF" w:rsidR="00C722CF">
        <w:t>interpret</w:t>
      </w:r>
      <w:r w:rsidR="008F025C">
        <w:t>ation of</w:t>
      </w:r>
      <w:r w:rsidRPr="00C722CF" w:rsidR="00C722CF">
        <w:t xml:space="preserve"> section 505(q) of the Federal Food, Drug, and </w:t>
      </w:r>
      <w:r w:rsidRPr="00C722CF" w:rsidR="00C722CF">
        <w:t>Cosmetic Act (FD&amp;C Act) (21 U.S.C. 355(q))</w:t>
      </w:r>
      <w:r w:rsidR="0021355B">
        <w:t xml:space="preserve">:  </w:t>
      </w:r>
      <w:r w:rsidRPr="00350DB0" w:rsidR="00350DB0">
        <w:rPr>
          <w:i/>
          <w:iCs/>
        </w:rPr>
        <w:t>Petitions and Civil Actions Regarding Approval of Certain Applications</w:t>
      </w:r>
      <w:r w:rsidR="009C7AA5">
        <w:t>.  The g</w:t>
      </w:r>
      <w:r w:rsidR="004818C5">
        <w:t xml:space="preserve">uidance </w:t>
      </w:r>
      <w:r w:rsidR="003B56FE">
        <w:t>identifies</w:t>
      </w:r>
      <w:r w:rsidR="00AD4A63">
        <w:t xml:space="preserve"> </w:t>
      </w:r>
      <w:r w:rsidR="00CF67D5">
        <w:t xml:space="preserve">and discusses </w:t>
      </w:r>
      <w:r w:rsidR="00AD4A63">
        <w:t xml:space="preserve">submission </w:t>
      </w:r>
      <w:r w:rsidR="00CF67D5">
        <w:t xml:space="preserve">elements including </w:t>
      </w:r>
      <w:r w:rsidRPr="00C722CF" w:rsidR="00C722CF">
        <w:t>certification</w:t>
      </w:r>
      <w:r w:rsidR="00711BD5">
        <w:t xml:space="preserve">, as well as verification of </w:t>
      </w:r>
      <w:r w:rsidRPr="00C722CF" w:rsidR="00C722CF">
        <w:t>supplemental information</w:t>
      </w:r>
      <w:r w:rsidR="00795C03">
        <w:t xml:space="preserve">.  </w:t>
      </w:r>
      <w:r w:rsidRPr="00C722CF" w:rsidR="00C722CF">
        <w:t xml:space="preserve">It also addresses the relationship between the review of petitions and pending ANDAs, 505(b)(2) applications, and 351(k) applications for which </w:t>
      </w:r>
      <w:r w:rsidR="001F1C00">
        <w:t xml:space="preserve">a decision on approvability </w:t>
      </w:r>
      <w:r w:rsidRPr="00C722CF" w:rsidR="00C722CF">
        <w:t>has not yet made.</w:t>
      </w:r>
      <w:r w:rsidR="001D762C">
        <w:t xml:space="preserve"> </w:t>
      </w:r>
    </w:p>
    <w:p w:rsidR="00A960B4" w:rsidP="00406CC0" w14:paraId="4FF1A938" w14:textId="04F5BB63"/>
    <w:p w:rsidR="00EC00C7" w:rsidP="00984630" w14:paraId="5166E28D" w14:textId="3A87FEBA">
      <w:r>
        <w:t>We are revising the information collection to include</w:t>
      </w:r>
      <w:r w:rsidR="00DF6545">
        <w:t xml:space="preserve"> requests for </w:t>
      </w:r>
      <w:r w:rsidR="00904C0B">
        <w:t>FDA speakers.  As communicated on our website</w:t>
      </w:r>
      <w:r w:rsidR="00704D20">
        <w:t xml:space="preserve"> at</w:t>
      </w:r>
      <w:r w:rsidR="00ED3B81">
        <w:t xml:space="preserve"> </w:t>
      </w:r>
      <w:hyperlink r:id="rId5" w:history="1">
        <w:r w:rsidRPr="0051590F" w:rsidR="00ED3B81">
          <w:rPr>
            <w:rStyle w:val="Hyperlink"/>
          </w:rPr>
          <w:t>https://www.fda.gov/training-and-continuing-education/contacts-requesting-fda-speaker</w:t>
        </w:r>
      </w:hyperlink>
      <w:r w:rsidR="00FE39E4">
        <w:t xml:space="preserve">, </w:t>
      </w:r>
      <w:r w:rsidR="00984630">
        <w:t>FDA receives thousands of requests each year from trade associations and industry-based groups for speakers to participate in external meetings, conferences, and workshops</w:t>
      </w:r>
      <w:r>
        <w:t xml:space="preserve">.  To facilitate </w:t>
      </w:r>
      <w:r w:rsidR="00A1424B">
        <w:t xml:space="preserve">the </w:t>
      </w:r>
      <w:r>
        <w:t>processing of these requests and determine participation, we have designat</w:t>
      </w:r>
      <w:r w:rsidR="00A1424B">
        <w:t>e</w:t>
      </w:r>
      <w:r>
        <w:t>d contacts througho</w:t>
      </w:r>
      <w:r w:rsidR="00A1424B">
        <w:t xml:space="preserve">ut the agency and </w:t>
      </w:r>
      <w:r w:rsidR="00920C8E">
        <w:t xml:space="preserve">have </w:t>
      </w:r>
      <w:r w:rsidR="00B916D3">
        <w:t>developed</w:t>
      </w:r>
      <w:r w:rsidR="00EC4B70">
        <w:t xml:space="preserve"> web-based </w:t>
      </w:r>
      <w:r w:rsidR="00B916D3">
        <w:t>request</w:t>
      </w:r>
      <w:r w:rsidR="00EC4B70">
        <w:t xml:space="preserve"> </w:t>
      </w:r>
      <w:r w:rsidR="009F5EA8">
        <w:t>templates as follows:</w:t>
      </w:r>
    </w:p>
    <w:p w:rsidR="009F5EA8" w:rsidP="00984630" w14:paraId="2A6A2F27" w14:textId="469FA370"/>
    <w:p w:rsidR="00213330" w:rsidP="00213330" w14:paraId="7108D89B" w14:textId="138362A2">
      <w:pPr>
        <w:rPr>
          <w:b/>
          <w:bCs/>
        </w:rPr>
      </w:pPr>
      <w:r w:rsidRPr="00213330">
        <w:rPr>
          <w:b/>
          <w:bCs/>
        </w:rPr>
        <w:t>To request cross-agency speakers from FDA:</w:t>
      </w:r>
    </w:p>
    <w:p w:rsidR="003B50A2" w:rsidRPr="00213330" w:rsidP="00213330" w14:paraId="326B9BF9" w14:textId="77777777">
      <w:pPr>
        <w:rPr>
          <w:b/>
          <w:bCs/>
        </w:rPr>
      </w:pPr>
    </w:p>
    <w:p w:rsidR="00213330" w:rsidRPr="00213330" w:rsidP="00213330" w14:paraId="7B6AA34C" w14:textId="77777777">
      <w:pPr>
        <w:numPr>
          <w:ilvl w:val="0"/>
          <w:numId w:val="7"/>
        </w:numPr>
      </w:pPr>
      <w:hyperlink r:id="rId6" w:history="1">
        <w:r w:rsidRPr="00213330">
          <w:rPr>
            <w:rStyle w:val="Hyperlink"/>
          </w:rPr>
          <w:t>How to submit cross-agency requests</w:t>
        </w:r>
      </w:hyperlink>
    </w:p>
    <w:p w:rsidR="00213330" w:rsidP="00213330" w14:paraId="45079784" w14:textId="654B5EFF">
      <w:pPr>
        <w:numPr>
          <w:ilvl w:val="0"/>
          <w:numId w:val="7"/>
        </w:numPr>
      </w:pPr>
      <w:hyperlink r:id="rId7" w:history="1">
        <w:r w:rsidRPr="00213330">
          <w:rPr>
            <w:rStyle w:val="Hyperlink"/>
          </w:rPr>
          <w:t>Requesting cross-agency speakers from FDA</w:t>
        </w:r>
      </w:hyperlink>
    </w:p>
    <w:p w:rsidR="003B50A2" w:rsidRPr="00213330" w:rsidP="003B50A2" w14:paraId="178837AD" w14:textId="77777777">
      <w:pPr>
        <w:ind w:left="720"/>
      </w:pPr>
    </w:p>
    <w:p w:rsidR="00213330" w:rsidP="00213330" w14:paraId="4F4C7500" w14:textId="1D17F60D">
      <w:pPr>
        <w:rPr>
          <w:b/>
          <w:bCs/>
        </w:rPr>
      </w:pPr>
      <w:r w:rsidRPr="00213330">
        <w:rPr>
          <w:b/>
          <w:bCs/>
        </w:rPr>
        <w:t>To request an FDA speaker from one of our centers or offices:</w:t>
      </w:r>
    </w:p>
    <w:p w:rsidR="003B50A2" w:rsidRPr="00213330" w:rsidP="00213330" w14:paraId="3B4724F1" w14:textId="77777777">
      <w:pPr>
        <w:rPr>
          <w:b/>
          <w:bCs/>
        </w:rPr>
      </w:pPr>
    </w:p>
    <w:p w:rsidR="00213330" w:rsidP="00213330" w14:paraId="433156DE" w14:textId="336111AF">
      <w:pPr>
        <w:rPr>
          <w:b/>
          <w:bCs/>
        </w:rPr>
      </w:pPr>
      <w:r w:rsidRPr="00213330">
        <w:rPr>
          <w:b/>
          <w:bCs/>
        </w:rPr>
        <w:t>Center for Biologics Evaluation and Research</w:t>
      </w:r>
    </w:p>
    <w:p w:rsidR="003B50A2" w:rsidRPr="00213330" w:rsidP="00213330" w14:paraId="2DF04223" w14:textId="77777777"/>
    <w:p w:rsidR="00213330" w:rsidRPr="00213330" w:rsidP="00213330" w14:paraId="56DE62A1" w14:textId="77777777">
      <w:pPr>
        <w:numPr>
          <w:ilvl w:val="0"/>
          <w:numId w:val="8"/>
        </w:numPr>
      </w:pPr>
      <w:hyperlink r:id="rId8" w:history="1">
        <w:r w:rsidRPr="00213330">
          <w:rPr>
            <w:rStyle w:val="Hyperlink"/>
          </w:rPr>
          <w:t>FDA/CBER Speaker Request/Invitation</w:t>
        </w:r>
      </w:hyperlink>
      <w:r w:rsidRPr="00213330">
        <w:t> </w:t>
      </w:r>
    </w:p>
    <w:p w:rsidR="00213330" w:rsidP="00213330" w14:paraId="2C7AAE7B" w14:textId="75261134">
      <w:pPr>
        <w:numPr>
          <w:ilvl w:val="0"/>
          <w:numId w:val="8"/>
        </w:numPr>
      </w:pPr>
      <w:hyperlink r:id="rId9" w:history="1">
        <w:r w:rsidRPr="00213330">
          <w:rPr>
            <w:rStyle w:val="Hyperlink"/>
          </w:rPr>
          <w:t>Procedures for Requesting Speakers for FDA/CBER for Meetings, Conferences, Panels, Workshops</w:t>
        </w:r>
      </w:hyperlink>
    </w:p>
    <w:p w:rsidR="003B50A2" w:rsidRPr="00213330" w:rsidP="003B50A2" w14:paraId="506EE596" w14:textId="77777777">
      <w:pPr>
        <w:ind w:left="720"/>
      </w:pPr>
    </w:p>
    <w:p w:rsidR="00213330" w:rsidP="00213330" w14:paraId="79845F0D" w14:textId="496A8255">
      <w:pPr>
        <w:rPr>
          <w:b/>
          <w:bCs/>
        </w:rPr>
      </w:pPr>
      <w:r w:rsidRPr="00213330">
        <w:rPr>
          <w:b/>
          <w:bCs/>
        </w:rPr>
        <w:t>Center for Drug Evaluation and Research</w:t>
      </w:r>
    </w:p>
    <w:p w:rsidR="003B50A2" w:rsidRPr="00213330" w:rsidP="00213330" w14:paraId="1616E4BA" w14:textId="77777777"/>
    <w:p w:rsidR="00213330" w:rsidP="00213330" w14:paraId="663F62AB" w14:textId="075171FD">
      <w:pPr>
        <w:numPr>
          <w:ilvl w:val="0"/>
          <w:numId w:val="9"/>
        </w:numPr>
      </w:pPr>
      <w:hyperlink r:id="rId10" w:history="1">
        <w:r w:rsidRPr="00213330">
          <w:rPr>
            <w:rStyle w:val="Hyperlink"/>
          </w:rPr>
          <w:t>Requesting Speakers from CDER</w:t>
        </w:r>
      </w:hyperlink>
    </w:p>
    <w:p w:rsidR="003B50A2" w:rsidRPr="00213330" w:rsidP="003B50A2" w14:paraId="5A8EB626" w14:textId="77777777">
      <w:pPr>
        <w:ind w:left="720"/>
      </w:pPr>
    </w:p>
    <w:p w:rsidR="00213330" w:rsidP="00213330" w14:paraId="28B91828" w14:textId="297A175F">
      <w:pPr>
        <w:rPr>
          <w:b/>
          <w:bCs/>
        </w:rPr>
      </w:pPr>
      <w:r w:rsidRPr="00213330">
        <w:rPr>
          <w:b/>
          <w:bCs/>
        </w:rPr>
        <w:t>Center for Devices and Radiological Health</w:t>
      </w:r>
    </w:p>
    <w:p w:rsidR="003B50A2" w:rsidRPr="00213330" w:rsidP="00213330" w14:paraId="4BDF5387" w14:textId="77777777"/>
    <w:p w:rsidR="00213330" w:rsidP="00213330" w14:paraId="5FE08ECC" w14:textId="51944ED7">
      <w:pPr>
        <w:numPr>
          <w:ilvl w:val="0"/>
          <w:numId w:val="10"/>
        </w:numPr>
      </w:pPr>
      <w:hyperlink r:id="rId11" w:history="1">
        <w:r w:rsidRPr="00213330">
          <w:rPr>
            <w:rStyle w:val="Hyperlink"/>
          </w:rPr>
          <w:t>Requesting Speakers from CDRH</w:t>
        </w:r>
      </w:hyperlink>
    </w:p>
    <w:p w:rsidR="003B50A2" w:rsidRPr="00213330" w:rsidP="003B50A2" w14:paraId="41A15E0E" w14:textId="77777777">
      <w:pPr>
        <w:ind w:left="720"/>
      </w:pPr>
    </w:p>
    <w:p w:rsidR="00213330" w:rsidP="00213330" w14:paraId="44D300E6" w14:textId="66A211A8">
      <w:pPr>
        <w:rPr>
          <w:b/>
          <w:bCs/>
        </w:rPr>
      </w:pPr>
      <w:r w:rsidRPr="00213330">
        <w:rPr>
          <w:b/>
          <w:bCs/>
        </w:rPr>
        <w:t>Center for Food Safety and Applied Nutrition</w:t>
      </w:r>
    </w:p>
    <w:p w:rsidR="003B50A2" w:rsidRPr="00213330" w:rsidP="00213330" w14:paraId="728C3A50" w14:textId="77777777"/>
    <w:p w:rsidR="00213330" w:rsidRPr="00213330" w:rsidP="00213330" w14:paraId="6DD65AC2" w14:textId="77777777">
      <w:pPr>
        <w:numPr>
          <w:ilvl w:val="0"/>
          <w:numId w:val="11"/>
        </w:numPr>
      </w:pPr>
      <w:hyperlink r:id="rId12" w:history="1">
        <w:r w:rsidRPr="00213330">
          <w:rPr>
            <w:rStyle w:val="Hyperlink"/>
          </w:rPr>
          <w:t>Contact CFSAN</w:t>
        </w:r>
      </w:hyperlink>
    </w:p>
    <w:p w:rsidR="00213330" w:rsidP="00213330" w14:paraId="5364B132" w14:textId="08A5F891">
      <w:pPr>
        <w:numPr>
          <w:ilvl w:val="0"/>
          <w:numId w:val="11"/>
        </w:numPr>
      </w:pPr>
      <w:r w:rsidRPr="00213330">
        <w:t>Speaker or meeting requests from foreign competent authorities should be sent directly to </w:t>
      </w:r>
      <w:hyperlink r:id="rId13" w:history="1">
        <w:r w:rsidRPr="00213330">
          <w:rPr>
            <w:rStyle w:val="Hyperlink"/>
          </w:rPr>
          <w:t>FDA-CFSAN-International-Engagement@fda.hhs.gov</w:t>
        </w:r>
      </w:hyperlink>
    </w:p>
    <w:p w:rsidR="003B50A2" w:rsidRPr="00213330" w:rsidP="003B50A2" w14:paraId="623D7C8F" w14:textId="77777777">
      <w:pPr>
        <w:ind w:left="720"/>
      </w:pPr>
    </w:p>
    <w:p w:rsidR="00557DA1" w14:paraId="264F2251" w14:textId="77777777">
      <w:pPr>
        <w:widowControl/>
      </w:pPr>
      <w:r>
        <w:br w:type="page"/>
      </w:r>
    </w:p>
    <w:p w:rsidR="00213330" w:rsidP="00213330" w14:paraId="58EEBA95" w14:textId="1776094A">
      <w:pPr>
        <w:rPr>
          <w:b/>
          <w:bCs/>
        </w:rPr>
      </w:pPr>
      <w:r w:rsidRPr="00213330">
        <w:rPr>
          <w:b/>
          <w:bCs/>
        </w:rPr>
        <w:t>Center for Tobacco Products</w:t>
      </w:r>
    </w:p>
    <w:p w:rsidR="003B50A2" w:rsidRPr="00213330" w:rsidP="00213330" w14:paraId="1B11BA7E" w14:textId="77777777"/>
    <w:p w:rsidR="00213330" w:rsidRPr="00213330" w:rsidP="00213330" w14:paraId="5978C3CA" w14:textId="77777777">
      <w:pPr>
        <w:numPr>
          <w:ilvl w:val="0"/>
          <w:numId w:val="12"/>
        </w:numPr>
      </w:pPr>
      <w:r w:rsidRPr="00213330">
        <w:t>Formal Correspondence and Meeting Requests: </w:t>
      </w:r>
      <w:hyperlink r:id="rId14" w:history="1">
        <w:r w:rsidRPr="00213330">
          <w:rPr>
            <w:rStyle w:val="Hyperlink"/>
          </w:rPr>
          <w:t>AskCTP@fda.hhs.gov</w:t>
        </w:r>
      </w:hyperlink>
      <w:r w:rsidRPr="00213330">
        <w:t>.</w:t>
      </w:r>
    </w:p>
    <w:p w:rsidR="00213330" w:rsidP="00213330" w14:paraId="08FBF82C" w14:textId="122C387C">
      <w:pPr>
        <w:numPr>
          <w:ilvl w:val="1"/>
          <w:numId w:val="12"/>
        </w:numPr>
      </w:pPr>
      <w:r w:rsidRPr="00213330">
        <w:t>Also submit a draft agenda and attendee list.</w:t>
      </w:r>
    </w:p>
    <w:p w:rsidR="003B50A2" w:rsidRPr="00213330" w:rsidP="003B50A2" w14:paraId="457FB62D" w14:textId="77777777">
      <w:pPr>
        <w:ind w:left="1440"/>
      </w:pPr>
    </w:p>
    <w:p w:rsidR="00213330" w:rsidP="00213330" w14:paraId="456C7704" w14:textId="096F5BF9">
      <w:pPr>
        <w:numPr>
          <w:ilvl w:val="0"/>
          <w:numId w:val="12"/>
        </w:numPr>
      </w:pPr>
      <w:hyperlink r:id="rId15" w:tooltip="Requesting a CTP Speaker" w:history="1">
        <w:r w:rsidRPr="00213330">
          <w:rPr>
            <w:rStyle w:val="Hyperlink"/>
          </w:rPr>
          <w:t>Requesting Speakers from CTP</w:t>
        </w:r>
      </w:hyperlink>
    </w:p>
    <w:p w:rsidR="003B50A2" w:rsidRPr="00213330" w:rsidP="003B50A2" w14:paraId="10282571" w14:textId="77777777">
      <w:pPr>
        <w:ind w:left="720"/>
      </w:pPr>
    </w:p>
    <w:p w:rsidR="00213330" w:rsidP="00213330" w14:paraId="6D1EB5C8" w14:textId="6F312C8D">
      <w:pPr>
        <w:rPr>
          <w:b/>
          <w:bCs/>
        </w:rPr>
      </w:pPr>
      <w:r w:rsidRPr="00213330">
        <w:rPr>
          <w:b/>
          <w:bCs/>
        </w:rPr>
        <w:t>Center for Veterinary Medicine</w:t>
      </w:r>
    </w:p>
    <w:p w:rsidR="003B50A2" w:rsidRPr="00213330" w:rsidP="00213330" w14:paraId="4C870885" w14:textId="77777777"/>
    <w:p w:rsidR="00213330" w:rsidP="00213330" w14:paraId="4E30B7FC" w14:textId="735EB459">
      <w:pPr>
        <w:numPr>
          <w:ilvl w:val="0"/>
          <w:numId w:val="13"/>
        </w:numPr>
      </w:pPr>
      <w:hyperlink r:id="rId16" w:history="1">
        <w:r w:rsidRPr="00213330">
          <w:rPr>
            <w:rStyle w:val="Hyperlink"/>
          </w:rPr>
          <w:t>Contact CVM</w:t>
        </w:r>
      </w:hyperlink>
    </w:p>
    <w:p w:rsidR="003B50A2" w:rsidRPr="00213330" w:rsidP="003B50A2" w14:paraId="1339B8F7" w14:textId="77777777">
      <w:pPr>
        <w:ind w:left="720"/>
      </w:pPr>
    </w:p>
    <w:p w:rsidR="009C2DCA" w:rsidP="009C2DCA" w14:paraId="7CF63554" w14:textId="28798E4F">
      <w:pPr>
        <w:rPr>
          <w:b/>
          <w:bCs/>
        </w:rPr>
      </w:pPr>
      <w:r w:rsidRPr="009C2DCA">
        <w:rPr>
          <w:b/>
          <w:bCs/>
        </w:rPr>
        <w:t>Office of Digital Transformation (ODT)</w:t>
      </w:r>
    </w:p>
    <w:p w:rsidR="003B50A2" w:rsidRPr="009C2DCA" w:rsidP="009C2DCA" w14:paraId="5A55377A" w14:textId="77777777"/>
    <w:p w:rsidR="009C2DCA" w:rsidP="009C2DCA" w14:paraId="0C68D5B3" w14:textId="123E27CD">
      <w:pPr>
        <w:numPr>
          <w:ilvl w:val="0"/>
          <w:numId w:val="14"/>
        </w:numPr>
      </w:pPr>
      <w:hyperlink r:id="rId17" w:history="1">
        <w:r w:rsidRPr="009C2DCA">
          <w:rPr>
            <w:rStyle w:val="Hyperlink"/>
          </w:rPr>
          <w:t>FDA/OC/ODT Speaker Request/Invitation</w:t>
        </w:r>
      </w:hyperlink>
    </w:p>
    <w:p w:rsidR="003B50A2" w:rsidRPr="009C2DCA" w:rsidP="003B50A2" w14:paraId="7589AD33" w14:textId="77777777">
      <w:pPr>
        <w:ind w:left="720"/>
      </w:pPr>
    </w:p>
    <w:p w:rsidR="009C2DCA" w:rsidP="009C2DCA" w14:paraId="2CDAE302" w14:textId="3DC6738A">
      <w:pPr>
        <w:rPr>
          <w:b/>
          <w:bCs/>
        </w:rPr>
      </w:pPr>
      <w:r w:rsidRPr="009C2DCA">
        <w:rPr>
          <w:b/>
          <w:bCs/>
        </w:rPr>
        <w:t>Office of Regulatory Affairs</w:t>
      </w:r>
    </w:p>
    <w:p w:rsidR="003B50A2" w:rsidRPr="009C2DCA" w:rsidP="009C2DCA" w14:paraId="014B5246" w14:textId="77777777"/>
    <w:p w:rsidR="009C2DCA" w:rsidRPr="009C2DCA" w:rsidP="009C2DCA" w14:paraId="6443994B" w14:textId="77777777">
      <w:pPr>
        <w:numPr>
          <w:ilvl w:val="0"/>
          <w:numId w:val="15"/>
        </w:numPr>
      </w:pPr>
      <w:hyperlink r:id="rId18" w:history="1">
        <w:r w:rsidRPr="009C2DCA">
          <w:rPr>
            <w:rStyle w:val="Hyperlink"/>
          </w:rPr>
          <w:t>Contact ORA</w:t>
        </w:r>
      </w:hyperlink>
    </w:p>
    <w:p w:rsidR="00F948E6" w:rsidP="00F33F83" w14:paraId="2B8A1DC4" w14:textId="41208408">
      <w:r w:rsidRPr="009C2DCA">
        <w:t> </w:t>
      </w:r>
    </w:p>
    <w:p w:rsidR="00F948E6" w:rsidP="00F33F83" w14:paraId="6CA4C0EA" w14:textId="6989AB6B">
      <w:r>
        <w:t xml:space="preserve">We </w:t>
      </w:r>
      <w:r>
        <w:t xml:space="preserve">are </w:t>
      </w:r>
      <w:r>
        <w:t xml:space="preserve">therefore </w:t>
      </w:r>
      <w:r>
        <w:t>requesting OMB approval for the information collection provisions</w:t>
      </w:r>
      <w:r w:rsidR="001635A0">
        <w:t xml:space="preserve"> </w:t>
      </w:r>
      <w:r w:rsidR="00313B90">
        <w:t>found in our general administrative regulations in 21 CFR subchapter</w:t>
      </w:r>
      <w:r w:rsidR="00821192">
        <w:t xml:space="preserve"> A</w:t>
      </w:r>
      <w:r w:rsidR="00313B90">
        <w:t xml:space="preserve">, the </w:t>
      </w:r>
      <w:r w:rsidR="001F1C00">
        <w:t xml:space="preserve">associated guidance </w:t>
      </w:r>
      <w:r w:rsidR="000E0711">
        <w:t>document</w:t>
      </w:r>
      <w:r w:rsidR="00821192">
        <w:t xml:space="preserve"> identified herein,</w:t>
      </w:r>
      <w:r w:rsidR="00AD60FF">
        <w:t xml:space="preserve"> and the web-based speaker requests</w:t>
      </w:r>
      <w:r w:rsidR="00313B90">
        <w:t xml:space="preserve"> specifically</w:t>
      </w:r>
      <w:r w:rsidR="000E0711">
        <w:t xml:space="preserve"> </w:t>
      </w:r>
      <w:r w:rsidR="001635A0">
        <w:t>discussed in this supporting statement</w:t>
      </w:r>
      <w:r>
        <w:t>.</w:t>
      </w:r>
    </w:p>
    <w:p w:rsidR="009A1E07" w:rsidRPr="00D10B33" w:rsidP="00F33F83" w14:paraId="0789D39D" w14:textId="77777777"/>
    <w:p w:rsidR="00767ACC" w:rsidRPr="00D10B33" w:rsidP="00F33F83" w14:paraId="4D87D23A" w14:textId="77777777">
      <w:r w:rsidRPr="00D10B33">
        <w:t>2.</w:t>
      </w:r>
      <w:r w:rsidR="001635A0">
        <w:t xml:space="preserve">  </w:t>
      </w:r>
      <w:r w:rsidRPr="001635A0" w:rsidR="003E00A1">
        <w:rPr>
          <w:u w:val="single"/>
        </w:rPr>
        <w:t>Purpose and Use of the Information Collection</w:t>
      </w:r>
    </w:p>
    <w:p w:rsidR="00767ACC" w:rsidRPr="00D10B33" w:rsidP="00F33F83" w14:paraId="6E98CAA4" w14:textId="77777777">
      <w:r w:rsidRPr="00D10B33">
        <w:tab/>
      </w:r>
      <w:r w:rsidRPr="00D10B33">
        <w:tab/>
      </w:r>
      <w:r w:rsidRPr="00D10B33">
        <w:br/>
      </w:r>
      <w:r w:rsidR="001635A0">
        <w:t xml:space="preserve">We use the information collection in support of agency operations to determine </w:t>
      </w:r>
      <w:r w:rsidR="00F33F83">
        <w:t xml:space="preserve">and direct as appropriate </w:t>
      </w:r>
      <w:r w:rsidR="000E0711">
        <w:t xml:space="preserve">throughout the agency, </w:t>
      </w:r>
      <w:r w:rsidR="001635A0">
        <w:t xml:space="preserve">requests for </w:t>
      </w:r>
      <w:r w:rsidR="000E0711">
        <w:t xml:space="preserve">FDA </w:t>
      </w:r>
      <w:r w:rsidR="001635A0">
        <w:t>action</w:t>
      </w:r>
      <w:r w:rsidR="000E0711">
        <w:t>;</w:t>
      </w:r>
      <w:r w:rsidR="001635A0">
        <w:t xml:space="preserve"> to </w:t>
      </w:r>
      <w:r w:rsidR="00F33F83">
        <w:t xml:space="preserve">plan and </w:t>
      </w:r>
      <w:r w:rsidR="001635A0">
        <w:t>coordinate agency efforts</w:t>
      </w:r>
      <w:r w:rsidR="00F33F83">
        <w:t xml:space="preserve"> in responding to such request</w:t>
      </w:r>
      <w:r w:rsidR="000E0711">
        <w:t>s;</w:t>
      </w:r>
      <w:r w:rsidR="001635A0">
        <w:t xml:space="preserve"> and to best utilize agency resources to </w:t>
      </w:r>
      <w:r w:rsidR="001F1C00">
        <w:t xml:space="preserve">promote </w:t>
      </w:r>
      <w:r w:rsidR="001635A0">
        <w:t>and administer protections to the public health</w:t>
      </w:r>
      <w:r w:rsidR="00F33F83">
        <w:t xml:space="preserve">.  The data from petitions and other requests received by the agency helps </w:t>
      </w:r>
      <w:r w:rsidR="001F1C00">
        <w:t xml:space="preserve">us </w:t>
      </w:r>
      <w:r w:rsidR="00F33F83">
        <w:t>identify areas of both interest and concern to th</w:t>
      </w:r>
      <w:r w:rsidR="001F1C00">
        <w:t xml:space="preserve">ose who consume </w:t>
      </w:r>
      <w:r w:rsidR="00F33F83">
        <w:t>the products regulate</w:t>
      </w:r>
      <w:r w:rsidR="000E0711">
        <w:t>d by FDA</w:t>
      </w:r>
      <w:r w:rsidR="001635A0">
        <w:t xml:space="preserve">. </w:t>
      </w:r>
    </w:p>
    <w:p w:rsidR="00767ACC" w:rsidRPr="00D10B33" w:rsidP="00F33F83" w14:paraId="76A2F208" w14:textId="77777777"/>
    <w:p w:rsidR="00767ACC" w:rsidRPr="00D10B33" w:rsidP="00F33F83" w14:paraId="642C11DE" w14:textId="77777777">
      <w:r w:rsidRPr="00D10B33">
        <w:t>3.</w:t>
      </w:r>
      <w:r w:rsidR="001635A0">
        <w:t xml:space="preserve">  </w:t>
      </w:r>
      <w:r w:rsidRPr="001635A0" w:rsidR="003E00A1">
        <w:rPr>
          <w:u w:val="single"/>
        </w:rPr>
        <w:t>Use of Improved Information Technology and Burden Reduction</w:t>
      </w:r>
    </w:p>
    <w:p w:rsidR="00767ACC" w:rsidRPr="00D10B33" w:rsidP="00F33F83" w14:paraId="09B66052" w14:textId="77777777">
      <w:r w:rsidRPr="00D10B33">
        <w:br/>
      </w:r>
      <w:r w:rsidR="00553489">
        <w:t xml:space="preserve">Most business with </w:t>
      </w:r>
      <w:r w:rsidRPr="00D10B33" w:rsidR="006D0E7B">
        <w:t xml:space="preserve">FDA is </w:t>
      </w:r>
      <w:r w:rsidR="00553489">
        <w:t xml:space="preserve">conducted electronically reflecting current standard business practice.  Where possible and as resources permit, we continually seek ways to improve operational efficiencies with available technologies and </w:t>
      </w:r>
      <w:r w:rsidR="001F1C00">
        <w:t xml:space="preserve">user </w:t>
      </w:r>
      <w:r w:rsidR="00553489">
        <w:t>applications, as well as the most cost effective implementation methods.  We routinely invite and encourage ideas and comments in this regard in notices published by the agency</w:t>
      </w:r>
      <w:r w:rsidR="002D66D8">
        <w:t>.</w:t>
      </w:r>
    </w:p>
    <w:p w:rsidR="00767ACC" w:rsidRPr="00D10B33" w:rsidP="00F33F83" w14:paraId="3499E821" w14:textId="77777777"/>
    <w:p w:rsidR="00767ACC" w:rsidRPr="00D10B33" w:rsidP="00F33F83" w14:paraId="0F6B18A0" w14:textId="77777777">
      <w:r w:rsidRPr="00D10B33">
        <w:t>4</w:t>
      </w:r>
      <w:r w:rsidR="001635A0">
        <w:t xml:space="preserve">.  </w:t>
      </w:r>
      <w:r w:rsidRPr="001635A0" w:rsidR="003E00A1">
        <w:rPr>
          <w:u w:val="single"/>
        </w:rPr>
        <w:t>Efforts to Identify Duplication and Use of Similar Information</w:t>
      </w:r>
    </w:p>
    <w:p w:rsidR="00767ACC" w:rsidRPr="00D10B33" w:rsidP="00F33F83" w14:paraId="1A9C756A" w14:textId="77777777"/>
    <w:p w:rsidR="00767ACC" w:rsidRPr="00D10B33" w:rsidP="00F33F83" w14:paraId="7F511B53" w14:textId="77777777">
      <w:r>
        <w:t>We are unaware of duplicative information collection.</w:t>
      </w:r>
    </w:p>
    <w:p w:rsidR="001635A0" w:rsidP="00F33F83" w14:paraId="65924BB7" w14:textId="77777777"/>
    <w:p w:rsidR="00767ACC" w:rsidRPr="00D10B33" w:rsidP="00F33F83" w14:paraId="386FA264" w14:textId="562076EA">
      <w:r>
        <w:t xml:space="preserve">5.  </w:t>
      </w:r>
      <w:r w:rsidRPr="00C10795" w:rsidR="003E00A1">
        <w:rPr>
          <w:u w:val="single"/>
        </w:rPr>
        <w:t xml:space="preserve">Impact on Small Businesses or Other Small </w:t>
      </w:r>
      <w:r w:rsidRPr="00C10795" w:rsidR="00C15830">
        <w:rPr>
          <w:u w:val="single"/>
        </w:rPr>
        <w:t>Entities</w:t>
      </w:r>
    </w:p>
    <w:p w:rsidR="00767ACC" w:rsidRPr="00D10B33" w:rsidP="00F33F83" w14:paraId="2DB5BA49" w14:textId="77777777"/>
    <w:p w:rsidR="009A1E07" w:rsidRPr="00D10B33" w:rsidP="00F33F83" w14:paraId="2FB841D6" w14:textId="77777777">
      <w:r>
        <w:t xml:space="preserve">The information collection does not pose undue burden on small </w:t>
      </w:r>
      <w:r w:rsidR="00C15830">
        <w:t>entities</w:t>
      </w:r>
      <w:r>
        <w:t>.</w:t>
      </w:r>
      <w:r w:rsidR="00553489">
        <w:t xml:space="preserve">  Provisions in part 10.19 (21 CFR § 10.19) allow for waived, suspended, or modified procedures</w:t>
      </w:r>
      <w:r w:rsidR="002D66D8">
        <w:t xml:space="preserve">.  </w:t>
      </w:r>
      <w:r w:rsidR="00553489">
        <w:t xml:space="preserve"> </w:t>
      </w:r>
      <w:r w:rsidR="002D66D8">
        <w:t xml:space="preserve">In addition, we provide resources and instruction on our website at </w:t>
      </w:r>
      <w:hyperlink r:id="rId19" w:history="1">
        <w:r w:rsidRPr="001D03A6" w:rsidR="002D66D8">
          <w:rPr>
            <w:rStyle w:val="Hyperlink"/>
          </w:rPr>
          <w:t>www.fda.gov</w:t>
        </w:r>
      </w:hyperlink>
      <w:r w:rsidR="002D66D8">
        <w:t xml:space="preserve"> regarding submissions to FDA.</w:t>
      </w:r>
    </w:p>
    <w:p w:rsidR="009A1E07" w:rsidRPr="00D10B33" w:rsidP="00F33F83" w14:paraId="4AC274E0" w14:textId="77777777"/>
    <w:p w:rsidR="00767ACC" w:rsidRPr="00D10B33" w:rsidP="00F33F83" w14:paraId="210A8FD1" w14:textId="77777777">
      <w:r>
        <w:t xml:space="preserve">6.  </w:t>
      </w:r>
      <w:r w:rsidRPr="001635A0" w:rsidR="003E00A1">
        <w:rPr>
          <w:u w:val="single"/>
        </w:rPr>
        <w:t>Consequences of Collecting the Information Less Frequently</w:t>
      </w:r>
    </w:p>
    <w:p w:rsidR="00767ACC" w:rsidRPr="00D10B33" w:rsidP="00F33F83" w14:paraId="2D3C019F" w14:textId="77777777"/>
    <w:p w:rsidR="00767ACC" w:rsidRPr="00D10B33" w:rsidP="00F33F83" w14:paraId="7216E92E" w14:textId="77777777">
      <w:r w:rsidRPr="00D10B33">
        <w:t xml:space="preserve">There </w:t>
      </w:r>
      <w:r w:rsidRPr="00D10B33" w:rsidR="002B1E0C">
        <w:t>are</w:t>
      </w:r>
      <w:r w:rsidRPr="00D10B33">
        <w:t xml:space="preserve"> no </w:t>
      </w:r>
      <w:r w:rsidRPr="00D10B33" w:rsidR="002B1E0C">
        <w:t>legal obstacles to reduce the burden.</w:t>
      </w:r>
      <w:r w:rsidR="001635A0">
        <w:t xml:space="preserve">  This information collection is established and maintained to support requests </w:t>
      </w:r>
      <w:r w:rsidRPr="00F33F83" w:rsidR="001635A0">
        <w:rPr>
          <w:i/>
          <w:u w:val="single"/>
        </w:rPr>
        <w:t>of</w:t>
      </w:r>
      <w:r w:rsidR="001635A0">
        <w:t xml:space="preserve"> the agency and </w:t>
      </w:r>
      <w:r w:rsidR="00F33F83">
        <w:t xml:space="preserve">provide for public participation in agency activities.  The collection schedule </w:t>
      </w:r>
      <w:r w:rsidR="001635A0">
        <w:t>is determined by respondents.</w:t>
      </w:r>
    </w:p>
    <w:p w:rsidR="00767ACC" w:rsidRPr="00D10B33" w:rsidP="00F33F83" w14:paraId="73FC814B" w14:textId="77777777"/>
    <w:p w:rsidR="00767ACC" w:rsidRPr="00D10B33" w:rsidP="00F33F83" w14:paraId="38F9168E" w14:textId="77777777">
      <w:r>
        <w:t xml:space="preserve">7.  </w:t>
      </w:r>
      <w:r w:rsidRPr="001635A0" w:rsidR="003E00A1">
        <w:rPr>
          <w:u w:val="single"/>
        </w:rPr>
        <w:t>Special Circumstances Relating to the Guidelines of 5 CFR 1320.5</w:t>
      </w:r>
    </w:p>
    <w:p w:rsidR="00767ACC" w:rsidRPr="00D10B33" w:rsidP="00F33F83" w14:paraId="46E30640" w14:textId="77777777"/>
    <w:p w:rsidR="00767ACC" w:rsidRPr="00D10B33" w:rsidP="00F33F83" w14:paraId="0E7395BA" w14:textId="77777777">
      <w:r w:rsidRPr="00D10B33">
        <w:t>There are no special circumstances for th</w:t>
      </w:r>
      <w:r w:rsidRPr="00D10B33" w:rsidR="002B1E0C">
        <w:t>is</w:t>
      </w:r>
      <w:r w:rsidRPr="00D10B33">
        <w:t xml:space="preserve"> collection of information. </w:t>
      </w:r>
    </w:p>
    <w:p w:rsidR="00767ACC" w:rsidRPr="00D10B33" w:rsidP="00F33F83" w14:paraId="0343B732" w14:textId="77777777"/>
    <w:p w:rsidR="00767ACC" w:rsidRPr="00D10B33" w:rsidP="00F33F83" w14:paraId="57D7BC99" w14:textId="77777777">
      <w:r w:rsidRPr="00D10B33">
        <w:t>8.</w:t>
      </w:r>
      <w:r w:rsidR="001635A0">
        <w:t xml:space="preserve">  </w:t>
      </w:r>
      <w:r w:rsidRPr="00121112" w:rsidR="003E00A1">
        <w:rPr>
          <w:u w:val="single"/>
        </w:rPr>
        <w:t>Comments in Response to the Federal Register Notice and Efforts to Consult Outside the</w:t>
      </w:r>
      <w:r w:rsidRPr="00121112" w:rsidR="001635A0">
        <w:rPr>
          <w:u w:val="single"/>
        </w:rPr>
        <w:t xml:space="preserve"> </w:t>
      </w:r>
      <w:r w:rsidRPr="00121112" w:rsidR="003E00A1">
        <w:rPr>
          <w:u w:val="single"/>
        </w:rPr>
        <w:t>Agency</w:t>
      </w:r>
    </w:p>
    <w:p w:rsidR="00767ACC" w:rsidRPr="00D10B33" w:rsidP="00F33F83" w14:paraId="0A6B25B6" w14:textId="77777777"/>
    <w:p w:rsidR="00AC1F28" w:rsidP="00F33F83" w14:paraId="4B925F5A" w14:textId="6F747D66">
      <w:r w:rsidRPr="00D10B33">
        <w:t>In accordance with 5 CFR 1320.8(d),</w:t>
      </w:r>
      <w:r w:rsidRPr="00D10B33" w:rsidR="00102844">
        <w:t xml:space="preserve"> </w:t>
      </w:r>
      <w:r w:rsidR="00470151">
        <w:t xml:space="preserve">we </w:t>
      </w:r>
      <w:r w:rsidRPr="00D10B33" w:rsidR="00102844">
        <w:t xml:space="preserve">published </w:t>
      </w:r>
      <w:r w:rsidRPr="00D10B33">
        <w:t>a 60</w:t>
      </w:r>
      <w:r w:rsidRPr="00D10B33" w:rsidR="006D0E7B">
        <w:t xml:space="preserve">-day notice for public comment </w:t>
      </w:r>
      <w:r w:rsidRPr="00D10B33" w:rsidR="00102844">
        <w:t>in t</w:t>
      </w:r>
      <w:r w:rsidRPr="00D10B33" w:rsidR="00D74B1E">
        <w:t xml:space="preserve">he </w:t>
      </w:r>
      <w:r w:rsidRPr="00386186">
        <w:rPr>
          <w:u w:val="single"/>
        </w:rPr>
        <w:t>Federal Register</w:t>
      </w:r>
      <w:r w:rsidRPr="00D10B33">
        <w:t xml:space="preserve"> of</w:t>
      </w:r>
      <w:r w:rsidR="004545D9">
        <w:t xml:space="preserve"> </w:t>
      </w:r>
      <w:r w:rsidR="00D542B3">
        <w:t>February 27, 2023</w:t>
      </w:r>
      <w:r w:rsidR="00250A4F">
        <w:t xml:space="preserve"> (88 FR 7981)</w:t>
      </w:r>
      <w:r w:rsidRPr="00D10B33" w:rsidR="00102844">
        <w:t xml:space="preserve">.  </w:t>
      </w:r>
      <w:r w:rsidRPr="00C10795" w:rsidR="00C10795">
        <w:t>Although two comments were received, neither was directly responsive to the information collection topics solicited.  At the same time, the comments were supportive of FDA information collection activity and we appreciate this input.</w:t>
      </w:r>
    </w:p>
    <w:p w:rsidR="001F1C00" w:rsidP="00F33F83" w14:paraId="4960EE4A" w14:textId="77777777"/>
    <w:p w:rsidR="001F1C00" w:rsidRPr="00D10B33" w:rsidP="00F33F83" w14:paraId="26A26A9F" w14:textId="77777777">
      <w:r>
        <w:t>Also</w:t>
      </w:r>
      <w:r>
        <w:t xml:space="preserve">, our regulations at 21 CFR </w:t>
      </w:r>
      <w:r w:rsidR="00386186">
        <w:t>§ 10.115 provide for the development and issuance of agency guidance documents intended to assist respondents with information collection activity undertaken by the agency and provide for public comment at any time.</w:t>
      </w:r>
    </w:p>
    <w:p w:rsidR="00767ACC" w:rsidRPr="00D10B33" w:rsidP="00F33F83" w14:paraId="3FE11227" w14:textId="77777777"/>
    <w:p w:rsidR="00767ACC" w:rsidRPr="00D10B33" w:rsidP="00F33F83" w14:paraId="38824B71" w14:textId="77777777">
      <w:r w:rsidRPr="00D10B33">
        <w:t>9.</w:t>
      </w:r>
      <w:r w:rsidR="00121112">
        <w:t xml:space="preserve">  </w:t>
      </w:r>
      <w:r w:rsidRPr="00121112" w:rsidR="003E00A1">
        <w:rPr>
          <w:u w:val="single"/>
        </w:rPr>
        <w:t>Explanation of Any Payment or Gift to Respondents</w:t>
      </w:r>
    </w:p>
    <w:p w:rsidR="00767ACC" w:rsidRPr="00D10B33" w:rsidP="00F33F83" w14:paraId="79950FC1" w14:textId="77777777"/>
    <w:p w:rsidR="002B1E0C" w:rsidRPr="00D10B33" w:rsidP="00F33F83" w14:paraId="668A59EB" w14:textId="77777777">
      <w:r w:rsidRPr="00D10B33">
        <w:t xml:space="preserve">No </w:t>
      </w:r>
      <w:r w:rsidRPr="00D10B33" w:rsidR="005E38B6">
        <w:t>gift or payment is provided to</w:t>
      </w:r>
      <w:r w:rsidRPr="00D10B33">
        <w:t xml:space="preserve"> respondents</w:t>
      </w:r>
      <w:r w:rsidRPr="00D10B33" w:rsidR="005E38B6">
        <w:t xml:space="preserve"> to the information collection</w:t>
      </w:r>
      <w:r w:rsidRPr="00D10B33">
        <w:t>.</w:t>
      </w:r>
    </w:p>
    <w:p w:rsidR="002B1E0C" w:rsidRPr="00D10B33" w:rsidP="00F33F83" w14:paraId="64A8817B" w14:textId="77777777"/>
    <w:p w:rsidR="00767ACC" w:rsidRPr="00D10B33" w:rsidP="00F33F83" w14:paraId="2F7C4837" w14:textId="77777777">
      <w:r w:rsidRPr="00D10B33">
        <w:t>10.</w:t>
      </w:r>
      <w:r w:rsidR="00121112">
        <w:t xml:space="preserve">  </w:t>
      </w:r>
      <w:r w:rsidRPr="00F33F83" w:rsidR="003E00A1">
        <w:rPr>
          <w:u w:val="single"/>
        </w:rPr>
        <w:t>Assurance of Confidentiality Provided to Respondents</w:t>
      </w:r>
    </w:p>
    <w:p w:rsidR="00767ACC" w:rsidRPr="00D10B33" w:rsidP="00F33F83" w14:paraId="4DEB3B79" w14:textId="77777777"/>
    <w:p w:rsidR="00767ACC" w:rsidRPr="00D10B33" w:rsidP="00F33F83" w14:paraId="54557476" w14:textId="77777777">
      <w:r w:rsidRPr="00D10B33">
        <w:t xml:space="preserve">No assurance of confidentiality has been provided except as provided in 21 CFR 20.61 and generally considered in reviewing data and information submitted to FDA.  Notices received by the </w:t>
      </w:r>
      <w:r w:rsidR="00406CC0">
        <w:t>a</w:t>
      </w:r>
      <w:r w:rsidRPr="00D10B33" w:rsidR="003C4BE4">
        <w:t xml:space="preserve">gency are publicly </w:t>
      </w:r>
      <w:r w:rsidRPr="00D10B33">
        <w:t>available.</w:t>
      </w:r>
    </w:p>
    <w:p w:rsidR="00767ACC" w:rsidRPr="00D10B33" w:rsidP="00F33F83" w14:paraId="6D61B519" w14:textId="77777777"/>
    <w:p w:rsidR="00767ACC" w:rsidRPr="00D10B33" w:rsidP="00F33F83" w14:paraId="586D5EF1" w14:textId="77777777">
      <w:r w:rsidRPr="00D10B33">
        <w:t>11.</w:t>
      </w:r>
      <w:r w:rsidR="00C10795">
        <w:t xml:space="preserve">  </w:t>
      </w:r>
      <w:r w:rsidRPr="00C10795" w:rsidR="003E00A1">
        <w:rPr>
          <w:u w:val="single"/>
        </w:rPr>
        <w:t>Justification for Sensitive Questions</w:t>
      </w:r>
    </w:p>
    <w:p w:rsidR="00767ACC" w:rsidRPr="00D10B33" w:rsidP="00F33F83" w14:paraId="76E01BE3" w14:textId="77777777"/>
    <w:p w:rsidR="00767ACC" w:rsidRPr="00D10B33" w:rsidP="00F33F83" w14:paraId="0E9AD997" w14:textId="77777777">
      <w:r w:rsidRPr="00D10B33">
        <w:t>The information collection contains no questions of a sensitive nature.</w:t>
      </w:r>
    </w:p>
    <w:p w:rsidR="00767ACC" w:rsidRPr="00D10B33" w:rsidP="00F33F83" w14:paraId="659A2EB9" w14:textId="77777777"/>
    <w:p w:rsidR="00767ACC" w:rsidRPr="00D10B33" w:rsidP="00F33F83" w14:paraId="66FF6A3D" w14:textId="270A4486">
      <w:r w:rsidRPr="00D10B33">
        <w:t xml:space="preserve">12.  </w:t>
      </w:r>
      <w:r w:rsidRPr="00C10795" w:rsidR="003E00A1">
        <w:rPr>
          <w:u w:val="single"/>
        </w:rPr>
        <w:t>Estimates of Annualized Burden Hours and Costs</w:t>
      </w:r>
    </w:p>
    <w:p w:rsidR="002B1E0C" w:rsidRPr="00D10B33" w:rsidP="00F33F83" w14:paraId="6F9B89BD" w14:textId="77777777"/>
    <w:p w:rsidR="00D10B33" w:rsidP="00F33F83" w14:paraId="3D0000DC" w14:textId="77777777">
      <w:r>
        <w:tab/>
      </w:r>
      <w:r w:rsidRPr="002D66D8">
        <w:rPr>
          <w:i/>
        </w:rPr>
        <w:t xml:space="preserve">12a.  </w:t>
      </w:r>
      <w:r w:rsidRPr="002D66D8" w:rsidR="00C15830">
        <w:rPr>
          <w:i/>
        </w:rPr>
        <w:t>Annualized</w:t>
      </w:r>
      <w:r w:rsidRPr="002D66D8">
        <w:rPr>
          <w:i/>
        </w:rPr>
        <w:t xml:space="preserve"> Burden:</w:t>
      </w:r>
    </w:p>
    <w:p w:rsidR="00EF13DC" w:rsidRPr="00EF13DC" w:rsidP="00EF13DC" w14:paraId="252DDEB3" w14:textId="77777777">
      <w:pPr>
        <w:keepNext/>
        <w:jc w:val="center"/>
        <w:rPr>
          <w:sz w:val="20"/>
        </w:rPr>
      </w:pPr>
      <w:r w:rsidRPr="00EF13DC">
        <w:rPr>
          <w:sz w:val="20"/>
        </w:rPr>
        <w:t>Table 1.--Estimated Annual Reporting Burden</w:t>
      </w:r>
      <w:r w:rsidRPr="00EF13DC">
        <w:rPr>
          <w:sz w:val="20"/>
          <w:vertAlign w:val="superscript"/>
        </w:rPr>
        <w:t>1</w:t>
      </w:r>
    </w:p>
    <w:tbl>
      <w:tblPr>
        <w:tblW w:w="92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1" w:type="dxa"/>
          <w:right w:w="101" w:type="dxa"/>
        </w:tblCellMar>
        <w:tblLook w:val="04A0"/>
      </w:tblPr>
      <w:tblGrid>
        <w:gridCol w:w="3060"/>
        <w:gridCol w:w="1440"/>
        <w:gridCol w:w="1440"/>
        <w:gridCol w:w="1080"/>
        <w:gridCol w:w="1260"/>
        <w:gridCol w:w="1006"/>
      </w:tblGrid>
      <w:tr w14:paraId="1769DEE0" w14:textId="77777777" w:rsidTr="00161A85">
        <w:tblPrEx>
          <w:tblW w:w="92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1" w:type="dxa"/>
            <w:right w:w="101" w:type="dxa"/>
          </w:tblCellMar>
          <w:tblLook w:val="04A0"/>
        </w:tblPrEx>
        <w:trPr>
          <w:cantSplit/>
          <w:tblHeader/>
        </w:trPr>
        <w:tc>
          <w:tcPr>
            <w:tcW w:w="3060" w:type="dxa"/>
            <w:hideMark/>
          </w:tcPr>
          <w:p w:rsidR="00EF13DC" w:rsidRPr="00EF13DC" w:rsidP="00EF13DC" w14:paraId="6BC542D4" w14:textId="77777777">
            <w:pPr>
              <w:jc w:val="center"/>
              <w:rPr>
                <w:sz w:val="20"/>
              </w:rPr>
            </w:pPr>
            <w:r w:rsidRPr="00EF13DC">
              <w:rPr>
                <w:sz w:val="20"/>
              </w:rPr>
              <w:t>21 CFR Section</w:t>
            </w:r>
          </w:p>
        </w:tc>
        <w:tc>
          <w:tcPr>
            <w:tcW w:w="1440" w:type="dxa"/>
            <w:hideMark/>
          </w:tcPr>
          <w:p w:rsidR="00EF13DC" w:rsidRPr="00EF13DC" w:rsidP="00EF13DC" w14:paraId="09A1BC00" w14:textId="77777777">
            <w:pPr>
              <w:jc w:val="center"/>
              <w:rPr>
                <w:sz w:val="20"/>
              </w:rPr>
            </w:pPr>
            <w:r w:rsidRPr="00EF13DC">
              <w:rPr>
                <w:sz w:val="20"/>
              </w:rPr>
              <w:t>No. of Respondents</w:t>
            </w:r>
          </w:p>
        </w:tc>
        <w:tc>
          <w:tcPr>
            <w:tcW w:w="1440" w:type="dxa"/>
            <w:hideMark/>
          </w:tcPr>
          <w:p w:rsidR="00EF13DC" w:rsidRPr="00EF13DC" w:rsidP="00EF13DC" w14:paraId="1CB5FE94" w14:textId="77777777">
            <w:pPr>
              <w:jc w:val="center"/>
              <w:rPr>
                <w:sz w:val="20"/>
              </w:rPr>
            </w:pPr>
            <w:r w:rsidRPr="00EF13DC">
              <w:rPr>
                <w:sz w:val="20"/>
              </w:rPr>
              <w:t>No. of Responses per Respondent</w:t>
            </w:r>
          </w:p>
        </w:tc>
        <w:tc>
          <w:tcPr>
            <w:tcW w:w="1080" w:type="dxa"/>
            <w:hideMark/>
          </w:tcPr>
          <w:p w:rsidR="00EF13DC" w:rsidRPr="00EF13DC" w:rsidP="00EF13DC" w14:paraId="0CF43E8C" w14:textId="77777777">
            <w:pPr>
              <w:jc w:val="center"/>
              <w:rPr>
                <w:sz w:val="20"/>
              </w:rPr>
            </w:pPr>
            <w:r w:rsidRPr="00EF13DC">
              <w:rPr>
                <w:sz w:val="20"/>
              </w:rPr>
              <w:t>Total Annual Responses</w:t>
            </w:r>
          </w:p>
        </w:tc>
        <w:tc>
          <w:tcPr>
            <w:tcW w:w="1260" w:type="dxa"/>
            <w:hideMark/>
          </w:tcPr>
          <w:p w:rsidR="00EF13DC" w:rsidRPr="00EF13DC" w:rsidP="00EF13DC" w14:paraId="11103EFA" w14:textId="77777777">
            <w:pPr>
              <w:jc w:val="center"/>
              <w:rPr>
                <w:sz w:val="20"/>
              </w:rPr>
            </w:pPr>
            <w:r w:rsidRPr="00EF13DC">
              <w:rPr>
                <w:sz w:val="20"/>
              </w:rPr>
              <w:t>Average Burden per Response</w:t>
            </w:r>
          </w:p>
        </w:tc>
        <w:tc>
          <w:tcPr>
            <w:tcW w:w="1006" w:type="dxa"/>
            <w:hideMark/>
          </w:tcPr>
          <w:p w:rsidR="00EF13DC" w:rsidRPr="00EF13DC" w:rsidP="00EF13DC" w14:paraId="374CC68D" w14:textId="77777777">
            <w:pPr>
              <w:jc w:val="center"/>
              <w:rPr>
                <w:sz w:val="20"/>
              </w:rPr>
            </w:pPr>
            <w:r w:rsidRPr="00EF13DC">
              <w:rPr>
                <w:sz w:val="20"/>
              </w:rPr>
              <w:t>Total Hours</w:t>
            </w:r>
          </w:p>
        </w:tc>
      </w:tr>
      <w:tr w14:paraId="2C3E1DEB" w14:textId="77777777" w:rsidTr="00161A85">
        <w:tblPrEx>
          <w:tblW w:w="9286" w:type="dxa"/>
          <w:tblInd w:w="-5" w:type="dxa"/>
          <w:tblLayout w:type="fixed"/>
          <w:tblCellMar>
            <w:left w:w="101" w:type="dxa"/>
            <w:right w:w="101" w:type="dxa"/>
          </w:tblCellMar>
          <w:tblLook w:val="04A0"/>
        </w:tblPrEx>
        <w:trPr>
          <w:cantSplit/>
        </w:trPr>
        <w:tc>
          <w:tcPr>
            <w:tcW w:w="3060" w:type="dxa"/>
            <w:shd w:val="clear" w:color="auto" w:fill="auto"/>
          </w:tcPr>
          <w:p w:rsidR="00EF13DC" w:rsidRPr="00EF13DC" w:rsidP="00EF13DC" w14:paraId="5397EE12" w14:textId="77777777">
            <w:pPr>
              <w:rPr>
                <w:sz w:val="20"/>
              </w:rPr>
            </w:pPr>
            <w:r w:rsidRPr="00EF13DC">
              <w:rPr>
                <w:sz w:val="20"/>
              </w:rPr>
              <w:t>10.19--request for waiver, suspension, or modification of requirements</w:t>
            </w:r>
          </w:p>
        </w:tc>
        <w:tc>
          <w:tcPr>
            <w:tcW w:w="1440" w:type="dxa"/>
            <w:shd w:val="clear" w:color="auto" w:fill="auto"/>
          </w:tcPr>
          <w:p w:rsidR="00EF13DC" w:rsidRPr="00EF13DC" w:rsidP="00EF13DC" w14:paraId="0695194F" w14:textId="77777777">
            <w:pPr>
              <w:jc w:val="right"/>
              <w:rPr>
                <w:sz w:val="20"/>
              </w:rPr>
            </w:pPr>
            <w:r w:rsidRPr="00EF13DC">
              <w:rPr>
                <w:sz w:val="20"/>
              </w:rPr>
              <w:t>7</w:t>
            </w:r>
          </w:p>
        </w:tc>
        <w:tc>
          <w:tcPr>
            <w:tcW w:w="1440" w:type="dxa"/>
            <w:shd w:val="clear" w:color="auto" w:fill="auto"/>
          </w:tcPr>
          <w:p w:rsidR="00EF13DC" w:rsidRPr="00EF13DC" w:rsidP="00EF13DC" w14:paraId="20F8AD57" w14:textId="77777777">
            <w:pPr>
              <w:jc w:val="right"/>
              <w:rPr>
                <w:sz w:val="20"/>
              </w:rPr>
            </w:pPr>
            <w:r w:rsidRPr="00EF13DC">
              <w:rPr>
                <w:sz w:val="20"/>
              </w:rPr>
              <w:t>1</w:t>
            </w:r>
          </w:p>
        </w:tc>
        <w:tc>
          <w:tcPr>
            <w:tcW w:w="1080" w:type="dxa"/>
            <w:shd w:val="clear" w:color="auto" w:fill="auto"/>
          </w:tcPr>
          <w:p w:rsidR="00EF13DC" w:rsidRPr="00EF13DC" w:rsidP="00EF13DC" w14:paraId="7F1E9A93" w14:textId="77777777">
            <w:pPr>
              <w:jc w:val="right"/>
              <w:rPr>
                <w:sz w:val="20"/>
              </w:rPr>
            </w:pPr>
            <w:r w:rsidRPr="00EF13DC">
              <w:rPr>
                <w:sz w:val="20"/>
              </w:rPr>
              <w:t>7</w:t>
            </w:r>
          </w:p>
        </w:tc>
        <w:tc>
          <w:tcPr>
            <w:tcW w:w="1260" w:type="dxa"/>
            <w:shd w:val="clear" w:color="auto" w:fill="auto"/>
          </w:tcPr>
          <w:p w:rsidR="00EF13DC" w:rsidRPr="00EF13DC" w:rsidP="00EF13DC" w14:paraId="541CED8A" w14:textId="77777777">
            <w:pPr>
              <w:jc w:val="right"/>
              <w:rPr>
                <w:sz w:val="20"/>
              </w:rPr>
            </w:pPr>
            <w:r w:rsidRPr="00EF13DC">
              <w:rPr>
                <w:sz w:val="20"/>
              </w:rPr>
              <w:t>1</w:t>
            </w:r>
          </w:p>
        </w:tc>
        <w:tc>
          <w:tcPr>
            <w:tcW w:w="1006" w:type="dxa"/>
            <w:shd w:val="clear" w:color="auto" w:fill="auto"/>
          </w:tcPr>
          <w:p w:rsidR="00EF13DC" w:rsidRPr="00EF13DC" w:rsidP="00EF13DC" w14:paraId="74D1B5F3" w14:textId="77777777">
            <w:pPr>
              <w:jc w:val="right"/>
              <w:rPr>
                <w:sz w:val="20"/>
              </w:rPr>
            </w:pPr>
            <w:r w:rsidRPr="00EF13DC">
              <w:rPr>
                <w:sz w:val="20"/>
              </w:rPr>
              <w:t>7</w:t>
            </w:r>
          </w:p>
        </w:tc>
      </w:tr>
      <w:tr w14:paraId="7F08F0B8" w14:textId="77777777" w:rsidTr="00161A85">
        <w:tblPrEx>
          <w:tblW w:w="9286" w:type="dxa"/>
          <w:tblInd w:w="-5" w:type="dxa"/>
          <w:tblLayout w:type="fixed"/>
          <w:tblCellMar>
            <w:left w:w="101" w:type="dxa"/>
            <w:right w:w="101" w:type="dxa"/>
          </w:tblCellMar>
          <w:tblLook w:val="04A0"/>
        </w:tblPrEx>
        <w:trPr>
          <w:cantSplit/>
        </w:trPr>
        <w:tc>
          <w:tcPr>
            <w:tcW w:w="3060" w:type="dxa"/>
          </w:tcPr>
          <w:p w:rsidR="00EF13DC" w:rsidRPr="00EF13DC" w:rsidP="00EF13DC" w14:paraId="660E96E9" w14:textId="77777777">
            <w:pPr>
              <w:rPr>
                <w:sz w:val="20"/>
              </w:rPr>
            </w:pPr>
            <w:r w:rsidRPr="00EF13DC">
              <w:rPr>
                <w:sz w:val="20"/>
              </w:rPr>
              <w:t>10.30 and 10.31--citizen petitions and petitions related to ANDAs certain NDAs</w:t>
            </w:r>
            <w:r w:rsidRPr="00EF13DC">
              <w:rPr>
                <w:sz w:val="20"/>
                <w:vertAlign w:val="superscript"/>
              </w:rPr>
              <w:t>2</w:t>
            </w:r>
            <w:r w:rsidRPr="00EF13DC">
              <w:rPr>
                <w:sz w:val="20"/>
              </w:rPr>
              <w:t>, or certain BLAs</w:t>
            </w:r>
            <w:r w:rsidRPr="00EF13DC">
              <w:rPr>
                <w:sz w:val="20"/>
                <w:vertAlign w:val="superscript"/>
              </w:rPr>
              <w:t>3</w:t>
            </w:r>
          </w:p>
        </w:tc>
        <w:tc>
          <w:tcPr>
            <w:tcW w:w="1440" w:type="dxa"/>
          </w:tcPr>
          <w:p w:rsidR="00EF13DC" w:rsidRPr="00EF13DC" w:rsidP="00EF13DC" w14:paraId="58C060FA" w14:textId="77777777">
            <w:pPr>
              <w:jc w:val="right"/>
              <w:rPr>
                <w:sz w:val="20"/>
              </w:rPr>
            </w:pPr>
            <w:r w:rsidRPr="00EF13DC">
              <w:rPr>
                <w:sz w:val="20"/>
              </w:rPr>
              <w:t>200</w:t>
            </w:r>
          </w:p>
        </w:tc>
        <w:tc>
          <w:tcPr>
            <w:tcW w:w="1440" w:type="dxa"/>
          </w:tcPr>
          <w:p w:rsidR="00EF13DC" w:rsidRPr="00EF13DC" w:rsidP="00EF13DC" w14:paraId="67554C15" w14:textId="77777777">
            <w:pPr>
              <w:jc w:val="right"/>
              <w:rPr>
                <w:sz w:val="20"/>
              </w:rPr>
            </w:pPr>
            <w:r w:rsidRPr="00EF13DC">
              <w:rPr>
                <w:sz w:val="20"/>
              </w:rPr>
              <w:t>1</w:t>
            </w:r>
          </w:p>
        </w:tc>
        <w:tc>
          <w:tcPr>
            <w:tcW w:w="1080" w:type="dxa"/>
          </w:tcPr>
          <w:p w:rsidR="00EF13DC" w:rsidRPr="00EF13DC" w:rsidP="00EF13DC" w14:paraId="4E54A5BC" w14:textId="77777777">
            <w:pPr>
              <w:jc w:val="right"/>
              <w:rPr>
                <w:sz w:val="20"/>
              </w:rPr>
            </w:pPr>
            <w:r w:rsidRPr="00EF13DC">
              <w:rPr>
                <w:sz w:val="20"/>
              </w:rPr>
              <w:t>200</w:t>
            </w:r>
          </w:p>
        </w:tc>
        <w:tc>
          <w:tcPr>
            <w:tcW w:w="1260" w:type="dxa"/>
          </w:tcPr>
          <w:p w:rsidR="00EF13DC" w:rsidRPr="00EF13DC" w:rsidP="00EF13DC" w14:paraId="2066EA8D" w14:textId="77777777">
            <w:pPr>
              <w:jc w:val="right"/>
              <w:rPr>
                <w:sz w:val="20"/>
              </w:rPr>
            </w:pPr>
            <w:r w:rsidRPr="00EF13DC">
              <w:rPr>
                <w:sz w:val="20"/>
              </w:rPr>
              <w:t>24</w:t>
            </w:r>
          </w:p>
        </w:tc>
        <w:tc>
          <w:tcPr>
            <w:tcW w:w="1006" w:type="dxa"/>
          </w:tcPr>
          <w:p w:rsidR="00EF13DC" w:rsidRPr="00EF13DC" w:rsidP="00EF13DC" w14:paraId="2740E11E" w14:textId="77777777">
            <w:pPr>
              <w:jc w:val="right"/>
              <w:rPr>
                <w:sz w:val="20"/>
              </w:rPr>
            </w:pPr>
            <w:r w:rsidRPr="00EF13DC">
              <w:rPr>
                <w:sz w:val="20"/>
              </w:rPr>
              <w:t>4,800</w:t>
            </w:r>
          </w:p>
        </w:tc>
      </w:tr>
      <w:tr w14:paraId="5EA4AFE6" w14:textId="77777777" w:rsidTr="00161A85">
        <w:tblPrEx>
          <w:tblW w:w="9286" w:type="dxa"/>
          <w:tblInd w:w="-5" w:type="dxa"/>
          <w:tblLayout w:type="fixed"/>
          <w:tblCellMar>
            <w:left w:w="101" w:type="dxa"/>
            <w:right w:w="101" w:type="dxa"/>
          </w:tblCellMar>
          <w:tblLook w:val="04A0"/>
        </w:tblPrEx>
        <w:trPr>
          <w:cantSplit/>
        </w:trPr>
        <w:tc>
          <w:tcPr>
            <w:tcW w:w="3060" w:type="dxa"/>
            <w:hideMark/>
          </w:tcPr>
          <w:p w:rsidR="00EF13DC" w:rsidRPr="00EF13DC" w:rsidP="00EF13DC" w14:paraId="1507C539" w14:textId="77777777">
            <w:pPr>
              <w:rPr>
                <w:sz w:val="20"/>
              </w:rPr>
            </w:pPr>
            <w:r w:rsidRPr="00EF13DC">
              <w:rPr>
                <w:sz w:val="20"/>
              </w:rPr>
              <w:t>10.33--administrative reconsideration of action</w:t>
            </w:r>
          </w:p>
        </w:tc>
        <w:tc>
          <w:tcPr>
            <w:tcW w:w="1440" w:type="dxa"/>
            <w:hideMark/>
          </w:tcPr>
          <w:p w:rsidR="00EF13DC" w:rsidRPr="00EF13DC" w:rsidP="00EF13DC" w14:paraId="6625D147" w14:textId="77777777">
            <w:pPr>
              <w:jc w:val="right"/>
              <w:rPr>
                <w:sz w:val="20"/>
              </w:rPr>
            </w:pPr>
            <w:r w:rsidRPr="00EF13DC">
              <w:rPr>
                <w:sz w:val="20"/>
              </w:rPr>
              <w:t>9</w:t>
            </w:r>
          </w:p>
        </w:tc>
        <w:tc>
          <w:tcPr>
            <w:tcW w:w="1440" w:type="dxa"/>
            <w:hideMark/>
          </w:tcPr>
          <w:p w:rsidR="00EF13DC" w:rsidRPr="00EF13DC" w:rsidP="00EF13DC" w14:paraId="53DA8C20" w14:textId="77777777">
            <w:pPr>
              <w:jc w:val="right"/>
              <w:rPr>
                <w:sz w:val="20"/>
              </w:rPr>
            </w:pPr>
            <w:r w:rsidRPr="00EF13DC">
              <w:rPr>
                <w:sz w:val="20"/>
              </w:rPr>
              <w:t>1</w:t>
            </w:r>
          </w:p>
        </w:tc>
        <w:tc>
          <w:tcPr>
            <w:tcW w:w="1080" w:type="dxa"/>
          </w:tcPr>
          <w:p w:rsidR="00EF13DC" w:rsidRPr="00EF13DC" w:rsidP="00EF13DC" w14:paraId="023E80B8" w14:textId="77777777">
            <w:pPr>
              <w:jc w:val="right"/>
              <w:rPr>
                <w:sz w:val="20"/>
              </w:rPr>
            </w:pPr>
            <w:r w:rsidRPr="00EF13DC">
              <w:rPr>
                <w:sz w:val="20"/>
              </w:rPr>
              <w:t>9</w:t>
            </w:r>
          </w:p>
        </w:tc>
        <w:tc>
          <w:tcPr>
            <w:tcW w:w="1260" w:type="dxa"/>
            <w:hideMark/>
          </w:tcPr>
          <w:p w:rsidR="00EF13DC" w:rsidRPr="00EF13DC" w:rsidP="00EF13DC" w14:paraId="32DCC532" w14:textId="77777777">
            <w:pPr>
              <w:jc w:val="right"/>
              <w:rPr>
                <w:sz w:val="20"/>
              </w:rPr>
            </w:pPr>
            <w:r w:rsidRPr="00EF13DC">
              <w:rPr>
                <w:sz w:val="20"/>
              </w:rPr>
              <w:t>10</w:t>
            </w:r>
          </w:p>
        </w:tc>
        <w:tc>
          <w:tcPr>
            <w:tcW w:w="1006" w:type="dxa"/>
          </w:tcPr>
          <w:p w:rsidR="00EF13DC" w:rsidRPr="00EF13DC" w:rsidP="00EF13DC" w14:paraId="5A85EB67" w14:textId="77777777">
            <w:pPr>
              <w:jc w:val="right"/>
              <w:rPr>
                <w:sz w:val="20"/>
              </w:rPr>
            </w:pPr>
            <w:r w:rsidRPr="00EF13DC">
              <w:rPr>
                <w:sz w:val="20"/>
              </w:rPr>
              <w:t>90</w:t>
            </w:r>
          </w:p>
        </w:tc>
      </w:tr>
      <w:tr w14:paraId="128A668D" w14:textId="77777777" w:rsidTr="00161A85">
        <w:tblPrEx>
          <w:tblW w:w="9286" w:type="dxa"/>
          <w:tblInd w:w="-5" w:type="dxa"/>
          <w:tblLayout w:type="fixed"/>
          <w:tblCellMar>
            <w:left w:w="101" w:type="dxa"/>
            <w:right w:w="101" w:type="dxa"/>
          </w:tblCellMar>
          <w:tblLook w:val="04A0"/>
        </w:tblPrEx>
        <w:trPr>
          <w:cantSplit/>
        </w:trPr>
        <w:tc>
          <w:tcPr>
            <w:tcW w:w="3060" w:type="dxa"/>
            <w:hideMark/>
          </w:tcPr>
          <w:p w:rsidR="00EF13DC" w:rsidRPr="00EF13DC" w:rsidP="00EF13DC" w14:paraId="6EFCF074" w14:textId="77777777">
            <w:pPr>
              <w:rPr>
                <w:sz w:val="20"/>
              </w:rPr>
            </w:pPr>
            <w:r w:rsidRPr="00EF13DC">
              <w:rPr>
                <w:sz w:val="20"/>
              </w:rPr>
              <w:t>10.35--administrative stay of action</w:t>
            </w:r>
          </w:p>
        </w:tc>
        <w:tc>
          <w:tcPr>
            <w:tcW w:w="1440" w:type="dxa"/>
            <w:hideMark/>
          </w:tcPr>
          <w:p w:rsidR="00EF13DC" w:rsidRPr="00EF13DC" w:rsidP="00EF13DC" w14:paraId="78A1938A" w14:textId="77777777">
            <w:pPr>
              <w:jc w:val="right"/>
              <w:rPr>
                <w:sz w:val="20"/>
              </w:rPr>
            </w:pPr>
            <w:r w:rsidRPr="00EF13DC">
              <w:rPr>
                <w:sz w:val="20"/>
              </w:rPr>
              <w:t>12</w:t>
            </w:r>
          </w:p>
        </w:tc>
        <w:tc>
          <w:tcPr>
            <w:tcW w:w="1440" w:type="dxa"/>
            <w:hideMark/>
          </w:tcPr>
          <w:p w:rsidR="00EF13DC" w:rsidRPr="00EF13DC" w:rsidP="00EF13DC" w14:paraId="69A609A5" w14:textId="77777777">
            <w:pPr>
              <w:jc w:val="right"/>
              <w:rPr>
                <w:sz w:val="20"/>
              </w:rPr>
            </w:pPr>
            <w:r w:rsidRPr="00EF13DC">
              <w:rPr>
                <w:sz w:val="20"/>
              </w:rPr>
              <w:t>1</w:t>
            </w:r>
          </w:p>
        </w:tc>
        <w:tc>
          <w:tcPr>
            <w:tcW w:w="1080" w:type="dxa"/>
          </w:tcPr>
          <w:p w:rsidR="00EF13DC" w:rsidRPr="00EF13DC" w:rsidP="00EF13DC" w14:paraId="21CCEA2A" w14:textId="77777777">
            <w:pPr>
              <w:jc w:val="right"/>
              <w:rPr>
                <w:sz w:val="20"/>
              </w:rPr>
            </w:pPr>
            <w:r w:rsidRPr="00EF13DC">
              <w:rPr>
                <w:sz w:val="20"/>
              </w:rPr>
              <w:t>12</w:t>
            </w:r>
          </w:p>
        </w:tc>
        <w:tc>
          <w:tcPr>
            <w:tcW w:w="1260" w:type="dxa"/>
            <w:hideMark/>
          </w:tcPr>
          <w:p w:rsidR="00EF13DC" w:rsidRPr="00EF13DC" w:rsidP="00EF13DC" w14:paraId="4D402453" w14:textId="77777777">
            <w:pPr>
              <w:jc w:val="right"/>
              <w:rPr>
                <w:sz w:val="20"/>
              </w:rPr>
            </w:pPr>
            <w:r w:rsidRPr="00EF13DC">
              <w:rPr>
                <w:sz w:val="20"/>
              </w:rPr>
              <w:t>10</w:t>
            </w:r>
          </w:p>
        </w:tc>
        <w:tc>
          <w:tcPr>
            <w:tcW w:w="1006" w:type="dxa"/>
          </w:tcPr>
          <w:p w:rsidR="00EF13DC" w:rsidRPr="00EF13DC" w:rsidP="00EF13DC" w14:paraId="30BE608A" w14:textId="77777777">
            <w:pPr>
              <w:jc w:val="right"/>
              <w:rPr>
                <w:sz w:val="20"/>
              </w:rPr>
            </w:pPr>
            <w:r w:rsidRPr="00EF13DC">
              <w:rPr>
                <w:sz w:val="20"/>
              </w:rPr>
              <w:t>120</w:t>
            </w:r>
          </w:p>
        </w:tc>
      </w:tr>
      <w:tr w14:paraId="60B6B64A" w14:textId="77777777" w:rsidTr="00161A85">
        <w:tblPrEx>
          <w:tblW w:w="9286" w:type="dxa"/>
          <w:tblInd w:w="-5" w:type="dxa"/>
          <w:tblLayout w:type="fixed"/>
          <w:tblCellMar>
            <w:left w:w="101" w:type="dxa"/>
            <w:right w:w="101" w:type="dxa"/>
          </w:tblCellMar>
          <w:tblLook w:val="04A0"/>
        </w:tblPrEx>
        <w:trPr>
          <w:cantSplit/>
        </w:trPr>
        <w:tc>
          <w:tcPr>
            <w:tcW w:w="3060" w:type="dxa"/>
          </w:tcPr>
          <w:p w:rsidR="00EF13DC" w:rsidRPr="00EF13DC" w:rsidP="00EF13DC" w14:paraId="628CEF96" w14:textId="77777777">
            <w:pPr>
              <w:rPr>
                <w:sz w:val="20"/>
              </w:rPr>
            </w:pPr>
            <w:r w:rsidRPr="00EF13DC">
              <w:rPr>
                <w:sz w:val="20"/>
              </w:rPr>
              <w:t>10.65--meetings and correspondence</w:t>
            </w:r>
          </w:p>
        </w:tc>
        <w:tc>
          <w:tcPr>
            <w:tcW w:w="1440" w:type="dxa"/>
          </w:tcPr>
          <w:p w:rsidR="00EF13DC" w:rsidRPr="00EF13DC" w:rsidP="00EF13DC" w14:paraId="53D02874" w14:textId="77777777">
            <w:pPr>
              <w:jc w:val="right"/>
              <w:rPr>
                <w:sz w:val="20"/>
              </w:rPr>
            </w:pPr>
            <w:r w:rsidRPr="00EF13DC">
              <w:rPr>
                <w:sz w:val="20"/>
              </w:rPr>
              <w:t>37</w:t>
            </w:r>
          </w:p>
        </w:tc>
        <w:tc>
          <w:tcPr>
            <w:tcW w:w="1440" w:type="dxa"/>
          </w:tcPr>
          <w:p w:rsidR="00EF13DC" w:rsidRPr="00EF13DC" w:rsidP="00EF13DC" w14:paraId="73ACD79C" w14:textId="77777777">
            <w:pPr>
              <w:jc w:val="right"/>
              <w:rPr>
                <w:sz w:val="20"/>
              </w:rPr>
            </w:pPr>
            <w:r w:rsidRPr="00EF13DC">
              <w:rPr>
                <w:sz w:val="20"/>
              </w:rPr>
              <w:t>1</w:t>
            </w:r>
          </w:p>
        </w:tc>
        <w:tc>
          <w:tcPr>
            <w:tcW w:w="1080" w:type="dxa"/>
          </w:tcPr>
          <w:p w:rsidR="00EF13DC" w:rsidRPr="00EF13DC" w:rsidP="00EF13DC" w14:paraId="48D863F9" w14:textId="77777777">
            <w:pPr>
              <w:jc w:val="right"/>
              <w:rPr>
                <w:sz w:val="20"/>
              </w:rPr>
            </w:pPr>
            <w:r w:rsidRPr="00EF13DC">
              <w:rPr>
                <w:sz w:val="20"/>
              </w:rPr>
              <w:t>37</w:t>
            </w:r>
          </w:p>
        </w:tc>
        <w:tc>
          <w:tcPr>
            <w:tcW w:w="1260" w:type="dxa"/>
          </w:tcPr>
          <w:p w:rsidR="00EF13DC" w:rsidRPr="00EF13DC" w:rsidP="00EF13DC" w14:paraId="30801B4E" w14:textId="77777777">
            <w:pPr>
              <w:jc w:val="right"/>
              <w:rPr>
                <w:sz w:val="20"/>
              </w:rPr>
            </w:pPr>
            <w:r w:rsidRPr="00EF13DC">
              <w:rPr>
                <w:sz w:val="20"/>
              </w:rPr>
              <w:t>5</w:t>
            </w:r>
          </w:p>
        </w:tc>
        <w:tc>
          <w:tcPr>
            <w:tcW w:w="1006" w:type="dxa"/>
          </w:tcPr>
          <w:p w:rsidR="00EF13DC" w:rsidRPr="00EF13DC" w:rsidP="00EF13DC" w14:paraId="3DA43CA1" w14:textId="77777777">
            <w:pPr>
              <w:jc w:val="right"/>
              <w:rPr>
                <w:sz w:val="20"/>
              </w:rPr>
            </w:pPr>
            <w:r w:rsidRPr="00EF13DC">
              <w:rPr>
                <w:sz w:val="20"/>
              </w:rPr>
              <w:t>185</w:t>
            </w:r>
          </w:p>
        </w:tc>
      </w:tr>
      <w:tr w14:paraId="0F07D0C1" w14:textId="77777777" w:rsidTr="00161A85">
        <w:tblPrEx>
          <w:tblW w:w="9286" w:type="dxa"/>
          <w:tblInd w:w="-5" w:type="dxa"/>
          <w:tblLayout w:type="fixed"/>
          <w:tblCellMar>
            <w:left w:w="101" w:type="dxa"/>
            <w:right w:w="101" w:type="dxa"/>
          </w:tblCellMar>
          <w:tblLook w:val="04A0"/>
        </w:tblPrEx>
        <w:trPr>
          <w:cantSplit/>
        </w:trPr>
        <w:tc>
          <w:tcPr>
            <w:tcW w:w="3060" w:type="dxa"/>
            <w:hideMark/>
          </w:tcPr>
          <w:p w:rsidR="00EF13DC" w:rsidRPr="00EF13DC" w:rsidP="00EF13DC" w14:paraId="5C7C31DD" w14:textId="77777777">
            <w:pPr>
              <w:rPr>
                <w:sz w:val="20"/>
              </w:rPr>
            </w:pPr>
            <w:r w:rsidRPr="00EF13DC">
              <w:rPr>
                <w:sz w:val="20"/>
              </w:rPr>
              <w:t>10.85--requests for Advisory opinions</w:t>
            </w:r>
          </w:p>
        </w:tc>
        <w:tc>
          <w:tcPr>
            <w:tcW w:w="1440" w:type="dxa"/>
            <w:hideMark/>
          </w:tcPr>
          <w:p w:rsidR="00EF13DC" w:rsidRPr="00EF13DC" w:rsidP="00EF13DC" w14:paraId="2391C43A" w14:textId="77777777">
            <w:pPr>
              <w:jc w:val="right"/>
              <w:rPr>
                <w:sz w:val="20"/>
              </w:rPr>
            </w:pPr>
            <w:r w:rsidRPr="00EF13DC">
              <w:rPr>
                <w:sz w:val="20"/>
              </w:rPr>
              <w:t>1</w:t>
            </w:r>
          </w:p>
        </w:tc>
        <w:tc>
          <w:tcPr>
            <w:tcW w:w="1440" w:type="dxa"/>
            <w:hideMark/>
          </w:tcPr>
          <w:p w:rsidR="00EF13DC" w:rsidRPr="00EF13DC" w:rsidP="00EF13DC" w14:paraId="2A21AFDA" w14:textId="77777777">
            <w:pPr>
              <w:jc w:val="right"/>
              <w:rPr>
                <w:sz w:val="20"/>
              </w:rPr>
            </w:pPr>
            <w:r w:rsidRPr="00EF13DC">
              <w:rPr>
                <w:sz w:val="20"/>
              </w:rPr>
              <w:t>1</w:t>
            </w:r>
          </w:p>
        </w:tc>
        <w:tc>
          <w:tcPr>
            <w:tcW w:w="1080" w:type="dxa"/>
          </w:tcPr>
          <w:p w:rsidR="00EF13DC" w:rsidRPr="00EF13DC" w:rsidP="00EF13DC" w14:paraId="6963FC4F" w14:textId="77777777">
            <w:pPr>
              <w:jc w:val="right"/>
              <w:rPr>
                <w:sz w:val="20"/>
              </w:rPr>
            </w:pPr>
            <w:r w:rsidRPr="00EF13DC">
              <w:rPr>
                <w:sz w:val="20"/>
              </w:rPr>
              <w:t>1</w:t>
            </w:r>
          </w:p>
        </w:tc>
        <w:tc>
          <w:tcPr>
            <w:tcW w:w="1260" w:type="dxa"/>
            <w:hideMark/>
          </w:tcPr>
          <w:p w:rsidR="00EF13DC" w:rsidRPr="00EF13DC" w:rsidP="00EF13DC" w14:paraId="3BD352CB" w14:textId="77777777">
            <w:pPr>
              <w:jc w:val="right"/>
              <w:rPr>
                <w:sz w:val="20"/>
              </w:rPr>
            </w:pPr>
            <w:r w:rsidRPr="00EF13DC">
              <w:rPr>
                <w:sz w:val="20"/>
              </w:rPr>
              <w:t>16</w:t>
            </w:r>
          </w:p>
        </w:tc>
        <w:tc>
          <w:tcPr>
            <w:tcW w:w="1006" w:type="dxa"/>
          </w:tcPr>
          <w:p w:rsidR="00EF13DC" w:rsidRPr="00EF13DC" w:rsidP="00EF13DC" w14:paraId="351C0565" w14:textId="77777777">
            <w:pPr>
              <w:jc w:val="right"/>
              <w:rPr>
                <w:sz w:val="20"/>
              </w:rPr>
            </w:pPr>
            <w:r w:rsidRPr="00EF13DC">
              <w:rPr>
                <w:sz w:val="20"/>
              </w:rPr>
              <w:t>16</w:t>
            </w:r>
          </w:p>
        </w:tc>
      </w:tr>
      <w:tr w14:paraId="28EF5D76" w14:textId="77777777" w:rsidTr="00161A85">
        <w:tblPrEx>
          <w:tblW w:w="9286" w:type="dxa"/>
          <w:tblInd w:w="-5" w:type="dxa"/>
          <w:tblLayout w:type="fixed"/>
          <w:tblCellMar>
            <w:left w:w="101" w:type="dxa"/>
            <w:right w:w="101" w:type="dxa"/>
          </w:tblCellMar>
          <w:tblLook w:val="04A0"/>
        </w:tblPrEx>
        <w:trPr>
          <w:cantSplit/>
        </w:trPr>
        <w:tc>
          <w:tcPr>
            <w:tcW w:w="3060" w:type="dxa"/>
          </w:tcPr>
          <w:p w:rsidR="00EF13DC" w:rsidRPr="00EF13DC" w:rsidP="00EF13DC" w14:paraId="39E04685" w14:textId="77777777">
            <w:pPr>
              <w:rPr>
                <w:sz w:val="20"/>
              </w:rPr>
            </w:pPr>
            <w:r w:rsidRPr="00EF13DC">
              <w:rPr>
                <w:sz w:val="20"/>
              </w:rPr>
              <w:t>10.115(f)(3)--submitting draft guidance proposals</w:t>
            </w:r>
          </w:p>
        </w:tc>
        <w:tc>
          <w:tcPr>
            <w:tcW w:w="1440" w:type="dxa"/>
          </w:tcPr>
          <w:p w:rsidR="00EF13DC" w:rsidRPr="00EF13DC" w:rsidP="00EF13DC" w14:paraId="6BFE1DF4" w14:textId="77777777">
            <w:pPr>
              <w:jc w:val="right"/>
              <w:rPr>
                <w:sz w:val="20"/>
              </w:rPr>
            </w:pPr>
            <w:r w:rsidRPr="00EF13DC">
              <w:rPr>
                <w:sz w:val="20"/>
              </w:rPr>
              <w:t>26</w:t>
            </w:r>
          </w:p>
        </w:tc>
        <w:tc>
          <w:tcPr>
            <w:tcW w:w="1440" w:type="dxa"/>
          </w:tcPr>
          <w:p w:rsidR="00EF13DC" w:rsidRPr="00EF13DC" w:rsidP="00EF13DC" w14:paraId="0ECFF7FB" w14:textId="77777777">
            <w:pPr>
              <w:jc w:val="right"/>
              <w:rPr>
                <w:sz w:val="20"/>
              </w:rPr>
            </w:pPr>
            <w:r w:rsidRPr="00EF13DC">
              <w:rPr>
                <w:sz w:val="20"/>
              </w:rPr>
              <w:t>1</w:t>
            </w:r>
          </w:p>
        </w:tc>
        <w:tc>
          <w:tcPr>
            <w:tcW w:w="1080" w:type="dxa"/>
          </w:tcPr>
          <w:p w:rsidR="00EF13DC" w:rsidRPr="00EF13DC" w:rsidP="00EF13DC" w14:paraId="5B68FFAB" w14:textId="77777777">
            <w:pPr>
              <w:jc w:val="right"/>
              <w:rPr>
                <w:sz w:val="20"/>
              </w:rPr>
            </w:pPr>
            <w:r w:rsidRPr="00EF13DC">
              <w:rPr>
                <w:sz w:val="20"/>
              </w:rPr>
              <w:t>26</w:t>
            </w:r>
          </w:p>
        </w:tc>
        <w:tc>
          <w:tcPr>
            <w:tcW w:w="1260" w:type="dxa"/>
          </w:tcPr>
          <w:p w:rsidR="00EF13DC" w:rsidRPr="00EF13DC" w:rsidP="00EF13DC" w14:paraId="662538C2" w14:textId="77777777">
            <w:pPr>
              <w:jc w:val="right"/>
              <w:rPr>
                <w:sz w:val="20"/>
              </w:rPr>
            </w:pPr>
            <w:r w:rsidRPr="00EF13DC">
              <w:rPr>
                <w:sz w:val="20"/>
              </w:rPr>
              <w:t>4</w:t>
            </w:r>
          </w:p>
        </w:tc>
        <w:tc>
          <w:tcPr>
            <w:tcW w:w="1006" w:type="dxa"/>
          </w:tcPr>
          <w:p w:rsidR="00EF13DC" w:rsidRPr="00EF13DC" w:rsidP="00EF13DC" w14:paraId="3CFF4B0F" w14:textId="77777777">
            <w:pPr>
              <w:jc w:val="right"/>
              <w:rPr>
                <w:sz w:val="20"/>
              </w:rPr>
            </w:pPr>
            <w:r w:rsidRPr="00EF13DC">
              <w:rPr>
                <w:sz w:val="20"/>
              </w:rPr>
              <w:t>104</w:t>
            </w:r>
          </w:p>
        </w:tc>
      </w:tr>
      <w:tr w14:paraId="408F0B6B" w14:textId="77777777" w:rsidTr="00161A85">
        <w:tblPrEx>
          <w:tblW w:w="9286" w:type="dxa"/>
          <w:tblInd w:w="-5" w:type="dxa"/>
          <w:tblLayout w:type="fixed"/>
          <w:tblCellMar>
            <w:left w:w="101" w:type="dxa"/>
            <w:right w:w="101" w:type="dxa"/>
          </w:tblCellMar>
          <w:tblLook w:val="04A0"/>
        </w:tblPrEx>
        <w:trPr>
          <w:cantSplit/>
        </w:trPr>
        <w:tc>
          <w:tcPr>
            <w:tcW w:w="3060" w:type="dxa"/>
            <w:hideMark/>
          </w:tcPr>
          <w:p w:rsidR="00EF13DC" w:rsidRPr="00EF13DC" w:rsidP="00EF13DC" w14:paraId="01E137A3" w14:textId="77777777">
            <w:pPr>
              <w:rPr>
                <w:sz w:val="20"/>
              </w:rPr>
            </w:pPr>
            <w:r w:rsidRPr="00EF13DC">
              <w:rPr>
                <w:sz w:val="20"/>
              </w:rPr>
              <w:t>12.22--Filing objections and requests for a hearing on a regulation or order</w:t>
            </w:r>
          </w:p>
        </w:tc>
        <w:tc>
          <w:tcPr>
            <w:tcW w:w="1440" w:type="dxa"/>
            <w:hideMark/>
          </w:tcPr>
          <w:p w:rsidR="00EF13DC" w:rsidRPr="00EF13DC" w:rsidP="00EF13DC" w14:paraId="38200B6F" w14:textId="77777777">
            <w:pPr>
              <w:jc w:val="right"/>
              <w:rPr>
                <w:sz w:val="20"/>
              </w:rPr>
            </w:pPr>
            <w:r w:rsidRPr="00EF13DC">
              <w:rPr>
                <w:sz w:val="20"/>
              </w:rPr>
              <w:t>18</w:t>
            </w:r>
          </w:p>
        </w:tc>
        <w:tc>
          <w:tcPr>
            <w:tcW w:w="1440" w:type="dxa"/>
            <w:hideMark/>
          </w:tcPr>
          <w:p w:rsidR="00EF13DC" w:rsidRPr="00EF13DC" w:rsidP="00EF13DC" w14:paraId="4063630A" w14:textId="77777777">
            <w:pPr>
              <w:jc w:val="right"/>
              <w:rPr>
                <w:sz w:val="20"/>
              </w:rPr>
            </w:pPr>
            <w:r w:rsidRPr="00EF13DC">
              <w:rPr>
                <w:sz w:val="20"/>
              </w:rPr>
              <w:t>1</w:t>
            </w:r>
          </w:p>
        </w:tc>
        <w:tc>
          <w:tcPr>
            <w:tcW w:w="1080" w:type="dxa"/>
          </w:tcPr>
          <w:p w:rsidR="00EF13DC" w:rsidRPr="00EF13DC" w:rsidP="00EF13DC" w14:paraId="3FDB4C93" w14:textId="77777777">
            <w:pPr>
              <w:jc w:val="right"/>
              <w:rPr>
                <w:sz w:val="20"/>
              </w:rPr>
            </w:pPr>
            <w:r w:rsidRPr="00EF13DC">
              <w:rPr>
                <w:sz w:val="20"/>
              </w:rPr>
              <w:t>18</w:t>
            </w:r>
          </w:p>
        </w:tc>
        <w:tc>
          <w:tcPr>
            <w:tcW w:w="1260" w:type="dxa"/>
            <w:hideMark/>
          </w:tcPr>
          <w:p w:rsidR="00EF13DC" w:rsidRPr="00EF13DC" w:rsidP="00EF13DC" w14:paraId="5B158A5A" w14:textId="77777777">
            <w:pPr>
              <w:jc w:val="right"/>
              <w:rPr>
                <w:sz w:val="20"/>
              </w:rPr>
            </w:pPr>
            <w:r w:rsidRPr="00EF13DC">
              <w:rPr>
                <w:sz w:val="20"/>
              </w:rPr>
              <w:t>20</w:t>
            </w:r>
          </w:p>
        </w:tc>
        <w:tc>
          <w:tcPr>
            <w:tcW w:w="1006" w:type="dxa"/>
          </w:tcPr>
          <w:p w:rsidR="00EF13DC" w:rsidRPr="00EF13DC" w:rsidP="00EF13DC" w14:paraId="64698E90" w14:textId="77777777">
            <w:pPr>
              <w:jc w:val="right"/>
              <w:rPr>
                <w:sz w:val="20"/>
              </w:rPr>
            </w:pPr>
            <w:r w:rsidRPr="00EF13DC">
              <w:rPr>
                <w:sz w:val="20"/>
              </w:rPr>
              <w:t>360</w:t>
            </w:r>
          </w:p>
        </w:tc>
      </w:tr>
      <w:tr w14:paraId="0B641326" w14:textId="77777777" w:rsidTr="00161A85">
        <w:tblPrEx>
          <w:tblW w:w="9286" w:type="dxa"/>
          <w:tblInd w:w="-5" w:type="dxa"/>
          <w:tblLayout w:type="fixed"/>
          <w:tblCellMar>
            <w:left w:w="101" w:type="dxa"/>
            <w:right w:w="101" w:type="dxa"/>
          </w:tblCellMar>
          <w:tblLook w:val="04A0"/>
        </w:tblPrEx>
        <w:trPr>
          <w:cantSplit/>
        </w:trPr>
        <w:tc>
          <w:tcPr>
            <w:tcW w:w="3060" w:type="dxa"/>
            <w:hideMark/>
          </w:tcPr>
          <w:p w:rsidR="00EF13DC" w:rsidRPr="00EF13DC" w:rsidP="00EF13DC" w14:paraId="4AB5F14B" w14:textId="77777777">
            <w:pPr>
              <w:rPr>
                <w:sz w:val="20"/>
              </w:rPr>
            </w:pPr>
            <w:r w:rsidRPr="00EF13DC">
              <w:rPr>
                <w:sz w:val="20"/>
              </w:rPr>
              <w:t>12.45--Notice of participation</w:t>
            </w:r>
          </w:p>
        </w:tc>
        <w:tc>
          <w:tcPr>
            <w:tcW w:w="1440" w:type="dxa"/>
            <w:hideMark/>
          </w:tcPr>
          <w:p w:rsidR="00EF13DC" w:rsidRPr="00EF13DC" w:rsidP="00EF13DC" w14:paraId="40F6B9E4" w14:textId="77777777">
            <w:pPr>
              <w:jc w:val="right"/>
              <w:rPr>
                <w:sz w:val="20"/>
              </w:rPr>
            </w:pPr>
            <w:r w:rsidRPr="00EF13DC">
              <w:rPr>
                <w:sz w:val="20"/>
              </w:rPr>
              <w:t>5</w:t>
            </w:r>
          </w:p>
        </w:tc>
        <w:tc>
          <w:tcPr>
            <w:tcW w:w="1440" w:type="dxa"/>
            <w:hideMark/>
          </w:tcPr>
          <w:p w:rsidR="00EF13DC" w:rsidRPr="00EF13DC" w:rsidP="00EF13DC" w14:paraId="54462C07" w14:textId="77777777">
            <w:pPr>
              <w:jc w:val="right"/>
              <w:rPr>
                <w:sz w:val="20"/>
              </w:rPr>
            </w:pPr>
            <w:r w:rsidRPr="00EF13DC">
              <w:rPr>
                <w:sz w:val="20"/>
              </w:rPr>
              <w:t>1</w:t>
            </w:r>
          </w:p>
        </w:tc>
        <w:tc>
          <w:tcPr>
            <w:tcW w:w="1080" w:type="dxa"/>
          </w:tcPr>
          <w:p w:rsidR="00EF13DC" w:rsidRPr="00EF13DC" w:rsidP="00EF13DC" w14:paraId="2313FE55" w14:textId="77777777">
            <w:pPr>
              <w:jc w:val="right"/>
              <w:rPr>
                <w:sz w:val="20"/>
              </w:rPr>
            </w:pPr>
            <w:r w:rsidRPr="00EF13DC">
              <w:rPr>
                <w:sz w:val="20"/>
              </w:rPr>
              <w:t>5</w:t>
            </w:r>
          </w:p>
        </w:tc>
        <w:tc>
          <w:tcPr>
            <w:tcW w:w="1260" w:type="dxa"/>
            <w:hideMark/>
          </w:tcPr>
          <w:p w:rsidR="00EF13DC" w:rsidRPr="00EF13DC" w:rsidP="00EF13DC" w14:paraId="5110CB09" w14:textId="77777777">
            <w:pPr>
              <w:jc w:val="right"/>
              <w:rPr>
                <w:sz w:val="20"/>
              </w:rPr>
            </w:pPr>
            <w:r w:rsidRPr="00EF13DC">
              <w:rPr>
                <w:sz w:val="20"/>
              </w:rPr>
              <w:t>3</w:t>
            </w:r>
          </w:p>
        </w:tc>
        <w:tc>
          <w:tcPr>
            <w:tcW w:w="1006" w:type="dxa"/>
            <w:hideMark/>
          </w:tcPr>
          <w:p w:rsidR="00EF13DC" w:rsidRPr="00EF13DC" w:rsidP="00EF13DC" w14:paraId="0C49EF0A" w14:textId="77777777">
            <w:pPr>
              <w:jc w:val="right"/>
              <w:rPr>
                <w:sz w:val="20"/>
              </w:rPr>
            </w:pPr>
            <w:r w:rsidRPr="00EF13DC">
              <w:rPr>
                <w:sz w:val="20"/>
              </w:rPr>
              <w:t>15</w:t>
            </w:r>
          </w:p>
        </w:tc>
      </w:tr>
      <w:tr w14:paraId="0FFA6CDC" w14:textId="77777777" w:rsidTr="00161A85">
        <w:tblPrEx>
          <w:tblW w:w="9286" w:type="dxa"/>
          <w:tblInd w:w="-5" w:type="dxa"/>
          <w:tblLayout w:type="fixed"/>
          <w:tblCellMar>
            <w:left w:w="101" w:type="dxa"/>
            <w:right w:w="101" w:type="dxa"/>
          </w:tblCellMar>
          <w:tblLook w:val="04A0"/>
        </w:tblPrEx>
        <w:trPr>
          <w:cantSplit/>
        </w:trPr>
        <w:tc>
          <w:tcPr>
            <w:tcW w:w="3060" w:type="dxa"/>
          </w:tcPr>
          <w:p w:rsidR="00EF13DC" w:rsidRPr="00EF13DC" w:rsidP="00EF13DC" w14:paraId="193F5B58" w14:textId="77777777">
            <w:pPr>
              <w:rPr>
                <w:sz w:val="20"/>
              </w:rPr>
            </w:pPr>
            <w:r w:rsidRPr="00EF13DC">
              <w:rPr>
                <w:sz w:val="20"/>
              </w:rPr>
              <w:t>External requests for FDA speakers</w:t>
            </w:r>
          </w:p>
        </w:tc>
        <w:tc>
          <w:tcPr>
            <w:tcW w:w="1440" w:type="dxa"/>
          </w:tcPr>
          <w:p w:rsidR="00EF13DC" w:rsidRPr="00EF13DC" w:rsidP="00EF13DC" w14:paraId="2E9FFDD6" w14:textId="77777777">
            <w:pPr>
              <w:jc w:val="right"/>
              <w:rPr>
                <w:sz w:val="20"/>
              </w:rPr>
            </w:pPr>
            <w:r w:rsidRPr="00EF13DC">
              <w:rPr>
                <w:sz w:val="20"/>
              </w:rPr>
              <w:t>3,900</w:t>
            </w:r>
          </w:p>
        </w:tc>
        <w:tc>
          <w:tcPr>
            <w:tcW w:w="1440" w:type="dxa"/>
          </w:tcPr>
          <w:p w:rsidR="00EF13DC" w:rsidRPr="00EF13DC" w:rsidP="00EF13DC" w14:paraId="4AD9BD6E" w14:textId="77777777">
            <w:pPr>
              <w:jc w:val="right"/>
              <w:rPr>
                <w:sz w:val="20"/>
              </w:rPr>
            </w:pPr>
            <w:r w:rsidRPr="00EF13DC">
              <w:rPr>
                <w:sz w:val="20"/>
              </w:rPr>
              <w:t>1</w:t>
            </w:r>
          </w:p>
        </w:tc>
        <w:tc>
          <w:tcPr>
            <w:tcW w:w="1080" w:type="dxa"/>
          </w:tcPr>
          <w:p w:rsidR="00EF13DC" w:rsidRPr="00EF13DC" w:rsidP="00EF13DC" w14:paraId="1E44F1C4" w14:textId="77777777">
            <w:pPr>
              <w:jc w:val="right"/>
              <w:rPr>
                <w:sz w:val="20"/>
              </w:rPr>
            </w:pPr>
            <w:r w:rsidRPr="00EF13DC">
              <w:rPr>
                <w:sz w:val="20"/>
              </w:rPr>
              <w:t>3,900</w:t>
            </w:r>
          </w:p>
        </w:tc>
        <w:tc>
          <w:tcPr>
            <w:tcW w:w="1260" w:type="dxa"/>
          </w:tcPr>
          <w:p w:rsidR="00EF13DC" w:rsidRPr="00EF13DC" w:rsidP="00EF13DC" w14:paraId="55FBA6A5" w14:textId="77777777">
            <w:pPr>
              <w:jc w:val="right"/>
              <w:rPr>
                <w:sz w:val="20"/>
              </w:rPr>
            </w:pPr>
            <w:r w:rsidRPr="00EF13DC">
              <w:rPr>
                <w:sz w:val="20"/>
              </w:rPr>
              <w:t>0.17</w:t>
            </w:r>
          </w:p>
          <w:p w:rsidR="00EF13DC" w:rsidRPr="00EF13DC" w:rsidP="00EF13DC" w14:paraId="3234FBDB" w14:textId="77777777">
            <w:pPr>
              <w:jc w:val="right"/>
              <w:rPr>
                <w:sz w:val="20"/>
              </w:rPr>
            </w:pPr>
            <w:r w:rsidRPr="00EF13DC">
              <w:rPr>
                <w:sz w:val="20"/>
              </w:rPr>
              <w:t>(10 minutes)</w:t>
            </w:r>
          </w:p>
        </w:tc>
        <w:tc>
          <w:tcPr>
            <w:tcW w:w="1006" w:type="dxa"/>
          </w:tcPr>
          <w:p w:rsidR="00EF13DC" w:rsidRPr="00EF13DC" w:rsidP="00EF13DC" w14:paraId="35AEDA53" w14:textId="77777777">
            <w:pPr>
              <w:jc w:val="right"/>
              <w:rPr>
                <w:sz w:val="20"/>
              </w:rPr>
            </w:pPr>
            <w:r w:rsidRPr="00EF13DC">
              <w:rPr>
                <w:sz w:val="20"/>
              </w:rPr>
              <w:t>663</w:t>
            </w:r>
          </w:p>
        </w:tc>
      </w:tr>
      <w:tr w14:paraId="686148C6" w14:textId="77777777" w:rsidTr="00161A85">
        <w:tblPrEx>
          <w:tblW w:w="9286" w:type="dxa"/>
          <w:tblInd w:w="-5" w:type="dxa"/>
          <w:tblLayout w:type="fixed"/>
          <w:tblCellMar>
            <w:left w:w="101" w:type="dxa"/>
            <w:right w:w="101" w:type="dxa"/>
          </w:tblCellMar>
          <w:tblLook w:val="04A0"/>
        </w:tblPrEx>
        <w:trPr>
          <w:cantSplit/>
        </w:trPr>
        <w:tc>
          <w:tcPr>
            <w:tcW w:w="3060" w:type="dxa"/>
          </w:tcPr>
          <w:p w:rsidR="00EF13DC" w:rsidRPr="00EF13DC" w:rsidP="00EF13DC" w14:paraId="152EEB12" w14:textId="77777777">
            <w:pPr>
              <w:rPr>
                <w:sz w:val="20"/>
              </w:rPr>
            </w:pPr>
            <w:r w:rsidRPr="00EF13DC">
              <w:rPr>
                <w:sz w:val="20"/>
              </w:rPr>
              <w:t>Total</w:t>
            </w:r>
          </w:p>
        </w:tc>
        <w:tc>
          <w:tcPr>
            <w:tcW w:w="1440" w:type="dxa"/>
          </w:tcPr>
          <w:p w:rsidR="00EF13DC" w:rsidRPr="00EF13DC" w:rsidP="00EF13DC" w14:paraId="43FCDF64" w14:textId="77777777">
            <w:pPr>
              <w:jc w:val="right"/>
              <w:rPr>
                <w:sz w:val="20"/>
              </w:rPr>
            </w:pPr>
          </w:p>
        </w:tc>
        <w:tc>
          <w:tcPr>
            <w:tcW w:w="1440" w:type="dxa"/>
          </w:tcPr>
          <w:p w:rsidR="00EF13DC" w:rsidRPr="00EF13DC" w:rsidP="00EF13DC" w14:paraId="5712CE9A" w14:textId="77777777">
            <w:pPr>
              <w:jc w:val="right"/>
              <w:rPr>
                <w:sz w:val="20"/>
              </w:rPr>
            </w:pPr>
          </w:p>
        </w:tc>
        <w:tc>
          <w:tcPr>
            <w:tcW w:w="1080" w:type="dxa"/>
          </w:tcPr>
          <w:p w:rsidR="00EF13DC" w:rsidRPr="00EF13DC" w:rsidP="00EF13DC" w14:paraId="078CCA88" w14:textId="77777777">
            <w:pPr>
              <w:jc w:val="right"/>
              <w:rPr>
                <w:sz w:val="20"/>
              </w:rPr>
            </w:pPr>
            <w:r w:rsidRPr="00EF13DC">
              <w:rPr>
                <w:noProof/>
                <w:sz w:val="20"/>
              </w:rPr>
              <w:t>4,215</w:t>
            </w:r>
          </w:p>
        </w:tc>
        <w:tc>
          <w:tcPr>
            <w:tcW w:w="1260" w:type="dxa"/>
          </w:tcPr>
          <w:p w:rsidR="00EF13DC" w:rsidRPr="00EF13DC" w:rsidP="00EF13DC" w14:paraId="3F427C0D" w14:textId="77777777">
            <w:pPr>
              <w:jc w:val="right"/>
              <w:rPr>
                <w:sz w:val="20"/>
              </w:rPr>
            </w:pPr>
          </w:p>
        </w:tc>
        <w:tc>
          <w:tcPr>
            <w:tcW w:w="1006" w:type="dxa"/>
          </w:tcPr>
          <w:p w:rsidR="00EF13DC" w:rsidRPr="00EF13DC" w:rsidP="00EF13DC" w14:paraId="749DE4D9" w14:textId="77777777">
            <w:pPr>
              <w:jc w:val="right"/>
              <w:rPr>
                <w:sz w:val="20"/>
              </w:rPr>
            </w:pPr>
            <w:r w:rsidRPr="00EF13DC">
              <w:rPr>
                <w:noProof/>
                <w:sz w:val="20"/>
              </w:rPr>
              <w:t>6,360</w:t>
            </w:r>
          </w:p>
        </w:tc>
      </w:tr>
    </w:tbl>
    <w:p w:rsidR="00EF13DC" w:rsidRPr="00EF13DC" w:rsidP="00EF13DC" w14:paraId="7731BC27" w14:textId="77777777">
      <w:pPr>
        <w:rPr>
          <w:sz w:val="20"/>
        </w:rPr>
      </w:pPr>
      <w:r w:rsidRPr="00EF13DC">
        <w:rPr>
          <w:sz w:val="20"/>
          <w:vertAlign w:val="superscript"/>
        </w:rPr>
        <w:t xml:space="preserve">1 </w:t>
      </w:r>
      <w:r w:rsidRPr="00EF13DC">
        <w:rPr>
          <w:sz w:val="20"/>
        </w:rPr>
        <w:t>There are no capital costs or operating and maintenance costs associated with this collection of information.</w:t>
      </w:r>
    </w:p>
    <w:p w:rsidR="00EF13DC" w:rsidRPr="00EF13DC" w:rsidP="00EF13DC" w14:paraId="4A0C1768" w14:textId="77777777">
      <w:pPr>
        <w:rPr>
          <w:sz w:val="18"/>
          <w:szCs w:val="18"/>
        </w:rPr>
      </w:pPr>
      <w:r w:rsidRPr="00EF13DC">
        <w:rPr>
          <w:sz w:val="18"/>
          <w:szCs w:val="18"/>
          <w:vertAlign w:val="superscript"/>
        </w:rPr>
        <w:t xml:space="preserve">2 </w:t>
      </w:r>
      <w:r w:rsidRPr="00EF13DC">
        <w:rPr>
          <w:sz w:val="20"/>
        </w:rPr>
        <w:t>New drug applications.</w:t>
      </w:r>
    </w:p>
    <w:p w:rsidR="00EF13DC" w:rsidRPr="00EF13DC" w:rsidP="00EF13DC" w14:paraId="4CEAD8B5" w14:textId="77777777">
      <w:pPr>
        <w:rPr>
          <w:sz w:val="18"/>
          <w:szCs w:val="18"/>
        </w:rPr>
      </w:pPr>
      <w:r w:rsidRPr="00EF13DC">
        <w:rPr>
          <w:sz w:val="18"/>
          <w:szCs w:val="18"/>
          <w:vertAlign w:val="superscript"/>
        </w:rPr>
        <w:t xml:space="preserve">3 </w:t>
      </w:r>
      <w:r w:rsidRPr="00EF13DC">
        <w:rPr>
          <w:sz w:val="20"/>
        </w:rPr>
        <w:t>Biologics license applications.</w:t>
      </w:r>
    </w:p>
    <w:p w:rsidR="00EF13DC" w:rsidP="00F33F83" w14:paraId="57446571" w14:textId="77777777"/>
    <w:p w:rsidR="00D10B33" w:rsidRPr="00D10B33" w:rsidP="00F33F83" w14:paraId="0448B496" w14:textId="310DCEB5">
      <w:r>
        <w:t>We have updated our figures since last OMB approval to reflect submissions to our Division of Dockets Management for the respective activities.  In addition, we tallied speaker requests received by the various components within FDA to cover this newly added element.</w:t>
      </w:r>
    </w:p>
    <w:p w:rsidR="00D10B33" w:rsidRPr="00D10B33" w:rsidP="00F33F83" w14:paraId="74449D81" w14:textId="77777777"/>
    <w:p w:rsidR="002B1E0C" w:rsidRPr="00F33F83" w:rsidP="00F33F83" w14:paraId="075B54DA" w14:textId="77777777">
      <w:pPr>
        <w:rPr>
          <w:i/>
        </w:rPr>
      </w:pPr>
      <w:r>
        <w:tab/>
      </w:r>
      <w:r w:rsidRPr="00F33F83">
        <w:rPr>
          <w:i/>
        </w:rPr>
        <w:t>12</w:t>
      </w:r>
      <w:r w:rsidR="00C15830">
        <w:rPr>
          <w:i/>
        </w:rPr>
        <w:t>b</w:t>
      </w:r>
      <w:r w:rsidRPr="00F33F83">
        <w:rPr>
          <w:i/>
        </w:rPr>
        <w:t xml:space="preserve">.  Annualized Hour </w:t>
      </w:r>
      <w:r w:rsidR="00386186">
        <w:rPr>
          <w:i/>
        </w:rPr>
        <w:t xml:space="preserve">Cost </w:t>
      </w:r>
      <w:r w:rsidRPr="00F33F83">
        <w:rPr>
          <w:i/>
        </w:rPr>
        <w:t>Estimate</w:t>
      </w:r>
    </w:p>
    <w:p w:rsidR="00767ACC" w:rsidRPr="00D10B33" w:rsidP="00F33F83" w14:paraId="55D2F3C1" w14:textId="77777777"/>
    <w:p w:rsidR="00767ACC" w:rsidRPr="00D10B33" w:rsidP="00F33F83" w14:paraId="18DE14AC" w14:textId="2D840C29">
      <w:r>
        <w:tab/>
      </w:r>
      <w:r w:rsidR="00386186">
        <w:t>We estimate an average cost of $100,000 annually for the information collection by multiplying the total annual hours (</w:t>
      </w:r>
      <w:r w:rsidR="00BB298A">
        <w:t>6,360</w:t>
      </w:r>
      <w:r w:rsidR="00386186">
        <w:t>) by a factor of $10/hr in excess of the Federal minimum wage in to include costs of mailing and copying that may be incurred if applicable</w:t>
      </w:r>
      <w:r w:rsidR="00BB298A">
        <w:t xml:space="preserve">, to calculate total annual costs to respondents of </w:t>
      </w:r>
      <w:r w:rsidR="00C00D84">
        <w:t>$109,710.</w:t>
      </w:r>
    </w:p>
    <w:p w:rsidR="00507B0A" w:rsidRPr="00D10B33" w:rsidP="00F33F83" w14:paraId="1ACBD0FF" w14:textId="77777777"/>
    <w:p w:rsidR="00767ACC" w:rsidRPr="00D10B33" w:rsidP="00F33F83" w14:paraId="181D7731" w14:textId="77777777"/>
    <w:p w:rsidR="00C00D84" w14:paraId="7C3997A7" w14:textId="77777777">
      <w:pPr>
        <w:widowControl/>
      </w:pPr>
      <w:r>
        <w:br w:type="page"/>
      </w:r>
    </w:p>
    <w:p w:rsidR="00767ACC" w:rsidRPr="00D10B33" w:rsidP="00F33F83" w14:paraId="3D726140" w14:textId="0FDF151C">
      <w:r>
        <w:t xml:space="preserve">13.  </w:t>
      </w:r>
      <w:r w:rsidRPr="00F33F83" w:rsidR="00D4670E">
        <w:rPr>
          <w:u w:val="single"/>
        </w:rPr>
        <w:t>E</w:t>
      </w:r>
      <w:r w:rsidRPr="00F33F83" w:rsidR="003E00A1">
        <w:rPr>
          <w:u w:val="single"/>
        </w:rPr>
        <w:t>stimates of Other Total Annual Cost</w:t>
      </w:r>
      <w:r w:rsidRPr="00F33F83" w:rsidR="00D4670E">
        <w:rPr>
          <w:u w:val="single"/>
        </w:rPr>
        <w:t>s</w:t>
      </w:r>
      <w:r w:rsidRPr="00F33F83" w:rsidR="003E00A1">
        <w:rPr>
          <w:u w:val="single"/>
        </w:rPr>
        <w:t xml:space="preserve"> to Respondents and</w:t>
      </w:r>
      <w:r w:rsidRPr="00F33F83" w:rsidR="00D4670E">
        <w:rPr>
          <w:u w:val="single"/>
        </w:rPr>
        <w:t>/or</w:t>
      </w:r>
      <w:r w:rsidRPr="00F33F83" w:rsidR="003E00A1">
        <w:rPr>
          <w:u w:val="single"/>
        </w:rPr>
        <w:t xml:space="preserve"> Recordkeepers</w:t>
      </w:r>
      <w:r w:rsidRPr="00F33F83" w:rsidR="00D4670E">
        <w:rPr>
          <w:u w:val="single"/>
        </w:rPr>
        <w:t>/Capital Costs</w:t>
      </w:r>
    </w:p>
    <w:p w:rsidR="00767ACC" w:rsidRPr="00D10B33" w:rsidP="00F33F83" w14:paraId="6809B4E8" w14:textId="77777777"/>
    <w:p w:rsidR="00767ACC" w:rsidRPr="00D10B33" w:rsidP="00F33F83" w14:paraId="576E0E42" w14:textId="77777777">
      <w:r w:rsidRPr="00D10B33">
        <w:t xml:space="preserve">There are no </w:t>
      </w:r>
      <w:r w:rsidRPr="00D10B33">
        <w:t>capital</w:t>
      </w:r>
      <w:r w:rsidRPr="00D10B33" w:rsidR="00D4670E">
        <w:t>,</w:t>
      </w:r>
      <w:r w:rsidRPr="00D10B33">
        <w:t xml:space="preserve"> </w:t>
      </w:r>
      <w:r w:rsidRPr="00D10B33" w:rsidR="00D4670E">
        <w:t xml:space="preserve">start-up, </w:t>
      </w:r>
      <w:r w:rsidRPr="00D10B33">
        <w:t xml:space="preserve">operating </w:t>
      </w:r>
      <w:r w:rsidRPr="00D10B33" w:rsidR="00D4670E">
        <w:t>or</w:t>
      </w:r>
      <w:r w:rsidRPr="00D10B33">
        <w:t xml:space="preserve"> maintenance costs associated with this collection.</w:t>
      </w:r>
    </w:p>
    <w:p w:rsidR="00767ACC" w:rsidRPr="00D10B33" w:rsidP="00F33F83" w14:paraId="3425DBFC" w14:textId="77777777"/>
    <w:p w:rsidR="00C15830" w:rsidP="00F33F83" w14:paraId="2B751C81" w14:textId="77777777">
      <w:r w:rsidRPr="00D10B33">
        <w:t>14.</w:t>
      </w:r>
      <w:r w:rsidR="00C10795">
        <w:t xml:space="preserve">  </w:t>
      </w:r>
      <w:r w:rsidRPr="00C10795" w:rsidR="003E00A1">
        <w:rPr>
          <w:u w:val="single"/>
        </w:rPr>
        <w:t>Annualized Cost to the Federal Government</w:t>
      </w:r>
    </w:p>
    <w:p w:rsidR="00C15830" w:rsidP="00F33F83" w14:paraId="46D33F0E" w14:textId="77777777"/>
    <w:p w:rsidR="00386186" w:rsidP="00F33F83" w14:paraId="3126CCC9" w14:textId="5CDD8084">
      <w:r>
        <w:t xml:space="preserve">We </w:t>
      </w:r>
      <w:r w:rsidRPr="00D10B33" w:rsidR="00767ACC">
        <w:t>estimate</w:t>
      </w:r>
      <w:r>
        <w:t xml:space="preserve"> the annual </w:t>
      </w:r>
      <w:r w:rsidRPr="00D10B33" w:rsidR="00767ACC">
        <w:t xml:space="preserve">cost to the Federal government </w:t>
      </w:r>
      <w:r>
        <w:t xml:space="preserve">to be </w:t>
      </w:r>
      <w:r w:rsidR="00C15830">
        <w:t>$</w:t>
      </w:r>
      <w:r w:rsidR="0006264A">
        <w:t>469,972.50</w:t>
      </w:r>
      <w:r>
        <w:t xml:space="preserve"> </w:t>
      </w:r>
      <w:r w:rsidR="00C15830">
        <w:t xml:space="preserve">annually, by multiplying the number of submissions </w:t>
      </w:r>
      <w:r>
        <w:t>(</w:t>
      </w:r>
      <w:r w:rsidR="008B77F4">
        <w:t>4,215</w:t>
      </w:r>
      <w:r w:rsidR="00C15830">
        <w:t>) by a</w:t>
      </w:r>
      <w:r w:rsidR="00647A0A">
        <w:t xml:space="preserve">n hourly </w:t>
      </w:r>
      <w:r w:rsidR="00C15830">
        <w:t>wage rate of $55.75</w:t>
      </w:r>
      <w:r w:rsidR="008B77F4">
        <w:t xml:space="preserve"> (</w:t>
      </w:r>
      <w:r w:rsidR="00C15830">
        <w:t>to reflect the Washington D.C. area salary of a GS-13/5 FTE</w:t>
      </w:r>
      <w:r w:rsidR="00647A0A">
        <w:t xml:space="preserve"> who would process the submission</w:t>
      </w:r>
      <w:r w:rsidR="008B77F4">
        <w:t>)</w:t>
      </w:r>
      <w:r w:rsidR="00647A0A">
        <w:t xml:space="preserve">.  We then </w:t>
      </w:r>
      <w:r w:rsidR="0006264A">
        <w:t xml:space="preserve">double this figure </w:t>
      </w:r>
      <w:r w:rsidR="00647A0A">
        <w:t>to account for</w:t>
      </w:r>
      <w:r w:rsidR="0006264A">
        <w:t xml:space="preserve"> overhead</w:t>
      </w:r>
      <w:r w:rsidR="00647A0A">
        <w:t xml:space="preserve"> costs.</w:t>
      </w:r>
    </w:p>
    <w:p w:rsidR="00767ACC" w:rsidRPr="00D10B33" w:rsidP="00F33F83" w14:paraId="388B068C" w14:textId="77777777"/>
    <w:p w:rsidR="00C15830" w:rsidP="00C15830" w14:paraId="4887064B" w14:textId="77777777">
      <w:r w:rsidRPr="00D10B33">
        <w:t>15.</w:t>
      </w:r>
      <w:r w:rsidR="00C10795">
        <w:t xml:space="preserve">  </w:t>
      </w:r>
      <w:r w:rsidRPr="00C10795" w:rsidR="003E00A1">
        <w:rPr>
          <w:u w:val="single"/>
        </w:rPr>
        <w:t>Explanation for Program Changes or Adjustments</w:t>
      </w:r>
    </w:p>
    <w:p w:rsidR="00C15830" w:rsidP="00C15830" w14:paraId="7F09587D" w14:textId="77777777"/>
    <w:p w:rsidR="00F23635" w:rsidRPr="00F23635" w:rsidP="00F23635" w14:paraId="2DE442F6" w14:textId="59F1831C">
      <w:r>
        <w:t>The information collection reflects</w:t>
      </w:r>
      <w:r w:rsidR="00ED2D9B">
        <w:t xml:space="preserve"> nominal</w:t>
      </w:r>
      <w:r w:rsidRPr="00F23635">
        <w:t xml:space="preserve"> adjustments to individual activities that correspond to the applicable provisions.  We have also added 3,900 responses and 663 hours, annually, to reflect burden we believe is associated with requests to FDA for speaker participation at an external </w:t>
      </w:r>
      <w:r w:rsidR="00ED2D9B">
        <w:t>a</w:t>
      </w:r>
      <w:r w:rsidRPr="00F23635">
        <w:t>gency event</w:t>
      </w:r>
      <w:r w:rsidR="00B86C21">
        <w:t>s.</w:t>
      </w:r>
      <w:r w:rsidRPr="00F23635">
        <w:t xml:space="preserve">  As a result of these adjustments, the information collection reflects an annual increase in responses of 3,119 and an annual decrease in hours of 3,360.</w:t>
      </w:r>
    </w:p>
    <w:p w:rsidR="00C15830" w:rsidP="00C15830" w14:paraId="76C42AE7" w14:textId="77777777"/>
    <w:p w:rsidR="00767ACC" w:rsidRPr="00D10B33" w:rsidP="00F33F83" w14:paraId="5EAEC96A" w14:textId="77777777">
      <w:pPr>
        <w:sectPr w:rsidSect="00F33F83">
          <w:footerReference w:type="even" r:id="rId20"/>
          <w:footerReference w:type="default" r:id="rId21"/>
          <w:endnotePr>
            <w:numFmt w:val="decimal"/>
          </w:endnotePr>
          <w:type w:val="continuous"/>
          <w:pgSz w:w="12240" w:h="15840"/>
          <w:pgMar w:top="1440" w:right="1584" w:bottom="1440" w:left="1728" w:header="1440" w:footer="1440" w:gutter="0"/>
          <w:cols w:space="720"/>
          <w:noEndnote/>
          <w:titlePg/>
          <w:docGrid w:linePitch="326"/>
        </w:sectPr>
      </w:pPr>
      <w:r w:rsidRPr="00D10B33">
        <w:t>16.</w:t>
      </w:r>
      <w:r w:rsidR="00C10795">
        <w:t xml:space="preserve">  </w:t>
      </w:r>
      <w:r w:rsidRPr="00C10795" w:rsidR="003E00A1">
        <w:rPr>
          <w:u w:val="single"/>
        </w:rPr>
        <w:t>Plans for Tabulation and Publication and Project Time Schedul</w:t>
      </w:r>
      <w:r w:rsidR="00C15830">
        <w:rPr>
          <w:u w:val="single"/>
        </w:rPr>
        <w:t>e</w:t>
      </w:r>
    </w:p>
    <w:p w:rsidR="00C15830" w:rsidP="00F33F83" w14:paraId="7271DE1E" w14:textId="77777777"/>
    <w:p w:rsidR="00081F35" w:rsidRPr="00D10B33" w:rsidP="00C15830" w14:paraId="15631358" w14:textId="77777777">
      <w:pPr>
        <w:ind w:left="270"/>
      </w:pPr>
      <w:r w:rsidRPr="00D10B33">
        <w:t>There are no plans to publish this collection of information.</w:t>
      </w:r>
    </w:p>
    <w:p w:rsidR="00767ACC" w:rsidRPr="00D10B33" w:rsidP="00F33F83" w14:paraId="14E9E6EC" w14:textId="77777777"/>
    <w:p w:rsidR="00767ACC" w:rsidRPr="00D10B33" w:rsidP="00C15830" w14:paraId="6C4C97F1" w14:textId="77777777">
      <w:pPr>
        <w:ind w:left="270"/>
      </w:pPr>
      <w:r>
        <w:t xml:space="preserve">17.  </w:t>
      </w:r>
      <w:r w:rsidRPr="00C10795" w:rsidR="003E00A1">
        <w:rPr>
          <w:u w:val="single"/>
        </w:rPr>
        <w:t>Reason(s) for Display of OMB Expiration Date is Inappropriate</w:t>
      </w:r>
    </w:p>
    <w:p w:rsidR="00767ACC" w:rsidRPr="00D10B33" w:rsidP="00C15830" w14:paraId="516DD8D5" w14:textId="77777777">
      <w:pPr>
        <w:ind w:left="270"/>
      </w:pPr>
    </w:p>
    <w:p w:rsidR="00081F35" w:rsidRPr="00D10B33" w:rsidP="00C15830" w14:paraId="7E244CF3" w14:textId="77777777">
      <w:pPr>
        <w:ind w:left="270"/>
      </w:pPr>
      <w:r w:rsidRPr="00D10B33">
        <w:t>FDA will display the OMB expiration date as required by 5 CFR 1320.5. </w:t>
      </w:r>
    </w:p>
    <w:p w:rsidR="00767ACC" w:rsidRPr="00D10B33" w:rsidP="00C15830" w14:paraId="51A903DB" w14:textId="77777777">
      <w:pPr>
        <w:ind w:left="270"/>
      </w:pPr>
    </w:p>
    <w:p w:rsidR="00767ACC" w:rsidRPr="00D10B33" w:rsidP="00C15830" w14:paraId="5C05D2E1" w14:textId="77777777">
      <w:pPr>
        <w:ind w:left="270"/>
      </w:pPr>
      <w:r w:rsidRPr="00D10B33">
        <w:t>18.</w:t>
      </w:r>
      <w:r w:rsidR="00C10795">
        <w:t xml:space="preserve">  </w:t>
      </w:r>
      <w:r w:rsidRPr="00406CC0">
        <w:rPr>
          <w:u w:val="single"/>
        </w:rPr>
        <w:t xml:space="preserve">Exceptions to </w:t>
      </w:r>
      <w:r w:rsidRPr="00406CC0" w:rsidR="00406CC0">
        <w:rPr>
          <w:u w:val="single"/>
        </w:rPr>
        <w:t>the Certification under 5 CFR 1320.9</w:t>
      </w:r>
    </w:p>
    <w:p w:rsidR="00767ACC" w:rsidRPr="00D10B33" w:rsidP="00C15830" w14:paraId="6677F846" w14:textId="77777777">
      <w:pPr>
        <w:ind w:left="270"/>
      </w:pPr>
    </w:p>
    <w:p w:rsidR="00767ACC" w:rsidRPr="00D10B33" w:rsidP="00C15830" w14:paraId="237C7CE8" w14:textId="77777777">
      <w:pPr>
        <w:ind w:left="270"/>
      </w:pPr>
      <w:r w:rsidRPr="00D10B33">
        <w:t>There are no exceptions to the certification.</w:t>
      </w:r>
    </w:p>
    <w:sectPr>
      <w:endnotePr>
        <w:numFmt w:val="decimal"/>
      </w:endnotePr>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7320" w14:paraId="7600C00B"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C7320" w14:paraId="15D4612E"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3F83" w14:paraId="2BABBB3E"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p w:rsidR="007C7320" w14:paraId="763B1502" w14:textId="77777777">
    <w:pPr>
      <w:pStyle w:val="Foote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CF1155"/>
    <w:multiLevelType w:val="multilevel"/>
    <w:tmpl w:val="2E5E2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18152C"/>
    <w:multiLevelType w:val="multilevel"/>
    <w:tmpl w:val="FF88A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6C0318"/>
    <w:multiLevelType w:val="singleLevel"/>
    <w:tmpl w:val="0409000F"/>
    <w:lvl w:ilvl="0">
      <w:start w:val="12"/>
      <w:numFmt w:val="decimal"/>
      <w:lvlText w:val="%1."/>
      <w:lvlJc w:val="left"/>
      <w:pPr>
        <w:tabs>
          <w:tab w:val="num" w:pos="360"/>
        </w:tabs>
        <w:ind w:left="360" w:hanging="360"/>
      </w:pPr>
      <w:rPr>
        <w:rFonts w:hint="default"/>
      </w:rPr>
    </w:lvl>
  </w:abstractNum>
  <w:abstractNum w:abstractNumId="3">
    <w:nsid w:val="30F67D4F"/>
    <w:multiLevelType w:val="multilevel"/>
    <w:tmpl w:val="45B0F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36C7B56"/>
    <w:multiLevelType w:val="multilevel"/>
    <w:tmpl w:val="C88C3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4AA14F1"/>
    <w:multiLevelType w:val="multilevel"/>
    <w:tmpl w:val="43F46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EC37CD3"/>
    <w:multiLevelType w:val="singleLevel"/>
    <w:tmpl w:val="2216E760"/>
    <w:lvl w:ilvl="0">
      <w:start w:val="5"/>
      <w:numFmt w:val="decimal"/>
      <w:lvlText w:val="%1."/>
      <w:lvlJc w:val="left"/>
      <w:pPr>
        <w:tabs>
          <w:tab w:val="num" w:pos="450"/>
        </w:tabs>
        <w:ind w:left="450" w:hanging="450"/>
      </w:pPr>
      <w:rPr>
        <w:rFonts w:hint="default"/>
        <w:u w:val="none"/>
      </w:rPr>
    </w:lvl>
  </w:abstractNum>
  <w:abstractNum w:abstractNumId="7">
    <w:nsid w:val="3ECC54B4"/>
    <w:multiLevelType w:val="singleLevel"/>
    <w:tmpl w:val="7F8ED804"/>
    <w:lvl w:ilvl="0">
      <w:start w:val="13"/>
      <w:numFmt w:val="decimal"/>
      <w:lvlText w:val="%1."/>
      <w:lvlJc w:val="left"/>
      <w:pPr>
        <w:tabs>
          <w:tab w:val="num" w:pos="450"/>
        </w:tabs>
        <w:ind w:left="450" w:hanging="450"/>
      </w:pPr>
      <w:rPr>
        <w:rFonts w:hint="default"/>
        <w:u w:val="none"/>
      </w:rPr>
    </w:lvl>
  </w:abstractNum>
  <w:abstractNum w:abstractNumId="8">
    <w:nsid w:val="40C331C7"/>
    <w:multiLevelType w:val="multilevel"/>
    <w:tmpl w:val="BBC4C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0AB7D6C"/>
    <w:multiLevelType w:val="multilevel"/>
    <w:tmpl w:val="DF488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2967C9E"/>
    <w:multiLevelType w:val="singleLevel"/>
    <w:tmpl w:val="FB9412F6"/>
    <w:lvl w:ilvl="0">
      <w:start w:val="17"/>
      <w:numFmt w:val="decimal"/>
      <w:lvlText w:val="%1."/>
      <w:lvlJc w:val="left"/>
      <w:pPr>
        <w:tabs>
          <w:tab w:val="num" w:pos="450"/>
        </w:tabs>
        <w:ind w:left="450" w:hanging="450"/>
      </w:pPr>
      <w:rPr>
        <w:rFonts w:hint="default"/>
        <w:u w:val="none"/>
      </w:rPr>
    </w:lvl>
  </w:abstractNum>
  <w:abstractNum w:abstractNumId="11">
    <w:nsid w:val="55487535"/>
    <w:multiLevelType w:val="singleLevel"/>
    <w:tmpl w:val="678CDBBC"/>
    <w:lvl w:ilvl="0">
      <w:start w:val="1"/>
      <w:numFmt w:val="decimal"/>
      <w:lvlText w:val="%1."/>
      <w:lvlJc w:val="left"/>
      <w:pPr>
        <w:tabs>
          <w:tab w:val="num" w:pos="450"/>
        </w:tabs>
        <w:ind w:left="450" w:hanging="450"/>
      </w:pPr>
      <w:rPr>
        <w:rFonts w:hint="default"/>
        <w:u w:val="none"/>
      </w:rPr>
    </w:lvl>
  </w:abstractNum>
  <w:abstractNum w:abstractNumId="12">
    <w:nsid w:val="63190072"/>
    <w:multiLevelType w:val="multilevel"/>
    <w:tmpl w:val="7DE07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08319FF"/>
    <w:multiLevelType w:val="singleLevel"/>
    <w:tmpl w:val="FAE843D8"/>
    <w:lvl w:ilvl="0">
      <w:start w:val="10"/>
      <w:numFmt w:val="decimal"/>
      <w:lvlText w:val="%1."/>
      <w:lvlJc w:val="left"/>
      <w:pPr>
        <w:tabs>
          <w:tab w:val="num" w:pos="450"/>
        </w:tabs>
        <w:ind w:left="450" w:hanging="450"/>
      </w:pPr>
      <w:rPr>
        <w:rFonts w:hint="default"/>
        <w:u w:val="none"/>
      </w:rPr>
    </w:lvl>
  </w:abstractNum>
  <w:abstractNum w:abstractNumId="14">
    <w:nsid w:val="72A74477"/>
    <w:multiLevelType w:val="multilevel"/>
    <w:tmpl w:val="91E22E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476518">
    <w:abstractNumId w:val="11"/>
  </w:num>
  <w:num w:numId="2" w16cid:durableId="1413237738">
    <w:abstractNumId w:val="6"/>
  </w:num>
  <w:num w:numId="3" w16cid:durableId="296110414">
    <w:abstractNumId w:val="13"/>
  </w:num>
  <w:num w:numId="4" w16cid:durableId="2087217018">
    <w:abstractNumId w:val="2"/>
  </w:num>
  <w:num w:numId="5" w16cid:durableId="21980911">
    <w:abstractNumId w:val="7"/>
  </w:num>
  <w:num w:numId="6" w16cid:durableId="570307501">
    <w:abstractNumId w:val="10"/>
  </w:num>
  <w:num w:numId="7" w16cid:durableId="737820930">
    <w:abstractNumId w:val="9"/>
  </w:num>
  <w:num w:numId="8" w16cid:durableId="475999580">
    <w:abstractNumId w:val="12"/>
  </w:num>
  <w:num w:numId="9" w16cid:durableId="1334184468">
    <w:abstractNumId w:val="8"/>
  </w:num>
  <w:num w:numId="10" w16cid:durableId="1345398041">
    <w:abstractNumId w:val="5"/>
  </w:num>
  <w:num w:numId="11" w16cid:durableId="1555191324">
    <w:abstractNumId w:val="3"/>
  </w:num>
  <w:num w:numId="12" w16cid:durableId="825633636">
    <w:abstractNumId w:val="14"/>
  </w:num>
  <w:num w:numId="13" w16cid:durableId="1614553269">
    <w:abstractNumId w:val="0"/>
  </w:num>
  <w:num w:numId="14" w16cid:durableId="1568877347">
    <w:abstractNumId w:val="1"/>
  </w:num>
  <w:num w:numId="15" w16cid:durableId="6973115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removeDateAndTime/>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456"/>
    <w:rsid w:val="00032EAD"/>
    <w:rsid w:val="00043B22"/>
    <w:rsid w:val="0006264A"/>
    <w:rsid w:val="00081F35"/>
    <w:rsid w:val="000A25FF"/>
    <w:rsid w:val="000B000E"/>
    <w:rsid w:val="000D48D4"/>
    <w:rsid w:val="000D4F0B"/>
    <w:rsid w:val="000D6A67"/>
    <w:rsid w:val="000E0711"/>
    <w:rsid w:val="000F5BB2"/>
    <w:rsid w:val="00102844"/>
    <w:rsid w:val="00121112"/>
    <w:rsid w:val="00124FAD"/>
    <w:rsid w:val="00127EAA"/>
    <w:rsid w:val="00132872"/>
    <w:rsid w:val="001569E1"/>
    <w:rsid w:val="00161A85"/>
    <w:rsid w:val="001635A0"/>
    <w:rsid w:val="0017143F"/>
    <w:rsid w:val="0018114A"/>
    <w:rsid w:val="001D03A6"/>
    <w:rsid w:val="001D762C"/>
    <w:rsid w:val="001F1C00"/>
    <w:rsid w:val="001F67FF"/>
    <w:rsid w:val="00213330"/>
    <w:rsid w:val="0021355B"/>
    <w:rsid w:val="00234A9A"/>
    <w:rsid w:val="002506B0"/>
    <w:rsid w:val="00250A4F"/>
    <w:rsid w:val="00251B5F"/>
    <w:rsid w:val="00251D51"/>
    <w:rsid w:val="00274D2F"/>
    <w:rsid w:val="00291456"/>
    <w:rsid w:val="002A47F9"/>
    <w:rsid w:val="002B1E0C"/>
    <w:rsid w:val="002D66D8"/>
    <w:rsid w:val="00313B90"/>
    <w:rsid w:val="0033249A"/>
    <w:rsid w:val="00345C70"/>
    <w:rsid w:val="00350DB0"/>
    <w:rsid w:val="003556AB"/>
    <w:rsid w:val="00360B90"/>
    <w:rsid w:val="003778C9"/>
    <w:rsid w:val="00380E54"/>
    <w:rsid w:val="00386186"/>
    <w:rsid w:val="003B50A2"/>
    <w:rsid w:val="003B56FE"/>
    <w:rsid w:val="003B7370"/>
    <w:rsid w:val="003C4BE4"/>
    <w:rsid w:val="003D08C8"/>
    <w:rsid w:val="003E00A1"/>
    <w:rsid w:val="003F55E8"/>
    <w:rsid w:val="00406CC0"/>
    <w:rsid w:val="00410120"/>
    <w:rsid w:val="00415451"/>
    <w:rsid w:val="004216EF"/>
    <w:rsid w:val="004430E5"/>
    <w:rsid w:val="00446147"/>
    <w:rsid w:val="004545D9"/>
    <w:rsid w:val="00462631"/>
    <w:rsid w:val="00470151"/>
    <w:rsid w:val="004818C5"/>
    <w:rsid w:val="004A4137"/>
    <w:rsid w:val="00507B0A"/>
    <w:rsid w:val="0051590F"/>
    <w:rsid w:val="005418EC"/>
    <w:rsid w:val="00542234"/>
    <w:rsid w:val="00553489"/>
    <w:rsid w:val="00557DA1"/>
    <w:rsid w:val="00587880"/>
    <w:rsid w:val="005A0478"/>
    <w:rsid w:val="005E0FB9"/>
    <w:rsid w:val="005E38B6"/>
    <w:rsid w:val="005F753E"/>
    <w:rsid w:val="0060395C"/>
    <w:rsid w:val="006078B5"/>
    <w:rsid w:val="0061650B"/>
    <w:rsid w:val="00621CA4"/>
    <w:rsid w:val="00641B14"/>
    <w:rsid w:val="00647A0A"/>
    <w:rsid w:val="00665BF5"/>
    <w:rsid w:val="006C059D"/>
    <w:rsid w:val="006C5404"/>
    <w:rsid w:val="006D0E7B"/>
    <w:rsid w:val="006D48E4"/>
    <w:rsid w:val="006E275D"/>
    <w:rsid w:val="00704D20"/>
    <w:rsid w:val="00711BD5"/>
    <w:rsid w:val="007254CD"/>
    <w:rsid w:val="00764F95"/>
    <w:rsid w:val="00767997"/>
    <w:rsid w:val="00767ACC"/>
    <w:rsid w:val="00770426"/>
    <w:rsid w:val="00790374"/>
    <w:rsid w:val="00792BBE"/>
    <w:rsid w:val="00795C03"/>
    <w:rsid w:val="007B1719"/>
    <w:rsid w:val="007C7320"/>
    <w:rsid w:val="007E1886"/>
    <w:rsid w:val="007E3FB9"/>
    <w:rsid w:val="007E6E99"/>
    <w:rsid w:val="007F2BDB"/>
    <w:rsid w:val="007F36D6"/>
    <w:rsid w:val="007F6917"/>
    <w:rsid w:val="00801618"/>
    <w:rsid w:val="00807300"/>
    <w:rsid w:val="00821192"/>
    <w:rsid w:val="008327EC"/>
    <w:rsid w:val="00841F88"/>
    <w:rsid w:val="008A6029"/>
    <w:rsid w:val="008B77F4"/>
    <w:rsid w:val="008C7C77"/>
    <w:rsid w:val="008F025C"/>
    <w:rsid w:val="008F38F6"/>
    <w:rsid w:val="008F3BF8"/>
    <w:rsid w:val="00904C0B"/>
    <w:rsid w:val="00920C8E"/>
    <w:rsid w:val="0093204F"/>
    <w:rsid w:val="00973CAF"/>
    <w:rsid w:val="00984630"/>
    <w:rsid w:val="009979C2"/>
    <w:rsid w:val="009A1E07"/>
    <w:rsid w:val="009B2D74"/>
    <w:rsid w:val="009B7788"/>
    <w:rsid w:val="009C2DCA"/>
    <w:rsid w:val="009C7AA5"/>
    <w:rsid w:val="009F4117"/>
    <w:rsid w:val="009F5EA8"/>
    <w:rsid w:val="00A04DA5"/>
    <w:rsid w:val="00A0531F"/>
    <w:rsid w:val="00A1424B"/>
    <w:rsid w:val="00A17E3E"/>
    <w:rsid w:val="00A2079B"/>
    <w:rsid w:val="00A25F1A"/>
    <w:rsid w:val="00A3338B"/>
    <w:rsid w:val="00A37AA4"/>
    <w:rsid w:val="00A60707"/>
    <w:rsid w:val="00A837CE"/>
    <w:rsid w:val="00A960B4"/>
    <w:rsid w:val="00AC1F28"/>
    <w:rsid w:val="00AD4A63"/>
    <w:rsid w:val="00AD60FF"/>
    <w:rsid w:val="00B137DF"/>
    <w:rsid w:val="00B222F8"/>
    <w:rsid w:val="00B2703B"/>
    <w:rsid w:val="00B4008E"/>
    <w:rsid w:val="00B50CF7"/>
    <w:rsid w:val="00B71D88"/>
    <w:rsid w:val="00B82650"/>
    <w:rsid w:val="00B86C21"/>
    <w:rsid w:val="00B914B0"/>
    <w:rsid w:val="00B916D3"/>
    <w:rsid w:val="00B920FC"/>
    <w:rsid w:val="00B95FF0"/>
    <w:rsid w:val="00BB298A"/>
    <w:rsid w:val="00BC4F55"/>
    <w:rsid w:val="00BE381D"/>
    <w:rsid w:val="00BE4DEB"/>
    <w:rsid w:val="00BF34D8"/>
    <w:rsid w:val="00C00D84"/>
    <w:rsid w:val="00C014E9"/>
    <w:rsid w:val="00C10795"/>
    <w:rsid w:val="00C12E2F"/>
    <w:rsid w:val="00C15830"/>
    <w:rsid w:val="00C61F30"/>
    <w:rsid w:val="00C722CF"/>
    <w:rsid w:val="00C76D78"/>
    <w:rsid w:val="00C97BCD"/>
    <w:rsid w:val="00CB427E"/>
    <w:rsid w:val="00CB73BA"/>
    <w:rsid w:val="00CC797E"/>
    <w:rsid w:val="00CD304F"/>
    <w:rsid w:val="00CD517B"/>
    <w:rsid w:val="00CD5318"/>
    <w:rsid w:val="00CF4068"/>
    <w:rsid w:val="00CF4915"/>
    <w:rsid w:val="00CF67D5"/>
    <w:rsid w:val="00CF7674"/>
    <w:rsid w:val="00D10B33"/>
    <w:rsid w:val="00D20A50"/>
    <w:rsid w:val="00D4670E"/>
    <w:rsid w:val="00D50CA6"/>
    <w:rsid w:val="00D5416F"/>
    <w:rsid w:val="00D542B3"/>
    <w:rsid w:val="00D64D25"/>
    <w:rsid w:val="00D74B1E"/>
    <w:rsid w:val="00DB6C1C"/>
    <w:rsid w:val="00DC2AAA"/>
    <w:rsid w:val="00DD6807"/>
    <w:rsid w:val="00DE4FF4"/>
    <w:rsid w:val="00DE6EBE"/>
    <w:rsid w:val="00DF6545"/>
    <w:rsid w:val="00E03C71"/>
    <w:rsid w:val="00E060BD"/>
    <w:rsid w:val="00E2758E"/>
    <w:rsid w:val="00E37DB9"/>
    <w:rsid w:val="00E417D1"/>
    <w:rsid w:val="00E658A3"/>
    <w:rsid w:val="00E957AD"/>
    <w:rsid w:val="00EC00C7"/>
    <w:rsid w:val="00EC4B70"/>
    <w:rsid w:val="00ED2D9B"/>
    <w:rsid w:val="00ED3B81"/>
    <w:rsid w:val="00EF13DC"/>
    <w:rsid w:val="00F06A23"/>
    <w:rsid w:val="00F23635"/>
    <w:rsid w:val="00F301CB"/>
    <w:rsid w:val="00F31179"/>
    <w:rsid w:val="00F33F83"/>
    <w:rsid w:val="00F614F4"/>
    <w:rsid w:val="00F755BF"/>
    <w:rsid w:val="00F919E6"/>
    <w:rsid w:val="00F92472"/>
    <w:rsid w:val="00F948E6"/>
    <w:rsid w:val="00FD4FA3"/>
    <w:rsid w:val="00FD5F0E"/>
    <w:rsid w:val="00FD7E17"/>
    <w:rsid w:val="00FE39E4"/>
    <w:rsid w:val="00FF6FE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F4C0AB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tabs>
        <w:tab w:val="left" w:pos="-1080"/>
        <w:tab w:val="left" w:pos="-720"/>
        <w:tab w:val="left" w:pos="0"/>
        <w:tab w:val="left" w:pos="450"/>
        <w:tab w:val="left" w:pos="1440"/>
      </w:tabs>
      <w:ind w:left="450"/>
    </w:pPr>
  </w:style>
  <w:style w:type="paragraph" w:styleId="BalloonText">
    <w:name w:val="Balloon Text"/>
    <w:basedOn w:val="Normal"/>
    <w:semiHidden/>
    <w:rsid w:val="002B1E0C"/>
    <w:rPr>
      <w:rFonts w:ascii="Tahoma" w:hAnsi="Tahoma" w:cs="Tahoma"/>
      <w:sz w:val="16"/>
      <w:szCs w:val="16"/>
    </w:rPr>
  </w:style>
  <w:style w:type="character" w:styleId="CommentReference">
    <w:name w:val="annotation reference"/>
    <w:semiHidden/>
    <w:rsid w:val="002B1E0C"/>
    <w:rPr>
      <w:sz w:val="16"/>
      <w:szCs w:val="16"/>
    </w:rPr>
  </w:style>
  <w:style w:type="paragraph" w:styleId="CommentText">
    <w:name w:val="annotation text"/>
    <w:basedOn w:val="Normal"/>
    <w:semiHidden/>
    <w:rsid w:val="002B1E0C"/>
    <w:rPr>
      <w:sz w:val="20"/>
    </w:rPr>
  </w:style>
  <w:style w:type="paragraph" w:styleId="CommentSubject">
    <w:name w:val="annotation subject"/>
    <w:basedOn w:val="CommentText"/>
    <w:next w:val="CommentText"/>
    <w:semiHidden/>
    <w:rsid w:val="002B1E0C"/>
    <w:rPr>
      <w:b/>
      <w:bCs/>
    </w:rPr>
  </w:style>
  <w:style w:type="paragraph" w:styleId="Header">
    <w:name w:val="header"/>
    <w:basedOn w:val="Normal"/>
    <w:link w:val="HeaderChar"/>
    <w:rsid w:val="00F33F83"/>
    <w:pPr>
      <w:tabs>
        <w:tab w:val="center" w:pos="4680"/>
        <w:tab w:val="right" w:pos="9360"/>
      </w:tabs>
    </w:pPr>
  </w:style>
  <w:style w:type="character" w:customStyle="1" w:styleId="HeaderChar">
    <w:name w:val="Header Char"/>
    <w:link w:val="Header"/>
    <w:rsid w:val="00F33F83"/>
    <w:rPr>
      <w:snapToGrid w:val="0"/>
      <w:sz w:val="24"/>
    </w:rPr>
  </w:style>
  <w:style w:type="character" w:customStyle="1" w:styleId="FooterChar">
    <w:name w:val="Footer Char"/>
    <w:link w:val="Footer"/>
    <w:uiPriority w:val="99"/>
    <w:rsid w:val="00F33F83"/>
    <w:rPr>
      <w:snapToGrid w:val="0"/>
      <w:sz w:val="24"/>
    </w:rPr>
  </w:style>
  <w:style w:type="character" w:styleId="Hyperlink">
    <w:name w:val="Hyperlink"/>
    <w:rsid w:val="00553489"/>
    <w:rPr>
      <w:color w:val="0563C1"/>
      <w:u w:val="single"/>
    </w:rPr>
  </w:style>
  <w:style w:type="character" w:styleId="UnresolvedMention">
    <w:name w:val="Unresolved Mention"/>
    <w:uiPriority w:val="99"/>
    <w:semiHidden/>
    <w:unhideWhenUsed/>
    <w:rsid w:val="005534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fda.gov/about-fda/about-center-drug-evaluation-and-research/requesting-cder-speaker" TargetMode="External" /><Relationship Id="rId11" Type="http://schemas.openxmlformats.org/officeDocument/2006/relationships/hyperlink" Target="https://www.fda.gov/about-fda/about-center-devices-and-radiological-health/requesting-speakers-cdrh" TargetMode="External" /><Relationship Id="rId12" Type="http://schemas.openxmlformats.org/officeDocument/2006/relationships/hyperlink" Target="https://www.fda.gov/contact-cfsan" TargetMode="External" /><Relationship Id="rId13" Type="http://schemas.openxmlformats.org/officeDocument/2006/relationships/hyperlink" Target="mailto:FDA-CFSAN-International-Engagement@fda.hhs.gov" TargetMode="External" /><Relationship Id="rId14" Type="http://schemas.openxmlformats.org/officeDocument/2006/relationships/hyperlink" Target="mailto:AskCTP@fda.hhs.gov" TargetMode="External" /><Relationship Id="rId15" Type="http://schemas.openxmlformats.org/officeDocument/2006/relationships/hyperlink" Target="https://www.fda.gov/tobacco-products/contact-ctp/requesting-ctp-speaker" TargetMode="External" /><Relationship Id="rId16" Type="http://schemas.openxmlformats.org/officeDocument/2006/relationships/hyperlink" Target="https://www.fda.gov/about-fda/about-center-veterinary-medicine/contact-cvm" TargetMode="External" /><Relationship Id="rId17" Type="http://schemas.openxmlformats.org/officeDocument/2006/relationships/hyperlink" Target="https://www.fda.gov/about-fda/office-digital-transformation/fdaodt-speaker-requestinvitation" TargetMode="External" /><Relationship Id="rId18" Type="http://schemas.openxmlformats.org/officeDocument/2006/relationships/hyperlink" Target="https://www.fda.gov/contact-ora" TargetMode="External" /><Relationship Id="rId19" Type="http://schemas.openxmlformats.org/officeDocument/2006/relationships/hyperlink" Target="http://www.fda.gov" TargetMode="External" /><Relationship Id="rId2" Type="http://schemas.openxmlformats.org/officeDocument/2006/relationships/webSettings" Target="webSettings.xml" /><Relationship Id="rId20" Type="http://schemas.openxmlformats.org/officeDocument/2006/relationships/footer" Target="footer1.xml" /><Relationship Id="rId21" Type="http://schemas.openxmlformats.org/officeDocument/2006/relationships/footer" Target="footer2.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fda.gov/training-and-continuing-education/contacts-requesting-fda-speaker" TargetMode="External" /><Relationship Id="rId6" Type="http://schemas.openxmlformats.org/officeDocument/2006/relationships/hyperlink" Target="https://www.fda.gov/about-fda/office-external-affairs/industry-stakeholder-organizations-requesting-cross-agency-speakers-fda" TargetMode="External" /><Relationship Id="rId7" Type="http://schemas.openxmlformats.org/officeDocument/2006/relationships/hyperlink" Target="https://www.fda.gov/industry/fda-basics-industry/trade-and-industry-groups-requesting-cross-agency-speakers-fda" TargetMode="External" /><Relationship Id="rId8" Type="http://schemas.openxmlformats.org/officeDocument/2006/relationships/hyperlink" Target="https://www.fda.gov/about-fda/about-center-biologics-evaluation-and-research/fdacber-speaker-requestinvitation" TargetMode="External" /><Relationship Id="rId9" Type="http://schemas.openxmlformats.org/officeDocument/2006/relationships/hyperlink" Target="https://www.fda.gov/media/75118/downloa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400735-CADB-4DF5-9FE2-1B5009B1A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1960</Words>
  <Characters>11177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2023-06-30T12:32:00Z</dcterms:created>
  <dcterms:modified xsi:type="dcterms:W3CDTF">2023-06-30T14:06:00Z</dcterms:modified>
</cp:coreProperties>
</file>