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1CE2" w:rsidRPr="00D61CE2" w:rsidP="00D61CE2" w14:paraId="49ACA84A" w14:textId="77777777">
      <w:pPr>
        <w:pStyle w:val="Heading2"/>
        <w:jc w:val="right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0" w:name="_Toc99092825"/>
      <w:r w:rsidRPr="00D61CE2">
        <w:rPr>
          <w:rFonts w:asciiTheme="minorHAnsi" w:eastAsiaTheme="minorHAnsi" w:hAnsiTheme="minorHAnsi" w:cstheme="minorBidi"/>
          <w:color w:val="auto"/>
          <w:sz w:val="22"/>
          <w:szCs w:val="22"/>
        </w:rPr>
        <w:t>OMB Number: 0910-0909 Exp Date: XX/XX/XXXX</w:t>
      </w:r>
    </w:p>
    <w:p w:rsidR="00D61CE2" w:rsidRPr="00D61CE2" w:rsidP="00D61CE2" w14:paraId="5E2D6529" w14:textId="77777777">
      <w:pPr>
        <w:pStyle w:val="Heading2"/>
        <w:jc w:val="right"/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D61CE2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>See last page for PRA statement</w:t>
      </w:r>
    </w:p>
    <w:p w:rsidR="00D61CE2" w:rsidP="00D61CE2" w14:paraId="137FAAE5" w14:textId="77777777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975507" w:rsidRPr="00975507" w:rsidP="00D61CE2" w14:paraId="7562FC5A" w14:textId="0E8EB342">
      <w:pPr>
        <w:pStyle w:val="Heading2"/>
        <w:rPr>
          <w:rFonts w:ascii="Calibri" w:eastAsia="Calibri" w:hAnsi="Calibri" w:cs="Calibri"/>
          <w:color w:val="17365D"/>
        </w:rPr>
      </w:pPr>
      <w:r>
        <w:rPr>
          <w:rFonts w:ascii="Calibri" w:eastAsia="Calibri" w:hAnsi="Calibri" w:cs="Calibri"/>
          <w:color w:val="17365D"/>
        </w:rPr>
        <w:t xml:space="preserve">Instructions for </w:t>
      </w:r>
      <w:r w:rsidRPr="00975507">
        <w:rPr>
          <w:rFonts w:ascii="Calibri" w:eastAsia="Calibri" w:hAnsi="Calibri" w:cs="Calibri"/>
          <w:color w:val="17365D"/>
        </w:rPr>
        <w:t>Completing the LFFM Lab-SRP Agreement</w:t>
      </w:r>
      <w:bookmarkEnd w:id="0"/>
    </w:p>
    <w:p w:rsidR="161B9E20" w:rsidP="161B9E20" w14:paraId="225794C2" w14:textId="7177F20B">
      <w:pPr>
        <w:pStyle w:val="Heading2"/>
        <w:rPr>
          <w:rFonts w:ascii="Calibri" w:eastAsia="Calibri" w:hAnsi="Calibri" w:cs="Calibri"/>
          <w:color w:val="17365D"/>
        </w:rPr>
      </w:pPr>
    </w:p>
    <w:p w:rsidR="00975507" w:rsidRPr="007E5CCE" w:rsidP="00975507" w14:paraId="1DD48ED0" w14:textId="596166D2">
      <w:pPr>
        <w:pStyle w:val="BodyText"/>
      </w:pPr>
      <w:r w:rsidRPr="7B9F0E1E">
        <w:rPr>
          <w:b/>
          <w:bCs/>
        </w:rPr>
        <w:t xml:space="preserve">Laboratories </w:t>
      </w:r>
      <w:r>
        <w:rPr>
          <w:b/>
          <w:bCs/>
        </w:rPr>
        <w:t>must</w:t>
      </w:r>
      <w:r w:rsidRPr="7B9F0E1E">
        <w:rPr>
          <w:b/>
          <w:bCs/>
        </w:rPr>
        <w:t xml:space="preserve"> submit documentation of State Regulatory Program (SRP) agreement to lead response and follow-up, in coordination with FDA and following the LFFM Sample Guide, for any state-collected LFFM samples (this includes samples collected by either laboratory analysts or SRP staff).</w:t>
      </w:r>
      <w:r>
        <w:t xml:space="preserve"> Specifically, this means the Manufactured Food program agrees to lead response and follow-up for samples collected at retailers/manufacturers/processors/distributors under the Human Food micro/chem tracks; and the Animal Food program agrees to lead response and follow-up for samples collected at retailers/manufacturers/processors/distributors under the Animal Food micro/chem tracks. SRP agreement should be from the regulatory program director/manager level or higher. A letter or an email is acceptable. </w:t>
      </w:r>
      <w:r w:rsidRPr="7B9F0E1E">
        <w:rPr>
          <w:b/>
          <w:bCs/>
        </w:rPr>
        <w:t>FDA will not approve commodity-hazard pair</w:t>
      </w:r>
      <w:r>
        <w:rPr>
          <w:b/>
          <w:bCs/>
        </w:rPr>
        <w:t>s</w:t>
      </w:r>
      <w:r w:rsidRPr="7B9F0E1E">
        <w:rPr>
          <w:b/>
          <w:bCs/>
        </w:rPr>
        <w:t xml:space="preserve"> unless there is documented SRP agreement to follow-up on any positive samples.</w:t>
      </w:r>
      <w:r w:rsidRPr="007E5CCE">
        <w:rPr>
          <w:b/>
          <w:bCs/>
          <w:color w:val="ED7D31" w:themeColor="accent2"/>
        </w:rPr>
        <w:t xml:space="preserve"> </w:t>
      </w:r>
      <w:r w:rsidRPr="00162EC9" w:rsidR="00162EC9">
        <w:t>The following</w:t>
      </w:r>
      <w:r w:rsidRPr="00162EC9" w:rsidR="00162EC9">
        <w:rPr>
          <w:b/>
          <w:bCs/>
        </w:rPr>
        <w:t xml:space="preserve"> </w:t>
      </w:r>
      <w:r w:rsidRPr="00F63781">
        <w:rPr>
          <w:b/>
          <w:bCs/>
          <w:color w:val="ED7D31" w:themeColor="accent2"/>
        </w:rPr>
        <w:t>SRP-Lab Agreement Template</w:t>
      </w:r>
      <w:r>
        <w:rPr>
          <w:b/>
          <w:bCs/>
          <w:color w:val="ED7D31" w:themeColor="accent2"/>
        </w:rPr>
        <w:t xml:space="preserve"> </w:t>
      </w:r>
      <w:r>
        <w:t>is provided for Labs/SRPs to use in meeting this requirement.</w:t>
      </w:r>
    </w:p>
    <w:p w:rsidR="00975507" w:rsidP="00975507" w14:paraId="7E77715D" w14:textId="77777777">
      <w:pPr>
        <w:pStyle w:val="BodyText"/>
      </w:pPr>
    </w:p>
    <w:p w:rsidR="00975507" w:rsidP="00975507" w14:paraId="4744F8A4" w14:textId="09E984F9">
      <w:pPr>
        <w:pStyle w:val="BodyText"/>
      </w:pPr>
      <w:r>
        <w:t xml:space="preserve">Some commodity/hazard pairs offered under LFFM </w:t>
      </w:r>
      <w:r w:rsidR="00DE674D">
        <w:t>are</w:t>
      </w:r>
      <w:r>
        <w:t xml:space="preserve"> non-regulatory in nature. Please refer Columns J and K (“Scope &amp; Intent” and “Expectation for Regulatory Action”) in</w:t>
      </w:r>
      <w:r w:rsidR="00DE674D">
        <w:t xml:space="preserve"> the current</w:t>
      </w:r>
      <w:r>
        <w:t xml:space="preserve"> </w:t>
      </w:r>
      <w:r w:rsidRPr="003D1E53">
        <w:rPr>
          <w:b/>
          <w:bCs/>
          <w:color w:val="FF0000"/>
        </w:rPr>
        <w:t xml:space="preserve">“LFFM Sample and </w:t>
      </w:r>
      <w:r w:rsidR="00DE674D">
        <w:rPr>
          <w:b/>
          <w:bCs/>
          <w:color w:val="FF0000"/>
        </w:rPr>
        <w:t>Activity</w:t>
      </w:r>
      <w:r w:rsidRPr="003D1E53">
        <w:rPr>
          <w:b/>
          <w:bCs/>
          <w:color w:val="FF0000"/>
        </w:rPr>
        <w:t xml:space="preserve"> </w:t>
      </w:r>
      <w:r w:rsidRPr="003D1E53">
        <w:rPr>
          <w:b/>
          <w:bCs/>
          <w:color w:val="FF0000"/>
        </w:rPr>
        <w:t>Plan_Options</w:t>
      </w:r>
      <w:r w:rsidRPr="003D1E53">
        <w:rPr>
          <w:b/>
          <w:bCs/>
          <w:color w:val="FF0000"/>
        </w:rPr>
        <w:t xml:space="preserve"> by Track.xlsx.”</w:t>
      </w:r>
      <w:r w:rsidRPr="003D1E53">
        <w:rPr>
          <w:color w:val="FF0000"/>
        </w:rPr>
        <w:t xml:space="preserve">  </w:t>
      </w:r>
      <w:r>
        <w:t xml:space="preserve">Non-regulatory work includes Total Diet Study (TDS), National Antimicrobial Resistance Monitoring System (NARMS), and Signals Evaluation (Human Food). </w:t>
      </w:r>
    </w:p>
    <w:p w:rsidR="00975507" w:rsidP="00975507" w14:paraId="3C038F29" w14:textId="511E48C6">
      <w:pPr>
        <w:pStyle w:val="BodyText"/>
        <w:numPr>
          <w:ilvl w:val="0"/>
          <w:numId w:val="1"/>
        </w:numPr>
      </w:pPr>
      <w:r>
        <w:t xml:space="preserve">There is a section within the LFFM Lab-SRP Agreement </w:t>
      </w:r>
      <w:r w:rsidR="00DE674D">
        <w:t xml:space="preserve">Template below </w:t>
      </w:r>
      <w:r>
        <w:t xml:space="preserve">that clarifies that there is no regulatory action expected for these commodity-hazard pairs, and asks if the SRP has </w:t>
      </w:r>
      <w:r w:rsidRPr="7B9F0E1E">
        <w:rPr>
          <w:rFonts w:ascii="Calibri" w:eastAsia="Calibri" w:hAnsi="Calibri" w:cs="Calibri"/>
        </w:rPr>
        <w:t>regulatory limits, action levels, or other compliance thresholds that could result in SRP regulatory actions for this commodity-hazard pair</w:t>
      </w:r>
      <w:r>
        <w:rPr>
          <w:rFonts w:ascii="Calibri" w:eastAsia="Calibri" w:hAnsi="Calibri" w:cs="Calibri"/>
        </w:rPr>
        <w:t>. This information will be completed during the negotiations/approval phase.</w:t>
      </w:r>
    </w:p>
    <w:p w:rsidR="00975507" w:rsidP="00975507" w14:paraId="6F97DABA" w14:textId="77777777">
      <w:pPr>
        <w:pStyle w:val="BodyText"/>
      </w:pPr>
    </w:p>
    <w:p w:rsidR="00975507" w:rsidP="00975507" w14:paraId="2FAF12AC" w14:textId="604D424B">
      <w:pPr>
        <w:spacing w:after="0" w:line="240" w:lineRule="auto"/>
      </w:pPr>
      <w:r>
        <w:t>When determining which commodity-hazard pairs to propose for the upcoming LFFM grant year, l</w:t>
      </w:r>
      <w:r w:rsidRPr="3797CA57">
        <w:t xml:space="preserve">aboratories </w:t>
      </w:r>
      <w:r>
        <w:t xml:space="preserve">and SRPs </w:t>
      </w:r>
      <w:r w:rsidRPr="3797CA57">
        <w:t xml:space="preserve">should </w:t>
      </w:r>
      <w:r>
        <w:t>discuss</w:t>
      </w:r>
      <w:r w:rsidRPr="3797CA57">
        <w:t xml:space="preserve"> capabilities and</w:t>
      </w:r>
      <w:r w:rsidRPr="3797CA57">
        <w:rPr>
          <w:spacing w:val="62"/>
        </w:rPr>
        <w:t xml:space="preserve"> </w:t>
      </w:r>
      <w:r w:rsidRPr="3797CA57">
        <w:t>areas of common interest.</w:t>
      </w:r>
      <w:r>
        <w:t xml:space="preserve"> It is important to ensure that ALL commodity-hazard pairs included in the LFFM </w:t>
      </w:r>
      <w:r w:rsidR="00CD53C2">
        <w:t>Sample and Activity Plan</w:t>
      </w:r>
      <w:r>
        <w:t xml:space="preserve"> proposal (</w:t>
      </w:r>
      <w:r w:rsidRPr="007910D8">
        <w:rPr>
          <w:b/>
          <w:bCs/>
          <w:color w:val="70AD47" w:themeColor="accent6"/>
        </w:rPr>
        <w:t xml:space="preserve">“LFFM Sample and </w:t>
      </w:r>
      <w:r w:rsidR="00CD53C2">
        <w:rPr>
          <w:b/>
          <w:bCs/>
          <w:color w:val="70AD47" w:themeColor="accent6"/>
        </w:rPr>
        <w:t>Activity</w:t>
      </w:r>
      <w:r w:rsidRPr="007910D8">
        <w:rPr>
          <w:b/>
          <w:bCs/>
          <w:color w:val="70AD47" w:themeColor="accent6"/>
        </w:rPr>
        <w:t xml:space="preserve"> </w:t>
      </w:r>
      <w:r w:rsidRPr="007910D8">
        <w:rPr>
          <w:b/>
          <w:bCs/>
          <w:color w:val="70AD47" w:themeColor="accent6"/>
        </w:rPr>
        <w:t>Plan_Proposal</w:t>
      </w:r>
      <w:r w:rsidRPr="007910D8">
        <w:rPr>
          <w:b/>
          <w:bCs/>
          <w:color w:val="70AD47" w:themeColor="accent6"/>
        </w:rPr>
        <w:t xml:space="preserve"> Template.xlsx”</w:t>
      </w:r>
      <w:r w:rsidRPr="00FC4AC6">
        <w:t xml:space="preserve">) </w:t>
      </w:r>
      <w:r>
        <w:t xml:space="preserve">have been discussed between the Lab and SRP. Information in </w:t>
      </w:r>
      <w:r w:rsidRPr="009260F5">
        <w:rPr>
          <w:rFonts w:ascii="Calibri" w:eastAsia="Times New Roman" w:hAnsi="Calibri" w:cs="Calibri"/>
          <w:b/>
          <w:bCs/>
          <w:color w:val="FF0000"/>
        </w:rPr>
        <w:t>“</w:t>
      </w:r>
      <w:r w:rsidRPr="003D1E53" w:rsidR="002661F3">
        <w:rPr>
          <w:b/>
          <w:bCs/>
          <w:color w:val="FF0000"/>
        </w:rPr>
        <w:t xml:space="preserve">LFFM Sample and </w:t>
      </w:r>
      <w:r w:rsidR="002661F3">
        <w:rPr>
          <w:b/>
          <w:bCs/>
          <w:color w:val="FF0000"/>
        </w:rPr>
        <w:t>Activity</w:t>
      </w:r>
      <w:r w:rsidRPr="003D1E53" w:rsidR="002661F3">
        <w:rPr>
          <w:b/>
          <w:bCs/>
          <w:color w:val="FF0000"/>
        </w:rPr>
        <w:t xml:space="preserve"> </w:t>
      </w:r>
      <w:r w:rsidRPr="003D1E53" w:rsidR="002661F3">
        <w:rPr>
          <w:b/>
          <w:bCs/>
          <w:color w:val="FF0000"/>
        </w:rPr>
        <w:t>Plan_Options</w:t>
      </w:r>
      <w:r w:rsidRPr="003D1E53" w:rsidR="002661F3">
        <w:rPr>
          <w:b/>
          <w:bCs/>
          <w:color w:val="FF0000"/>
        </w:rPr>
        <w:t xml:space="preserve"> by Track.xlsx</w:t>
      </w:r>
      <w:r w:rsidRPr="009260F5">
        <w:rPr>
          <w:rFonts w:ascii="Calibri" w:eastAsia="Times New Roman" w:hAnsi="Calibri" w:cs="Calibri"/>
          <w:b/>
          <w:bCs/>
          <w:color w:val="FF0000"/>
        </w:rPr>
        <w:t>”</w:t>
      </w:r>
      <w:r w:rsidRPr="009260F5">
        <w:rPr>
          <w:rFonts w:ascii="Calibri" w:eastAsia="Times New Roman" w:hAnsi="Calibri" w:cs="Calibri"/>
          <w:color w:val="FF0000"/>
        </w:rPr>
        <w:t xml:space="preserve"> </w:t>
      </w:r>
      <w:r w:rsidRPr="009260F5">
        <w:rPr>
          <w:rFonts w:ascii="Calibri" w:eastAsia="Times New Roman" w:hAnsi="Calibri" w:cs="Calibri"/>
          <w:color w:val="000000" w:themeColor="text1"/>
        </w:rPr>
        <w:t xml:space="preserve">Commodity-Hazard pair tab </w:t>
      </w:r>
      <w:r>
        <w:t>should be used by the Lab and SRP to determine which commodity-hazard pairs to propose for the year.</w:t>
      </w:r>
    </w:p>
    <w:p w:rsidR="00975507" w:rsidP="00975507" w14:paraId="6A6C291F" w14:textId="77777777">
      <w:pPr>
        <w:spacing w:after="0" w:line="240" w:lineRule="auto"/>
      </w:pPr>
    </w:p>
    <w:p w:rsidR="00975507" w:rsidP="00975507" w14:paraId="527285E5" w14:textId="77777777">
      <w:pPr>
        <w:spacing w:after="0" w:line="240" w:lineRule="auto"/>
      </w:pPr>
      <w:r>
        <w:t xml:space="preserve">Per the Funding Opportunity Announcement (FOA), if the laboratory is the primary servicing lab for a MFRPS or AFRPS </w:t>
      </w:r>
      <w:bookmarkStart w:id="1" w:name="_Hlk93034836"/>
      <w:r>
        <w:t>program</w:t>
      </w:r>
      <w:bookmarkEnd w:id="1"/>
      <w:r>
        <w:t>, then at least 15% of LFFM samples for the Human Food or Animal Food Tracks must be collected by the MFRPS or AFRPS program.</w:t>
      </w:r>
    </w:p>
    <w:p w:rsidR="00975507" w:rsidP="00975507" w14:paraId="0E8770CB" w14:textId="77777777">
      <w:pPr>
        <w:spacing w:after="0" w:line="240" w:lineRule="auto"/>
      </w:pPr>
    </w:p>
    <w:p w:rsidR="00975507" w:rsidP="00975507" w14:paraId="7CFEE3F9" w14:textId="77777777">
      <w:pPr>
        <w:spacing w:after="0" w:line="240" w:lineRule="auto"/>
      </w:pPr>
      <w:r w:rsidRPr="0009192E">
        <w:t xml:space="preserve">See </w:t>
      </w:r>
      <w:r w:rsidRPr="002E054F">
        <w:rPr>
          <w:i/>
          <w:iCs/>
        </w:rPr>
        <w:t>LFFM Sample Guide section “Determining which Commodity-Hazard Pairs to Propose”</w:t>
      </w:r>
      <w:r w:rsidRPr="0009192E">
        <w:t xml:space="preserve"> for more details.</w:t>
      </w:r>
    </w:p>
    <w:p w:rsidR="00975507" w:rsidP="00975507" w14:paraId="597CCB8E" w14:textId="77777777">
      <w:pPr>
        <w:spacing w:after="0" w:line="240" w:lineRule="auto"/>
      </w:pPr>
    </w:p>
    <w:p w:rsidR="00862D1F" w:rsidP="69253D6B" w14:paraId="7A88FE2A" w14:textId="007645C1">
      <w:pPr>
        <w:pStyle w:val="Heading2"/>
      </w:pPr>
      <w:r w:rsidRPr="49EDBA42">
        <w:rPr>
          <w:rFonts w:ascii="Calibri" w:eastAsia="Calibri" w:hAnsi="Calibri" w:cs="Calibri"/>
          <w:color w:val="17365D"/>
        </w:rPr>
        <w:t xml:space="preserve">LFFM Laboratory and SRP Agreement </w:t>
      </w:r>
      <w:r w:rsidR="00E125CA">
        <w:rPr>
          <w:rFonts w:ascii="Calibri" w:eastAsia="Calibri" w:hAnsi="Calibri" w:cs="Calibri"/>
          <w:color w:val="17365D"/>
        </w:rPr>
        <w:t xml:space="preserve">Template </w:t>
      </w:r>
      <w:r w:rsidRPr="49EDBA42">
        <w:rPr>
          <w:rFonts w:ascii="Calibri" w:eastAsia="Calibri" w:hAnsi="Calibri" w:cs="Calibri"/>
          <w:color w:val="17365D"/>
        </w:rPr>
        <w:t>for Human and Animal Food Product Testing Tracks</w:t>
      </w:r>
    </w:p>
    <w:p w:rsidR="00862D1F" w14:paraId="42AD31B9" w14:textId="69493166">
      <w:pPr>
        <w:rPr>
          <w:rFonts w:ascii="Calibri" w:eastAsia="Calibri" w:hAnsi="Calibri" w:cs="Calibri"/>
          <w:i/>
          <w:iCs/>
        </w:rPr>
      </w:pPr>
      <w:r w:rsidRPr="69253D6B">
        <w:rPr>
          <w:rFonts w:ascii="Calibri" w:eastAsia="Calibri" w:hAnsi="Calibri" w:cs="Calibri"/>
          <w:i/>
          <w:iCs/>
        </w:rPr>
        <w:t xml:space="preserve"> </w:t>
      </w:r>
    </w:p>
    <w:p w:rsidR="00862D1F" w14:paraId="40FCAC3A" w14:textId="4E4D2EE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[SRP] </w:t>
      </w:r>
      <w:r w:rsidRPr="00B43885"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b/>
          <w:bCs/>
        </w:rPr>
        <w:t xml:space="preserve"> </w:t>
      </w:r>
      <w:r w:rsidRPr="00DC1F2B" w:rsidR="69253D6B">
        <w:rPr>
          <w:rFonts w:ascii="Calibri" w:eastAsia="Calibri" w:hAnsi="Calibri" w:cs="Calibri"/>
          <w:b/>
          <w:bCs/>
        </w:rPr>
        <w:t>[LFFM laboratory]</w:t>
      </w:r>
      <w:r w:rsidRPr="00DC1F2B" w:rsidR="69253D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have reviewed, discussed, and jointly submit t</w:t>
      </w:r>
      <w:r w:rsidR="00B8520A">
        <w:rPr>
          <w:rFonts w:ascii="Calibri" w:eastAsia="Calibri" w:hAnsi="Calibri" w:cs="Calibri"/>
        </w:rPr>
        <w:t>his</w:t>
      </w:r>
      <w:r w:rsidRPr="00DC1F2B" w:rsidR="69253D6B">
        <w:rPr>
          <w:rFonts w:ascii="Calibri" w:eastAsia="Calibri" w:hAnsi="Calibri" w:cs="Calibri"/>
          <w:b/>
          <w:bCs/>
        </w:rPr>
        <w:t xml:space="preserve"> </w:t>
      </w:r>
      <w:r w:rsidR="004D1C56">
        <w:rPr>
          <w:rFonts w:ascii="Calibri" w:eastAsia="Calibri" w:hAnsi="Calibri" w:cs="Calibri"/>
        </w:rPr>
        <w:t>LFFM</w:t>
      </w:r>
      <w:r w:rsidRPr="5E779F1C" w:rsidR="004D1C56">
        <w:rPr>
          <w:rFonts w:ascii="Calibri" w:eastAsia="Calibri" w:hAnsi="Calibri" w:cs="Calibri"/>
          <w:b/>
        </w:rPr>
        <w:t xml:space="preserve"> </w:t>
      </w:r>
      <w:r w:rsidR="004D1C56">
        <w:rPr>
          <w:rFonts w:ascii="Calibri" w:eastAsia="Calibri" w:hAnsi="Calibri" w:cs="Calibri"/>
          <w:b/>
          <w:bCs/>
        </w:rPr>
        <w:t>[</w:t>
      </w:r>
      <w:r w:rsidRPr="00DC1F2B" w:rsidR="69253D6B">
        <w:rPr>
          <w:rFonts w:ascii="Calibri" w:eastAsia="Calibri" w:hAnsi="Calibri" w:cs="Calibri"/>
          <w:b/>
          <w:bCs/>
        </w:rPr>
        <w:t>Year]</w:t>
      </w:r>
      <w:r w:rsidR="00CF173F">
        <w:rPr>
          <w:rFonts w:ascii="Calibri" w:eastAsia="Calibri" w:hAnsi="Calibri" w:cs="Calibri"/>
          <w:b/>
          <w:bCs/>
        </w:rPr>
        <w:t xml:space="preserve"> </w:t>
      </w:r>
      <w:r w:rsidRPr="00CF173F" w:rsidR="00CF173F">
        <w:rPr>
          <w:rFonts w:ascii="Calibri" w:eastAsia="Calibri" w:hAnsi="Calibri" w:cs="Calibri"/>
        </w:rPr>
        <w:t>Sample and Project Plan Proposal.</w:t>
      </w:r>
    </w:p>
    <w:p w:rsidR="00B43885" w:rsidRPr="00DC1F2B" w14:paraId="62FF133D" w14:textId="77777777"/>
    <w:p w:rsidR="00BA1E9D" w:rsidP="00C379C3" w14:paraId="37F70409" w14:textId="23CBC459">
      <w:pPr>
        <w:rPr>
          <w:rFonts w:ascii="Calibri" w:eastAsia="Calibri" w:hAnsi="Calibri" w:cs="Calibri"/>
          <w:b/>
          <w:bCs/>
        </w:rPr>
      </w:pPr>
    </w:p>
    <w:p w:rsidR="00C379C3" w:rsidRPr="00DC1F2B" w:rsidP="00C379C3" w14:paraId="41954396" w14:textId="3BF16D33">
      <w:pPr>
        <w:rPr>
          <w:rFonts w:ascii="Calibri" w:eastAsia="Calibri" w:hAnsi="Calibri" w:cs="Calibri"/>
          <w:b/>
          <w:bCs/>
        </w:rPr>
      </w:pPr>
      <w:r w:rsidRPr="00DC1F2B">
        <w:rPr>
          <w:rFonts w:ascii="Calibri" w:eastAsia="Calibri" w:hAnsi="Calibri" w:cs="Calibri"/>
          <w:b/>
          <w:bCs/>
        </w:rPr>
        <w:t xml:space="preserve">Sample Collection </w:t>
      </w:r>
      <w:r w:rsidR="00F0093C">
        <w:rPr>
          <w:rFonts w:ascii="Calibri" w:eastAsia="Calibri" w:hAnsi="Calibri" w:cs="Calibri"/>
          <w:b/>
          <w:bCs/>
        </w:rPr>
        <w:t>Agreement</w:t>
      </w:r>
    </w:p>
    <w:p w:rsidR="00862D1F" w:rsidRPr="00DC1F2B" w14:paraId="1D76BD75" w14:textId="56AC741E">
      <w:r w:rsidRPr="14F4845E">
        <w:rPr>
          <w:rFonts w:ascii="Calibri" w:eastAsia="Calibri" w:hAnsi="Calibri" w:cs="Calibri"/>
        </w:rPr>
        <w:t>For Commodity-Hazard pairs where</w:t>
      </w:r>
      <w:r w:rsidRPr="14F4845E">
        <w:rPr>
          <w:rFonts w:ascii="Calibri" w:eastAsia="Calibri" w:hAnsi="Calibri" w:cs="Calibri"/>
          <w:b/>
          <w:bCs/>
        </w:rPr>
        <w:t xml:space="preserve"> [SRP]</w:t>
      </w:r>
      <w:r w:rsidRPr="14F4845E">
        <w:rPr>
          <w:rFonts w:ascii="Calibri" w:eastAsia="Calibri" w:hAnsi="Calibri" w:cs="Calibri"/>
        </w:rPr>
        <w:t xml:space="preserve"> is the collecting entity, </w:t>
      </w:r>
      <w:r w:rsidRPr="14F4845E">
        <w:rPr>
          <w:rFonts w:ascii="Calibri" w:eastAsia="Calibri" w:hAnsi="Calibri" w:cs="Calibri"/>
          <w:b/>
          <w:bCs/>
        </w:rPr>
        <w:t>[SRP]</w:t>
      </w:r>
      <w:r w:rsidRPr="14F4845E">
        <w:rPr>
          <w:rFonts w:ascii="Calibri" w:eastAsia="Calibri" w:hAnsi="Calibri" w:cs="Calibri"/>
        </w:rPr>
        <w:t xml:space="preserve"> agrees to collect the samples outlined in the approved LFFM sampling plan, in accordance with the sample collection and documentation requirements laid out in the</w:t>
      </w:r>
      <w:r w:rsidRPr="14F4845E" w:rsidR="00746B59">
        <w:rPr>
          <w:rFonts w:ascii="Calibri" w:eastAsia="Calibri" w:hAnsi="Calibri" w:cs="Calibri"/>
        </w:rPr>
        <w:t xml:space="preserve"> </w:t>
      </w:r>
      <w:r w:rsidRPr="14F4845E">
        <w:rPr>
          <w:rFonts w:ascii="Calibri" w:eastAsia="Calibri" w:hAnsi="Calibri" w:cs="Calibri"/>
        </w:rPr>
        <w:t xml:space="preserve">current version of the LFFM Sample Guide and submit to </w:t>
      </w:r>
      <w:r w:rsidRPr="14F4845E">
        <w:rPr>
          <w:rFonts w:ascii="Calibri" w:eastAsia="Calibri" w:hAnsi="Calibri" w:cs="Calibri"/>
          <w:b/>
          <w:bCs/>
        </w:rPr>
        <w:t>[LFFM Laboratory]</w:t>
      </w:r>
      <w:r w:rsidRPr="14F4845E">
        <w:rPr>
          <w:rFonts w:ascii="Calibri" w:eastAsia="Calibri" w:hAnsi="Calibri" w:cs="Calibri"/>
        </w:rPr>
        <w:t xml:space="preserve"> for analysis.</w:t>
      </w:r>
    </w:p>
    <w:p w:rsidR="00862D1F" w:rsidP="49EDBA42" w14:paraId="5F6388DE" w14:textId="546F48DB">
      <w:pPr>
        <w:rPr>
          <w:rFonts w:ascii="Calibri" w:eastAsia="Calibri" w:hAnsi="Calibri" w:cs="Calibri"/>
        </w:rPr>
      </w:pPr>
      <w:r w:rsidRPr="49EDBA42">
        <w:rPr>
          <w:rFonts w:ascii="Calibri" w:eastAsia="Calibri" w:hAnsi="Calibri" w:cs="Calibri"/>
        </w:rPr>
        <w:t>For Commodity-Hazard pairs where</w:t>
      </w:r>
      <w:r w:rsidRPr="49EDBA42">
        <w:rPr>
          <w:rFonts w:ascii="Calibri" w:eastAsia="Calibri" w:hAnsi="Calibri" w:cs="Calibri"/>
          <w:b/>
          <w:bCs/>
        </w:rPr>
        <w:t xml:space="preserve"> [LFFM Laboratory]</w:t>
      </w:r>
      <w:r w:rsidRPr="49EDBA42">
        <w:rPr>
          <w:rFonts w:ascii="Calibri" w:eastAsia="Calibri" w:hAnsi="Calibri" w:cs="Calibri"/>
        </w:rPr>
        <w:t xml:space="preserve"> is the collecting entity, </w:t>
      </w:r>
      <w:r w:rsidRPr="49EDBA42">
        <w:rPr>
          <w:rFonts w:ascii="Calibri" w:eastAsia="Calibri" w:hAnsi="Calibri" w:cs="Calibri"/>
          <w:b/>
          <w:bCs/>
        </w:rPr>
        <w:t>[LFFM Laboratory]</w:t>
      </w:r>
      <w:r w:rsidRPr="49EDBA42">
        <w:rPr>
          <w:rFonts w:ascii="Calibri" w:eastAsia="Calibri" w:hAnsi="Calibri" w:cs="Calibri"/>
        </w:rPr>
        <w:t xml:space="preserve"> agrees to collect the samples outlined in the approved LFFM sampling plan, in accordance with the sample collection and documentation requirements laid out in the</w:t>
      </w:r>
      <w:r w:rsidRPr="49EDBA42" w:rsidR="00746B59">
        <w:rPr>
          <w:rFonts w:ascii="Calibri" w:eastAsia="Calibri" w:hAnsi="Calibri" w:cs="Calibri"/>
        </w:rPr>
        <w:t xml:space="preserve"> </w:t>
      </w:r>
      <w:r w:rsidRPr="49EDBA42">
        <w:rPr>
          <w:rFonts w:ascii="Calibri" w:eastAsia="Calibri" w:hAnsi="Calibri" w:cs="Calibri"/>
        </w:rPr>
        <w:t xml:space="preserve">current version of the LFFM Sample Guide and submit to </w:t>
      </w:r>
      <w:r w:rsidRPr="49EDBA42">
        <w:rPr>
          <w:rFonts w:ascii="Calibri" w:eastAsia="Calibri" w:hAnsi="Calibri" w:cs="Calibri"/>
          <w:b/>
          <w:bCs/>
        </w:rPr>
        <w:t>[LFFM Laboratory]</w:t>
      </w:r>
      <w:r w:rsidRPr="49EDBA42">
        <w:rPr>
          <w:rFonts w:ascii="Calibri" w:eastAsia="Calibri" w:hAnsi="Calibri" w:cs="Calibri"/>
        </w:rPr>
        <w:t xml:space="preserve"> for analysis.</w:t>
      </w:r>
    </w:p>
    <w:p w:rsidR="00862D1F" w:rsidP="49EDBA42" w14:paraId="09A3416D" w14:textId="2914D45D">
      <w:pPr>
        <w:rPr>
          <w:rFonts w:ascii="Calibri" w:eastAsia="Calibri" w:hAnsi="Calibri" w:cs="Calibri"/>
        </w:rPr>
      </w:pPr>
    </w:p>
    <w:p w:rsidR="00DC1F2B" w:rsidRPr="00DC1F2B" w:rsidP="00DC1F2B" w14:paraId="471B92D6" w14:textId="4F9D6B10">
      <w:pPr>
        <w:rPr>
          <w:rFonts w:ascii="Calibri" w:eastAsia="Calibri" w:hAnsi="Calibri" w:cs="Calibri"/>
          <w:b/>
          <w:bCs/>
        </w:rPr>
      </w:pPr>
      <w:r w:rsidRPr="00DC1F2B">
        <w:rPr>
          <w:rFonts w:ascii="Calibri" w:eastAsia="Calibri" w:hAnsi="Calibri" w:cs="Calibri"/>
          <w:b/>
          <w:bCs/>
        </w:rPr>
        <w:t xml:space="preserve">Sample </w:t>
      </w:r>
      <w:r w:rsidR="00F0093C">
        <w:rPr>
          <w:rFonts w:ascii="Calibri" w:eastAsia="Calibri" w:hAnsi="Calibri" w:cs="Calibri"/>
          <w:b/>
          <w:bCs/>
        </w:rPr>
        <w:t>Follow-up</w:t>
      </w:r>
      <w:r w:rsidRPr="00DC1F2B">
        <w:rPr>
          <w:rFonts w:ascii="Calibri" w:eastAsia="Calibri" w:hAnsi="Calibri" w:cs="Calibri"/>
          <w:b/>
          <w:bCs/>
        </w:rPr>
        <w:t xml:space="preserve"> </w:t>
      </w:r>
      <w:r w:rsidR="00F0093C">
        <w:rPr>
          <w:rFonts w:ascii="Calibri" w:eastAsia="Calibri" w:hAnsi="Calibri" w:cs="Calibri"/>
          <w:b/>
          <w:bCs/>
        </w:rPr>
        <w:t>Agreement</w:t>
      </w:r>
    </w:p>
    <w:p w:rsidR="00862D1F" w:rsidP="69253D6B" w14:paraId="2C078E63" w14:textId="5AA753C6">
      <w:r>
        <w:rPr>
          <w:b/>
          <w:bCs/>
        </w:rPr>
        <w:t>[</w:t>
      </w:r>
      <w:r w:rsidRPr="00623DA6">
        <w:rPr>
          <w:b/>
          <w:bCs/>
        </w:rPr>
        <w:t>SRP</w:t>
      </w:r>
      <w:r w:rsidR="00437D5F">
        <w:rPr>
          <w:b/>
          <w:bCs/>
        </w:rPr>
        <w:t xml:space="preserve"> </w:t>
      </w:r>
      <w:r w:rsidRPr="00623DA6">
        <w:rPr>
          <w:b/>
          <w:bCs/>
        </w:rPr>
        <w:t xml:space="preserve">or </w:t>
      </w:r>
      <w:r w:rsidR="00437D5F">
        <w:rPr>
          <w:b/>
          <w:bCs/>
        </w:rPr>
        <w:t xml:space="preserve">SRP in partnership with state </w:t>
      </w:r>
      <w:r w:rsidRPr="00623DA6">
        <w:rPr>
          <w:b/>
          <w:bCs/>
        </w:rPr>
        <w:t>RRT</w:t>
      </w:r>
      <w:r>
        <w:rPr>
          <w:b/>
          <w:bCs/>
        </w:rPr>
        <w:t>]</w:t>
      </w:r>
      <w:r>
        <w:t xml:space="preserve"> agrees to lead the response, in coordination with FDA and following the current version of the LFFM Sample Guide, for any state-collected LFFM samples (whether collected by</w:t>
      </w:r>
      <w:r>
        <w:rPr>
          <w:b/>
          <w:bCs/>
        </w:rPr>
        <w:t xml:space="preserve"> [SRP</w:t>
      </w:r>
      <w:r w:rsidRPr="003268D9">
        <w:rPr>
          <w:b/>
          <w:bCs/>
        </w:rPr>
        <w:t xml:space="preserve">] </w:t>
      </w:r>
      <w:r w:rsidRPr="003268D9">
        <w:t xml:space="preserve">or </w:t>
      </w:r>
      <w:r w:rsidRPr="003268D9">
        <w:rPr>
          <w:b/>
          <w:bCs/>
        </w:rPr>
        <w:t>[LFFM Laboratory]</w:t>
      </w:r>
      <w:r w:rsidRPr="003268D9">
        <w:t xml:space="preserve"> staff). This includes inter-agency and multi-state coordination, including: notifying another SRP with jurisdiction over the responsible firm of laboratory findings if product was grown/manufactured/distributed in another state and found violative; coordinating with another SRP, if referral had occurred, to ensure violative findings are communicated with the responsible firm by one of the SRPs; and conducting follow-up activities per [SRP] policies, procedures, and regulatory authority.</w:t>
      </w:r>
    </w:p>
    <w:p w:rsidR="00623DA6" w:rsidP="69253D6B" w14:paraId="7AF8F450" w14:textId="77777777"/>
    <w:p w:rsidR="006A651D" w:rsidP="69253D6B" w14:paraId="3D43EC04" w14:textId="2C751BD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Points of Contact</w:t>
      </w:r>
    </w:p>
    <w:p w:rsidR="006A651D" w:rsidP="69253D6B" w14:paraId="23B98289" w14:textId="39CACF77">
      <w:r w:rsidRPr="49EDBA42">
        <w:rPr>
          <w:b/>
          <w:bCs/>
        </w:rPr>
        <w:t xml:space="preserve">[LFFM Laboratory] </w:t>
      </w:r>
      <w:r>
        <w:t>– Name, position title, agency name, email, phone</w:t>
      </w:r>
    </w:p>
    <w:p w:rsidR="006A651D" w:rsidP="69253D6B" w14:paraId="3485E01F" w14:textId="167DF3C8">
      <w:r w:rsidRPr="49EDBA42">
        <w:rPr>
          <w:b/>
          <w:bCs/>
        </w:rPr>
        <w:t xml:space="preserve">[SRP] </w:t>
      </w:r>
      <w:r>
        <w:t>– Name, position title, agency name, email, phone</w:t>
      </w:r>
    </w:p>
    <w:p w:rsidR="00AC748B" w:rsidP="69253D6B" w14:paraId="45A8C495" w14:textId="77777777">
      <w:pPr>
        <w:pBdr>
          <w:bottom w:val="single" w:sz="12" w:space="1" w:color="auto"/>
        </w:pBdr>
      </w:pPr>
    </w:p>
    <w:p w:rsidR="00AC748B" w:rsidP="69253D6B" w14:paraId="0BA47E24" w14:textId="3843BA74">
      <w:r>
        <w:t xml:space="preserve">During negotiations and approval </w:t>
      </w:r>
      <w:r>
        <w:t xml:space="preserve">of the LFFM </w:t>
      </w:r>
      <w:r w:rsidR="005F4B41">
        <w:t xml:space="preserve">Sample </w:t>
      </w:r>
      <w:r w:rsidR="00C8641B">
        <w:t xml:space="preserve">and Activity </w:t>
      </w:r>
      <w:r w:rsidR="005F4B41">
        <w:t>Plan</w:t>
      </w:r>
      <w:r w:rsidR="008C3EE5">
        <w:t xml:space="preserve">, </w:t>
      </w:r>
      <w:r w:rsidR="00DC6B44">
        <w:t>additional information will be requested from the LFFM lab and SRP (this does not need to be included with the proposal)</w:t>
      </w:r>
      <w:r w:rsidR="008C3EE5">
        <w:t>:</w:t>
      </w:r>
    </w:p>
    <w:p w:rsidR="00BA1E9D" w:rsidP="008C3EE5" w14:paraId="42D42E99" w14:textId="77777777">
      <w:pPr>
        <w:rPr>
          <w:rFonts w:ascii="Calibri" w:eastAsia="Calibri" w:hAnsi="Calibri" w:cs="Calibri"/>
          <w:b/>
          <w:bCs/>
        </w:rPr>
      </w:pPr>
    </w:p>
    <w:p w:rsidR="00BA1E9D" w:rsidP="008C3EE5" w14:paraId="34E7246B" w14:textId="77777777">
      <w:pPr>
        <w:rPr>
          <w:rFonts w:ascii="Calibri" w:eastAsia="Calibri" w:hAnsi="Calibri" w:cs="Calibri"/>
          <w:b/>
          <w:bCs/>
        </w:rPr>
      </w:pPr>
    </w:p>
    <w:p w:rsidR="00BA1E9D" w:rsidP="008C3EE5" w14:paraId="494FD524" w14:textId="77777777">
      <w:pPr>
        <w:rPr>
          <w:rFonts w:ascii="Calibri" w:eastAsia="Calibri" w:hAnsi="Calibri" w:cs="Calibri"/>
          <w:b/>
          <w:bCs/>
        </w:rPr>
      </w:pPr>
    </w:p>
    <w:p w:rsidR="00BA1E9D" w:rsidP="008C3EE5" w14:paraId="138BCE2C" w14:textId="77777777">
      <w:pPr>
        <w:rPr>
          <w:rFonts w:ascii="Calibri" w:eastAsia="Calibri" w:hAnsi="Calibri" w:cs="Calibri"/>
          <w:b/>
          <w:bCs/>
        </w:rPr>
      </w:pPr>
    </w:p>
    <w:p w:rsidR="00BA1E9D" w:rsidP="008C3EE5" w14:paraId="4FD34C1F" w14:textId="5B3843CD">
      <w:pPr>
        <w:rPr>
          <w:rFonts w:ascii="Calibri" w:eastAsia="Calibri" w:hAnsi="Calibri" w:cs="Calibri"/>
          <w:b/>
          <w:bCs/>
        </w:rPr>
      </w:pPr>
    </w:p>
    <w:p w:rsidR="008C3EE5" w:rsidRPr="00DC1F2B" w:rsidP="008C3EE5" w14:paraId="5A04F865" w14:textId="554193E3">
      <w:pPr>
        <w:rPr>
          <w:rFonts w:ascii="Calibri" w:eastAsia="Calibri" w:hAnsi="Calibri" w:cs="Calibri"/>
          <w:b/>
          <w:bCs/>
        </w:rPr>
      </w:pPr>
      <w:r w:rsidRPr="59CF576D">
        <w:rPr>
          <w:rFonts w:ascii="Calibri" w:eastAsia="Calibri" w:hAnsi="Calibri" w:cs="Calibri"/>
          <w:b/>
          <w:bCs/>
        </w:rPr>
        <w:t>Commodity-Hazard pairs marked Signals Evaluation, NARMS, Total Diet Study</w:t>
      </w:r>
    </w:p>
    <w:p w:rsidR="008C3EE5" w:rsidRPr="00DC1F2B" w:rsidP="008C3EE5" w14:paraId="0BBA137C" w14:textId="6BF75D14">
      <w:pPr>
        <w:rPr>
          <w:rFonts w:ascii="Calibri" w:eastAsia="Calibri" w:hAnsi="Calibri" w:cs="Calibri"/>
          <w:i/>
          <w:iCs/>
        </w:rPr>
      </w:pPr>
      <w:r w:rsidRPr="00DC1F2B">
        <w:rPr>
          <w:rFonts w:ascii="Calibri" w:eastAsia="Calibri" w:hAnsi="Calibri" w:cs="Calibri"/>
          <w:i/>
          <w:iCs/>
        </w:rPr>
        <w:t>No regulatory action is expected for these commodity-hazard pairs. If an SRP has regulatory limits, action levels, or other compliance thresholds that could result in SRP regulatory actions for this commodity-hazard pair, please disclose those here.</w:t>
      </w:r>
      <w:r w:rsidRPr="242E66CA">
        <w:rPr>
          <w:rFonts w:ascii="Calibri" w:eastAsia="Calibri" w:hAnsi="Calibri" w:cs="Calibri"/>
          <w:i/>
          <w:iCs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1442"/>
        <w:gridCol w:w="1563"/>
        <w:gridCol w:w="1581"/>
        <w:gridCol w:w="1128"/>
        <w:gridCol w:w="2935"/>
        <w:gridCol w:w="4291"/>
      </w:tblGrid>
      <w:tr w14:paraId="547F5791" w14:textId="77777777" w:rsidTr="008C3EE5">
        <w:tblPrEx>
          <w:tblW w:w="5000" w:type="pct"/>
          <w:tblLook w:val="04A0"/>
        </w:tblPrEx>
        <w:tc>
          <w:tcPr>
            <w:tcW w:w="55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DC1F2B" w:rsidP="00B53C0B" w14:paraId="7C8A38E3" w14:textId="77777777">
            <w:pPr>
              <w:rPr>
                <w:rFonts w:ascii="Calibri" w:eastAsia="Calibri" w:hAnsi="Calibri" w:cs="Calibri"/>
              </w:rPr>
            </w:pPr>
            <w:r w:rsidRPr="00DC1F2B">
              <w:rPr>
                <w:rFonts w:ascii="Calibri" w:eastAsia="Calibri" w:hAnsi="Calibri" w:cs="Calibri"/>
              </w:rPr>
              <w:t>Commodity-Hazard Pair</w:t>
            </w:r>
          </w:p>
        </w:tc>
        <w:tc>
          <w:tcPr>
            <w:tcW w:w="60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DC1F2B" w:rsidP="00B53C0B" w14:paraId="5DB5492F" w14:textId="77777777">
            <w:pPr>
              <w:rPr>
                <w:rFonts w:ascii="Calibri" w:eastAsia="Calibri" w:hAnsi="Calibri" w:cs="Calibri"/>
              </w:rPr>
            </w:pPr>
            <w:r w:rsidRPr="00DC1F2B">
              <w:rPr>
                <w:rFonts w:ascii="Calibri" w:eastAsia="Calibri" w:hAnsi="Calibri" w:cs="Calibri"/>
              </w:rPr>
              <w:t>Entity Collecting</w:t>
            </w:r>
          </w:p>
        </w:tc>
        <w:tc>
          <w:tcPr>
            <w:tcW w:w="6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DC1F2B" w:rsidP="00B53C0B" w14:paraId="0EC57F7F" w14:textId="77777777">
            <w:pPr>
              <w:rPr>
                <w:rFonts w:ascii="Calibri" w:eastAsia="Calibri" w:hAnsi="Calibri" w:cs="Calibri"/>
              </w:rPr>
            </w:pPr>
            <w:r w:rsidRPr="00DC1F2B">
              <w:rPr>
                <w:rFonts w:ascii="Calibri" w:eastAsia="Calibri" w:hAnsi="Calibri" w:cs="Calibri"/>
              </w:rPr>
              <w:t>Sample Collection Location</w:t>
            </w:r>
          </w:p>
        </w:tc>
        <w:tc>
          <w:tcPr>
            <w:tcW w:w="43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DC1F2B" w:rsidP="00B53C0B" w14:paraId="07112EAC" w14:textId="3DF6E9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 of samples</w:t>
            </w:r>
          </w:p>
        </w:tc>
        <w:tc>
          <w:tcPr>
            <w:tcW w:w="11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DC1F2B" w:rsidP="00B53C0B" w14:paraId="49B8E26F" w14:textId="63747DF6">
            <w:pPr>
              <w:rPr>
                <w:rFonts w:ascii="Calibri" w:eastAsia="Calibri" w:hAnsi="Calibri" w:cs="Calibri"/>
              </w:rPr>
            </w:pPr>
            <w:r w:rsidRPr="00DC1F2B">
              <w:rPr>
                <w:rFonts w:ascii="Calibri" w:eastAsia="Calibri" w:hAnsi="Calibri" w:cs="Calibri"/>
              </w:rPr>
              <w:t>Name of SRP with jurisdiction</w:t>
            </w:r>
          </w:p>
        </w:tc>
        <w:tc>
          <w:tcPr>
            <w:tcW w:w="16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DC1F2B" w:rsidP="00B53C0B" w14:paraId="54D3981C" w14:textId="77777777">
            <w:pPr>
              <w:rPr>
                <w:rFonts w:ascii="Calibri" w:eastAsia="Calibri" w:hAnsi="Calibri" w:cs="Calibri"/>
              </w:rPr>
            </w:pPr>
            <w:r w:rsidRPr="00DC1F2B">
              <w:rPr>
                <w:rFonts w:ascii="Calibri" w:eastAsia="Calibri" w:hAnsi="Calibri" w:cs="Calibri"/>
              </w:rPr>
              <w:t>Does SRP have regulatory limits, action levels, other compliance threshold related to this commodity-hazard pair?</w:t>
            </w:r>
          </w:p>
        </w:tc>
      </w:tr>
      <w:tr w14:paraId="093A04DB" w14:textId="77777777" w:rsidTr="008C3EE5">
        <w:tblPrEx>
          <w:tblW w:w="5000" w:type="pct"/>
          <w:tblLook w:val="04A0"/>
        </w:tblPrEx>
        <w:tc>
          <w:tcPr>
            <w:tcW w:w="55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86381C" w:rsidP="00B53C0B" w14:paraId="344F3702" w14:textId="77777777">
            <w:pPr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</w:pPr>
            <w:r w:rsidRPr="59CF576D"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  <w:t>Lead in spices</w:t>
            </w:r>
          </w:p>
        </w:tc>
        <w:tc>
          <w:tcPr>
            <w:tcW w:w="60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86381C" w:rsidP="00B53C0B" w14:paraId="5DFE1FB1" w14:textId="77777777">
            <w:pPr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</w:pPr>
            <w:r w:rsidRPr="0086381C"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  <w:t>State A Dept. of Ag Food Program</w:t>
            </w:r>
          </w:p>
        </w:tc>
        <w:tc>
          <w:tcPr>
            <w:tcW w:w="6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86381C" w:rsidP="00B53C0B" w14:paraId="7912AC94" w14:textId="77777777">
            <w:pPr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</w:pPr>
            <w:r w:rsidRPr="0086381C"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  <w:t>Retail Grocery</w:t>
            </w:r>
          </w:p>
        </w:tc>
        <w:tc>
          <w:tcPr>
            <w:tcW w:w="43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86381C" w:rsidP="00B53C0B" w14:paraId="61A74B2F" w14:textId="35BB3361">
            <w:pPr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</w:pPr>
            <w:r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  <w:t>100</w:t>
            </w:r>
          </w:p>
        </w:tc>
        <w:tc>
          <w:tcPr>
            <w:tcW w:w="11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86381C" w:rsidP="00B53C0B" w14:paraId="5C739D74" w14:textId="5EE3BBC5">
            <w:pPr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</w:pPr>
            <w:r w:rsidRPr="0086381C"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  <w:t xml:space="preserve"> State A Dept. of Ag Food Program</w:t>
            </w:r>
          </w:p>
        </w:tc>
        <w:tc>
          <w:tcPr>
            <w:tcW w:w="16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C3EE5" w:rsidRPr="0086381C" w:rsidP="00B53C0B" w14:paraId="5A6C565D" w14:textId="77777777">
            <w:pPr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</w:pPr>
            <w:r w:rsidRPr="0086381C"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8EAADB" w:themeColor="accent1" w:themeTint="99"/>
              </w:rPr>
              <w:t>1ppm lead in spices action level; will result in recall</w:t>
            </w:r>
          </w:p>
        </w:tc>
      </w:tr>
    </w:tbl>
    <w:p w:rsidR="008C3EE5" w:rsidRPr="00DC1F2B" w:rsidP="008C3EE5" w14:paraId="03CA3F3F" w14:textId="0AACAABB">
      <w:pPr>
        <w:rPr>
          <w:rFonts w:ascii="Calibri" w:eastAsia="Calibri" w:hAnsi="Calibri" w:cs="Calibri"/>
          <w:b/>
          <w:bCs/>
        </w:rPr>
      </w:pPr>
      <w:r w:rsidRPr="00DC1F2B">
        <w:rPr>
          <w:rFonts w:ascii="Calibri" w:eastAsia="Calibri" w:hAnsi="Calibri" w:cs="Calibri"/>
          <w:b/>
          <w:bCs/>
        </w:rPr>
        <w:t>All Other Commodity-Hazard Pairs</w:t>
      </w:r>
    </w:p>
    <w:tbl>
      <w:tblPr>
        <w:tblStyle w:val="TableGrid"/>
        <w:tblW w:w="12940" w:type="dxa"/>
        <w:tblLook w:val="04A0"/>
      </w:tblPr>
      <w:tblGrid>
        <w:gridCol w:w="1710"/>
        <w:gridCol w:w="1110"/>
        <w:gridCol w:w="1155"/>
        <w:gridCol w:w="1146"/>
        <w:gridCol w:w="1860"/>
        <w:gridCol w:w="5959"/>
      </w:tblGrid>
      <w:tr w14:paraId="00B9B2CB" w14:textId="77777777" w:rsidTr="242E66CA">
        <w:tblPrEx>
          <w:tblW w:w="12940" w:type="dxa"/>
          <w:tblLook w:val="04A0"/>
        </w:tblPrEx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C6B44" w:rsidRPr="00DC1F2B" w:rsidP="008C3EE5" w14:paraId="00E8FD8D" w14:textId="77777777">
            <w:pPr>
              <w:rPr>
                <w:rFonts w:ascii="Calibri" w:eastAsia="Calibri" w:hAnsi="Calibri" w:cs="Calibri"/>
              </w:rPr>
            </w:pPr>
            <w:r w:rsidRPr="00DC1F2B">
              <w:rPr>
                <w:rFonts w:ascii="Calibri" w:eastAsia="Calibri" w:hAnsi="Calibri" w:cs="Calibri"/>
              </w:rPr>
              <w:t>Commodity-Hazard Pair</w:t>
            </w:r>
          </w:p>
        </w:tc>
        <w:tc>
          <w:tcPr>
            <w:tcW w:w="1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C6B44" w:rsidRPr="00DC1F2B" w:rsidP="008C3EE5" w14:paraId="0553BD67" w14:textId="77777777">
            <w:pPr>
              <w:rPr>
                <w:rFonts w:ascii="Calibri" w:eastAsia="Calibri" w:hAnsi="Calibri" w:cs="Calibri"/>
              </w:rPr>
            </w:pPr>
            <w:r w:rsidRPr="00DC1F2B">
              <w:rPr>
                <w:rFonts w:ascii="Calibri" w:eastAsia="Calibri" w:hAnsi="Calibri" w:cs="Calibri"/>
              </w:rPr>
              <w:t>Entity Collecting</w:t>
            </w:r>
          </w:p>
        </w:tc>
        <w:tc>
          <w:tcPr>
            <w:tcW w:w="11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C6B44" w:rsidRPr="00DC1F2B" w:rsidP="008C3EE5" w14:paraId="7895CE37" w14:textId="77777777">
            <w:pPr>
              <w:rPr>
                <w:rFonts w:ascii="Calibri" w:eastAsia="Calibri" w:hAnsi="Calibri" w:cs="Calibri"/>
              </w:rPr>
            </w:pPr>
            <w:r w:rsidRPr="00DC1F2B">
              <w:rPr>
                <w:rFonts w:ascii="Calibri" w:eastAsia="Calibri" w:hAnsi="Calibri" w:cs="Calibri"/>
              </w:rPr>
              <w:t>Sample Collection Location</w:t>
            </w:r>
          </w:p>
        </w:tc>
        <w:tc>
          <w:tcPr>
            <w:tcW w:w="11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C6B44" w:rsidRPr="00DC1F2B" w:rsidP="008C3EE5" w14:paraId="2423B4B1" w14:textId="6D0952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 of samples</w:t>
            </w:r>
          </w:p>
        </w:tc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C6B44" w:rsidRPr="00DC1F2B" w:rsidP="008C3EE5" w14:paraId="2615095A" w14:textId="75E807B3">
            <w:pPr>
              <w:rPr>
                <w:rFonts w:ascii="Calibri" w:eastAsia="Calibri" w:hAnsi="Calibri" w:cs="Calibri"/>
              </w:rPr>
            </w:pPr>
            <w:r w:rsidRPr="00DC1F2B">
              <w:rPr>
                <w:rFonts w:ascii="Calibri" w:eastAsia="Calibri" w:hAnsi="Calibri" w:cs="Calibri"/>
              </w:rPr>
              <w:t>Name of SRP providing support for follow-up on potentially violative samples</w:t>
            </w:r>
          </w:p>
        </w:tc>
        <w:tc>
          <w:tcPr>
            <w:tcW w:w="5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C6B44" w:rsidRPr="00DC1F2B" w:rsidP="008C3EE5" w14:paraId="1014958B" w14:textId="75634F33">
            <w:pPr>
              <w:rPr>
                <w:rFonts w:ascii="Calibri" w:eastAsia="Calibri" w:hAnsi="Calibri" w:cs="Calibri"/>
              </w:rPr>
            </w:pPr>
            <w:r w:rsidRPr="00DC1F2B">
              <w:rPr>
                <w:rFonts w:ascii="Calibri" w:eastAsia="Calibri" w:hAnsi="Calibri" w:cs="Calibri"/>
              </w:rPr>
              <w:t>Types of actions the SRP can take under their regulatory authority (specific to the commodity-hazard pair and the type of firm associated with sampling). If a retail collection, please indicate ability to collect traceback records (documents) and actions that could be taken at distributor or manufacturer, if located within the state.</w:t>
            </w:r>
            <w:r w:rsidRPr="242E66CA">
              <w:rPr>
                <w:rFonts w:ascii="Calibri" w:eastAsia="Calibri" w:hAnsi="Calibri" w:cs="Calibri"/>
              </w:rPr>
              <w:t xml:space="preserve"> </w:t>
            </w:r>
            <w:r w:rsidRPr="242E66CA" w:rsidR="242E66CA">
              <w:rPr>
                <w:rFonts w:ascii="Calibri" w:eastAsia="Calibri" w:hAnsi="Calibri" w:cs="Calibri"/>
              </w:rPr>
              <w:t>If commodity/hazard pair requires consultation with FDA prior to conducting follow-up (referring to another state for follow-up, notifying responsible firm), include statement confirming awareness.</w:t>
            </w:r>
          </w:p>
        </w:tc>
      </w:tr>
      <w:tr w14:paraId="44226C06" w14:textId="77777777" w:rsidTr="242E66CA">
        <w:tblPrEx>
          <w:tblW w:w="12940" w:type="dxa"/>
          <w:tblLook w:val="04A0"/>
        </w:tblPrEx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C6B44" w:rsidP="008C3EE5" w14:paraId="6F0CB92F" w14:textId="77777777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Granola – Listeria monocytogenes</w:t>
            </w:r>
          </w:p>
        </w:tc>
        <w:tc>
          <w:tcPr>
            <w:tcW w:w="1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C6B44" w:rsidP="008C3EE5" w14:paraId="56293D0E" w14:textId="77777777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State A Dept. of Health Food Program</w:t>
            </w:r>
          </w:p>
        </w:tc>
        <w:tc>
          <w:tcPr>
            <w:tcW w:w="11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C6B44" w:rsidP="008C3EE5" w14:paraId="07182692" w14:textId="77777777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Retail Grocery</w:t>
            </w:r>
          </w:p>
        </w:tc>
        <w:tc>
          <w:tcPr>
            <w:tcW w:w="11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C6B44" w:rsidP="00DC6B44" w14:paraId="30D95581" w14:textId="439EEB6D">
            <w:pPr>
              <w:rPr>
                <w:rFonts w:ascii="Calibri" w:hAnsi="Calibri" w:cs="Calibri"/>
                <w:i/>
                <w:iCs/>
                <w:color w:val="8EA9DB"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100</w:t>
            </w:r>
          </w:p>
        </w:tc>
        <w:tc>
          <w:tcPr>
            <w:tcW w:w="18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C6B44" w:rsidP="008C3EE5" w14:paraId="448C5268" w14:textId="6BAFEC8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State A Dept. of Health Food Program</w:t>
            </w:r>
          </w:p>
        </w:tc>
        <w:tc>
          <w:tcPr>
            <w:tcW w:w="5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C6B44" w:rsidP="008C3EE5" w14:paraId="56422F6E" w14:textId="0233C138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hAnsi="Calibri" w:cs="Calibri"/>
                <w:i/>
                <w:iCs/>
                <w:color w:val="8EA9DB"/>
              </w:rPr>
              <w:t>Traceback record collection for violative product; stop sale at retail; if leads to distributor or manufacturer in State A, can conduct PC Rule inspection at facility, embargo product</w:t>
            </w:r>
            <w:r w:rsidR="0091472F">
              <w:rPr>
                <w:rFonts w:ascii="Calibri" w:hAnsi="Calibri" w:cs="Calibri"/>
                <w:i/>
                <w:iCs/>
                <w:color w:val="8EA9DB"/>
              </w:rPr>
              <w:t xml:space="preserve">. </w:t>
            </w:r>
            <w:r w:rsidR="00E96CA6">
              <w:rPr>
                <w:rFonts w:ascii="Calibri" w:hAnsi="Calibri" w:cs="Calibri"/>
                <w:i/>
                <w:iCs/>
                <w:color w:val="8EA9DB"/>
              </w:rPr>
              <w:t>Will</w:t>
            </w:r>
            <w:r w:rsidR="0091472F">
              <w:rPr>
                <w:rFonts w:ascii="Calibri" w:hAnsi="Calibri" w:cs="Calibri"/>
                <w:i/>
                <w:iCs/>
                <w:color w:val="8EA9DB"/>
              </w:rPr>
              <w:t xml:space="preserve"> notify responsible firm (manufacturer/distributor) in coordination with FDA and other SRP with jurisdiction (if firm is out of state)</w:t>
            </w:r>
            <w:r w:rsidR="00E96CA6">
              <w:rPr>
                <w:rFonts w:ascii="Calibri" w:hAnsi="Calibri" w:cs="Calibri"/>
                <w:i/>
                <w:iCs/>
                <w:color w:val="8EA9DB"/>
              </w:rPr>
              <w:t xml:space="preserve"> per LFFM Sample Guide.</w:t>
            </w:r>
          </w:p>
        </w:tc>
      </w:tr>
    </w:tbl>
    <w:p w:rsidR="00AC748B" w:rsidRPr="00DC1F2B" w:rsidP="00BA1E9D" w14:paraId="30D276B3" w14:textId="5FD2A0A8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1518285</wp:posOffset>
            </wp:positionH>
            <wp:positionV relativeFrom="paragraph">
              <wp:posOffset>123825</wp:posOffset>
            </wp:positionV>
            <wp:extent cx="5271135" cy="1558290"/>
            <wp:effectExtent l="0" t="0" r="5715" b="3810"/>
            <wp:wrapThrough wrapText="bothSides">
              <wp:wrapPolygon>
                <wp:start x="0" y="0"/>
                <wp:lineTo x="0" y="21389"/>
                <wp:lineTo x="21545" y="21389"/>
                <wp:lineTo x="21545" y="0"/>
                <wp:lineTo x="0" y="0"/>
              </wp:wrapPolygon>
            </wp:wrapThrough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BA1E9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DFE29F9"/>
    <w:multiLevelType w:val="hybridMultilevel"/>
    <w:tmpl w:val="C3EEF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933C6"/>
    <w:multiLevelType w:val="multilevel"/>
    <w:tmpl w:val="BE0A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196476">
    <w:abstractNumId w:val="0"/>
  </w:num>
  <w:num w:numId="2" w16cid:durableId="25116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CB2E7C"/>
    <w:rsid w:val="00000178"/>
    <w:rsid w:val="000479EC"/>
    <w:rsid w:val="00054C75"/>
    <w:rsid w:val="00086072"/>
    <w:rsid w:val="00091406"/>
    <w:rsid w:val="0009192E"/>
    <w:rsid w:val="000F6827"/>
    <w:rsid w:val="0010447D"/>
    <w:rsid w:val="001209D7"/>
    <w:rsid w:val="00162EC9"/>
    <w:rsid w:val="00172795"/>
    <w:rsid w:val="001D2815"/>
    <w:rsid w:val="00234137"/>
    <w:rsid w:val="00245EA8"/>
    <w:rsid w:val="0025665B"/>
    <w:rsid w:val="002607F2"/>
    <w:rsid w:val="002661F3"/>
    <w:rsid w:val="002E054F"/>
    <w:rsid w:val="002F0A04"/>
    <w:rsid w:val="003268D9"/>
    <w:rsid w:val="00331CD6"/>
    <w:rsid w:val="0037766C"/>
    <w:rsid w:val="003D1E53"/>
    <w:rsid w:val="00437D5F"/>
    <w:rsid w:val="00485A83"/>
    <w:rsid w:val="004903C9"/>
    <w:rsid w:val="0049C4C4"/>
    <w:rsid w:val="004D1C56"/>
    <w:rsid w:val="004D7002"/>
    <w:rsid w:val="00563002"/>
    <w:rsid w:val="005F4B41"/>
    <w:rsid w:val="005F7329"/>
    <w:rsid w:val="00615DF8"/>
    <w:rsid w:val="00623DA6"/>
    <w:rsid w:val="006246AB"/>
    <w:rsid w:val="00665420"/>
    <w:rsid w:val="00687900"/>
    <w:rsid w:val="006A651D"/>
    <w:rsid w:val="00746B59"/>
    <w:rsid w:val="007910D8"/>
    <w:rsid w:val="007E5CCE"/>
    <w:rsid w:val="00811C87"/>
    <w:rsid w:val="008123CF"/>
    <w:rsid w:val="00862D1F"/>
    <w:rsid w:val="0086381C"/>
    <w:rsid w:val="008C3EE5"/>
    <w:rsid w:val="008F7D9D"/>
    <w:rsid w:val="00904030"/>
    <w:rsid w:val="0091472F"/>
    <w:rsid w:val="009260F5"/>
    <w:rsid w:val="0095563D"/>
    <w:rsid w:val="00966224"/>
    <w:rsid w:val="00975507"/>
    <w:rsid w:val="009A6946"/>
    <w:rsid w:val="009B6683"/>
    <w:rsid w:val="009F180A"/>
    <w:rsid w:val="00A73E3C"/>
    <w:rsid w:val="00AC748B"/>
    <w:rsid w:val="00AD176D"/>
    <w:rsid w:val="00B43885"/>
    <w:rsid w:val="00B51E76"/>
    <w:rsid w:val="00B53C0B"/>
    <w:rsid w:val="00B8520A"/>
    <w:rsid w:val="00BA1E9D"/>
    <w:rsid w:val="00BF4C70"/>
    <w:rsid w:val="00BF6177"/>
    <w:rsid w:val="00C0350B"/>
    <w:rsid w:val="00C26995"/>
    <w:rsid w:val="00C379C3"/>
    <w:rsid w:val="00C8641B"/>
    <w:rsid w:val="00CD53C2"/>
    <w:rsid w:val="00CD5D58"/>
    <w:rsid w:val="00CF173F"/>
    <w:rsid w:val="00D01887"/>
    <w:rsid w:val="00D20F71"/>
    <w:rsid w:val="00D5766D"/>
    <w:rsid w:val="00D61CE2"/>
    <w:rsid w:val="00DC1F2B"/>
    <w:rsid w:val="00DC6B44"/>
    <w:rsid w:val="00DE383C"/>
    <w:rsid w:val="00DE674D"/>
    <w:rsid w:val="00E125CA"/>
    <w:rsid w:val="00E40935"/>
    <w:rsid w:val="00E96CA6"/>
    <w:rsid w:val="00EB4363"/>
    <w:rsid w:val="00EB7281"/>
    <w:rsid w:val="00ED4249"/>
    <w:rsid w:val="00F0093C"/>
    <w:rsid w:val="00F63781"/>
    <w:rsid w:val="00FA6526"/>
    <w:rsid w:val="00FC4AC6"/>
    <w:rsid w:val="10416457"/>
    <w:rsid w:val="14F4845E"/>
    <w:rsid w:val="161B9E20"/>
    <w:rsid w:val="17CFAC15"/>
    <w:rsid w:val="2335A94B"/>
    <w:rsid w:val="242E66CA"/>
    <w:rsid w:val="28CB2E7C"/>
    <w:rsid w:val="2AD02880"/>
    <w:rsid w:val="2D60AACB"/>
    <w:rsid w:val="2E10A5BF"/>
    <w:rsid w:val="3797CA57"/>
    <w:rsid w:val="3CCEC127"/>
    <w:rsid w:val="3F58B082"/>
    <w:rsid w:val="3FF5D7AD"/>
    <w:rsid w:val="42302864"/>
    <w:rsid w:val="43420499"/>
    <w:rsid w:val="44EA2BE2"/>
    <w:rsid w:val="49EDBA42"/>
    <w:rsid w:val="52E5FB42"/>
    <w:rsid w:val="541EF47B"/>
    <w:rsid w:val="56832A81"/>
    <w:rsid w:val="569062D1"/>
    <w:rsid w:val="59CF576D"/>
    <w:rsid w:val="5C4A2BC6"/>
    <w:rsid w:val="5E779F1C"/>
    <w:rsid w:val="60AF64C0"/>
    <w:rsid w:val="60D1699A"/>
    <w:rsid w:val="61A416AA"/>
    <w:rsid w:val="6392F1A3"/>
    <w:rsid w:val="69253D6B"/>
    <w:rsid w:val="6B0F1E77"/>
    <w:rsid w:val="6FA2385F"/>
    <w:rsid w:val="717E5FFB"/>
    <w:rsid w:val="735DF85B"/>
    <w:rsid w:val="7B9F0E1E"/>
    <w:rsid w:val="7DF2F9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D9AC09"/>
  <w15:chartTrackingRefBased/>
  <w15:docId w15:val="{4827F497-8572-493B-98EB-F4C14058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7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9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8790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8790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54C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C75"/>
  </w:style>
  <w:style w:type="paragraph" w:styleId="Footer">
    <w:name w:val="footer"/>
    <w:basedOn w:val="Normal"/>
    <w:link w:val="FooterChar"/>
    <w:uiPriority w:val="99"/>
    <w:unhideWhenUsed/>
    <w:rsid w:val="0005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C75"/>
  </w:style>
  <w:style w:type="character" w:customStyle="1" w:styleId="Heading1Char">
    <w:name w:val="Heading 1 Char"/>
    <w:basedOn w:val="DefaultParagraphFont"/>
    <w:link w:val="Heading1"/>
    <w:uiPriority w:val="9"/>
    <w:rsid w:val="00975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75507"/>
    <w:pPr>
      <w:widowControl w:val="0"/>
      <w:spacing w:after="0" w:line="240" w:lineRule="auto"/>
    </w:pPr>
    <w:rPr>
      <w:rFonts w:eastAsia="Arial" w:cs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975507"/>
    <w:rPr>
      <w:rFonts w:eastAsia="Arial" w:cstheme="minorHAnsi"/>
    </w:rPr>
  </w:style>
  <w:style w:type="paragraph" w:styleId="NormalWeb">
    <w:name w:val="Normal (Web)"/>
    <w:basedOn w:val="Normal"/>
    <w:uiPriority w:val="99"/>
    <w:semiHidden/>
    <w:unhideWhenUsed/>
    <w:rsid w:val="0081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02c2f4e-cdd4-461e-8797-f73d6d47f7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E4C02B2D3ED43A265A8BBFF745663" ma:contentTypeVersion="5" ma:contentTypeDescription="Create a new document." ma:contentTypeScope="" ma:versionID="9b3875fbe86fb2c77e20c1d67f6f2721">
  <xsd:schema xmlns:xsd="http://www.w3.org/2001/XMLSchema" xmlns:xs="http://www.w3.org/2001/XMLSchema" xmlns:p="http://schemas.microsoft.com/office/2006/metadata/properties" xmlns:ns2="102c2f4e-cdd4-461e-8797-f73d6d47f7a3" xmlns:ns3="fea73b07-7b2a-42f6-bb67-7b570050de60" targetNamespace="http://schemas.microsoft.com/office/2006/metadata/properties" ma:root="true" ma:fieldsID="0d8967f9cb9e3c147d0a24fa720e0571" ns2:_="" ns3:_="">
    <xsd:import namespace="102c2f4e-cdd4-461e-8797-f73d6d47f7a3"/>
    <xsd:import namespace="fea73b07-7b2a-42f6-bb67-7b570050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c2f4e-cdd4-461e-8797-f73d6d47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3b07-7b2a-42f6-bb67-7b570050d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16FF0-BE8A-476E-B42E-54D18F8D3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E31AF-7124-419F-9F52-6B49C82D4CCA}">
  <ds:schemaRefs>
    <ds:schemaRef ds:uri="http://schemas.microsoft.com/office/2006/metadata/properties"/>
    <ds:schemaRef ds:uri="http://purl.org/dc/terms/"/>
    <ds:schemaRef ds:uri="102c2f4e-cdd4-461e-8797-f73d6d47f7a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C1EDE3-6222-4EE7-84D3-6375380AE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4D3C55-AB91-443A-A9BC-331B49607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c2f4e-cdd4-461e-8797-f73d6d47f7a3"/>
    <ds:schemaRef ds:uri="fea73b07-7b2a-42f6-bb67-7b570050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Yeung, Lauren V</dc:creator>
  <cp:lastModifiedBy>Clouser, Patrick</cp:lastModifiedBy>
  <cp:revision>75</cp:revision>
  <dcterms:created xsi:type="dcterms:W3CDTF">2022-03-02T13:36:00Z</dcterms:created>
  <dcterms:modified xsi:type="dcterms:W3CDTF">2023-11-08T18:32:00Z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0x01010044FE4C02B2D3ED43A265A8BBFF745663</vt:lpwstr>
  </property>
</Properties>
</file>