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RPr="00E61D68" w:rsidP="00E61D68" w14:paraId="0127FEBE" w14:textId="1C3A27B8">
      <w:pPr>
        <w:jc w:val="center"/>
        <w:rPr>
          <w:sz w:val="48"/>
          <w:szCs w:val="48"/>
        </w:rPr>
      </w:pPr>
      <w:r w:rsidRPr="00E61D68">
        <w:rPr>
          <w:rFonts w:eastAsia="Calibri"/>
        </w:rPr>
        <w:t>UNITED STATES FOOD</w:t>
      </w:r>
      <w:r>
        <w:rPr>
          <w:rFonts w:eastAsia="Calibri"/>
        </w:rPr>
        <w:t xml:space="preserve"> &amp; </w:t>
      </w:r>
      <w:r w:rsidRPr="00E61D68">
        <w:rPr>
          <w:rFonts w:eastAsia="Calibri"/>
        </w:rPr>
        <w:t xml:space="preserve"> DRUG ADMINISTRATION</w:t>
      </w:r>
    </w:p>
    <w:p w:rsidR="00357C8A" w:rsidP="00357C8A" w14:paraId="7664678F" w14:textId="77777777">
      <w:pPr>
        <w:jc w:val="center"/>
        <w:rPr>
          <w:rFonts w:eastAsia="Calibri"/>
        </w:rPr>
      </w:pPr>
    </w:p>
    <w:p w:rsidR="00357C8A" w:rsidP="00100C8C" w14:paraId="7C929ADF" w14:textId="046F3A8E">
      <w:pPr>
        <w:jc w:val="center"/>
        <w:rPr>
          <w:rFonts w:eastAsia="Calibri"/>
        </w:rPr>
      </w:pPr>
      <w:r w:rsidRPr="00100C8C">
        <w:rPr>
          <w:rFonts w:eastAsia="Calibri"/>
        </w:rPr>
        <w:t>Cosmetic Facility Registration, Product Listing, and Labeling Requirements</w:t>
      </w:r>
    </w:p>
    <w:p w:rsidR="00357C8A" w:rsidP="00357C8A" w14:paraId="1F4C6695" w14:textId="77777777">
      <w:pPr>
        <w:jc w:val="center"/>
        <w:rPr>
          <w:rFonts w:eastAsia="Calibri"/>
        </w:rPr>
      </w:pPr>
    </w:p>
    <w:p w:rsidR="00357C8A" w:rsidRPr="00287ED7" w:rsidP="00357C8A" w14:paraId="5108287C" w14:textId="031EBA2D">
      <w:pPr>
        <w:jc w:val="center"/>
        <w:rPr>
          <w:rFonts w:eastAsia="Calibri"/>
          <w:u w:val="single"/>
        </w:rPr>
      </w:pPr>
      <w:r w:rsidRPr="00287ED7">
        <w:rPr>
          <w:rFonts w:eastAsia="Calibri"/>
          <w:u w:val="single"/>
        </w:rPr>
        <w:t>OMB Control No. 0910-</w:t>
      </w:r>
      <w:r w:rsidRPr="00287ED7" w:rsidR="00E61D68">
        <w:rPr>
          <w:rFonts w:eastAsia="Calibri"/>
          <w:u w:val="single"/>
        </w:rPr>
        <w:t>0599</w:t>
      </w:r>
      <w:r w:rsidR="00287ED7">
        <w:rPr>
          <w:rFonts w:eastAsia="Calibri"/>
          <w:u w:val="single"/>
        </w:rPr>
        <w:t xml:space="preserve"> – Revision</w:t>
      </w:r>
    </w:p>
    <w:p w:rsidR="00357C8A" w:rsidP="00357C8A" w14:paraId="41060C64" w14:textId="77777777">
      <w:pPr>
        <w:jc w:val="center"/>
        <w:rPr>
          <w:rFonts w:eastAsia="Calibri"/>
        </w:rPr>
      </w:pPr>
    </w:p>
    <w:p w:rsidR="00357C8A" w:rsidP="000D79CC" w14:paraId="0D1F3B4F" w14:textId="34AA1888">
      <w:pPr>
        <w:rPr>
          <w:rFonts w:eastAsia="Calibri"/>
        </w:rPr>
      </w:pPr>
      <w:r w:rsidRPr="00357C8A">
        <w:rPr>
          <w:rFonts w:eastAsia="Calibri"/>
        </w:rPr>
        <w:t>SUPPORTING STATEMENT</w:t>
      </w:r>
      <w:r w:rsidR="00546575">
        <w:rPr>
          <w:rFonts w:eastAsia="Calibri"/>
        </w:rPr>
        <w:t xml:space="preserve"> </w:t>
      </w:r>
      <w:r w:rsidRPr="00357C8A">
        <w:rPr>
          <w:rFonts w:eastAsia="Calibri"/>
          <w:b/>
        </w:rPr>
        <w:t>Part A:  Justification</w:t>
      </w:r>
      <w:r w:rsidRPr="00357C8A">
        <w:rPr>
          <w:rFonts w:eastAsia="Calibri"/>
        </w:rPr>
        <w:t>:</w:t>
      </w:r>
    </w:p>
    <w:p w:rsidR="000D79CC" w:rsidRPr="00357C8A" w:rsidP="000D79CC" w14:paraId="023300BF" w14:textId="77777777">
      <w:pPr>
        <w:rPr>
          <w:rFonts w:eastAsia="Calibri"/>
        </w:rPr>
      </w:pPr>
    </w:p>
    <w:p w:rsidR="00357C8A" w:rsidRPr="00357C8A" w:rsidP="006705EA" w14:paraId="79B057F4" w14:textId="48DD1DCF">
      <w:pPr>
        <w:numPr>
          <w:ilvl w:val="0"/>
          <w:numId w:val="7"/>
        </w:numPr>
        <w:spacing w:after="200" w:line="276" w:lineRule="auto"/>
        <w:rPr>
          <w:rFonts w:eastAsia="Calibri"/>
        </w:rPr>
      </w:pPr>
      <w:r w:rsidRPr="00357C8A">
        <w:rPr>
          <w:rFonts w:eastAsia="Calibri"/>
          <w:u w:val="single"/>
        </w:rPr>
        <w:t>Circumstances Making the Collection of Information Necessary</w:t>
      </w:r>
    </w:p>
    <w:p w:rsidR="00585CA6" w:rsidP="004A3EE7" w14:paraId="4D4160CD" w14:textId="77777777">
      <w:pPr>
        <w:contextualSpacing/>
      </w:pPr>
      <w:r w:rsidRPr="00830206">
        <w:t>This information collection support</w:t>
      </w:r>
      <w:r>
        <w:t xml:space="preserve">s implementation of statutory and regulatory provisions that govern cosmetics.  </w:t>
      </w:r>
      <w:r w:rsidRPr="00830206">
        <w:t>On December 29, 2022, the President signed into law the Consolidated Appropriations Act, 2023 (</w:t>
      </w:r>
      <w:r w:rsidRPr="00E273B6">
        <w:t>Pub. L. 117-328),</w:t>
      </w:r>
      <w:r w:rsidRPr="00830206">
        <w:t xml:space="preserve"> which included the Modernization of Cosmetics Registration Act of 2022 (MoCRA).  </w:t>
      </w:r>
      <w:bookmarkStart w:id="0" w:name="_Hlk128564861"/>
      <w:r w:rsidRPr="00830206">
        <w:t>MoCRA amended the Federal Food, Drug, and Cosmetic Act (FD&amp;C Act) by requiring, among other requirements, manufacturers of cosmetic products to label products intended for use only by licensed professionals to bear a label that the product must be administered or used only by licensed professionals, in addition to providing the same information on the label that is required of cosmetic products intended for consumers.</w:t>
      </w:r>
      <w:bookmarkEnd w:id="0"/>
      <w:r w:rsidRPr="00830206">
        <w:t xml:space="preserve">  MoCRA also added the requirement for cosmetic product labels to include contact information</w:t>
      </w:r>
      <w:r w:rsidRPr="00216EB9">
        <w:t xml:space="preserve"> </w:t>
      </w:r>
      <w:r w:rsidRPr="00830206">
        <w:t>through which the responsible person can receive adverse event reports.  Other requirements introduced by MoCRA include facility registration</w:t>
      </w:r>
      <w:r>
        <w:t xml:space="preserve">, </w:t>
      </w:r>
      <w:r w:rsidRPr="00830206">
        <w:t>cosmetic product listing</w:t>
      </w:r>
      <w:r>
        <w:t>, and associated recordkeeping</w:t>
      </w:r>
      <w:r w:rsidRPr="00830206">
        <w:t>.</w:t>
      </w:r>
    </w:p>
    <w:p w:rsidR="004A3EE7" w:rsidRPr="00830206" w:rsidP="004A3EE7" w14:paraId="2A49D886" w14:textId="24A0F0C4">
      <w:pPr>
        <w:contextualSpacing/>
      </w:pPr>
      <w:r w:rsidRPr="00830206">
        <w:t xml:space="preserve">   </w:t>
      </w:r>
    </w:p>
    <w:p w:rsidR="00585CA6" w:rsidP="00585CA6" w14:paraId="6DC8DB07" w14:textId="77777777">
      <w:pPr>
        <w:keepNext/>
        <w:contextualSpacing/>
        <w:rPr>
          <w:i/>
          <w:iCs/>
        </w:rPr>
      </w:pPr>
      <w:r w:rsidRPr="00830206">
        <w:rPr>
          <w:i/>
          <w:iCs/>
        </w:rPr>
        <w:t>Cosmetic Labeling Requirements</w:t>
      </w:r>
      <w:r>
        <w:rPr>
          <w:i/>
          <w:iCs/>
        </w:rPr>
        <w:t xml:space="preserve">:  </w:t>
      </w:r>
      <w:r w:rsidRPr="00830206">
        <w:t xml:space="preserve">The FD&amp;C Act and the Fair Packaging and Labeling Act </w:t>
      </w:r>
      <w:r w:rsidRPr="00B839F3">
        <w:t>(the FPLA</w:t>
      </w:r>
      <w:r w:rsidRPr="00830206">
        <w:t xml:space="preserve">) require that cosmetic manufacturers, packers, and distributors disclose information about themselves or their products on the labels or labeling of their products.  Sections 201, </w:t>
      </w:r>
      <w:r w:rsidRPr="00624B22">
        <w:t>301, 50</w:t>
      </w:r>
      <w:r w:rsidRPr="00830206">
        <w:t xml:space="preserve">2, 601, 602, 603, 701, and 704 of the FD&amp;C Act (21 U.S.C. 321, </w:t>
      </w:r>
      <w:r>
        <w:t xml:space="preserve">331, </w:t>
      </w:r>
      <w:r w:rsidRPr="00830206">
        <w:t>352, 361, 362, 363, 371, and 374) and sections 4 and 5 of the FPLA (15 U.S.C. 1453 and 1454) provide authority to FDA to regulate the labeling of cosmetic products.  Failure to comply with the requirements for cosmetic labeling may render a cosmetic adulterated under section 601 of the FD&amp;C Act or misbranded under section 602 of the FD&amp;C Act.</w:t>
      </w:r>
    </w:p>
    <w:p w:rsidR="00585CA6" w:rsidP="00585CA6" w14:paraId="62A04BE6" w14:textId="77777777">
      <w:pPr>
        <w:keepNext/>
        <w:contextualSpacing/>
        <w:rPr>
          <w:i/>
          <w:iCs/>
        </w:rPr>
      </w:pPr>
    </w:p>
    <w:p w:rsidR="00585CA6" w:rsidP="00585CA6" w14:paraId="0E5CF99E" w14:textId="77777777">
      <w:pPr>
        <w:keepNext/>
        <w:contextualSpacing/>
        <w:rPr>
          <w:i/>
          <w:iCs/>
        </w:rPr>
      </w:pPr>
      <w:r w:rsidRPr="00830206">
        <w:t>FDA’s cosmetic labeling regulations are codified in part 701 (21 CFR part 701).  Section 701.3 (21 CFR 701.3) requires the label of a cosmetic product to bear a declaration of the ingredients in descending order of predominance.  Section 701.11 (21 CFR 701.11) requires the principal display panel of a cosmetic product to bear a statement of the identity of the product.  Section 701.12 (21 CFR 701.12) requires the label of a cosmetic product to specify the name and place of business of the manufacturer, packer, or distributor.  Section 701.13 (21 CFR 701.13) requires the label of a cosmetic product to declare the net quantity of contents of the product.</w:t>
      </w:r>
    </w:p>
    <w:p w:rsidR="00585CA6" w:rsidP="00585CA6" w14:paraId="0D65FBFA" w14:textId="77777777">
      <w:pPr>
        <w:keepNext/>
        <w:contextualSpacing/>
        <w:rPr>
          <w:i/>
          <w:iCs/>
        </w:rPr>
      </w:pPr>
    </w:p>
    <w:p w:rsidR="004A3EE7" w:rsidRPr="00585CA6" w:rsidP="00585CA6" w14:paraId="781B322B" w14:textId="1FE0C804">
      <w:pPr>
        <w:keepNext/>
        <w:contextualSpacing/>
        <w:rPr>
          <w:i/>
          <w:iCs/>
        </w:rPr>
      </w:pPr>
      <w:r w:rsidRPr="00830206">
        <w:t>M</w:t>
      </w:r>
      <w:r>
        <w:t xml:space="preserve">oCRA </w:t>
      </w:r>
      <w:r w:rsidRPr="00830206">
        <w:t xml:space="preserve">amended the FD&amp;C Act by requiring, among other requirements, manufacturers of cosmetic products to label products intended for use only by licensed professionals to bear a label that the product must be administered or used only by licensed professionals, in addition to providing the same information on the label that is required of cosmetic products intended for consumers.  MoCRA also added the requirement for cosmetic product labels to include contact information (domestic address, phone number, or electronic contact information that may include a website) through which the responsible person can receive adverse event reports.  </w:t>
      </w:r>
    </w:p>
    <w:p w:rsidR="00585CA6" w:rsidP="004A3EE7" w14:paraId="02227378" w14:textId="77777777">
      <w:pPr>
        <w:contextualSpacing/>
        <w:rPr>
          <w:i/>
          <w:iCs/>
        </w:rPr>
      </w:pPr>
    </w:p>
    <w:p w:rsidR="00585CA6" w:rsidP="00585CA6" w14:paraId="44DA8DE6" w14:textId="77777777">
      <w:pPr>
        <w:contextualSpacing/>
      </w:pPr>
      <w:r w:rsidRPr="00830206">
        <w:rPr>
          <w:i/>
          <w:iCs/>
        </w:rPr>
        <w:t>Facility Registration and Cosmetic Product Listing Program</w:t>
      </w:r>
      <w:bookmarkStart w:id="1" w:name="_Hlk128563491"/>
      <w:r>
        <w:rPr>
          <w:i/>
          <w:iCs/>
        </w:rPr>
        <w:t xml:space="preserve">:  </w:t>
      </w:r>
      <w:r w:rsidRPr="00830206">
        <w:t>MoCRA amended the FD&amp;C Act by requiring, among other requirements,</w:t>
      </w:r>
      <w:bookmarkEnd w:id="1"/>
      <w:r w:rsidRPr="00830206">
        <w:t xml:space="preserve"> operators and owners of facilities manufacturing or processing cosmetic products to register with FDA and renew such registrations biennially.  Facilities will also need to notify FDA of any changes to information that was required as part of registration.  FDA may suspend registration if we determine that a cosmetic product manufactured or processed by a registered facility has a reasonable probability of causing serious adverse health consequences or death.  Upon notice that FDA intends to suspend registration, the responsible person for the facility may submit a corrective action plan for addressing the reasons for possible suspension of the facility registration.  MoCRA also added the requirement for responsible persons to submit a product listing for each of their cosmetic products to FDA.</w:t>
      </w:r>
    </w:p>
    <w:p w:rsidR="00585CA6" w:rsidP="00585CA6" w14:paraId="1DD6186F" w14:textId="77777777">
      <w:pPr>
        <w:contextualSpacing/>
      </w:pPr>
    </w:p>
    <w:p w:rsidR="00964C8B" w:rsidP="00964C8B" w14:paraId="423FD555" w14:textId="15ED4952">
      <w:pPr>
        <w:contextualSpacing/>
      </w:pPr>
      <w:r w:rsidRPr="00830206">
        <w:t>As we</w:t>
      </w:r>
      <w:r>
        <w:t xml:space="preserve"> update our infrastructure to include</w:t>
      </w:r>
      <w:r w:rsidRPr="00830206">
        <w:t xml:space="preserve"> a </w:t>
      </w:r>
      <w:r>
        <w:t xml:space="preserve">mechanism </w:t>
      </w:r>
      <w:r w:rsidRPr="00830206">
        <w:t>to accept submissions for registrations and product listings consistent with the provisions in MoCRA, we have discontinued use of Forms FDA 2511, 2512, and 2512a, previously used for voluntary registration activities and have stopped accepting new submissions to the Voluntary Cosmetic Registration Program (VCRP).</w:t>
      </w:r>
      <w:r w:rsidR="00B216F3">
        <w:t xml:space="preserve">  We have established and maintain </w:t>
      </w:r>
      <w:r w:rsidR="00560BA3">
        <w:t xml:space="preserve">updates and </w:t>
      </w:r>
      <w:r w:rsidR="00B216F3">
        <w:t>informational resources on our website at</w:t>
      </w:r>
      <w:r w:rsidR="00410D1C">
        <w:t xml:space="preserve"> </w:t>
      </w:r>
      <w:hyperlink r:id="rId4" w:history="1">
        <w:r w:rsidRPr="00BD353E" w:rsidR="007C47A1">
          <w:rPr>
            <w:rStyle w:val="Hyperlink"/>
          </w:rPr>
          <w:t>https://www.fda.gov/cosmetics/cosmetics-news-events</w:t>
        </w:r>
      </w:hyperlink>
      <w:r w:rsidR="007C47A1">
        <w:t xml:space="preserve"> </w:t>
      </w:r>
      <w:r w:rsidR="00560BA3">
        <w:t>t</w:t>
      </w:r>
      <w:r w:rsidR="00E07477">
        <w:t xml:space="preserve">o </w:t>
      </w:r>
      <w:r>
        <w:t xml:space="preserve">communicate </w:t>
      </w:r>
      <w:r w:rsidR="00E07477">
        <w:t>ongoing implementation activities.  We discuss our outreach efforts more fully in Q-8 of this supporting statement</w:t>
      </w:r>
      <w:r>
        <w:t xml:space="preserve"> </w:t>
      </w:r>
      <w:r w:rsidR="00792A72">
        <w:t xml:space="preserve">and </w:t>
      </w:r>
      <w:r>
        <w:t xml:space="preserve">have </w:t>
      </w:r>
    </w:p>
    <w:p w:rsidR="00964C8B" w:rsidP="00964C8B" w14:paraId="16CFEC57" w14:textId="6591E25A">
      <w:pPr>
        <w:contextualSpacing/>
      </w:pPr>
      <w:r>
        <w:t>taken the following actions:</w:t>
      </w:r>
    </w:p>
    <w:p w:rsidR="00964C8B" w:rsidP="00964C8B" w14:paraId="41AA8179" w14:textId="77777777">
      <w:pPr>
        <w:contextualSpacing/>
      </w:pPr>
    </w:p>
    <w:p w:rsidR="00964C8B" w:rsidP="00964C8B" w14:paraId="4535DDD1" w14:textId="77777777">
      <w:pPr>
        <w:pStyle w:val="ListParagraph"/>
        <w:numPr>
          <w:ilvl w:val="0"/>
          <w:numId w:val="11"/>
        </w:numPr>
        <w:ind w:left="1080"/>
        <w:contextualSpacing/>
        <w:rPr>
          <w:rFonts w:eastAsia="Calibri"/>
        </w:rPr>
      </w:pPr>
      <w:bookmarkStart w:id="2" w:name="_Hlk140670647"/>
      <w:r w:rsidRPr="00407894">
        <w:rPr>
          <w:rFonts w:eastAsia="Calibri"/>
        </w:rPr>
        <w:t xml:space="preserve">We have developed </w:t>
      </w:r>
      <w:r w:rsidRPr="0043208F">
        <w:rPr>
          <w:rFonts w:eastAsia="Calibri"/>
          <w:b/>
          <w:bCs/>
        </w:rPr>
        <w:t>Form FDA 5066</w:t>
      </w:r>
      <w:r w:rsidRPr="00407894">
        <w:rPr>
          <w:rFonts w:eastAsia="Calibri"/>
        </w:rPr>
        <w:t xml:space="preserve"> entitled “</w:t>
      </w:r>
      <w:r w:rsidRPr="00935456">
        <w:rPr>
          <w:rFonts w:eastAsia="Calibri"/>
          <w:i/>
          <w:iCs/>
        </w:rPr>
        <w:t>Registration of Cosmetic Product Facility</w:t>
      </w:r>
      <w:r w:rsidRPr="00407894">
        <w:rPr>
          <w:rFonts w:eastAsia="Calibri"/>
        </w:rPr>
        <w:t xml:space="preserve">,” and </w:t>
      </w:r>
      <w:r w:rsidRPr="0043208F">
        <w:rPr>
          <w:rFonts w:eastAsia="Calibri"/>
          <w:b/>
          <w:bCs/>
        </w:rPr>
        <w:t>Form FDA 5067</w:t>
      </w:r>
      <w:r w:rsidRPr="00407894">
        <w:rPr>
          <w:rFonts w:eastAsia="Calibri"/>
        </w:rPr>
        <w:t xml:space="preserve"> entitled “</w:t>
      </w:r>
      <w:r w:rsidRPr="00935456">
        <w:rPr>
          <w:rFonts w:eastAsia="Calibri"/>
          <w:i/>
          <w:iCs/>
        </w:rPr>
        <w:t>Cosmetic Product Listing</w:t>
      </w:r>
      <w:r w:rsidRPr="00407894">
        <w:rPr>
          <w:rFonts w:eastAsia="Calibri"/>
        </w:rPr>
        <w:t xml:space="preserve">,” to be used for registrations and product listings, respectively.  These forms will be available in paper format or via an electronic system for submission.  Draft screenshots of the paper forms and electronic </w:t>
      </w:r>
      <w:r w:rsidRPr="00407894">
        <w:t>system for submission</w:t>
      </w:r>
      <w:r w:rsidRPr="00407894">
        <w:rPr>
          <w:rFonts w:eastAsia="Calibri"/>
        </w:rPr>
        <w:t xml:space="preserve"> are available for viewing at </w:t>
      </w:r>
      <w:bookmarkStart w:id="3" w:name="_Hlk140489870"/>
      <w:hyperlink r:id="rId5" w:history="1">
        <w:r w:rsidRPr="00407894">
          <w:rPr>
            <w:rFonts w:eastAsia="Calibri"/>
            <w:color w:val="0563C1"/>
            <w:u w:val="single"/>
          </w:rPr>
          <w:t>https://www.fda.gov/cosmetics/registration-listing-cosmetic-product-facilities-and-products</w:t>
        </w:r>
      </w:hyperlink>
      <w:bookmarkEnd w:id="3"/>
      <w:r w:rsidRPr="00407894">
        <w:rPr>
          <w:rFonts w:eastAsia="Calibri"/>
        </w:rPr>
        <w:t>.</w:t>
      </w:r>
      <w:bookmarkEnd w:id="2"/>
    </w:p>
    <w:p w:rsidR="00964C8B" w:rsidRPr="00407894" w:rsidP="00964C8B" w14:paraId="3E8B731E" w14:textId="77777777">
      <w:pPr>
        <w:pStyle w:val="ListParagraph"/>
        <w:ind w:left="1080"/>
        <w:contextualSpacing/>
        <w:rPr>
          <w:rFonts w:eastAsia="Calibri"/>
        </w:rPr>
      </w:pPr>
    </w:p>
    <w:p w:rsidR="00964C8B" w:rsidP="00964C8B" w14:paraId="06CC17B9" w14:textId="46A18A40">
      <w:pPr>
        <w:pStyle w:val="ListParagraph"/>
        <w:numPr>
          <w:ilvl w:val="0"/>
          <w:numId w:val="11"/>
        </w:numPr>
        <w:ind w:left="1080"/>
        <w:contextualSpacing/>
        <w:rPr>
          <w:rFonts w:eastAsia="Calibri"/>
        </w:rPr>
      </w:pPr>
      <w:r w:rsidRPr="00407894">
        <w:rPr>
          <w:rFonts w:eastAsia="Calibri"/>
        </w:rPr>
        <w:t xml:space="preserve">We developed </w:t>
      </w:r>
      <w:r w:rsidR="002A34EA">
        <w:rPr>
          <w:rFonts w:eastAsia="Calibri"/>
        </w:rPr>
        <w:t>a</w:t>
      </w:r>
      <w:r w:rsidRPr="00407894">
        <w:rPr>
          <w:rFonts w:eastAsia="Calibri"/>
        </w:rPr>
        <w:t xml:space="preserve">gency guidance to further assist industry with cosmetic registration and product listing requirements.  In the </w:t>
      </w:r>
      <w:r w:rsidRPr="00407894">
        <w:rPr>
          <w:rFonts w:eastAsia="Calibri"/>
          <w:i/>
          <w:iCs/>
        </w:rPr>
        <w:t>Federal Register</w:t>
      </w:r>
      <w:r w:rsidRPr="00407894">
        <w:rPr>
          <w:rFonts w:eastAsia="Calibri"/>
        </w:rPr>
        <w:t xml:space="preserve"> of August 8, 2023 (88 FR 53490), we announced the availability of a draft guidance for industry entitled “Registration and Listing of Cosmetic Product Facilities and Products” (available at </w:t>
      </w:r>
      <w:hyperlink r:id="rId6" w:history="1">
        <w:r w:rsidRPr="00407894">
          <w:rPr>
            <w:rFonts w:eastAsia="Calibri"/>
            <w:color w:val="0563C1"/>
            <w:u w:val="single"/>
          </w:rPr>
          <w:t>https://www.fda.gov/regulatory-information/search-fda-guidance-documents/draft-guidance-industry-registration-and-listing-cosmetic-product-facilities-and-products</w:t>
        </w:r>
      </w:hyperlink>
      <w:r w:rsidRPr="00407894">
        <w:rPr>
          <w:rFonts w:eastAsia="Calibri"/>
        </w:rPr>
        <w:t>).  The draft guidance, when finalized, is intended to provide instruction and further assist industry in preparing and submitting registrations and product listings required by MoCRA.  The draft guidance discusses, among other things, who must register and list, when, and what must be submitted</w:t>
      </w:r>
      <w:r>
        <w:rPr>
          <w:rFonts w:eastAsia="Calibri"/>
        </w:rPr>
        <w:t>.</w:t>
      </w:r>
    </w:p>
    <w:p w:rsidR="00964C8B" w:rsidRPr="00BC3CE7" w:rsidP="00964C8B" w14:paraId="5EB6D52B" w14:textId="77777777">
      <w:pPr>
        <w:contextualSpacing/>
        <w:rPr>
          <w:rFonts w:eastAsia="Calibri"/>
        </w:rPr>
      </w:pPr>
    </w:p>
    <w:p w:rsidR="00964C8B" w:rsidP="00964C8B" w14:paraId="271CBEF8" w14:textId="3E41A526">
      <w:pPr>
        <w:pStyle w:val="ListParagraph"/>
        <w:numPr>
          <w:ilvl w:val="0"/>
          <w:numId w:val="11"/>
        </w:numPr>
        <w:ind w:left="1080"/>
        <w:contextualSpacing/>
        <w:rPr>
          <w:rFonts w:eastAsia="Calibri"/>
        </w:rPr>
      </w:pPr>
      <w:r w:rsidRPr="00407894">
        <w:rPr>
          <w:rFonts w:eastAsia="Calibri"/>
        </w:rPr>
        <w:t>Also</w:t>
      </w:r>
      <w:r w:rsidR="002A34EA">
        <w:rPr>
          <w:rFonts w:eastAsia="Calibri"/>
        </w:rPr>
        <w:t>,</w:t>
      </w:r>
      <w:r w:rsidRPr="00407894">
        <w:rPr>
          <w:rFonts w:eastAsia="Calibri"/>
        </w:rPr>
        <w:t xml:space="preserve"> in the </w:t>
      </w:r>
      <w:r w:rsidRPr="00407894">
        <w:rPr>
          <w:rFonts w:eastAsia="Calibri"/>
          <w:i/>
          <w:iCs/>
        </w:rPr>
        <w:t>Federal Register</w:t>
      </w:r>
      <w:r w:rsidRPr="00407894">
        <w:rPr>
          <w:rFonts w:eastAsia="Calibri"/>
        </w:rPr>
        <w:t xml:space="preserve"> of August 8, 2023 (88 FR 53499), we announced a pilot, including instruction on participation, intended to gather input to inform evaluation of the new electronic cosmetic registration and listing submission portal. </w:t>
      </w:r>
    </w:p>
    <w:p w:rsidR="00964C8B" w:rsidRPr="00407894" w:rsidP="00964C8B" w14:paraId="16A53E85" w14:textId="77777777">
      <w:pPr>
        <w:pStyle w:val="ListParagraph"/>
        <w:ind w:left="1080"/>
        <w:contextualSpacing/>
        <w:rPr>
          <w:rFonts w:eastAsia="Calibri"/>
        </w:rPr>
      </w:pPr>
    </w:p>
    <w:p w:rsidR="00964C8B" w:rsidRPr="00407894" w:rsidP="00964C8B" w14:paraId="5C5C2BFD" w14:textId="77777777">
      <w:pPr>
        <w:pStyle w:val="ListParagraph"/>
        <w:numPr>
          <w:ilvl w:val="0"/>
          <w:numId w:val="11"/>
        </w:numPr>
        <w:ind w:left="1080"/>
        <w:contextualSpacing/>
        <w:rPr>
          <w:rFonts w:eastAsia="Calibri"/>
        </w:rPr>
      </w:pPr>
      <w:r w:rsidRPr="00407894">
        <w:rPr>
          <w:rFonts w:eastAsia="Calibri"/>
        </w:rPr>
        <w:t xml:space="preserve">We have added information collection elements to account for mandatory adverse event recordkeeping requirements under new section 605 of the FD&amp;C Act added by MoCRA, and we are revising OMB control no. 0910-0291 to include corresponding </w:t>
      </w:r>
      <w:r w:rsidRPr="00407894">
        <w:rPr>
          <w:rFonts w:eastAsia="Calibri"/>
        </w:rPr>
        <w:t>adverse event reporting.  We are currently modifying our MedWatch forms, approved in 0910-0291, to receive mandated adverse event reporting elements associated with cosmetic products as introduced by MoCRA.</w:t>
      </w:r>
    </w:p>
    <w:p w:rsidR="00585CA6" w:rsidRPr="00830206" w:rsidP="00585CA6" w14:paraId="3852D454" w14:textId="77777777">
      <w:pPr>
        <w:contextualSpacing/>
        <w:rPr>
          <w:i/>
          <w:iCs/>
        </w:rPr>
      </w:pPr>
    </w:p>
    <w:p w:rsidR="004A3EE7" w:rsidP="004A3EE7" w14:paraId="3735C641" w14:textId="77777777">
      <w:pPr>
        <w:ind w:firstLine="720"/>
        <w:contextualSpacing/>
      </w:pPr>
      <w:r w:rsidRPr="00830206">
        <w:rPr>
          <w:i/>
          <w:iCs/>
        </w:rPr>
        <w:t>Description of Respondents</w:t>
      </w:r>
      <w:r w:rsidRPr="00830206">
        <w:t xml:space="preserve">:  Respondents to this collection of information include cosmetic manufacturers and processors.  Respondents are from the private sector (for-profit businesses). </w:t>
      </w:r>
    </w:p>
    <w:p w:rsidR="6B516C8B" w:rsidP="6B516C8B" w14:paraId="11A3A9D0" w14:textId="21854461">
      <w:pPr>
        <w:rPr>
          <w:rFonts w:eastAsia="Calibri"/>
        </w:rPr>
      </w:pPr>
    </w:p>
    <w:p w:rsidR="004505C2" w:rsidRPr="00834A66" w:rsidP="004505C2" w14:paraId="405B8129" w14:textId="59B1BDFE">
      <w:pPr>
        <w:rPr>
          <w:rFonts w:eastAsia="Calibri"/>
        </w:rPr>
      </w:pPr>
      <w:r>
        <w:rPr>
          <w:rFonts w:eastAsia="Calibri"/>
        </w:rPr>
        <w:t xml:space="preserve">We </w:t>
      </w:r>
      <w:r w:rsidR="009B220F">
        <w:rPr>
          <w:rFonts w:eastAsia="Calibri"/>
        </w:rPr>
        <w:t>are</w:t>
      </w:r>
      <w:r w:rsidR="002A34EA">
        <w:rPr>
          <w:rFonts w:eastAsia="Calibri"/>
        </w:rPr>
        <w:t xml:space="preserve"> therefore</w:t>
      </w:r>
      <w:r w:rsidR="009B220F">
        <w:rPr>
          <w:rFonts w:eastAsia="Calibri"/>
        </w:rPr>
        <w:t xml:space="preserve"> requesting </w:t>
      </w:r>
      <w:r>
        <w:rPr>
          <w:rFonts w:eastAsia="Calibri"/>
        </w:rPr>
        <w:t xml:space="preserve">OMB </w:t>
      </w:r>
      <w:r w:rsidR="002A34EA">
        <w:rPr>
          <w:rFonts w:eastAsia="Calibri"/>
        </w:rPr>
        <w:t>approval of the information collections as discussed in this supporting statement.</w:t>
      </w:r>
    </w:p>
    <w:p w:rsidR="00357C8A" w:rsidRPr="00357C8A" w:rsidP="00834A66" w14:paraId="1176D478" w14:textId="13D6A038">
      <w:pPr>
        <w:rPr>
          <w:rFonts w:eastAsia="Calibri"/>
          <w:color w:val="FF0000"/>
        </w:rPr>
      </w:pPr>
    </w:p>
    <w:p w:rsidR="00357C8A" w:rsidRPr="00357C8A" w:rsidP="006705EA" w14:paraId="16C1B984" w14:textId="77777777">
      <w:pPr>
        <w:numPr>
          <w:ilvl w:val="0"/>
          <w:numId w:val="7"/>
        </w:numPr>
        <w:spacing w:after="200" w:line="276" w:lineRule="auto"/>
        <w:rPr>
          <w:rFonts w:eastAsia="Calibri"/>
          <w:u w:val="single"/>
        </w:rPr>
      </w:pPr>
      <w:r w:rsidRPr="00357C8A">
        <w:rPr>
          <w:rFonts w:eastAsia="Calibri"/>
          <w:u w:val="single"/>
        </w:rPr>
        <w:t xml:space="preserve">Purpose and Use of the Information Collection </w:t>
      </w:r>
    </w:p>
    <w:p w:rsidR="00840155" w:rsidP="00840155" w14:paraId="20F6C017" w14:textId="77777777">
      <w:pPr>
        <w:autoSpaceDE w:val="0"/>
        <w:autoSpaceDN w:val="0"/>
        <w:adjustRightInd w:val="0"/>
      </w:pPr>
      <w:r>
        <w:t>The information required to be disclosed in FDA’s cosmetic labeling regulations is used by</w:t>
      </w:r>
    </w:p>
    <w:p w:rsidR="00840155" w:rsidP="00840155" w14:paraId="3534029B" w14:textId="77777777">
      <w:pPr>
        <w:autoSpaceDE w:val="0"/>
        <w:autoSpaceDN w:val="0"/>
        <w:adjustRightInd w:val="0"/>
      </w:pPr>
      <w:r>
        <w:t>consumers of cosmetic products when evaluating, purchasing, and using the products.  We</w:t>
      </w:r>
    </w:p>
    <w:p w:rsidR="00840155" w:rsidP="00840155" w14:paraId="2754BC64" w14:textId="77777777">
      <w:pPr>
        <w:autoSpaceDE w:val="0"/>
        <w:autoSpaceDN w:val="0"/>
        <w:adjustRightInd w:val="0"/>
      </w:pPr>
      <w:r>
        <w:t xml:space="preserve">use the information to evaluate cosmetic products currently on the market and </w:t>
      </w:r>
      <w:bookmarkStart w:id="4" w:name="_Hlk140501955"/>
      <w:r>
        <w:t>to verify</w:t>
      </w:r>
    </w:p>
    <w:p w:rsidR="00840155" w:rsidP="00840155" w14:paraId="78CC1820" w14:textId="3F2933CB">
      <w:pPr>
        <w:autoSpaceDE w:val="0"/>
        <w:autoSpaceDN w:val="0"/>
        <w:adjustRightInd w:val="0"/>
      </w:pPr>
      <w:r>
        <w:t xml:space="preserve">compliance with the requirements </w:t>
      </w:r>
      <w:bookmarkEnd w:id="4"/>
      <w:r>
        <w:t xml:space="preserve">for labeling cosmetic products.  MoCRA also added labeling requirements for cosmetic products to disclose </w:t>
      </w:r>
      <w:r w:rsidR="111B61F3">
        <w:t>contact information through which the responsible person can receive adverse event reports</w:t>
      </w:r>
      <w:r w:rsidR="3251D250">
        <w:t xml:space="preserve"> and</w:t>
      </w:r>
      <w:r>
        <w:t xml:space="preserve"> </w:t>
      </w:r>
      <w:r w:rsidR="28B1ADA5">
        <w:t>for</w:t>
      </w:r>
      <w:r>
        <w:t xml:space="preserve"> a cosmetic product </w:t>
      </w:r>
      <w:r w:rsidR="7E3311C5">
        <w:t xml:space="preserve">that </w:t>
      </w:r>
      <w:r>
        <w:t xml:space="preserve">is </w:t>
      </w:r>
      <w:r w:rsidR="6301A930">
        <w:t xml:space="preserve">for </w:t>
      </w:r>
      <w:r>
        <w:t>professional</w:t>
      </w:r>
      <w:r w:rsidR="00AE2FA4">
        <w:t xml:space="preserve"> </w:t>
      </w:r>
      <w:r>
        <w:t>use only.</w:t>
      </w:r>
    </w:p>
    <w:p w:rsidR="00840155" w:rsidP="00840155" w14:paraId="48C66E9F" w14:textId="77777777">
      <w:pPr>
        <w:autoSpaceDE w:val="0"/>
        <w:autoSpaceDN w:val="0"/>
        <w:adjustRightInd w:val="0"/>
      </w:pPr>
    </w:p>
    <w:p w:rsidR="00840155" w:rsidP="00BA2812" w14:paraId="7F8EB248" w14:textId="2AB4BFA0">
      <w:pPr>
        <w:autoSpaceDE w:val="0"/>
        <w:autoSpaceDN w:val="0"/>
        <w:adjustRightInd w:val="0"/>
      </w:pPr>
      <w:r>
        <w:t xml:space="preserve">Registration of </w:t>
      </w:r>
      <w:bookmarkStart w:id="5" w:name="_Hlk140501988"/>
      <w:r>
        <w:t xml:space="preserve">cosmetic product </w:t>
      </w:r>
      <w:bookmarkEnd w:id="5"/>
      <w:r>
        <w:t>establishments provide</w:t>
      </w:r>
      <w:r w:rsidR="00475AD6">
        <w:t>s</w:t>
      </w:r>
      <w:r>
        <w:t xml:space="preserve"> FDA with information about the location</w:t>
      </w:r>
      <w:r w:rsidR="00ED6588">
        <w:t xml:space="preserve"> of </w:t>
      </w:r>
      <w:r w:rsidR="451074D7">
        <w:t xml:space="preserve">each </w:t>
      </w:r>
      <w:r w:rsidR="00ED6588">
        <w:t xml:space="preserve">cosmetic product </w:t>
      </w:r>
      <w:r w:rsidR="00206567">
        <w:t>facilit</w:t>
      </w:r>
      <w:r w:rsidR="5454542A">
        <w:t>y</w:t>
      </w:r>
      <w:r w:rsidR="5F611129">
        <w:t>;</w:t>
      </w:r>
      <w:r>
        <w:t xml:space="preserve"> </w:t>
      </w:r>
      <w:r w:rsidR="00A7286A">
        <w:t xml:space="preserve">all </w:t>
      </w:r>
      <w:r w:rsidR="0087187C">
        <w:t>brand</w:t>
      </w:r>
      <w:r>
        <w:t xml:space="preserve"> names</w:t>
      </w:r>
      <w:r w:rsidR="0087187C">
        <w:t xml:space="preserve"> </w:t>
      </w:r>
      <w:r w:rsidR="003163A4">
        <w:t>under which cosmetic products manufactured or processed in the facility are sold</w:t>
      </w:r>
      <w:r w:rsidR="2EA7970D">
        <w:t xml:space="preserve">; </w:t>
      </w:r>
      <w:r w:rsidR="099F44C0">
        <w:t xml:space="preserve">cosmetic </w:t>
      </w:r>
      <w:r w:rsidR="0092568D">
        <w:t>product category or categories</w:t>
      </w:r>
      <w:r w:rsidR="097CED38">
        <w:t>;</w:t>
      </w:r>
      <w:r w:rsidR="0092568D">
        <w:t xml:space="preserve"> </w:t>
      </w:r>
      <w:r>
        <w:t xml:space="preserve">and </w:t>
      </w:r>
      <w:r w:rsidR="00ED6588">
        <w:t xml:space="preserve">the </w:t>
      </w:r>
      <w:r w:rsidR="0092568D">
        <w:t xml:space="preserve">responsible person for each </w:t>
      </w:r>
      <w:r w:rsidR="00AD6D00">
        <w:t>cosmetic product manufactured or processed at the facility</w:t>
      </w:r>
      <w:r>
        <w:t>.  We</w:t>
      </w:r>
      <w:r w:rsidR="00475AD6">
        <w:t xml:space="preserve"> will </w:t>
      </w:r>
      <w:r>
        <w:t xml:space="preserve">place registration information into a computer database and use the information </w:t>
      </w:r>
      <w:r w:rsidR="00BA2812">
        <w:t>to help verify compliance with requirements for cosmetic products</w:t>
      </w:r>
      <w:r>
        <w:t xml:space="preserve">.  We </w:t>
      </w:r>
      <w:r w:rsidR="3CC11DD3">
        <w:t xml:space="preserve">will </w:t>
      </w:r>
      <w:r>
        <w:t>also use the information for</w:t>
      </w:r>
      <w:r w:rsidR="00475AD6">
        <w:t xml:space="preserve"> </w:t>
      </w:r>
      <w:r>
        <w:t>estimating the size of the cosmetic industry, evaluating cosmetic products currently on the</w:t>
      </w:r>
      <w:r w:rsidR="00475AD6">
        <w:t xml:space="preserve"> </w:t>
      </w:r>
      <w:r>
        <w:t xml:space="preserve">market, and conducting onsite establishment inspections.  </w:t>
      </w:r>
    </w:p>
    <w:p w:rsidR="00840155" w:rsidP="00840155" w14:paraId="205A8346" w14:textId="77777777">
      <w:pPr>
        <w:autoSpaceDE w:val="0"/>
        <w:autoSpaceDN w:val="0"/>
        <w:adjustRightInd w:val="0"/>
      </w:pPr>
    </w:p>
    <w:p w:rsidR="009818A1" w:rsidP="004727BA" w14:paraId="4B6AC582" w14:textId="69DD5FC6">
      <w:pPr>
        <w:autoSpaceDE w:val="0"/>
        <w:autoSpaceDN w:val="0"/>
        <w:adjustRightInd w:val="0"/>
        <w:rPr>
          <w:rFonts w:eastAsia="Calibri"/>
          <w:b/>
          <w:bCs/>
        </w:rPr>
      </w:pPr>
      <w:r>
        <w:t>P</w:t>
      </w:r>
      <w:r w:rsidR="00840155">
        <w:t xml:space="preserve">roduct </w:t>
      </w:r>
      <w:r>
        <w:t>listings</w:t>
      </w:r>
      <w:r w:rsidR="00840155">
        <w:t xml:space="preserve"> provide FDA</w:t>
      </w:r>
      <w:r>
        <w:t xml:space="preserve"> </w:t>
      </w:r>
      <w:r w:rsidR="00840155">
        <w:t xml:space="preserve">with information about cosmetic products and </w:t>
      </w:r>
      <w:r w:rsidR="00253C29">
        <w:t>their</w:t>
      </w:r>
      <w:r w:rsidR="00840155">
        <w:t xml:space="preserve"> </w:t>
      </w:r>
      <w:r w:rsidR="0013735F">
        <w:t>ingredients</w:t>
      </w:r>
      <w:r w:rsidR="00645BA7">
        <w:t xml:space="preserve"> including frequency of</w:t>
      </w:r>
      <w:r w:rsidR="00CA7B03">
        <w:t xml:space="preserve"> </w:t>
      </w:r>
      <w:r w:rsidR="007451A5">
        <w:t>ingredient us</w:t>
      </w:r>
      <w:r w:rsidR="00ED5268">
        <w:t>e</w:t>
      </w:r>
      <w:r w:rsidR="00840155">
        <w:t xml:space="preserve">, </w:t>
      </w:r>
      <w:r w:rsidR="00EB0058">
        <w:t xml:space="preserve">as well as </w:t>
      </w:r>
      <w:r w:rsidR="006F4C08">
        <w:t xml:space="preserve">the </w:t>
      </w:r>
      <w:r w:rsidR="00840155">
        <w:t>businesses engaged in the manufacture and distribution of</w:t>
      </w:r>
      <w:r>
        <w:t xml:space="preserve"> </w:t>
      </w:r>
      <w:r w:rsidR="00840155">
        <w:t>cosmetics, and</w:t>
      </w:r>
      <w:r>
        <w:t xml:space="preserve"> </w:t>
      </w:r>
      <w:r w:rsidR="00840155">
        <w:t xml:space="preserve">approximate rates of product discontinuance. </w:t>
      </w:r>
      <w:r>
        <w:t xml:space="preserve"> </w:t>
      </w:r>
      <w:r w:rsidR="00840155">
        <w:t>The</w:t>
      </w:r>
      <w:r>
        <w:t xml:space="preserve"> </w:t>
      </w:r>
      <w:r w:rsidR="00840155">
        <w:t>information</w:t>
      </w:r>
      <w:r>
        <w:t xml:space="preserve"> </w:t>
      </w:r>
      <w:r w:rsidR="00840155">
        <w:t>assists FDA scientists in evaluating reports of alleged injuries and adverse reactions</w:t>
      </w:r>
      <w:r>
        <w:t xml:space="preserve"> </w:t>
      </w:r>
      <w:r w:rsidR="00840155">
        <w:t>from the</w:t>
      </w:r>
      <w:r>
        <w:t xml:space="preserve"> </w:t>
      </w:r>
      <w:r w:rsidR="00840155">
        <w:t xml:space="preserve">use of cosmetics. </w:t>
      </w:r>
      <w:r>
        <w:t xml:space="preserve"> </w:t>
      </w:r>
      <w:r w:rsidR="00840155">
        <w:t>The information also is used in defining and planning analytical and</w:t>
      </w:r>
      <w:r w:rsidR="004727BA">
        <w:t xml:space="preserve"> </w:t>
      </w:r>
      <w:r w:rsidR="00840155">
        <w:t>toxicological studies pertaining to cosmetics</w:t>
      </w:r>
      <w:r w:rsidRPr="6B516C8B" w:rsidR="00EC1868">
        <w:rPr>
          <w:rFonts w:eastAsia="Calibri"/>
          <w:b/>
          <w:bCs/>
        </w:rPr>
        <w:t>.</w:t>
      </w:r>
    </w:p>
    <w:p w:rsidR="6B516C8B" w:rsidP="6B516C8B" w14:paraId="06862862" w14:textId="7CB5B8B9">
      <w:pPr>
        <w:rPr>
          <w:rFonts w:eastAsia="Calibri"/>
          <w:b/>
          <w:bCs/>
        </w:rPr>
      </w:pPr>
    </w:p>
    <w:p w:rsidR="510B2CE5" w:rsidRPr="00B16851" w:rsidP="6B516C8B" w14:paraId="19443BF3" w14:textId="6CB02E75">
      <w:pPr>
        <w:rPr>
          <w:highlight w:val="cyan"/>
        </w:rPr>
      </w:pPr>
      <w:r w:rsidRPr="00DE4D81">
        <w:t xml:space="preserve">The recordkeeping requirements for adverse events related to cosmetic products are important for public health reasons.  </w:t>
      </w:r>
      <w:r w:rsidRPr="00DE4D81" w:rsidR="1EBCE9C0">
        <w:t>Records could assist with investigations into public health</w:t>
      </w:r>
      <w:r w:rsidRPr="00DE4D81" w:rsidR="18DA857E">
        <w:t xml:space="preserve"> or safety</w:t>
      </w:r>
      <w:r w:rsidRPr="00DE4D81" w:rsidR="1EBCE9C0">
        <w:t xml:space="preserve"> issues associated with cosmetic products.</w:t>
      </w:r>
      <w:r w:rsidRPr="00DE4D81" w:rsidR="5D61CEF1">
        <w:t xml:space="preserve">  Records could provide a reliable mechanism to track patterns of adulteration in </w:t>
      </w:r>
      <w:r w:rsidRPr="00DE4D81" w:rsidR="2FCE3414">
        <w:t>cosmetics</w:t>
      </w:r>
      <w:r w:rsidRPr="00DE4D81" w:rsidR="5D61CEF1">
        <w:t xml:space="preserve"> that would support efforts by FDA to target limited inspection resources to protect the public health.</w:t>
      </w:r>
    </w:p>
    <w:p w:rsidR="004727BA" w:rsidRPr="00834A66" w:rsidP="00834A66" w14:paraId="5A27E517" w14:textId="77777777">
      <w:pPr>
        <w:autoSpaceDE w:val="0"/>
        <w:autoSpaceDN w:val="0"/>
        <w:adjustRightInd w:val="0"/>
      </w:pPr>
    </w:p>
    <w:p w:rsidR="009B3538" w14:paraId="1EC5BD63" w14:textId="77777777">
      <w:pPr>
        <w:rPr>
          <w:rFonts w:eastAsia="Calibri"/>
          <w:u w:val="single"/>
        </w:rPr>
      </w:pPr>
      <w:r>
        <w:rPr>
          <w:rFonts w:eastAsia="Calibri"/>
          <w:u w:val="single"/>
        </w:rPr>
        <w:br w:type="page"/>
      </w:r>
    </w:p>
    <w:p w:rsidR="00357C8A" w:rsidRPr="00357C8A" w:rsidP="006705EA" w14:paraId="761E5CA4" w14:textId="647CB201">
      <w:pPr>
        <w:numPr>
          <w:ilvl w:val="0"/>
          <w:numId w:val="7"/>
        </w:numPr>
        <w:spacing w:after="200" w:line="276" w:lineRule="auto"/>
        <w:rPr>
          <w:rFonts w:eastAsia="Calibri"/>
          <w:u w:val="single"/>
        </w:rPr>
      </w:pPr>
      <w:r w:rsidRPr="00357C8A">
        <w:rPr>
          <w:rFonts w:eastAsia="Calibri"/>
          <w:u w:val="single"/>
        </w:rPr>
        <w:t>Use of Improved Information Technology and Burden Reduction</w:t>
      </w:r>
    </w:p>
    <w:p w:rsidR="00535D68" w:rsidP="00535D68" w14:paraId="05D4EF4D" w14:textId="77777777">
      <w:pPr>
        <w:autoSpaceDE w:val="0"/>
        <w:autoSpaceDN w:val="0"/>
        <w:adjustRightInd w:val="0"/>
        <w:rPr>
          <w:i/>
          <w:iCs/>
        </w:rPr>
      </w:pPr>
      <w:r>
        <w:rPr>
          <w:i/>
          <w:iCs/>
        </w:rPr>
        <w:t>Labeling</w:t>
      </w:r>
    </w:p>
    <w:p w:rsidR="00535D68" w:rsidP="00535D68" w14:paraId="54ED09DB" w14:textId="77777777">
      <w:pPr>
        <w:autoSpaceDE w:val="0"/>
        <w:autoSpaceDN w:val="0"/>
        <w:adjustRightInd w:val="0"/>
      </w:pPr>
    </w:p>
    <w:p w:rsidR="00535D68" w:rsidP="00535D68" w14:paraId="249FE8D5" w14:textId="77777777">
      <w:pPr>
        <w:autoSpaceDE w:val="0"/>
        <w:autoSpaceDN w:val="0"/>
        <w:adjustRightInd w:val="0"/>
      </w:pPr>
      <w:r>
        <w:t>Cosmetic product manufacturers, packers, and distributors may use any available information technology to develop their product labels.  However, there is currently no information technology that establishments can use as a substitute for conventional product labels to deliver the necessary information to consumers.</w:t>
      </w:r>
    </w:p>
    <w:p w:rsidR="00535D68" w:rsidP="00535D68" w14:paraId="25B3F7CA" w14:textId="77777777">
      <w:pPr>
        <w:autoSpaceDE w:val="0"/>
        <w:autoSpaceDN w:val="0"/>
        <w:adjustRightInd w:val="0"/>
      </w:pPr>
    </w:p>
    <w:p w:rsidR="00535D68" w:rsidP="00535D68" w14:paraId="0435D402" w14:textId="77777777">
      <w:pPr>
        <w:autoSpaceDE w:val="0"/>
        <w:autoSpaceDN w:val="0"/>
        <w:adjustRightInd w:val="0"/>
        <w:rPr>
          <w:i/>
          <w:iCs/>
        </w:rPr>
      </w:pPr>
      <w:r>
        <w:rPr>
          <w:i/>
          <w:iCs/>
        </w:rPr>
        <w:t>Registration and Product Listings</w:t>
      </w:r>
    </w:p>
    <w:p w:rsidR="00535D68" w:rsidP="00535D68" w14:paraId="2012F91D" w14:textId="77777777">
      <w:pPr>
        <w:autoSpaceDE w:val="0"/>
        <w:autoSpaceDN w:val="0"/>
        <w:adjustRightInd w:val="0"/>
      </w:pPr>
    </w:p>
    <w:p w:rsidR="00A32509" w:rsidP="00E13A1E" w14:paraId="2ACE6914" w14:textId="5F91AB46">
      <w:pPr>
        <w:autoSpaceDE w:val="0"/>
        <w:autoSpaceDN w:val="0"/>
        <w:adjustRightInd w:val="0"/>
      </w:pPr>
      <w:r>
        <w:t xml:space="preserve">We have developed an option for electronic submission of registrations and product listings consistent with provisions in MoCRA.  Draft screenshots of the paper </w:t>
      </w:r>
      <w:r w:rsidR="00480982">
        <w:t xml:space="preserve">forms </w:t>
      </w:r>
      <w:r>
        <w:t xml:space="preserve">and electronic </w:t>
      </w:r>
      <w:r w:rsidR="00480982">
        <w:t>system for submission</w:t>
      </w:r>
      <w:r w:rsidR="00D066ED">
        <w:t xml:space="preserve"> </w:t>
      </w:r>
      <w:r>
        <w:t xml:space="preserve">are available for viewing at </w:t>
      </w:r>
      <w:hyperlink r:id="rId5" w:history="1">
        <w:r w:rsidRPr="005A6ACB" w:rsidR="004A17D6">
          <w:rPr>
            <w:rStyle w:val="Hyperlink"/>
          </w:rPr>
          <w:t>https://www.fda.gov/cosmetics/registration-listing-cosmetic-product-facilities-and-products</w:t>
        </w:r>
      </w:hyperlink>
      <w:r>
        <w:t xml:space="preserve">. </w:t>
      </w:r>
      <w:r w:rsidR="00E13A1E">
        <w:t xml:space="preserve"> We strongly encourage use of the electronic </w:t>
      </w:r>
      <w:r w:rsidR="00D066ED">
        <w:t xml:space="preserve">system for submission </w:t>
      </w:r>
      <w:r w:rsidR="00E13A1E">
        <w:t xml:space="preserve">because we believe it will </w:t>
      </w:r>
      <w:r w:rsidR="00187D47">
        <w:t>improve</w:t>
      </w:r>
      <w:r w:rsidR="00E13A1E">
        <w:t xml:space="preserve"> </w:t>
      </w:r>
      <w:r w:rsidR="007367B5">
        <w:t>agency</w:t>
      </w:r>
      <w:r w:rsidR="00E13A1E">
        <w:t xml:space="preserve"> efficien</w:t>
      </w:r>
      <w:r w:rsidR="007367B5">
        <w:t>c</w:t>
      </w:r>
      <w:r w:rsidR="00E13A1E">
        <w:t>y</w:t>
      </w:r>
      <w:r w:rsidR="00187D47">
        <w:t xml:space="preserve"> and responsiveness to the public</w:t>
      </w:r>
      <w:r>
        <w:t xml:space="preserve">.   </w:t>
      </w:r>
    </w:p>
    <w:p w:rsidR="6B516C8B" w:rsidP="6B516C8B" w14:paraId="551FDE93" w14:textId="4AC7B2A4"/>
    <w:p w:rsidR="1B69A153" w:rsidRPr="00DE4D81" w:rsidP="0D5EF007" w14:paraId="248ABCB2" w14:textId="03469073">
      <w:pPr>
        <w:rPr>
          <w:i/>
          <w:iCs/>
        </w:rPr>
      </w:pPr>
      <w:r w:rsidRPr="00DE4D81">
        <w:rPr>
          <w:i/>
          <w:iCs/>
        </w:rPr>
        <w:t>Recordkeeping for Adverse Event Reporting</w:t>
      </w:r>
    </w:p>
    <w:p w:rsidR="6B516C8B" w:rsidRPr="00DE4D81" w:rsidP="6B516C8B" w14:paraId="4E533975" w14:textId="3DE8869C"/>
    <w:p w:rsidR="001F384B" w:rsidRPr="00B16851" w:rsidP="6B516C8B" w14:paraId="5F11FF02" w14:textId="536C7CEE">
      <w:pPr>
        <w:rPr>
          <w:highlight w:val="cyan"/>
        </w:rPr>
      </w:pPr>
      <w:r w:rsidRPr="00DE4D81">
        <w:t>The information collection does not specifically prescribe the use of automated, electronic, mechanical, or other technological techniques or other forms of information technology as necessary for use by firms.  Respondents may use whatever forms of information technology for retaining the appropriate records and making them available to regulatory officials</w:t>
      </w:r>
      <w:r w:rsidRPr="00DE4D81" w:rsidR="00E73925">
        <w:t xml:space="preserve"> upon request or as mandate</w:t>
      </w:r>
      <w:r w:rsidRPr="00DE4D81" w:rsidR="000E610E">
        <w:t>d by MoCRA for submission of serious adverse events to FDA</w:t>
      </w:r>
      <w:r w:rsidRPr="00DE4D81">
        <w:t xml:space="preserve">. </w:t>
      </w:r>
      <w:r w:rsidRPr="00B16851">
        <w:rPr>
          <w:highlight w:val="cyan"/>
        </w:rPr>
        <w:t xml:space="preserve"> </w:t>
      </w:r>
    </w:p>
    <w:p w:rsidR="00E13A1E" w:rsidP="00E13A1E" w14:paraId="74F405E2" w14:textId="77777777">
      <w:pPr>
        <w:autoSpaceDE w:val="0"/>
        <w:autoSpaceDN w:val="0"/>
        <w:adjustRightInd w:val="0"/>
      </w:pPr>
    </w:p>
    <w:p w:rsidR="003A1A6F" w:rsidP="00B16851" w14:paraId="628D34B5" w14:textId="06858028">
      <w:pPr>
        <w:autoSpaceDE w:val="0"/>
        <w:autoSpaceDN w:val="0"/>
        <w:adjustRightInd w:val="0"/>
      </w:pPr>
      <w:r>
        <w:t xml:space="preserve">We estimate that approximately </w:t>
      </w:r>
      <w:r w:rsidR="5267D804">
        <w:t>ninety-five</w:t>
      </w:r>
      <w:r w:rsidR="006624E1">
        <w:t xml:space="preserve"> percent</w:t>
      </w:r>
      <w:r w:rsidR="5267D804">
        <w:t xml:space="preserve"> (</w:t>
      </w:r>
      <w:r>
        <w:t>95%</w:t>
      </w:r>
      <w:r w:rsidR="07D92511">
        <w:t>)</w:t>
      </w:r>
      <w:r>
        <w:t xml:space="preserve"> of respondents will use information technology to</w:t>
      </w:r>
      <w:r w:rsidR="0061764E">
        <w:t xml:space="preserve"> </w:t>
      </w:r>
      <w:r w:rsidR="16BDDF7A">
        <w:t>accomplish their information collection needs.</w:t>
      </w:r>
    </w:p>
    <w:p w:rsidR="00893CBC" w:rsidRPr="00357C8A" w:rsidP="00B16851" w14:paraId="614CBE26" w14:textId="77777777">
      <w:pPr>
        <w:autoSpaceDE w:val="0"/>
        <w:autoSpaceDN w:val="0"/>
        <w:adjustRightInd w:val="0"/>
        <w:rPr>
          <w:rFonts w:eastAsia="Calibri"/>
          <w:color w:val="FF0000"/>
        </w:rPr>
      </w:pPr>
    </w:p>
    <w:p w:rsidR="00357C8A" w:rsidRPr="00357C8A" w:rsidP="006705EA" w14:paraId="381D9A77" w14:textId="77777777">
      <w:pPr>
        <w:numPr>
          <w:ilvl w:val="0"/>
          <w:numId w:val="7"/>
        </w:numPr>
        <w:spacing w:after="200" w:line="276" w:lineRule="auto"/>
        <w:rPr>
          <w:rFonts w:eastAsia="Calibri"/>
        </w:rPr>
      </w:pPr>
      <w:r w:rsidRPr="00357C8A">
        <w:rPr>
          <w:rFonts w:eastAsia="Calibri"/>
          <w:u w:val="single"/>
        </w:rPr>
        <w:t xml:space="preserve">Efforts to Identify Duplication and Use of Similar Information </w:t>
      </w:r>
    </w:p>
    <w:p w:rsidR="000C1260" w:rsidRPr="0053380B" w:rsidP="0053380B" w14:paraId="51EB6F0C" w14:textId="434AC7E2">
      <w:pPr>
        <w:spacing w:after="200"/>
        <w:rPr>
          <w:rFonts w:eastAsia="Calibri"/>
          <w:color w:val="FF0000"/>
        </w:rPr>
      </w:pPr>
      <w:r w:rsidRPr="005C71CA">
        <w:t>We are unaware of duplicative information collection.</w:t>
      </w:r>
    </w:p>
    <w:p w:rsidR="00357C8A" w:rsidRPr="00357C8A" w:rsidP="006705EA" w14:paraId="50100BB4" w14:textId="0464D5C4">
      <w:pPr>
        <w:numPr>
          <w:ilvl w:val="0"/>
          <w:numId w:val="7"/>
        </w:numPr>
        <w:spacing w:after="200" w:line="276" w:lineRule="auto"/>
        <w:rPr>
          <w:rFonts w:eastAsia="Calibri"/>
        </w:rPr>
      </w:pPr>
      <w:r w:rsidRPr="00357C8A">
        <w:rPr>
          <w:rFonts w:eastAsia="Calibri"/>
          <w:u w:val="single"/>
        </w:rPr>
        <w:t>Impact on Small Businesses or Other Small Entities</w:t>
      </w:r>
    </w:p>
    <w:p w:rsidR="6AFC08B1" w:rsidP="45931251" w14:paraId="2FC10751" w14:textId="54E6E24C">
      <w:pPr>
        <w:rPr>
          <w:color w:val="000000"/>
        </w:rPr>
      </w:pPr>
      <w:r>
        <w:rPr>
          <w:color w:val="000000"/>
        </w:rPr>
        <w:t xml:space="preserve">We estimate that approximately </w:t>
      </w:r>
      <w:r w:rsidR="006624E1">
        <w:rPr>
          <w:color w:val="000000"/>
        </w:rPr>
        <w:t>eighty percent (</w:t>
      </w:r>
      <w:r>
        <w:rPr>
          <w:color w:val="000000"/>
        </w:rPr>
        <w:t>80%</w:t>
      </w:r>
      <w:r w:rsidR="006624E1">
        <w:rPr>
          <w:color w:val="000000"/>
        </w:rPr>
        <w:t>)</w:t>
      </w:r>
      <w:r>
        <w:rPr>
          <w:color w:val="000000"/>
        </w:rPr>
        <w:t xml:space="preserve"> of the establishments that will be affected</w:t>
      </w:r>
      <w:r w:rsidR="34F8ABA5">
        <w:rPr>
          <w:color w:val="000000"/>
        </w:rPr>
        <w:t xml:space="preserve"> by</w:t>
      </w:r>
      <w:r>
        <w:rPr>
          <w:color w:val="000000"/>
        </w:rPr>
        <w:t xml:space="preserve"> this information collection request probably qualify as a small business with sales under $5,000,000 per year.</w:t>
      </w:r>
      <w:r w:rsidR="5A69B8F9">
        <w:rPr>
          <w:color w:val="000000"/>
        </w:rPr>
        <w:t xml:space="preserve">  </w:t>
      </w:r>
      <w:r w:rsidR="78E4F249">
        <w:rPr>
          <w:color w:val="000000"/>
        </w:rPr>
        <w:t xml:space="preserve">Certain small businesses, as defined in section 612 of the FD&amp;C Act are </w:t>
      </w:r>
      <w:r w:rsidR="5B5438F9">
        <w:rPr>
          <w:color w:val="000000"/>
        </w:rPr>
        <w:t xml:space="preserve">exempt from registration and listing requirements.  </w:t>
      </w:r>
      <w:r w:rsidR="1B08EEBC">
        <w:rPr>
          <w:color w:val="000000"/>
        </w:rPr>
        <w:t>Re</w:t>
      </w:r>
      <w:r w:rsidR="70313A09">
        <w:rPr>
          <w:color w:val="000000"/>
        </w:rPr>
        <w:t>sponsible persons, and owners and operators of facilities, whose av</w:t>
      </w:r>
      <w:r w:rsidR="042CB90A">
        <w:rPr>
          <w:color w:val="000000"/>
        </w:rPr>
        <w:t>erage</w:t>
      </w:r>
      <w:r w:rsidR="70313A09">
        <w:rPr>
          <w:color w:val="000000"/>
        </w:rPr>
        <w:t xml:space="preserve"> gross annual sales in the United States of cosmetic products for the previous 3-year period is less th</w:t>
      </w:r>
      <w:r w:rsidR="67BC826A">
        <w:rPr>
          <w:color w:val="000000"/>
        </w:rPr>
        <w:t>an $1,000,000, adjusted for inflation</w:t>
      </w:r>
      <w:r w:rsidR="00E077A1">
        <w:rPr>
          <w:color w:val="000000"/>
        </w:rPr>
        <w:t>,</w:t>
      </w:r>
      <w:r w:rsidR="6BB53457">
        <w:rPr>
          <w:color w:val="000000"/>
        </w:rPr>
        <w:t xml:space="preserve"> are exempt from registration and listing requirements</w:t>
      </w:r>
      <w:r w:rsidR="465E79F1">
        <w:rPr>
          <w:color w:val="000000"/>
        </w:rPr>
        <w:t xml:space="preserve"> unless they </w:t>
      </w:r>
      <w:r w:rsidR="4B8E309B">
        <w:rPr>
          <w:color w:val="000000"/>
        </w:rPr>
        <w:t>manufacture</w:t>
      </w:r>
      <w:r w:rsidR="006057CA">
        <w:rPr>
          <w:color w:val="000000"/>
        </w:rPr>
        <w:t>,</w:t>
      </w:r>
      <w:r w:rsidR="465E79F1">
        <w:rPr>
          <w:color w:val="000000"/>
        </w:rPr>
        <w:t xml:space="preserve"> or process</w:t>
      </w:r>
      <w:r w:rsidR="7B5A6DEB">
        <w:rPr>
          <w:color w:val="000000"/>
        </w:rPr>
        <w:t xml:space="preserve"> certain products specified in</w:t>
      </w:r>
      <w:r w:rsidR="00655EDA">
        <w:rPr>
          <w:color w:val="000000"/>
        </w:rPr>
        <w:t xml:space="preserve"> </w:t>
      </w:r>
      <w:r w:rsidR="7B5A6DEB">
        <w:rPr>
          <w:color w:val="000000"/>
        </w:rPr>
        <w:t>MoCRA.</w:t>
      </w:r>
    </w:p>
    <w:p w:rsidR="0010653C" w:rsidP="0010653C" w14:paraId="4F5707E9" w14:textId="77777777">
      <w:pPr>
        <w:autoSpaceDE w:val="0"/>
        <w:autoSpaceDN w:val="0"/>
        <w:adjustRightInd w:val="0"/>
        <w:rPr>
          <w:color w:val="000000"/>
        </w:rPr>
      </w:pPr>
    </w:p>
    <w:p w:rsidR="0010653C" w:rsidP="0010653C" w14:paraId="58D753AE" w14:textId="77777777">
      <w:pPr>
        <w:autoSpaceDE w:val="0"/>
        <w:autoSpaceDN w:val="0"/>
        <w:adjustRightInd w:val="0"/>
        <w:rPr>
          <w:color w:val="000000"/>
        </w:rPr>
      </w:pPr>
      <w:r>
        <w:rPr>
          <w:color w:val="000000"/>
        </w:rPr>
        <w:t>We set requirements to the minimum requirements that</w:t>
      </w:r>
      <w:r w:rsidR="00992DB2">
        <w:rPr>
          <w:color w:val="000000"/>
        </w:rPr>
        <w:t xml:space="preserve"> </w:t>
      </w:r>
      <w:r>
        <w:rPr>
          <w:color w:val="000000"/>
        </w:rPr>
        <w:t xml:space="preserve">comply with the appropriate provisions of the FD&amp;C Act, </w:t>
      </w:r>
      <w:bookmarkStart w:id="6" w:name="_Hlk140677064"/>
      <w:r>
        <w:rPr>
          <w:color w:val="000000"/>
        </w:rPr>
        <w:t>includ</w:t>
      </w:r>
      <w:r w:rsidR="006D212B">
        <w:rPr>
          <w:color w:val="000000"/>
        </w:rPr>
        <w:t>ing</w:t>
      </w:r>
      <w:r>
        <w:rPr>
          <w:color w:val="000000"/>
        </w:rPr>
        <w:t xml:space="preserve"> MoCRA,</w:t>
      </w:r>
      <w:bookmarkEnd w:id="6"/>
      <w:r>
        <w:rPr>
          <w:color w:val="000000"/>
        </w:rPr>
        <w:t xml:space="preserve"> and the FPLA.  In most cases, the information that FDA requires establishments, including small businesses, to disclose is</w:t>
      </w:r>
      <w:r w:rsidR="00992DB2">
        <w:rPr>
          <w:color w:val="000000"/>
        </w:rPr>
        <w:t xml:space="preserve"> </w:t>
      </w:r>
      <w:r>
        <w:rPr>
          <w:color w:val="000000"/>
        </w:rPr>
        <w:t>information that is available to those establishments in the normal course of doing business.</w:t>
      </w:r>
    </w:p>
    <w:p w:rsidR="0010653C" w:rsidP="0010653C" w14:paraId="57B2127A" w14:textId="77777777">
      <w:pPr>
        <w:autoSpaceDE w:val="0"/>
        <w:autoSpaceDN w:val="0"/>
        <w:adjustRightInd w:val="0"/>
        <w:rPr>
          <w:color w:val="000000"/>
        </w:rPr>
      </w:pPr>
    </w:p>
    <w:p w:rsidR="00357C8A" w:rsidRPr="00357C8A" w:rsidP="00357C8A" w14:paraId="54603460" w14:textId="5C95239A">
      <w:pPr>
        <w:spacing w:after="200"/>
        <w:rPr>
          <w:rFonts w:eastAsia="Calibri"/>
        </w:rPr>
      </w:pPr>
      <w:r>
        <w:rPr>
          <w:color w:val="000000"/>
        </w:rPr>
        <w:t>We aid small businesses in complying with</w:t>
      </w:r>
      <w:r w:rsidR="00992DB2">
        <w:rPr>
          <w:color w:val="000000"/>
        </w:rPr>
        <w:t xml:space="preserve"> </w:t>
      </w:r>
      <w:r>
        <w:rPr>
          <w:color w:val="000000"/>
        </w:rPr>
        <w:t>its requirements through the agency’s Regional Small Business Representatives and through</w:t>
      </w:r>
      <w:r w:rsidR="00992DB2">
        <w:rPr>
          <w:color w:val="000000"/>
        </w:rPr>
        <w:t xml:space="preserve"> </w:t>
      </w:r>
      <w:r>
        <w:rPr>
          <w:color w:val="000000"/>
        </w:rPr>
        <w:t xml:space="preserve">the administrative and scientific staffs within the agency. We </w:t>
      </w:r>
      <w:r w:rsidR="00992DB2">
        <w:rPr>
          <w:color w:val="000000"/>
        </w:rPr>
        <w:t>also</w:t>
      </w:r>
      <w:r>
        <w:rPr>
          <w:color w:val="000000"/>
        </w:rPr>
        <w:t xml:space="preserve"> </w:t>
      </w:r>
      <w:r w:rsidR="00DD2B21">
        <w:rPr>
          <w:color w:val="000000"/>
        </w:rPr>
        <w:t>help</w:t>
      </w:r>
      <w:r w:rsidR="00992DB2">
        <w:rPr>
          <w:color w:val="000000"/>
        </w:rPr>
        <w:t xml:space="preserve"> via our </w:t>
      </w:r>
      <w:r w:rsidRPr="00992DB2" w:rsidR="00992DB2">
        <w:rPr>
          <w:color w:val="000000"/>
        </w:rPr>
        <w:t>Small Business Assistance webpage at</w:t>
      </w:r>
      <w:r w:rsidR="00834A66">
        <w:rPr>
          <w:color w:val="000000"/>
        </w:rPr>
        <w:t xml:space="preserve"> </w:t>
      </w:r>
      <w:hyperlink r:id="rId7" w:history="1">
        <w:r w:rsidRPr="00834A66" w:rsidR="00992DB2">
          <w:rPr>
            <w:rStyle w:val="Hyperlink"/>
          </w:rPr>
          <w:t>https://www.fda.gov/industry/small-business</w:t>
        </w:r>
        <w:r w:rsidRPr="00992DB2" w:rsidR="00992DB2">
          <w:rPr>
            <w:rStyle w:val="Hyperlink"/>
          </w:rPr>
          <w:t>-</w:t>
        </w:r>
        <w:r w:rsidRPr="00834A66" w:rsidR="00992DB2">
          <w:rPr>
            <w:rStyle w:val="Hyperlink"/>
          </w:rPr>
          <w:t>assistance</w:t>
        </w:r>
      </w:hyperlink>
      <w:r w:rsidRPr="00834A66" w:rsidR="00FC11CA">
        <w:rPr>
          <w:rFonts w:eastAsia="Calibri"/>
        </w:rPr>
        <w:t>.</w:t>
      </w:r>
    </w:p>
    <w:p w:rsidR="00357C8A" w:rsidRPr="00357C8A" w:rsidP="006705EA" w14:paraId="09C63399" w14:textId="77777777">
      <w:pPr>
        <w:numPr>
          <w:ilvl w:val="0"/>
          <w:numId w:val="7"/>
        </w:numPr>
        <w:spacing w:after="200" w:line="276" w:lineRule="auto"/>
        <w:rPr>
          <w:rFonts w:eastAsia="Calibri"/>
          <w:u w:val="single"/>
        </w:rPr>
      </w:pPr>
      <w:r w:rsidRPr="00357C8A">
        <w:rPr>
          <w:rFonts w:eastAsia="Calibri"/>
          <w:u w:val="single"/>
        </w:rPr>
        <w:t>Consequences of Collecting the Information Less Frequently</w:t>
      </w:r>
    </w:p>
    <w:p w:rsidR="006D212B" w:rsidP="00593569" w14:paraId="593D4DC8" w14:textId="0CAE9B70">
      <w:pPr>
        <w:autoSpaceDE w:val="0"/>
        <w:autoSpaceDN w:val="0"/>
        <w:adjustRightInd w:val="0"/>
        <w:rPr>
          <w:rFonts w:eastAsia="Calibri"/>
        </w:rPr>
      </w:pPr>
      <w:r>
        <w:t>The information collection schedule is consistent with applicable statutory and regulatory authorities.  There are no legal obstacles to reducing the burden.</w:t>
      </w:r>
    </w:p>
    <w:p w:rsidR="006D212B" w:rsidRPr="00834A66" w:rsidP="00834A66" w14:paraId="1FDDC85A" w14:textId="77777777">
      <w:pPr>
        <w:autoSpaceDE w:val="0"/>
        <w:autoSpaceDN w:val="0"/>
        <w:adjustRightInd w:val="0"/>
      </w:pPr>
    </w:p>
    <w:p w:rsidR="00357C8A" w:rsidRPr="00357C8A" w:rsidP="006705EA" w14:paraId="5169B72E" w14:textId="77777777">
      <w:pPr>
        <w:numPr>
          <w:ilvl w:val="0"/>
          <w:numId w:val="7"/>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5FA54490" w14:textId="6B93FB6E">
      <w:pPr>
        <w:spacing w:after="200"/>
        <w:rPr>
          <w:rFonts w:eastAsia="Calibri"/>
        </w:rPr>
      </w:pPr>
      <w:r w:rsidRPr="5C537166">
        <w:rPr>
          <w:rFonts w:eastAsia="Calibri"/>
        </w:rPr>
        <w:t>There are no special circumstances associated with this collection of information.</w:t>
      </w:r>
    </w:p>
    <w:p w:rsidR="00357C8A" w:rsidRPr="00DE4D81" w:rsidP="006705EA" w14:paraId="624434E2" w14:textId="77777777">
      <w:pPr>
        <w:numPr>
          <w:ilvl w:val="0"/>
          <w:numId w:val="7"/>
        </w:numPr>
        <w:spacing w:after="200" w:line="276" w:lineRule="auto"/>
        <w:rPr>
          <w:rFonts w:eastAsia="Calibri"/>
        </w:rPr>
      </w:pPr>
      <w:r w:rsidRPr="00DE4D81">
        <w:rPr>
          <w:rFonts w:eastAsia="Calibri"/>
          <w:u w:val="single"/>
        </w:rPr>
        <w:t>Comments in Response to the Federal Register Notice and Efforts to Consult Outside the Agency</w:t>
      </w:r>
    </w:p>
    <w:p w:rsidR="00E145BB" w:rsidP="002F7EC9" w14:paraId="50FBC09A" w14:textId="77777777">
      <w:pPr>
        <w:contextualSpacing/>
      </w:pPr>
      <w:r w:rsidRPr="005F30C2">
        <w:t xml:space="preserve">In the </w:t>
      </w:r>
      <w:r w:rsidRPr="005F30C2">
        <w:rPr>
          <w:i/>
        </w:rPr>
        <w:t>Federal Register</w:t>
      </w:r>
      <w:r w:rsidRPr="005F30C2">
        <w:t xml:space="preserve"> of </w:t>
      </w:r>
      <w:r w:rsidRPr="00491BF1">
        <w:t>May 1, 2023 (88 FR 26564)</w:t>
      </w:r>
      <w:r w:rsidRPr="005F30C2">
        <w:t xml:space="preserve">, </w:t>
      </w:r>
      <w:r>
        <w:t xml:space="preserve">we </w:t>
      </w:r>
      <w:r w:rsidRPr="005F30C2">
        <w:t>published a 60-day notice requesting public comment on the proposed collection of information</w:t>
      </w:r>
      <w:r>
        <w:t xml:space="preserve">.  Several comments were received, however those not pertaining to the PRA topics solicited in the notice </w:t>
      </w:r>
      <w:r>
        <w:t xml:space="preserve">were </w:t>
      </w:r>
      <w:r>
        <w:t xml:space="preserve">not addressed.  </w:t>
      </w:r>
    </w:p>
    <w:p w:rsidR="00E145BB" w:rsidP="002F7EC9" w14:paraId="7DA7B702" w14:textId="77777777">
      <w:pPr>
        <w:contextualSpacing/>
      </w:pPr>
    </w:p>
    <w:p w:rsidR="002F7EC9" w:rsidP="00E145BB" w14:paraId="296D62E8" w14:textId="6518A611">
      <w:pPr>
        <w:pStyle w:val="ListParagraph"/>
        <w:numPr>
          <w:ilvl w:val="0"/>
          <w:numId w:val="12"/>
        </w:numPr>
        <w:contextualSpacing/>
      </w:pPr>
      <w:r>
        <w:t xml:space="preserve">Comments pertaining to </w:t>
      </w:r>
      <w:r w:rsidRPr="00692CD7">
        <w:t>the necessity and practical utility of the information being collected included concerns</w:t>
      </w:r>
      <w:r w:rsidRPr="00E145BB">
        <w:rPr>
          <w:i/>
          <w:iCs/>
        </w:rPr>
        <w:t xml:space="preserve"> </w:t>
      </w:r>
      <w:r w:rsidRPr="00161098">
        <w:t>with protecting privacy and confidential commercial information.  One comment expressed concern for the disclosure of a person’s residential address</w:t>
      </w:r>
      <w:r>
        <w:t xml:space="preserve"> while another </w:t>
      </w:r>
      <w:r w:rsidRPr="00161098">
        <w:t>suggested that a contract manufacturer would not be able to comply with the facility registration provisions without disclosing the brands it is manufacturing.</w:t>
      </w:r>
    </w:p>
    <w:p w:rsidR="002F7EC9" w:rsidP="002F7EC9" w14:paraId="70D4A88A" w14:textId="77777777">
      <w:pPr>
        <w:contextualSpacing/>
      </w:pPr>
    </w:p>
    <w:p w:rsidR="002F7EC9" w:rsidP="00E145BB" w14:paraId="4153BEDB" w14:textId="77777777">
      <w:pPr>
        <w:pStyle w:val="ListParagraph"/>
        <w:numPr>
          <w:ilvl w:val="0"/>
          <w:numId w:val="12"/>
        </w:numPr>
        <w:contextualSpacing/>
      </w:pPr>
      <w:r>
        <w:t xml:space="preserve">Comments pertaining to the </w:t>
      </w:r>
      <w:r w:rsidRPr="00692CD7">
        <w:t xml:space="preserve">accuracy of our </w:t>
      </w:r>
      <w:r>
        <w:t xml:space="preserve">burden </w:t>
      </w:r>
      <w:r w:rsidRPr="00692CD7">
        <w:t>estimates question</w:t>
      </w:r>
      <w:r>
        <w:t xml:space="preserve">ed </w:t>
      </w:r>
      <w:r w:rsidRPr="00692CD7">
        <w:t xml:space="preserve">whether </w:t>
      </w:r>
      <w:r>
        <w:t xml:space="preserve">FDA </w:t>
      </w:r>
      <w:r w:rsidRPr="00692CD7">
        <w:t>assume</w:t>
      </w:r>
      <w:r>
        <w:t>s</w:t>
      </w:r>
      <w:r w:rsidRPr="00692CD7">
        <w:t xml:space="preserve"> manufactures </w:t>
      </w:r>
      <w:r>
        <w:t xml:space="preserve">will </w:t>
      </w:r>
      <w:r w:rsidRPr="00692CD7">
        <w:t>need</w:t>
      </w:r>
      <w:r w:rsidRPr="00161098">
        <w:t xml:space="preserve"> to change their label due to new labeling requirements</w:t>
      </w:r>
      <w:r>
        <w:t xml:space="preserve">, whether our listing figures reflect only </w:t>
      </w:r>
      <w:r w:rsidRPr="00161098">
        <w:t>products in the U.S. market</w:t>
      </w:r>
      <w:r>
        <w:t xml:space="preserve"> or th</w:t>
      </w:r>
      <w:r w:rsidRPr="00161098">
        <w:t>e number of products each manufacturer makes</w:t>
      </w:r>
      <w:r>
        <w:t xml:space="preserve">, and another </w:t>
      </w:r>
      <w:r w:rsidRPr="00161098">
        <w:t>comment suggested that submissions for registration and product listing will take more time than FDA estimated based on its experience with VCRP.</w:t>
      </w:r>
    </w:p>
    <w:p w:rsidR="002F7EC9" w:rsidP="002F7EC9" w14:paraId="23F89243" w14:textId="77777777">
      <w:pPr>
        <w:contextualSpacing/>
      </w:pPr>
    </w:p>
    <w:p w:rsidR="002F7EC9" w:rsidP="00E145BB" w14:paraId="2DB85602" w14:textId="77777777">
      <w:pPr>
        <w:pStyle w:val="ListParagraph"/>
        <w:numPr>
          <w:ilvl w:val="0"/>
          <w:numId w:val="12"/>
        </w:numPr>
        <w:contextualSpacing/>
      </w:pPr>
      <w:r w:rsidRPr="00F3408D">
        <w:t>Comments regarding ways to enhance the quality, utility, and clarity of the information to be collected</w:t>
      </w:r>
      <w:r>
        <w:t xml:space="preserve"> </w:t>
      </w:r>
      <w:r w:rsidRPr="00161098">
        <w:t>suggested that registration under MoCRA should mirror FDA’s Food Facility Registration program, including aligning the biennial registration schedule between the programs.</w:t>
      </w:r>
      <w:r>
        <w:t xml:space="preserve">  Finally, c</w:t>
      </w:r>
      <w:r w:rsidRPr="00F3408D">
        <w:t>omments regarding ways to minimize the burden of the collection of information on respondents</w:t>
      </w:r>
      <w:r>
        <w:t xml:space="preserve"> </w:t>
      </w:r>
      <w:r w:rsidRPr="00161098">
        <w:t xml:space="preserve">requested that FDA extend the deadline for manufacturers to comply with </w:t>
      </w:r>
      <w:r>
        <w:t xml:space="preserve">the newly mandated </w:t>
      </w:r>
      <w:r w:rsidRPr="00161098">
        <w:t xml:space="preserve">labeling, registration, and product listing requirements.  </w:t>
      </w:r>
      <w:r>
        <w:t xml:space="preserve">Other comments sought </w:t>
      </w:r>
      <w:r w:rsidRPr="00161098">
        <w:t>more information about the electronic system and forms for registration and product listing including whether there is a fee.</w:t>
      </w:r>
    </w:p>
    <w:p w:rsidR="002F7EC9" w:rsidP="002F7EC9" w14:paraId="0A4B1A67" w14:textId="77777777">
      <w:pPr>
        <w:contextualSpacing/>
      </w:pPr>
    </w:p>
    <w:p w:rsidR="002F7EC9" w:rsidP="002F7EC9" w14:paraId="6748550D" w14:textId="6847DB4D">
      <w:pPr>
        <w:contextualSpacing/>
      </w:pPr>
      <w:r>
        <w:t>While we increased</w:t>
      </w:r>
      <w:r w:rsidR="004F1219">
        <w:t xml:space="preserve"> the</w:t>
      </w:r>
      <w:r>
        <w:t xml:space="preserve"> burden we attribute to product listing reporting activities in </w:t>
      </w:r>
      <w:r w:rsidRPr="00856C03">
        <w:t xml:space="preserve">response to these public comments, </w:t>
      </w:r>
      <w:r>
        <w:t xml:space="preserve">we </w:t>
      </w:r>
      <w:r w:rsidR="0048224A">
        <w:t xml:space="preserve">communicated in our 30-day notice of September 18, 2023 (88 FR </w:t>
      </w:r>
      <w:r w:rsidR="00AE5ECB">
        <w:t>63960)</w:t>
      </w:r>
      <w:r w:rsidR="0048224A">
        <w:t xml:space="preserve"> that we </w:t>
      </w:r>
      <w:r>
        <w:t xml:space="preserve">intend to refrain from making further modifications to our burden estimates until </w:t>
      </w:r>
      <w:r>
        <w:t xml:space="preserve">we have more experience with implementation of the new mandatory requirements.  </w:t>
      </w:r>
      <w:r w:rsidR="0036634A">
        <w:t xml:space="preserve">We also communicated that </w:t>
      </w:r>
      <w:r>
        <w:t>Privacy and trade-secret, commercial confidential information is governed by the Privacy Act of 1974 and Part 20 of our regulations (21 CFR part 20)</w:t>
      </w:r>
      <w:r w:rsidR="0036634A">
        <w:t xml:space="preserve">; and that </w:t>
      </w:r>
      <w:r>
        <w:t xml:space="preserve">registration and listing requirements </w:t>
      </w:r>
      <w:r w:rsidR="0036634A">
        <w:t xml:space="preserve">are </w:t>
      </w:r>
      <w:r>
        <w:t xml:space="preserve">set forth in section 605 of the FD&amp;C Act (21 U.S.C.  364(c)) </w:t>
      </w:r>
      <w:r w:rsidR="0036634A">
        <w:t xml:space="preserve">and mandate </w:t>
      </w:r>
      <w:r>
        <w:t>that FDA begin receiving registration and listing information no later than December 29, 2023.</w:t>
      </w:r>
    </w:p>
    <w:p w:rsidR="00357C8A" w:rsidRPr="00357C8A" w:rsidP="002F7EC9" w14:paraId="3D2713A8" w14:textId="0C92EC4A">
      <w:pPr>
        <w:rPr>
          <w:rFonts w:eastAsia="Calibri"/>
          <w:color w:val="FF0000"/>
        </w:rPr>
      </w:pPr>
    </w:p>
    <w:p w:rsidR="00357C8A" w:rsidRPr="00357C8A" w:rsidP="002F7EC9" w14:paraId="1F29F79D" w14:textId="77777777">
      <w:pPr>
        <w:numPr>
          <w:ilvl w:val="0"/>
          <w:numId w:val="7"/>
        </w:numPr>
        <w:spacing w:after="200"/>
        <w:rPr>
          <w:rFonts w:eastAsia="Calibri"/>
        </w:rPr>
      </w:pPr>
      <w:r w:rsidRPr="00357C8A">
        <w:rPr>
          <w:rFonts w:eastAsia="Calibri"/>
          <w:u w:val="single"/>
        </w:rPr>
        <w:t>Explanation of Any Payment or Gift to Respondents</w:t>
      </w:r>
    </w:p>
    <w:p w:rsidR="00357C8A" w:rsidRPr="00357C8A" w:rsidP="002F7EC9" w14:paraId="1680B9C1" w14:textId="75E77598">
      <w:pPr>
        <w:spacing w:after="200"/>
        <w:rPr>
          <w:rFonts w:eastAsia="Calibri"/>
          <w:color w:val="FF0000"/>
        </w:rPr>
      </w:pPr>
      <w:r w:rsidRPr="002074FE">
        <w:rPr>
          <w:rFonts w:eastAsia="Calibri"/>
        </w:rPr>
        <w:t>There are no incentives, payments or gifts associated with this information collection.</w:t>
      </w:r>
    </w:p>
    <w:p w:rsidR="00357C8A" w:rsidRPr="002C47D4" w:rsidP="002F7EC9" w14:paraId="6362D350" w14:textId="77777777">
      <w:pPr>
        <w:numPr>
          <w:ilvl w:val="0"/>
          <w:numId w:val="7"/>
        </w:numPr>
        <w:spacing w:after="200"/>
        <w:rPr>
          <w:rFonts w:eastAsia="Calibri"/>
        </w:rPr>
      </w:pPr>
      <w:r w:rsidRPr="002C47D4">
        <w:rPr>
          <w:rFonts w:eastAsia="Calibri"/>
          <w:u w:val="single"/>
        </w:rPr>
        <w:t>Assurance of Confidentiality Provided to Respondents</w:t>
      </w:r>
    </w:p>
    <w:p w:rsidR="008B2C6B" w:rsidP="00EC02B0" w14:paraId="1D3E51B4" w14:textId="3B064ADA">
      <w:r w:rsidRPr="00420486">
        <w:t>In preparing this supporting statement, we consulted with our Privacy Office to ensure appropriate handling of information collected.</w:t>
      </w:r>
      <w:r w:rsidR="003C373B">
        <w:t xml:space="preserve">  </w:t>
      </w:r>
      <w:r w:rsidR="003E1421">
        <w:t>T</w:t>
      </w:r>
      <w:r w:rsidR="003C373B">
        <w:t xml:space="preserve">he </w:t>
      </w:r>
      <w:r>
        <w:t>information collection request (ICR) is collecting personally identifiable information</w:t>
      </w:r>
      <w:r w:rsidR="003E1421">
        <w:t xml:space="preserve"> </w:t>
      </w:r>
      <w:r>
        <w:t>(PII) or other data of a personal nature.  Information is collected via Form FDA 5066</w:t>
      </w:r>
      <w:r w:rsidR="00EC02B0">
        <w:t xml:space="preserve"> </w:t>
      </w:r>
      <w:r>
        <w:t>(</w:t>
      </w:r>
      <w:r>
        <w:rPr>
          <w:i/>
          <w:iCs/>
        </w:rPr>
        <w:t>Registration for Cosmetic Product Facility</w:t>
      </w:r>
      <w:r>
        <w:t>) and Form FDA 5067 (</w:t>
      </w:r>
      <w:r>
        <w:rPr>
          <w:i/>
          <w:iCs/>
        </w:rPr>
        <w:t>Cosmetic Product</w:t>
      </w:r>
      <w:r w:rsidR="00EC02B0">
        <w:t xml:space="preserve"> </w:t>
      </w:r>
      <w:r w:rsidRPr="5C537166">
        <w:rPr>
          <w:i/>
          <w:iCs/>
        </w:rPr>
        <w:t>Listing</w:t>
      </w:r>
      <w:r>
        <w:t>).</w:t>
      </w:r>
      <w:r w:rsidR="00EC02B0">
        <w:t xml:space="preserve">  The </w:t>
      </w:r>
      <w:r>
        <w:t>PII collected is name, phone number, and email address in both forms.  PII is collected in the context of the individual’s professional capacity.  The collection of information for this ICR is found in MoCRA and 21 CFR parts 701, 710, and 720.</w:t>
      </w:r>
    </w:p>
    <w:p w:rsidR="008B2C6B" w:rsidP="002F7EC9" w14:paraId="7AD13763" w14:textId="77777777">
      <w:pPr>
        <w:autoSpaceDE w:val="0"/>
        <w:autoSpaceDN w:val="0"/>
        <w:adjustRightInd w:val="0"/>
      </w:pPr>
    </w:p>
    <w:p w:rsidR="008B2C6B" w:rsidP="002F7EC9" w14:paraId="4746B85E" w14:textId="0C55D7AE">
      <w:pPr>
        <w:autoSpaceDE w:val="0"/>
        <w:autoSpaceDN w:val="0"/>
        <w:adjustRightInd w:val="0"/>
      </w:pPr>
      <w:r>
        <w:t xml:space="preserve">We </w:t>
      </w:r>
      <w:r w:rsidR="00EC02B0">
        <w:t xml:space="preserve">have </w:t>
      </w:r>
      <w:r>
        <w:t>determined that although PII is collected, the collection is not subject to the Privacy Act</w:t>
      </w:r>
    </w:p>
    <w:p w:rsidR="008B2C6B" w:rsidP="002F7EC9" w14:paraId="7F1BBB19" w14:textId="73758AB2">
      <w:pPr>
        <w:autoSpaceDE w:val="0"/>
        <w:autoSpaceDN w:val="0"/>
        <w:adjustRightInd w:val="0"/>
      </w:pPr>
      <w:r>
        <w:t xml:space="preserve">of 1974 and the particular notice and other requirements of the </w:t>
      </w:r>
      <w:r w:rsidR="00EC02B0">
        <w:t xml:space="preserve">Privacy </w:t>
      </w:r>
      <w:r>
        <w:t>Act do not apply.  Specifically, we do not use name or any other personal identifier to retrieve records from the information collected.</w:t>
      </w:r>
    </w:p>
    <w:p w:rsidR="008B2C6B" w:rsidP="002F7EC9" w14:paraId="65E59CD3" w14:textId="77777777">
      <w:pPr>
        <w:autoSpaceDE w:val="0"/>
        <w:autoSpaceDN w:val="0"/>
        <w:adjustRightInd w:val="0"/>
      </w:pPr>
    </w:p>
    <w:p w:rsidR="008B2C6B" w:rsidP="002F7EC9" w14:paraId="32157F90" w14:textId="77777777">
      <w:pPr>
        <w:autoSpaceDE w:val="0"/>
        <w:autoSpaceDN w:val="0"/>
        <w:adjustRightInd w:val="0"/>
      </w:pPr>
      <w:r>
        <w:t>None of the information required to appear on the label or labeling of cosmetic products that</w:t>
      </w:r>
    </w:p>
    <w:p w:rsidR="00357C8A" w:rsidP="0022425B" w14:paraId="01DAE673" w14:textId="59597BC7">
      <w:pPr>
        <w:rPr>
          <w:rFonts w:eastAsia="Calibri"/>
          <w:color w:val="FF0000"/>
        </w:rPr>
      </w:pPr>
      <w:r>
        <w:t>the agency regulates is confidential.</w:t>
      </w:r>
    </w:p>
    <w:p w:rsidR="001075D3" w:rsidRPr="001075D3" w:rsidP="001075D3" w14:paraId="45C7687F" w14:textId="77777777">
      <w:pPr>
        <w:ind w:left="720"/>
      </w:pPr>
    </w:p>
    <w:p w:rsidR="00357C8A" w:rsidRPr="00357C8A" w:rsidP="006705EA" w14:paraId="0E00BC1D" w14:textId="77777777">
      <w:pPr>
        <w:numPr>
          <w:ilvl w:val="0"/>
          <w:numId w:val="7"/>
        </w:numPr>
        <w:spacing w:after="200" w:line="276" w:lineRule="auto"/>
        <w:rPr>
          <w:rFonts w:eastAsia="Calibri"/>
        </w:rPr>
      </w:pPr>
      <w:r w:rsidRPr="00357C8A">
        <w:rPr>
          <w:rFonts w:eastAsia="Calibri"/>
          <w:u w:val="single"/>
        </w:rPr>
        <w:t>Justification for Sensitive Questions</w:t>
      </w:r>
    </w:p>
    <w:p w:rsidR="00357C8A" w:rsidRPr="00357C8A" w:rsidP="0022425B" w14:paraId="47602600" w14:textId="27EE89DC">
      <w:pPr>
        <w:spacing w:after="200"/>
        <w:rPr>
          <w:rFonts w:eastAsia="Calibri"/>
          <w:color w:val="FF0000"/>
        </w:rPr>
      </w:pPr>
      <w:r w:rsidRPr="00834A66">
        <w:rPr>
          <w:rFonts w:eastAsia="Calibri"/>
        </w:rPr>
        <w:t>The collection of information does not involve sensitive questions.</w:t>
      </w:r>
    </w:p>
    <w:p w:rsidR="00357C8A" w:rsidRPr="00357C8A" w:rsidP="006705EA" w14:paraId="4E9EAAFC" w14:textId="77777777">
      <w:pPr>
        <w:numPr>
          <w:ilvl w:val="0"/>
          <w:numId w:val="7"/>
        </w:numPr>
        <w:spacing w:after="200" w:line="276" w:lineRule="auto"/>
        <w:rPr>
          <w:rFonts w:eastAsia="Calibri"/>
          <w:u w:val="single"/>
        </w:rPr>
      </w:pPr>
      <w:r w:rsidRPr="00357C8A">
        <w:rPr>
          <w:rFonts w:eastAsia="Calibri"/>
          <w:u w:val="single"/>
        </w:rPr>
        <w:t>Estimates of Annualized Burden Hours and Cost</w:t>
      </w:r>
    </w:p>
    <w:p w:rsidR="00357C8A" w:rsidRPr="00560011" w:rsidP="0022425B" w14:paraId="38126F59" w14:textId="77777777">
      <w:pPr>
        <w:spacing w:after="200"/>
        <w:ind w:left="360"/>
        <w:rPr>
          <w:rFonts w:eastAsia="Calibri"/>
          <w:i/>
          <w:iCs/>
        </w:rPr>
      </w:pPr>
      <w:r w:rsidRPr="00560011">
        <w:rPr>
          <w:rFonts w:eastAsia="Calibri"/>
          <w:i/>
          <w:iCs/>
        </w:rPr>
        <w:t>12a.  Annualized Hour Burden Estimate</w:t>
      </w:r>
    </w:p>
    <w:p w:rsidR="00E171EC" w:rsidRPr="00E171EC" w:rsidP="00834A66" w14:paraId="4720A351" w14:textId="77777777">
      <w:pPr>
        <w:spacing w:after="120"/>
        <w:ind w:left="360"/>
        <w:contextualSpacing/>
        <w:jc w:val="center"/>
        <w:rPr>
          <w:sz w:val="20"/>
          <w:szCs w:val="20"/>
          <w:vertAlign w:val="superscript"/>
        </w:rPr>
      </w:pPr>
      <w:bookmarkStart w:id="7" w:name="_Hlk111544523"/>
      <w:r w:rsidRPr="00E171EC">
        <w:rPr>
          <w:sz w:val="20"/>
          <w:szCs w:val="20"/>
        </w:rPr>
        <w:t>Table 1.--Estimated Annual Third-Party Disclosure Burden</w:t>
      </w:r>
      <w:r w:rsidRPr="00E171EC">
        <w:rPr>
          <w:sz w:val="20"/>
          <w:szCs w:val="20"/>
          <w:vertAlign w:val="superscript"/>
        </w:rPr>
        <w:t>1</w:t>
      </w:r>
      <w:bookmarkEnd w:id="7"/>
    </w:p>
    <w:tbl>
      <w:tblPr>
        <w:tblW w:w="98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4A0"/>
      </w:tblPr>
      <w:tblGrid>
        <w:gridCol w:w="2520"/>
        <w:gridCol w:w="1260"/>
        <w:gridCol w:w="1350"/>
        <w:gridCol w:w="1260"/>
        <w:gridCol w:w="1080"/>
        <w:gridCol w:w="1080"/>
        <w:gridCol w:w="1260"/>
      </w:tblGrid>
      <w:tr w14:paraId="47177C0C" w14:textId="77777777" w:rsidTr="001D18D7">
        <w:tblPrEx>
          <w:tblW w:w="98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1" w:type="dxa"/>
            <w:right w:w="101" w:type="dxa"/>
          </w:tblCellMar>
          <w:tblLook w:val="04A0"/>
        </w:tblPrEx>
        <w:trPr>
          <w:cantSplit/>
          <w:tblHeader/>
        </w:trPr>
        <w:tc>
          <w:tcPr>
            <w:tcW w:w="2520" w:type="dxa"/>
            <w:hideMark/>
          </w:tcPr>
          <w:p w:rsidR="00E171EC" w:rsidRPr="00E171EC" w:rsidP="00E171EC" w14:paraId="4A262BB9" w14:textId="77777777">
            <w:pPr>
              <w:jc w:val="center"/>
              <w:rPr>
                <w:sz w:val="20"/>
                <w:szCs w:val="20"/>
              </w:rPr>
            </w:pPr>
            <w:r w:rsidRPr="00E171EC">
              <w:rPr>
                <w:sz w:val="20"/>
                <w:szCs w:val="20"/>
              </w:rPr>
              <w:t>21 CFR or FD&amp;C Act Section; Activity</w:t>
            </w:r>
          </w:p>
        </w:tc>
        <w:tc>
          <w:tcPr>
            <w:tcW w:w="1260" w:type="dxa"/>
            <w:hideMark/>
          </w:tcPr>
          <w:p w:rsidR="00E171EC" w:rsidRPr="00E171EC" w:rsidP="00E171EC" w14:paraId="3568351E" w14:textId="77777777">
            <w:pPr>
              <w:jc w:val="center"/>
              <w:rPr>
                <w:sz w:val="20"/>
                <w:szCs w:val="20"/>
              </w:rPr>
            </w:pPr>
            <w:r w:rsidRPr="00E171EC">
              <w:rPr>
                <w:sz w:val="20"/>
                <w:szCs w:val="20"/>
              </w:rPr>
              <w:t>No. of Respondents</w:t>
            </w:r>
          </w:p>
        </w:tc>
        <w:tc>
          <w:tcPr>
            <w:tcW w:w="1350" w:type="dxa"/>
            <w:hideMark/>
          </w:tcPr>
          <w:p w:rsidR="00E171EC" w:rsidRPr="00E171EC" w:rsidP="00E171EC" w14:paraId="79CAA2BA" w14:textId="77777777">
            <w:pPr>
              <w:jc w:val="center"/>
              <w:rPr>
                <w:sz w:val="20"/>
                <w:szCs w:val="20"/>
              </w:rPr>
            </w:pPr>
            <w:r w:rsidRPr="00E171EC">
              <w:rPr>
                <w:sz w:val="20"/>
                <w:szCs w:val="20"/>
              </w:rPr>
              <w:t>No. of Disclosures per Respondent</w:t>
            </w:r>
          </w:p>
        </w:tc>
        <w:tc>
          <w:tcPr>
            <w:tcW w:w="1260" w:type="dxa"/>
            <w:hideMark/>
          </w:tcPr>
          <w:p w:rsidR="00E171EC" w:rsidRPr="00E171EC" w:rsidP="00E171EC" w14:paraId="6DD1A9CF" w14:textId="77777777">
            <w:pPr>
              <w:jc w:val="center"/>
              <w:rPr>
                <w:sz w:val="20"/>
                <w:szCs w:val="20"/>
              </w:rPr>
            </w:pPr>
            <w:r w:rsidRPr="00E171EC">
              <w:rPr>
                <w:sz w:val="20"/>
                <w:szCs w:val="20"/>
              </w:rPr>
              <w:t>Total Annual Disclosures</w:t>
            </w:r>
          </w:p>
        </w:tc>
        <w:tc>
          <w:tcPr>
            <w:tcW w:w="1080" w:type="dxa"/>
            <w:hideMark/>
          </w:tcPr>
          <w:p w:rsidR="00E171EC" w:rsidRPr="00E171EC" w:rsidP="00E171EC" w14:paraId="1F6C6E4D" w14:textId="77777777">
            <w:pPr>
              <w:jc w:val="center"/>
              <w:rPr>
                <w:sz w:val="20"/>
                <w:szCs w:val="20"/>
              </w:rPr>
            </w:pPr>
            <w:r w:rsidRPr="00E171EC">
              <w:rPr>
                <w:sz w:val="20"/>
                <w:szCs w:val="20"/>
              </w:rPr>
              <w:t>Average Burden per Disclosure</w:t>
            </w:r>
          </w:p>
        </w:tc>
        <w:tc>
          <w:tcPr>
            <w:tcW w:w="1080" w:type="dxa"/>
            <w:hideMark/>
          </w:tcPr>
          <w:p w:rsidR="00E171EC" w:rsidRPr="00E171EC" w:rsidP="00E171EC" w14:paraId="1DD03C71" w14:textId="77777777">
            <w:pPr>
              <w:jc w:val="center"/>
              <w:rPr>
                <w:sz w:val="20"/>
                <w:szCs w:val="20"/>
              </w:rPr>
            </w:pPr>
            <w:r w:rsidRPr="00E171EC">
              <w:rPr>
                <w:sz w:val="20"/>
                <w:szCs w:val="20"/>
              </w:rPr>
              <w:t>Total Hours</w:t>
            </w:r>
          </w:p>
        </w:tc>
        <w:tc>
          <w:tcPr>
            <w:tcW w:w="1260" w:type="dxa"/>
            <w:hideMark/>
          </w:tcPr>
          <w:p w:rsidR="00E171EC" w:rsidRPr="00E171EC" w:rsidP="00E171EC" w14:paraId="58AB84EE" w14:textId="77777777">
            <w:pPr>
              <w:jc w:val="center"/>
              <w:rPr>
                <w:sz w:val="20"/>
                <w:szCs w:val="20"/>
              </w:rPr>
            </w:pPr>
            <w:r w:rsidRPr="00E171EC">
              <w:rPr>
                <w:sz w:val="20"/>
                <w:szCs w:val="20"/>
              </w:rPr>
              <w:t>Total Capital Costs</w:t>
            </w:r>
            <w:r w:rsidRPr="00E171EC">
              <w:rPr>
                <w:sz w:val="20"/>
                <w:szCs w:val="20"/>
                <w:vertAlign w:val="superscript"/>
              </w:rPr>
              <w:t>2</w:t>
            </w:r>
          </w:p>
        </w:tc>
      </w:tr>
      <w:tr w14:paraId="28372A0E" w14:textId="77777777" w:rsidTr="001D18D7">
        <w:tblPrEx>
          <w:tblW w:w="9810" w:type="dxa"/>
          <w:tblInd w:w="-8" w:type="dxa"/>
          <w:tblLayout w:type="fixed"/>
          <w:tblCellMar>
            <w:left w:w="101" w:type="dxa"/>
            <w:right w:w="101" w:type="dxa"/>
          </w:tblCellMar>
          <w:tblLook w:val="04A0"/>
        </w:tblPrEx>
        <w:tc>
          <w:tcPr>
            <w:tcW w:w="2520" w:type="dxa"/>
            <w:hideMark/>
          </w:tcPr>
          <w:p w:rsidR="00E171EC" w:rsidRPr="00E171EC" w:rsidP="00E171EC" w14:paraId="6AFEAD2D" w14:textId="77777777">
            <w:pPr>
              <w:widowControl w:val="0"/>
              <w:rPr>
                <w:sz w:val="20"/>
                <w:szCs w:val="20"/>
              </w:rPr>
            </w:pPr>
            <w:r w:rsidRPr="00E171EC">
              <w:rPr>
                <w:sz w:val="20"/>
                <w:szCs w:val="20"/>
              </w:rPr>
              <w:t>§ 701.3; ingredients in order of predominance</w:t>
            </w:r>
          </w:p>
        </w:tc>
        <w:tc>
          <w:tcPr>
            <w:tcW w:w="1260" w:type="dxa"/>
            <w:hideMark/>
          </w:tcPr>
          <w:p w:rsidR="00E171EC" w:rsidRPr="00E171EC" w:rsidP="00E171EC" w14:paraId="474688DD" w14:textId="77777777">
            <w:pPr>
              <w:widowControl w:val="0"/>
              <w:jc w:val="right"/>
              <w:rPr>
                <w:sz w:val="20"/>
                <w:szCs w:val="20"/>
              </w:rPr>
            </w:pPr>
            <w:r w:rsidRPr="00E171EC">
              <w:rPr>
                <w:sz w:val="20"/>
                <w:szCs w:val="20"/>
              </w:rPr>
              <w:t>1,518</w:t>
            </w:r>
          </w:p>
        </w:tc>
        <w:tc>
          <w:tcPr>
            <w:tcW w:w="1350" w:type="dxa"/>
            <w:hideMark/>
          </w:tcPr>
          <w:p w:rsidR="00E171EC" w:rsidRPr="00E171EC" w:rsidP="00E171EC" w14:paraId="77FD6750" w14:textId="77777777">
            <w:pPr>
              <w:widowControl w:val="0"/>
              <w:jc w:val="right"/>
              <w:rPr>
                <w:sz w:val="20"/>
                <w:szCs w:val="20"/>
              </w:rPr>
            </w:pPr>
            <w:r w:rsidRPr="00E171EC">
              <w:rPr>
                <w:sz w:val="20"/>
                <w:szCs w:val="20"/>
              </w:rPr>
              <w:t>21</w:t>
            </w:r>
          </w:p>
        </w:tc>
        <w:tc>
          <w:tcPr>
            <w:tcW w:w="1260" w:type="dxa"/>
            <w:hideMark/>
          </w:tcPr>
          <w:p w:rsidR="00E171EC" w:rsidRPr="00E171EC" w:rsidP="00E171EC" w14:paraId="4F7170E2" w14:textId="77777777">
            <w:pPr>
              <w:widowControl w:val="0"/>
              <w:jc w:val="right"/>
              <w:rPr>
                <w:sz w:val="20"/>
                <w:szCs w:val="20"/>
              </w:rPr>
            </w:pPr>
            <w:r w:rsidRPr="00E171EC">
              <w:rPr>
                <w:sz w:val="20"/>
                <w:szCs w:val="20"/>
              </w:rPr>
              <w:t>31,878</w:t>
            </w:r>
          </w:p>
        </w:tc>
        <w:tc>
          <w:tcPr>
            <w:tcW w:w="1080" w:type="dxa"/>
            <w:hideMark/>
          </w:tcPr>
          <w:p w:rsidR="00E171EC" w:rsidRPr="00E171EC" w:rsidP="00E171EC" w14:paraId="4E045BA7" w14:textId="77777777">
            <w:pPr>
              <w:widowControl w:val="0"/>
              <w:jc w:val="right"/>
              <w:rPr>
                <w:sz w:val="20"/>
                <w:szCs w:val="20"/>
              </w:rPr>
            </w:pPr>
            <w:r w:rsidRPr="00E171EC">
              <w:rPr>
                <w:sz w:val="20"/>
                <w:szCs w:val="20"/>
              </w:rPr>
              <w:t>1</w:t>
            </w:r>
          </w:p>
        </w:tc>
        <w:tc>
          <w:tcPr>
            <w:tcW w:w="1080" w:type="dxa"/>
            <w:hideMark/>
          </w:tcPr>
          <w:p w:rsidR="00E171EC" w:rsidRPr="00E171EC" w:rsidP="00E171EC" w14:paraId="183CEF6F" w14:textId="77777777">
            <w:pPr>
              <w:widowControl w:val="0"/>
              <w:jc w:val="right"/>
              <w:rPr>
                <w:sz w:val="20"/>
                <w:szCs w:val="20"/>
              </w:rPr>
            </w:pPr>
            <w:r w:rsidRPr="00E171EC">
              <w:rPr>
                <w:sz w:val="20"/>
                <w:szCs w:val="20"/>
              </w:rPr>
              <w:t>31,878</w:t>
            </w:r>
          </w:p>
        </w:tc>
        <w:tc>
          <w:tcPr>
            <w:tcW w:w="1260" w:type="dxa"/>
          </w:tcPr>
          <w:p w:rsidR="00E171EC" w:rsidRPr="00E171EC" w:rsidP="00E171EC" w14:paraId="74BA4006" w14:textId="77777777">
            <w:pPr>
              <w:widowControl w:val="0"/>
              <w:jc w:val="right"/>
              <w:rPr>
                <w:sz w:val="20"/>
                <w:szCs w:val="20"/>
              </w:rPr>
            </w:pPr>
          </w:p>
        </w:tc>
      </w:tr>
      <w:tr w14:paraId="20FC53E5" w14:textId="77777777" w:rsidTr="001D18D7">
        <w:tblPrEx>
          <w:tblW w:w="9810" w:type="dxa"/>
          <w:tblInd w:w="-8" w:type="dxa"/>
          <w:tblLayout w:type="fixed"/>
          <w:tblCellMar>
            <w:left w:w="101" w:type="dxa"/>
            <w:right w:w="101" w:type="dxa"/>
          </w:tblCellMar>
          <w:tblLook w:val="04A0"/>
        </w:tblPrEx>
        <w:tc>
          <w:tcPr>
            <w:tcW w:w="2520" w:type="dxa"/>
            <w:hideMark/>
          </w:tcPr>
          <w:p w:rsidR="00E171EC" w:rsidRPr="00E171EC" w:rsidP="00E171EC" w14:paraId="675528EF" w14:textId="77777777">
            <w:pPr>
              <w:widowControl w:val="0"/>
              <w:rPr>
                <w:sz w:val="20"/>
                <w:szCs w:val="20"/>
              </w:rPr>
            </w:pPr>
            <w:r w:rsidRPr="00E171EC">
              <w:rPr>
                <w:sz w:val="20"/>
                <w:szCs w:val="20"/>
              </w:rPr>
              <w:t>§ 701.11; statement of identity</w:t>
            </w:r>
          </w:p>
        </w:tc>
        <w:tc>
          <w:tcPr>
            <w:tcW w:w="1260" w:type="dxa"/>
            <w:hideMark/>
          </w:tcPr>
          <w:p w:rsidR="00E171EC" w:rsidRPr="00E171EC" w:rsidP="00E171EC" w14:paraId="49104E76" w14:textId="77777777">
            <w:pPr>
              <w:widowControl w:val="0"/>
              <w:jc w:val="right"/>
              <w:rPr>
                <w:sz w:val="20"/>
                <w:szCs w:val="20"/>
              </w:rPr>
            </w:pPr>
            <w:r w:rsidRPr="00E171EC">
              <w:rPr>
                <w:sz w:val="20"/>
                <w:szCs w:val="20"/>
              </w:rPr>
              <w:t>1,518</w:t>
            </w:r>
          </w:p>
        </w:tc>
        <w:tc>
          <w:tcPr>
            <w:tcW w:w="1350" w:type="dxa"/>
            <w:hideMark/>
          </w:tcPr>
          <w:p w:rsidR="00E171EC" w:rsidRPr="00E171EC" w:rsidP="00E171EC" w14:paraId="119EE574" w14:textId="77777777">
            <w:pPr>
              <w:widowControl w:val="0"/>
              <w:jc w:val="right"/>
              <w:rPr>
                <w:sz w:val="20"/>
                <w:szCs w:val="20"/>
              </w:rPr>
            </w:pPr>
            <w:r w:rsidRPr="00E171EC">
              <w:rPr>
                <w:sz w:val="20"/>
                <w:szCs w:val="20"/>
              </w:rPr>
              <w:t>24</w:t>
            </w:r>
          </w:p>
        </w:tc>
        <w:tc>
          <w:tcPr>
            <w:tcW w:w="1260" w:type="dxa"/>
            <w:hideMark/>
          </w:tcPr>
          <w:p w:rsidR="00E171EC" w:rsidRPr="00E171EC" w:rsidP="00E171EC" w14:paraId="17D54BCA" w14:textId="77777777">
            <w:pPr>
              <w:widowControl w:val="0"/>
              <w:jc w:val="right"/>
              <w:rPr>
                <w:sz w:val="20"/>
                <w:szCs w:val="20"/>
              </w:rPr>
            </w:pPr>
            <w:r w:rsidRPr="00E171EC">
              <w:rPr>
                <w:sz w:val="20"/>
                <w:szCs w:val="20"/>
              </w:rPr>
              <w:t>36,432</w:t>
            </w:r>
          </w:p>
        </w:tc>
        <w:tc>
          <w:tcPr>
            <w:tcW w:w="1080" w:type="dxa"/>
            <w:hideMark/>
          </w:tcPr>
          <w:p w:rsidR="00E171EC" w:rsidRPr="00E171EC" w:rsidP="00E171EC" w14:paraId="6CC94425" w14:textId="77777777">
            <w:pPr>
              <w:widowControl w:val="0"/>
              <w:jc w:val="right"/>
              <w:rPr>
                <w:sz w:val="20"/>
                <w:szCs w:val="20"/>
              </w:rPr>
            </w:pPr>
            <w:r w:rsidRPr="00E171EC">
              <w:rPr>
                <w:sz w:val="20"/>
                <w:szCs w:val="20"/>
              </w:rPr>
              <w:t>1</w:t>
            </w:r>
          </w:p>
        </w:tc>
        <w:tc>
          <w:tcPr>
            <w:tcW w:w="1080" w:type="dxa"/>
            <w:hideMark/>
          </w:tcPr>
          <w:p w:rsidR="00E171EC" w:rsidRPr="00E171EC" w:rsidP="00E171EC" w14:paraId="00482F63" w14:textId="77777777">
            <w:pPr>
              <w:widowControl w:val="0"/>
              <w:jc w:val="right"/>
              <w:rPr>
                <w:sz w:val="20"/>
                <w:szCs w:val="20"/>
              </w:rPr>
            </w:pPr>
            <w:r w:rsidRPr="00E171EC">
              <w:rPr>
                <w:sz w:val="20"/>
                <w:szCs w:val="20"/>
              </w:rPr>
              <w:t>36,432</w:t>
            </w:r>
          </w:p>
        </w:tc>
        <w:tc>
          <w:tcPr>
            <w:tcW w:w="1260" w:type="dxa"/>
          </w:tcPr>
          <w:p w:rsidR="00E171EC" w:rsidRPr="00E171EC" w:rsidP="00E171EC" w14:paraId="6C4EAAD3" w14:textId="77777777">
            <w:pPr>
              <w:widowControl w:val="0"/>
              <w:jc w:val="right"/>
              <w:rPr>
                <w:sz w:val="20"/>
                <w:szCs w:val="20"/>
              </w:rPr>
            </w:pPr>
          </w:p>
        </w:tc>
      </w:tr>
      <w:tr w14:paraId="2499DC5E" w14:textId="77777777" w:rsidTr="001D18D7">
        <w:tblPrEx>
          <w:tblW w:w="9810" w:type="dxa"/>
          <w:tblInd w:w="-8" w:type="dxa"/>
          <w:tblLayout w:type="fixed"/>
          <w:tblCellMar>
            <w:left w:w="101" w:type="dxa"/>
            <w:right w:w="101" w:type="dxa"/>
          </w:tblCellMar>
          <w:tblLook w:val="04A0"/>
        </w:tblPrEx>
        <w:tc>
          <w:tcPr>
            <w:tcW w:w="2520" w:type="dxa"/>
            <w:hideMark/>
          </w:tcPr>
          <w:p w:rsidR="00E171EC" w:rsidRPr="00E171EC" w:rsidP="00E171EC" w14:paraId="0B2B47FE" w14:textId="77777777">
            <w:pPr>
              <w:keepNext/>
              <w:widowControl w:val="0"/>
              <w:rPr>
                <w:sz w:val="20"/>
                <w:szCs w:val="20"/>
              </w:rPr>
            </w:pPr>
            <w:r w:rsidRPr="00E171EC">
              <w:rPr>
                <w:sz w:val="20"/>
                <w:szCs w:val="20"/>
              </w:rPr>
              <w:t>§ 701.12; name and place of business</w:t>
            </w:r>
          </w:p>
        </w:tc>
        <w:tc>
          <w:tcPr>
            <w:tcW w:w="1260" w:type="dxa"/>
            <w:hideMark/>
          </w:tcPr>
          <w:p w:rsidR="00E171EC" w:rsidRPr="00E171EC" w:rsidP="00E171EC" w14:paraId="16759FE9" w14:textId="77777777">
            <w:pPr>
              <w:keepNext/>
              <w:widowControl w:val="0"/>
              <w:jc w:val="right"/>
              <w:rPr>
                <w:sz w:val="20"/>
                <w:szCs w:val="20"/>
              </w:rPr>
            </w:pPr>
            <w:r w:rsidRPr="00E171EC">
              <w:rPr>
                <w:sz w:val="20"/>
                <w:szCs w:val="20"/>
              </w:rPr>
              <w:t>1,518</w:t>
            </w:r>
          </w:p>
        </w:tc>
        <w:tc>
          <w:tcPr>
            <w:tcW w:w="1350" w:type="dxa"/>
            <w:hideMark/>
          </w:tcPr>
          <w:p w:rsidR="00E171EC" w:rsidRPr="00E171EC" w:rsidP="00E171EC" w14:paraId="39846FCF" w14:textId="77777777">
            <w:pPr>
              <w:keepNext/>
              <w:widowControl w:val="0"/>
              <w:jc w:val="right"/>
              <w:rPr>
                <w:sz w:val="20"/>
                <w:szCs w:val="20"/>
              </w:rPr>
            </w:pPr>
            <w:r w:rsidRPr="00E171EC">
              <w:rPr>
                <w:sz w:val="20"/>
                <w:szCs w:val="20"/>
              </w:rPr>
              <w:t>24</w:t>
            </w:r>
          </w:p>
        </w:tc>
        <w:tc>
          <w:tcPr>
            <w:tcW w:w="1260" w:type="dxa"/>
            <w:hideMark/>
          </w:tcPr>
          <w:p w:rsidR="00E171EC" w:rsidRPr="00E171EC" w:rsidP="00E171EC" w14:paraId="28C21A96" w14:textId="77777777">
            <w:pPr>
              <w:keepNext/>
              <w:widowControl w:val="0"/>
              <w:jc w:val="right"/>
              <w:rPr>
                <w:sz w:val="20"/>
                <w:szCs w:val="20"/>
              </w:rPr>
            </w:pPr>
            <w:r w:rsidRPr="00E171EC">
              <w:rPr>
                <w:sz w:val="20"/>
                <w:szCs w:val="20"/>
              </w:rPr>
              <w:t>36,432</w:t>
            </w:r>
          </w:p>
        </w:tc>
        <w:tc>
          <w:tcPr>
            <w:tcW w:w="1080" w:type="dxa"/>
            <w:hideMark/>
          </w:tcPr>
          <w:p w:rsidR="00E171EC" w:rsidRPr="00E171EC" w:rsidP="00E171EC" w14:paraId="3982C3C9" w14:textId="77777777">
            <w:pPr>
              <w:keepNext/>
              <w:widowControl w:val="0"/>
              <w:jc w:val="right"/>
              <w:rPr>
                <w:sz w:val="20"/>
                <w:szCs w:val="20"/>
              </w:rPr>
            </w:pPr>
            <w:r w:rsidRPr="00E171EC">
              <w:rPr>
                <w:sz w:val="20"/>
                <w:szCs w:val="20"/>
              </w:rPr>
              <w:t>1</w:t>
            </w:r>
          </w:p>
        </w:tc>
        <w:tc>
          <w:tcPr>
            <w:tcW w:w="1080" w:type="dxa"/>
            <w:hideMark/>
          </w:tcPr>
          <w:p w:rsidR="00E171EC" w:rsidRPr="00E171EC" w:rsidP="00E171EC" w14:paraId="689DC0F2" w14:textId="77777777">
            <w:pPr>
              <w:keepNext/>
              <w:widowControl w:val="0"/>
              <w:jc w:val="right"/>
              <w:rPr>
                <w:sz w:val="20"/>
                <w:szCs w:val="20"/>
              </w:rPr>
            </w:pPr>
            <w:r w:rsidRPr="00E171EC">
              <w:rPr>
                <w:sz w:val="20"/>
                <w:szCs w:val="20"/>
              </w:rPr>
              <w:t>36,432</w:t>
            </w:r>
          </w:p>
        </w:tc>
        <w:tc>
          <w:tcPr>
            <w:tcW w:w="1260" w:type="dxa"/>
          </w:tcPr>
          <w:p w:rsidR="00E171EC" w:rsidRPr="00E171EC" w:rsidP="00E171EC" w14:paraId="06FFF655" w14:textId="77777777">
            <w:pPr>
              <w:keepNext/>
              <w:widowControl w:val="0"/>
              <w:jc w:val="right"/>
              <w:rPr>
                <w:sz w:val="20"/>
                <w:szCs w:val="20"/>
              </w:rPr>
            </w:pPr>
          </w:p>
        </w:tc>
      </w:tr>
      <w:tr w14:paraId="4DFF8FFF" w14:textId="77777777" w:rsidTr="001D18D7">
        <w:tblPrEx>
          <w:tblW w:w="9810" w:type="dxa"/>
          <w:tblInd w:w="-8" w:type="dxa"/>
          <w:tblLayout w:type="fixed"/>
          <w:tblCellMar>
            <w:left w:w="101" w:type="dxa"/>
            <w:right w:w="101" w:type="dxa"/>
          </w:tblCellMar>
          <w:tblLook w:val="04A0"/>
        </w:tblPrEx>
        <w:tc>
          <w:tcPr>
            <w:tcW w:w="2520" w:type="dxa"/>
            <w:hideMark/>
          </w:tcPr>
          <w:p w:rsidR="00E171EC" w:rsidRPr="00E171EC" w:rsidP="00E171EC" w14:paraId="3DA7D28C" w14:textId="77777777">
            <w:pPr>
              <w:widowControl w:val="0"/>
              <w:rPr>
                <w:sz w:val="20"/>
                <w:szCs w:val="20"/>
              </w:rPr>
            </w:pPr>
            <w:r w:rsidRPr="00E171EC">
              <w:rPr>
                <w:sz w:val="20"/>
                <w:szCs w:val="20"/>
              </w:rPr>
              <w:t>§ 701.13; net quantity of contents</w:t>
            </w:r>
          </w:p>
        </w:tc>
        <w:tc>
          <w:tcPr>
            <w:tcW w:w="1260" w:type="dxa"/>
            <w:hideMark/>
          </w:tcPr>
          <w:p w:rsidR="00E171EC" w:rsidRPr="00E171EC" w:rsidP="00E171EC" w14:paraId="6A451AE0" w14:textId="77777777">
            <w:pPr>
              <w:widowControl w:val="0"/>
              <w:jc w:val="right"/>
              <w:rPr>
                <w:sz w:val="20"/>
                <w:szCs w:val="20"/>
              </w:rPr>
            </w:pPr>
            <w:r w:rsidRPr="00E171EC">
              <w:rPr>
                <w:sz w:val="20"/>
                <w:szCs w:val="20"/>
              </w:rPr>
              <w:t>1,518</w:t>
            </w:r>
          </w:p>
        </w:tc>
        <w:tc>
          <w:tcPr>
            <w:tcW w:w="1350" w:type="dxa"/>
            <w:hideMark/>
          </w:tcPr>
          <w:p w:rsidR="00E171EC" w:rsidRPr="00E171EC" w:rsidP="00E171EC" w14:paraId="7824F14B" w14:textId="77777777">
            <w:pPr>
              <w:widowControl w:val="0"/>
              <w:jc w:val="right"/>
              <w:rPr>
                <w:sz w:val="20"/>
                <w:szCs w:val="20"/>
              </w:rPr>
            </w:pPr>
            <w:r w:rsidRPr="00E171EC">
              <w:rPr>
                <w:sz w:val="20"/>
                <w:szCs w:val="20"/>
              </w:rPr>
              <w:t>24</w:t>
            </w:r>
          </w:p>
        </w:tc>
        <w:tc>
          <w:tcPr>
            <w:tcW w:w="1260" w:type="dxa"/>
            <w:hideMark/>
          </w:tcPr>
          <w:p w:rsidR="00E171EC" w:rsidRPr="00E171EC" w:rsidP="00E171EC" w14:paraId="3C49B5FE" w14:textId="77777777">
            <w:pPr>
              <w:widowControl w:val="0"/>
              <w:jc w:val="right"/>
              <w:rPr>
                <w:sz w:val="20"/>
                <w:szCs w:val="20"/>
              </w:rPr>
            </w:pPr>
            <w:r w:rsidRPr="00E171EC">
              <w:rPr>
                <w:sz w:val="20"/>
                <w:szCs w:val="20"/>
              </w:rPr>
              <w:t>36,432</w:t>
            </w:r>
          </w:p>
        </w:tc>
        <w:tc>
          <w:tcPr>
            <w:tcW w:w="1080" w:type="dxa"/>
            <w:hideMark/>
          </w:tcPr>
          <w:p w:rsidR="00E171EC" w:rsidRPr="00E171EC" w:rsidP="00E171EC" w14:paraId="72D7B2E7" w14:textId="77777777">
            <w:pPr>
              <w:widowControl w:val="0"/>
              <w:jc w:val="right"/>
              <w:rPr>
                <w:sz w:val="20"/>
                <w:szCs w:val="20"/>
              </w:rPr>
            </w:pPr>
            <w:r w:rsidRPr="00E171EC">
              <w:rPr>
                <w:sz w:val="20"/>
                <w:szCs w:val="20"/>
              </w:rPr>
              <w:t>1</w:t>
            </w:r>
          </w:p>
        </w:tc>
        <w:tc>
          <w:tcPr>
            <w:tcW w:w="1080" w:type="dxa"/>
            <w:hideMark/>
          </w:tcPr>
          <w:p w:rsidR="00E171EC" w:rsidRPr="00E171EC" w:rsidP="00E171EC" w14:paraId="57F73BC2" w14:textId="77777777">
            <w:pPr>
              <w:widowControl w:val="0"/>
              <w:jc w:val="right"/>
              <w:rPr>
                <w:sz w:val="20"/>
                <w:szCs w:val="20"/>
              </w:rPr>
            </w:pPr>
            <w:r w:rsidRPr="00E171EC">
              <w:rPr>
                <w:sz w:val="20"/>
                <w:szCs w:val="20"/>
              </w:rPr>
              <w:t>36,432</w:t>
            </w:r>
          </w:p>
        </w:tc>
        <w:tc>
          <w:tcPr>
            <w:tcW w:w="1260" w:type="dxa"/>
          </w:tcPr>
          <w:p w:rsidR="00E171EC" w:rsidRPr="00E171EC" w:rsidP="00E171EC" w14:paraId="42BC546C" w14:textId="77777777">
            <w:pPr>
              <w:widowControl w:val="0"/>
              <w:jc w:val="right"/>
              <w:rPr>
                <w:sz w:val="20"/>
                <w:szCs w:val="20"/>
              </w:rPr>
            </w:pPr>
          </w:p>
        </w:tc>
      </w:tr>
      <w:tr w14:paraId="298C877E" w14:textId="77777777" w:rsidTr="001D18D7">
        <w:tblPrEx>
          <w:tblW w:w="9810" w:type="dxa"/>
          <w:tblInd w:w="-8" w:type="dxa"/>
          <w:tblLayout w:type="fixed"/>
          <w:tblCellMar>
            <w:left w:w="101" w:type="dxa"/>
            <w:right w:w="101" w:type="dxa"/>
          </w:tblCellMar>
          <w:tblLook w:val="04A0"/>
        </w:tblPrEx>
        <w:tc>
          <w:tcPr>
            <w:tcW w:w="2520" w:type="dxa"/>
            <w:hideMark/>
          </w:tcPr>
          <w:p w:rsidR="00E171EC" w:rsidRPr="00E171EC" w:rsidP="00E171EC" w14:paraId="6043FE87" w14:textId="77777777">
            <w:pPr>
              <w:widowControl w:val="0"/>
              <w:rPr>
                <w:sz w:val="20"/>
                <w:szCs w:val="20"/>
              </w:rPr>
            </w:pPr>
            <w:r w:rsidRPr="00E171EC">
              <w:rPr>
                <w:sz w:val="20"/>
                <w:szCs w:val="20"/>
              </w:rPr>
              <w:t xml:space="preserve">Sec. 609(a) of the FD&amp;C </w:t>
            </w:r>
            <w:r w:rsidRPr="00E171EC">
              <w:rPr>
                <w:sz w:val="20"/>
                <w:szCs w:val="20"/>
              </w:rPr>
              <w:t>Act (MoCRA); contact information to send adverse event reports</w:t>
            </w:r>
          </w:p>
        </w:tc>
        <w:tc>
          <w:tcPr>
            <w:tcW w:w="1260" w:type="dxa"/>
            <w:hideMark/>
          </w:tcPr>
          <w:p w:rsidR="00E171EC" w:rsidRPr="00E171EC" w:rsidP="00E171EC" w14:paraId="2B887987" w14:textId="77777777">
            <w:pPr>
              <w:widowControl w:val="0"/>
              <w:jc w:val="right"/>
              <w:rPr>
                <w:sz w:val="20"/>
                <w:szCs w:val="20"/>
              </w:rPr>
            </w:pPr>
            <w:r w:rsidRPr="00E171EC">
              <w:rPr>
                <w:sz w:val="20"/>
                <w:szCs w:val="20"/>
              </w:rPr>
              <w:t>1,518</w:t>
            </w:r>
          </w:p>
        </w:tc>
        <w:tc>
          <w:tcPr>
            <w:tcW w:w="1350" w:type="dxa"/>
            <w:hideMark/>
          </w:tcPr>
          <w:p w:rsidR="00E171EC" w:rsidRPr="00E171EC" w:rsidP="00E171EC" w14:paraId="2DAB0CE1" w14:textId="77777777">
            <w:pPr>
              <w:widowControl w:val="0"/>
              <w:jc w:val="right"/>
              <w:rPr>
                <w:sz w:val="20"/>
                <w:szCs w:val="20"/>
              </w:rPr>
            </w:pPr>
            <w:r w:rsidRPr="00E171EC">
              <w:rPr>
                <w:sz w:val="20"/>
                <w:szCs w:val="20"/>
              </w:rPr>
              <w:t>24</w:t>
            </w:r>
          </w:p>
        </w:tc>
        <w:tc>
          <w:tcPr>
            <w:tcW w:w="1260" w:type="dxa"/>
            <w:hideMark/>
          </w:tcPr>
          <w:p w:rsidR="00E171EC" w:rsidRPr="00E171EC" w:rsidP="00E171EC" w14:paraId="1619EF9A" w14:textId="77777777">
            <w:pPr>
              <w:widowControl w:val="0"/>
              <w:jc w:val="right"/>
              <w:rPr>
                <w:sz w:val="20"/>
                <w:szCs w:val="20"/>
              </w:rPr>
            </w:pPr>
            <w:r w:rsidRPr="00E171EC">
              <w:rPr>
                <w:sz w:val="20"/>
                <w:szCs w:val="20"/>
              </w:rPr>
              <w:t>36,432</w:t>
            </w:r>
          </w:p>
        </w:tc>
        <w:tc>
          <w:tcPr>
            <w:tcW w:w="1080" w:type="dxa"/>
            <w:hideMark/>
          </w:tcPr>
          <w:p w:rsidR="00E171EC" w:rsidRPr="00E171EC" w:rsidP="00E171EC" w14:paraId="7C09B4F1" w14:textId="77777777">
            <w:pPr>
              <w:widowControl w:val="0"/>
              <w:jc w:val="right"/>
              <w:rPr>
                <w:sz w:val="20"/>
                <w:szCs w:val="20"/>
              </w:rPr>
            </w:pPr>
            <w:r w:rsidRPr="00E171EC">
              <w:rPr>
                <w:sz w:val="20"/>
                <w:szCs w:val="20"/>
              </w:rPr>
              <w:t>1</w:t>
            </w:r>
          </w:p>
        </w:tc>
        <w:tc>
          <w:tcPr>
            <w:tcW w:w="1080" w:type="dxa"/>
            <w:hideMark/>
          </w:tcPr>
          <w:p w:rsidR="00E171EC" w:rsidRPr="00E171EC" w:rsidP="00E171EC" w14:paraId="1B6F8521" w14:textId="77777777">
            <w:pPr>
              <w:widowControl w:val="0"/>
              <w:jc w:val="right"/>
              <w:rPr>
                <w:sz w:val="20"/>
                <w:szCs w:val="20"/>
              </w:rPr>
            </w:pPr>
            <w:r w:rsidRPr="00E171EC">
              <w:rPr>
                <w:sz w:val="20"/>
                <w:szCs w:val="20"/>
              </w:rPr>
              <w:t>36,432</w:t>
            </w:r>
          </w:p>
        </w:tc>
        <w:tc>
          <w:tcPr>
            <w:tcW w:w="1260" w:type="dxa"/>
            <w:hideMark/>
          </w:tcPr>
          <w:p w:rsidR="00E171EC" w:rsidRPr="00E171EC" w:rsidP="00E171EC" w14:paraId="2052F4F8" w14:textId="77777777">
            <w:pPr>
              <w:widowControl w:val="0"/>
              <w:jc w:val="right"/>
              <w:rPr>
                <w:sz w:val="20"/>
                <w:szCs w:val="20"/>
              </w:rPr>
            </w:pPr>
            <w:r w:rsidRPr="00E171EC">
              <w:rPr>
                <w:sz w:val="20"/>
                <w:szCs w:val="20"/>
              </w:rPr>
              <w:t>$91,080,000</w:t>
            </w:r>
          </w:p>
        </w:tc>
      </w:tr>
      <w:tr w14:paraId="5B285B46" w14:textId="77777777" w:rsidTr="001D18D7">
        <w:tblPrEx>
          <w:tblW w:w="9810" w:type="dxa"/>
          <w:tblInd w:w="-8" w:type="dxa"/>
          <w:tblLayout w:type="fixed"/>
          <w:tblCellMar>
            <w:left w:w="101" w:type="dxa"/>
            <w:right w:w="101" w:type="dxa"/>
          </w:tblCellMar>
          <w:tblLook w:val="04A0"/>
        </w:tblPrEx>
        <w:tc>
          <w:tcPr>
            <w:tcW w:w="2520" w:type="dxa"/>
            <w:hideMark/>
          </w:tcPr>
          <w:p w:rsidR="00E171EC" w:rsidRPr="00E171EC" w:rsidP="00E171EC" w14:paraId="0F36A57F" w14:textId="77777777">
            <w:pPr>
              <w:widowControl w:val="0"/>
              <w:rPr>
                <w:sz w:val="20"/>
                <w:szCs w:val="20"/>
              </w:rPr>
            </w:pPr>
            <w:r w:rsidRPr="00E171EC">
              <w:rPr>
                <w:sz w:val="20"/>
                <w:szCs w:val="20"/>
              </w:rPr>
              <w:t xml:space="preserve">Sec. 609(c) of the FD&amp;C Act (MoCRA); professional use only </w:t>
            </w:r>
          </w:p>
        </w:tc>
        <w:tc>
          <w:tcPr>
            <w:tcW w:w="1260" w:type="dxa"/>
            <w:hideMark/>
          </w:tcPr>
          <w:p w:rsidR="00E171EC" w:rsidRPr="00E171EC" w:rsidP="00E171EC" w14:paraId="3E77BFDF" w14:textId="77777777">
            <w:pPr>
              <w:widowControl w:val="0"/>
              <w:jc w:val="right"/>
              <w:rPr>
                <w:sz w:val="20"/>
                <w:szCs w:val="20"/>
              </w:rPr>
            </w:pPr>
            <w:r w:rsidRPr="00E171EC">
              <w:rPr>
                <w:sz w:val="20"/>
                <w:szCs w:val="20"/>
              </w:rPr>
              <w:t>100</w:t>
            </w:r>
          </w:p>
        </w:tc>
        <w:tc>
          <w:tcPr>
            <w:tcW w:w="1350" w:type="dxa"/>
            <w:hideMark/>
          </w:tcPr>
          <w:p w:rsidR="00E171EC" w:rsidRPr="00E171EC" w:rsidP="00E171EC" w14:paraId="13089379" w14:textId="77777777">
            <w:pPr>
              <w:widowControl w:val="0"/>
              <w:jc w:val="right"/>
              <w:rPr>
                <w:sz w:val="20"/>
                <w:szCs w:val="20"/>
              </w:rPr>
            </w:pPr>
            <w:r w:rsidRPr="00E171EC">
              <w:rPr>
                <w:sz w:val="20"/>
                <w:szCs w:val="20"/>
              </w:rPr>
              <w:t>12</w:t>
            </w:r>
          </w:p>
        </w:tc>
        <w:tc>
          <w:tcPr>
            <w:tcW w:w="1260" w:type="dxa"/>
            <w:hideMark/>
          </w:tcPr>
          <w:p w:rsidR="00E171EC" w:rsidRPr="00E171EC" w:rsidP="00E171EC" w14:paraId="4B0E4B0B" w14:textId="77777777">
            <w:pPr>
              <w:widowControl w:val="0"/>
              <w:jc w:val="right"/>
              <w:rPr>
                <w:sz w:val="20"/>
                <w:szCs w:val="20"/>
              </w:rPr>
            </w:pPr>
            <w:r w:rsidRPr="00E171EC">
              <w:rPr>
                <w:sz w:val="20"/>
                <w:szCs w:val="20"/>
              </w:rPr>
              <w:t>1,200</w:t>
            </w:r>
          </w:p>
        </w:tc>
        <w:tc>
          <w:tcPr>
            <w:tcW w:w="1080" w:type="dxa"/>
            <w:hideMark/>
          </w:tcPr>
          <w:p w:rsidR="00E171EC" w:rsidRPr="00E171EC" w:rsidP="00E171EC" w14:paraId="7E61C6C6" w14:textId="77777777">
            <w:pPr>
              <w:widowControl w:val="0"/>
              <w:jc w:val="right"/>
              <w:rPr>
                <w:sz w:val="20"/>
                <w:szCs w:val="20"/>
              </w:rPr>
            </w:pPr>
            <w:r w:rsidRPr="00E171EC">
              <w:rPr>
                <w:sz w:val="20"/>
                <w:szCs w:val="20"/>
              </w:rPr>
              <w:t>1</w:t>
            </w:r>
          </w:p>
        </w:tc>
        <w:tc>
          <w:tcPr>
            <w:tcW w:w="1080" w:type="dxa"/>
            <w:hideMark/>
          </w:tcPr>
          <w:p w:rsidR="00E171EC" w:rsidRPr="00E171EC" w:rsidP="00E171EC" w14:paraId="08139BB6" w14:textId="77777777">
            <w:pPr>
              <w:widowControl w:val="0"/>
              <w:jc w:val="right"/>
              <w:rPr>
                <w:sz w:val="20"/>
                <w:szCs w:val="20"/>
              </w:rPr>
            </w:pPr>
            <w:r w:rsidRPr="00E171EC">
              <w:rPr>
                <w:sz w:val="20"/>
                <w:szCs w:val="20"/>
              </w:rPr>
              <w:t>1,200</w:t>
            </w:r>
          </w:p>
        </w:tc>
        <w:tc>
          <w:tcPr>
            <w:tcW w:w="1260" w:type="dxa"/>
            <w:hideMark/>
          </w:tcPr>
          <w:p w:rsidR="00E171EC" w:rsidRPr="00E171EC" w:rsidP="00E171EC" w14:paraId="7349394E" w14:textId="77777777">
            <w:pPr>
              <w:widowControl w:val="0"/>
              <w:jc w:val="right"/>
              <w:rPr>
                <w:sz w:val="20"/>
                <w:szCs w:val="20"/>
              </w:rPr>
            </w:pPr>
            <w:r w:rsidRPr="00E171EC">
              <w:rPr>
                <w:sz w:val="20"/>
                <w:szCs w:val="20"/>
              </w:rPr>
              <w:t>$3,000,000</w:t>
            </w:r>
          </w:p>
        </w:tc>
      </w:tr>
      <w:tr w14:paraId="2DEF1937" w14:textId="77777777" w:rsidTr="001D18D7">
        <w:tblPrEx>
          <w:tblW w:w="9810" w:type="dxa"/>
          <w:tblInd w:w="-8" w:type="dxa"/>
          <w:tblLayout w:type="fixed"/>
          <w:tblCellMar>
            <w:left w:w="101" w:type="dxa"/>
            <w:right w:w="101" w:type="dxa"/>
          </w:tblCellMar>
          <w:tblLook w:val="04A0"/>
        </w:tblPrEx>
        <w:tc>
          <w:tcPr>
            <w:tcW w:w="7470" w:type="dxa"/>
            <w:gridSpan w:val="5"/>
            <w:hideMark/>
          </w:tcPr>
          <w:p w:rsidR="00E171EC" w:rsidRPr="00E171EC" w:rsidP="00E171EC" w14:paraId="364262AC" w14:textId="77777777">
            <w:pPr>
              <w:rPr>
                <w:sz w:val="20"/>
                <w:szCs w:val="20"/>
              </w:rPr>
            </w:pPr>
            <w:r w:rsidRPr="00E171EC">
              <w:rPr>
                <w:sz w:val="20"/>
                <w:szCs w:val="20"/>
              </w:rPr>
              <w:t>Total</w:t>
            </w:r>
          </w:p>
        </w:tc>
        <w:tc>
          <w:tcPr>
            <w:tcW w:w="1080" w:type="dxa"/>
            <w:vAlign w:val="center"/>
            <w:hideMark/>
          </w:tcPr>
          <w:p w:rsidR="00E171EC" w:rsidRPr="00E171EC" w:rsidP="00E171EC" w14:paraId="2BD03CF3" w14:textId="77777777">
            <w:pPr>
              <w:widowControl w:val="0"/>
              <w:jc w:val="right"/>
              <w:rPr>
                <w:sz w:val="20"/>
                <w:szCs w:val="20"/>
              </w:rPr>
            </w:pPr>
            <w:bookmarkStart w:id="8" w:name="_Hlk128575631"/>
            <w:r w:rsidRPr="00E171EC">
              <w:rPr>
                <w:sz w:val="20"/>
                <w:szCs w:val="20"/>
              </w:rPr>
              <w:t>178,806</w:t>
            </w:r>
            <w:bookmarkEnd w:id="8"/>
          </w:p>
        </w:tc>
        <w:tc>
          <w:tcPr>
            <w:tcW w:w="1260" w:type="dxa"/>
            <w:hideMark/>
          </w:tcPr>
          <w:p w:rsidR="00E171EC" w:rsidRPr="00E171EC" w:rsidP="00E171EC" w14:paraId="6EBEEF4C" w14:textId="77777777">
            <w:pPr>
              <w:widowControl w:val="0"/>
              <w:jc w:val="right"/>
              <w:rPr>
                <w:sz w:val="20"/>
                <w:szCs w:val="20"/>
              </w:rPr>
            </w:pPr>
            <w:r w:rsidRPr="00E171EC">
              <w:rPr>
                <w:sz w:val="20"/>
                <w:szCs w:val="20"/>
              </w:rPr>
              <w:t>$94,080,000</w:t>
            </w:r>
          </w:p>
        </w:tc>
      </w:tr>
    </w:tbl>
    <w:p w:rsidR="00E171EC" w:rsidRPr="00E171EC" w:rsidP="00E171EC" w14:paraId="48A72E51" w14:textId="77777777">
      <w:pPr>
        <w:spacing w:after="120"/>
        <w:ind w:left="270"/>
        <w:contextualSpacing/>
        <w:rPr>
          <w:sz w:val="22"/>
          <w:szCs w:val="22"/>
        </w:rPr>
      </w:pPr>
      <w:r w:rsidRPr="00E171EC">
        <w:rPr>
          <w:sz w:val="20"/>
          <w:szCs w:val="20"/>
          <w:vertAlign w:val="superscript"/>
        </w:rPr>
        <w:t>1</w:t>
      </w:r>
      <w:r w:rsidRPr="00E171EC">
        <w:rPr>
          <w:sz w:val="20"/>
          <w:szCs w:val="20"/>
        </w:rPr>
        <w:t xml:space="preserve"> There are no operating and maintenance costs associated with this collection of information</w:t>
      </w:r>
      <w:r w:rsidRPr="00E171EC">
        <w:rPr>
          <w:sz w:val="22"/>
          <w:szCs w:val="22"/>
        </w:rPr>
        <w:t>.</w:t>
      </w:r>
    </w:p>
    <w:p w:rsidR="00E171EC" w:rsidRPr="00834A66" w:rsidP="00834A66" w14:paraId="50A8C360" w14:textId="77777777">
      <w:pPr>
        <w:spacing w:after="120"/>
        <w:ind w:left="270"/>
        <w:contextualSpacing/>
        <w:rPr>
          <w:sz w:val="22"/>
          <w:szCs w:val="22"/>
        </w:rPr>
      </w:pPr>
      <w:r w:rsidRPr="00E171EC">
        <w:rPr>
          <w:sz w:val="20"/>
          <w:szCs w:val="20"/>
          <w:vertAlign w:val="superscript"/>
        </w:rPr>
        <w:t>2</w:t>
      </w:r>
      <w:r w:rsidRPr="00E171EC">
        <w:rPr>
          <w:sz w:val="20"/>
          <w:szCs w:val="20"/>
        </w:rPr>
        <w:t xml:space="preserve"> One-time burden for capital costs.</w:t>
      </w:r>
    </w:p>
    <w:p w:rsidR="00E171EC" w:rsidP="00834A66" w14:paraId="755C0D91" w14:textId="77777777">
      <w:pPr>
        <w:ind w:left="360"/>
        <w:rPr>
          <w:rFonts w:eastAsia="Calibri"/>
        </w:rPr>
      </w:pPr>
    </w:p>
    <w:p w:rsidR="00E171EC" w:rsidP="00682C00" w14:paraId="67816FC1" w14:textId="60047036">
      <w:pPr>
        <w:spacing w:after="200"/>
        <w:ind w:left="90"/>
        <w:rPr>
          <w:rFonts w:eastAsia="Calibri"/>
        </w:rPr>
      </w:pPr>
      <w:r w:rsidRPr="00E171EC">
        <w:rPr>
          <w:rFonts w:eastAsia="Calibri"/>
        </w:rPr>
        <w:t>The estimated annual third-party disclosure burden for labeling is based on data available to</w:t>
      </w:r>
      <w:r w:rsidR="00BF45FB">
        <w:rPr>
          <w:rFonts w:eastAsia="Calibri"/>
        </w:rPr>
        <w:t xml:space="preserve"> </w:t>
      </w:r>
      <w:r w:rsidR="0074102E">
        <w:rPr>
          <w:rFonts w:eastAsia="Calibri"/>
        </w:rPr>
        <w:t>FDA</w:t>
      </w:r>
      <w:r w:rsidRPr="00E171EC">
        <w:rPr>
          <w:rFonts w:eastAsia="Calibri"/>
        </w:rPr>
        <w:t>, our knowledge of and experience with cosmetics, and informal communications with industry.  The hour burden is the additional or incremental time that establishments need to design and print labeling that includes the following required elements:  a declaration of ingredients in decreasing order of predominance, a statement of the identity of the product, a specification of the name and place of business of the establishment, and a declaration of the net quantity of contents.  These requirements increase the time establishments need to design labels because they increase the number of label elements that establishments must consider when designing labels.  These requirements do not generate any recurring burden per label because establishments must already print and affix labels to cosmetic products as part of normal business practices.  Regarding the new statutory labeling requirements for products intended for professional use only and contact information for manufacturers to receive reports of adverse events, we estimate that there will be a capital cost of $</w:t>
      </w:r>
      <w:bookmarkStart w:id="9" w:name="_Hlk140834845"/>
      <w:r w:rsidRPr="00E171EC">
        <w:rPr>
          <w:rFonts w:eastAsia="Calibri"/>
        </w:rPr>
        <w:t>94,080,000</w:t>
      </w:r>
      <w:bookmarkEnd w:id="9"/>
      <w:r w:rsidRPr="00E171EC">
        <w:rPr>
          <w:rFonts w:eastAsia="Calibri"/>
        </w:rPr>
        <w:t xml:space="preserve"> associated with relabeling.  This is the cost of designing a revised label and incorporating it into the manufacturing process.  We believe that this will be a one-time cost.  We estimate that the total third-party disclosure burden is </w:t>
      </w:r>
      <w:bookmarkStart w:id="10" w:name="_Hlk140833278"/>
      <w:r w:rsidRPr="00E171EC">
        <w:rPr>
          <w:rFonts w:eastAsia="Calibri"/>
        </w:rPr>
        <w:t>178,806</w:t>
      </w:r>
      <w:bookmarkEnd w:id="10"/>
      <w:r w:rsidRPr="00E171EC">
        <w:rPr>
          <w:rFonts w:eastAsia="Calibri"/>
        </w:rPr>
        <w:t xml:space="preserve"> hours.</w:t>
      </w:r>
    </w:p>
    <w:p w:rsidR="0074102E" w:rsidRPr="0074102E" w:rsidP="0074102E" w14:paraId="6BA93785" w14:textId="77777777">
      <w:pPr>
        <w:keepNext/>
        <w:spacing w:after="120"/>
        <w:contextualSpacing/>
        <w:jc w:val="center"/>
        <w:rPr>
          <w:sz w:val="20"/>
          <w:szCs w:val="20"/>
          <w:vertAlign w:val="superscript"/>
        </w:rPr>
      </w:pPr>
      <w:r w:rsidRPr="0074102E">
        <w:rPr>
          <w:sz w:val="20"/>
          <w:szCs w:val="20"/>
        </w:rPr>
        <w:t>Table 2.--Estimated Annual Reporting Burden</w:t>
      </w:r>
      <w:r w:rsidRPr="0074102E">
        <w:rPr>
          <w:sz w:val="20"/>
          <w:szCs w:val="20"/>
          <w:vertAlign w:val="superscript"/>
        </w:rPr>
        <w:t>1</w:t>
      </w:r>
    </w:p>
    <w:tbl>
      <w:tblPr>
        <w:tblW w:w="93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7"/>
        <w:gridCol w:w="1273"/>
        <w:gridCol w:w="1455"/>
        <w:gridCol w:w="1183"/>
        <w:gridCol w:w="1460"/>
        <w:gridCol w:w="1152"/>
      </w:tblGrid>
      <w:tr w14:paraId="1D4AA3DD" w14:textId="77777777" w:rsidTr="001542BA">
        <w:tblPrEx>
          <w:tblW w:w="93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20"/>
          <w:tblHeader/>
        </w:trPr>
        <w:tc>
          <w:tcPr>
            <w:tcW w:w="2837" w:type="dxa"/>
            <w:tcBorders>
              <w:top w:val="single" w:sz="4" w:space="0" w:color="auto"/>
              <w:left w:val="single" w:sz="4" w:space="0" w:color="auto"/>
              <w:bottom w:val="single" w:sz="4" w:space="0" w:color="auto"/>
              <w:right w:val="single" w:sz="4" w:space="0" w:color="auto"/>
            </w:tcBorders>
            <w:hideMark/>
          </w:tcPr>
          <w:p w:rsidR="0074102E" w:rsidRPr="0074102E" w:rsidP="0074102E" w14:paraId="55C3E58C" w14:textId="77777777">
            <w:pPr>
              <w:keepNext/>
              <w:jc w:val="center"/>
              <w:rPr>
                <w:sz w:val="20"/>
                <w:szCs w:val="20"/>
              </w:rPr>
            </w:pPr>
            <w:r w:rsidRPr="0074102E">
              <w:rPr>
                <w:sz w:val="20"/>
                <w:szCs w:val="20"/>
              </w:rPr>
              <w:t>MoCRA Citation; Activity</w:t>
            </w:r>
          </w:p>
        </w:tc>
        <w:tc>
          <w:tcPr>
            <w:tcW w:w="1273" w:type="dxa"/>
            <w:tcBorders>
              <w:top w:val="single" w:sz="4" w:space="0" w:color="auto"/>
              <w:left w:val="single" w:sz="4" w:space="0" w:color="auto"/>
              <w:bottom w:val="single" w:sz="4" w:space="0" w:color="auto"/>
              <w:right w:val="single" w:sz="4" w:space="0" w:color="auto"/>
            </w:tcBorders>
            <w:hideMark/>
          </w:tcPr>
          <w:p w:rsidR="0074102E" w:rsidRPr="0074102E" w:rsidP="0074102E" w14:paraId="574A0BFE" w14:textId="77777777">
            <w:pPr>
              <w:keepNext/>
              <w:jc w:val="center"/>
              <w:rPr>
                <w:sz w:val="20"/>
                <w:szCs w:val="20"/>
              </w:rPr>
            </w:pPr>
            <w:r w:rsidRPr="0074102E">
              <w:rPr>
                <w:bCs/>
                <w:sz w:val="20"/>
                <w:szCs w:val="20"/>
              </w:rPr>
              <w:t>No. of Respondents</w:t>
            </w:r>
          </w:p>
        </w:tc>
        <w:tc>
          <w:tcPr>
            <w:tcW w:w="1455" w:type="dxa"/>
            <w:tcBorders>
              <w:top w:val="single" w:sz="4" w:space="0" w:color="auto"/>
              <w:left w:val="single" w:sz="4" w:space="0" w:color="auto"/>
              <w:bottom w:val="single" w:sz="4" w:space="0" w:color="auto"/>
              <w:right w:val="single" w:sz="4" w:space="0" w:color="auto"/>
            </w:tcBorders>
            <w:hideMark/>
          </w:tcPr>
          <w:p w:rsidR="0074102E" w:rsidRPr="0074102E" w:rsidP="0074102E" w14:paraId="4EBAEAD6" w14:textId="77777777">
            <w:pPr>
              <w:keepNext/>
              <w:jc w:val="center"/>
              <w:rPr>
                <w:sz w:val="20"/>
                <w:szCs w:val="20"/>
              </w:rPr>
            </w:pPr>
            <w:r w:rsidRPr="0074102E">
              <w:rPr>
                <w:sz w:val="20"/>
                <w:szCs w:val="20"/>
              </w:rPr>
              <w:t>No. of Responses per Respondent</w:t>
            </w:r>
          </w:p>
        </w:tc>
        <w:tc>
          <w:tcPr>
            <w:tcW w:w="1183" w:type="dxa"/>
            <w:tcBorders>
              <w:top w:val="single" w:sz="4" w:space="0" w:color="auto"/>
              <w:left w:val="single" w:sz="4" w:space="0" w:color="auto"/>
              <w:bottom w:val="single" w:sz="4" w:space="0" w:color="auto"/>
              <w:right w:val="single" w:sz="4" w:space="0" w:color="auto"/>
            </w:tcBorders>
            <w:hideMark/>
          </w:tcPr>
          <w:p w:rsidR="0074102E" w:rsidRPr="0074102E" w:rsidP="0074102E" w14:paraId="73CFEC3B" w14:textId="77777777">
            <w:pPr>
              <w:keepNext/>
              <w:jc w:val="center"/>
              <w:rPr>
                <w:sz w:val="20"/>
                <w:szCs w:val="20"/>
              </w:rPr>
            </w:pPr>
            <w:r w:rsidRPr="0074102E">
              <w:rPr>
                <w:bCs/>
                <w:sz w:val="20"/>
                <w:szCs w:val="20"/>
              </w:rPr>
              <w:t>Total Annual Responses</w:t>
            </w:r>
          </w:p>
        </w:tc>
        <w:tc>
          <w:tcPr>
            <w:tcW w:w="1460" w:type="dxa"/>
            <w:tcBorders>
              <w:top w:val="single" w:sz="4" w:space="0" w:color="auto"/>
              <w:left w:val="single" w:sz="4" w:space="0" w:color="auto"/>
              <w:bottom w:val="single" w:sz="4" w:space="0" w:color="auto"/>
              <w:right w:val="single" w:sz="4" w:space="0" w:color="auto"/>
            </w:tcBorders>
            <w:hideMark/>
          </w:tcPr>
          <w:p w:rsidR="0074102E" w:rsidRPr="0074102E" w:rsidP="0074102E" w14:paraId="0AA68122" w14:textId="77777777">
            <w:pPr>
              <w:keepNext/>
              <w:jc w:val="center"/>
              <w:rPr>
                <w:sz w:val="20"/>
                <w:szCs w:val="20"/>
              </w:rPr>
            </w:pPr>
            <w:r w:rsidRPr="0074102E">
              <w:rPr>
                <w:sz w:val="20"/>
                <w:szCs w:val="20"/>
              </w:rPr>
              <w:t>Average Burden per Response</w:t>
            </w:r>
          </w:p>
        </w:tc>
        <w:tc>
          <w:tcPr>
            <w:tcW w:w="1152" w:type="dxa"/>
            <w:tcBorders>
              <w:top w:val="single" w:sz="4" w:space="0" w:color="auto"/>
              <w:left w:val="single" w:sz="4" w:space="0" w:color="auto"/>
              <w:bottom w:val="single" w:sz="4" w:space="0" w:color="auto"/>
              <w:right w:val="single" w:sz="4" w:space="0" w:color="auto"/>
            </w:tcBorders>
            <w:hideMark/>
          </w:tcPr>
          <w:p w:rsidR="0074102E" w:rsidRPr="0074102E" w:rsidP="0074102E" w14:paraId="30B4A5D5" w14:textId="77777777">
            <w:pPr>
              <w:keepNext/>
              <w:jc w:val="center"/>
              <w:rPr>
                <w:sz w:val="20"/>
                <w:szCs w:val="20"/>
              </w:rPr>
            </w:pPr>
            <w:r w:rsidRPr="0074102E">
              <w:rPr>
                <w:sz w:val="20"/>
                <w:szCs w:val="20"/>
              </w:rPr>
              <w:t>Total Hours</w:t>
            </w:r>
          </w:p>
        </w:tc>
      </w:tr>
      <w:tr w14:paraId="2D92D81C" w14:textId="77777777" w:rsidTr="00682C00">
        <w:tblPrEx>
          <w:tblW w:w="9360" w:type="dxa"/>
          <w:tblInd w:w="175" w:type="dxa"/>
          <w:tblLayout w:type="fixed"/>
          <w:tblLook w:val="01E0"/>
        </w:tblPrEx>
        <w:trPr>
          <w:cantSplit/>
          <w:trHeight w:val="20"/>
        </w:trPr>
        <w:tc>
          <w:tcPr>
            <w:tcW w:w="2837" w:type="dxa"/>
            <w:tcBorders>
              <w:top w:val="single" w:sz="4" w:space="0" w:color="auto"/>
              <w:left w:val="single" w:sz="4" w:space="0" w:color="auto"/>
              <w:bottom w:val="single" w:sz="4" w:space="0" w:color="auto"/>
              <w:right w:val="single" w:sz="4" w:space="0" w:color="auto"/>
            </w:tcBorders>
            <w:hideMark/>
          </w:tcPr>
          <w:p w:rsidR="00BF45FB" w:rsidRPr="0074102E" w:rsidP="00BF45FB" w14:paraId="537D13B3" w14:textId="77777777">
            <w:pPr>
              <w:rPr>
                <w:sz w:val="20"/>
                <w:szCs w:val="20"/>
              </w:rPr>
            </w:pPr>
            <w:r w:rsidRPr="0074102E">
              <w:rPr>
                <w:sz w:val="20"/>
                <w:szCs w:val="20"/>
              </w:rPr>
              <w:t>Sec. 607(a)(1) of the FD&amp;C Act; initial registrations</w:t>
            </w:r>
          </w:p>
        </w:tc>
        <w:tc>
          <w:tcPr>
            <w:tcW w:w="1273" w:type="dxa"/>
            <w:tcBorders>
              <w:top w:val="single" w:sz="4" w:space="0" w:color="auto"/>
              <w:left w:val="single" w:sz="4" w:space="0" w:color="auto"/>
              <w:bottom w:val="single" w:sz="4" w:space="0" w:color="auto"/>
              <w:right w:val="single" w:sz="4" w:space="0" w:color="auto"/>
            </w:tcBorders>
            <w:hideMark/>
          </w:tcPr>
          <w:p w:rsidR="00BF45FB" w:rsidRPr="0074102E" w:rsidP="00BF45FB" w14:paraId="00699FA2" w14:textId="77777777">
            <w:pPr>
              <w:jc w:val="right"/>
              <w:rPr>
                <w:sz w:val="20"/>
                <w:szCs w:val="20"/>
              </w:rPr>
            </w:pPr>
            <w:r w:rsidRPr="0074102E">
              <w:rPr>
                <w:sz w:val="20"/>
                <w:szCs w:val="20"/>
              </w:rPr>
              <w:t>3,400</w:t>
            </w:r>
          </w:p>
        </w:tc>
        <w:tc>
          <w:tcPr>
            <w:tcW w:w="1455" w:type="dxa"/>
            <w:tcBorders>
              <w:top w:val="single" w:sz="4" w:space="0" w:color="auto"/>
              <w:left w:val="single" w:sz="4" w:space="0" w:color="auto"/>
              <w:bottom w:val="single" w:sz="4" w:space="0" w:color="auto"/>
              <w:right w:val="single" w:sz="4" w:space="0" w:color="auto"/>
            </w:tcBorders>
            <w:hideMark/>
          </w:tcPr>
          <w:p w:rsidR="00BF45FB" w:rsidRPr="0074102E" w:rsidP="00BF45FB" w14:paraId="6F1DC903" w14:textId="77777777">
            <w:pPr>
              <w:jc w:val="right"/>
              <w:rPr>
                <w:sz w:val="20"/>
                <w:szCs w:val="20"/>
              </w:rPr>
            </w:pPr>
            <w:r w:rsidRPr="0074102E">
              <w:rPr>
                <w:sz w:val="20"/>
                <w:szCs w:val="20"/>
              </w:rPr>
              <w:t>1</w:t>
            </w:r>
          </w:p>
        </w:tc>
        <w:tc>
          <w:tcPr>
            <w:tcW w:w="1183" w:type="dxa"/>
            <w:tcBorders>
              <w:top w:val="single" w:sz="4" w:space="0" w:color="auto"/>
              <w:left w:val="single" w:sz="4" w:space="0" w:color="auto"/>
              <w:bottom w:val="single" w:sz="4" w:space="0" w:color="auto"/>
              <w:right w:val="single" w:sz="4" w:space="0" w:color="auto"/>
            </w:tcBorders>
            <w:hideMark/>
          </w:tcPr>
          <w:p w:rsidR="00BF45FB" w:rsidRPr="0074102E" w:rsidP="00BF45FB" w14:paraId="64B57D03" w14:textId="77777777">
            <w:pPr>
              <w:jc w:val="right"/>
              <w:rPr>
                <w:sz w:val="20"/>
                <w:szCs w:val="20"/>
              </w:rPr>
            </w:pPr>
            <w:r w:rsidRPr="0074102E">
              <w:rPr>
                <w:sz w:val="20"/>
                <w:szCs w:val="20"/>
              </w:rPr>
              <w:t>3,400</w:t>
            </w:r>
          </w:p>
        </w:tc>
        <w:tc>
          <w:tcPr>
            <w:tcW w:w="1460" w:type="dxa"/>
            <w:tcBorders>
              <w:top w:val="single" w:sz="4" w:space="0" w:color="auto"/>
              <w:left w:val="single" w:sz="4" w:space="0" w:color="auto"/>
              <w:bottom w:val="single" w:sz="4" w:space="0" w:color="auto"/>
              <w:right w:val="single" w:sz="4" w:space="0" w:color="auto"/>
            </w:tcBorders>
            <w:hideMark/>
          </w:tcPr>
          <w:p w:rsidR="00BF45FB" w:rsidRPr="0074102E" w:rsidP="00BF45FB" w14:paraId="2189CD29" w14:textId="77777777">
            <w:pPr>
              <w:widowControl w:val="0"/>
              <w:autoSpaceDE w:val="0"/>
              <w:autoSpaceDN w:val="0"/>
              <w:ind w:right="87"/>
              <w:contextualSpacing/>
              <w:jc w:val="right"/>
              <w:rPr>
                <w:sz w:val="20"/>
                <w:szCs w:val="20"/>
              </w:rPr>
            </w:pPr>
            <w:r w:rsidRPr="0074102E">
              <w:rPr>
                <w:sz w:val="20"/>
                <w:szCs w:val="20"/>
              </w:rPr>
              <w:t>0.50</w:t>
            </w:r>
          </w:p>
          <w:p w:rsidR="00BF45FB" w:rsidRPr="0074102E" w:rsidP="00BF45FB" w14:paraId="3E90550B" w14:textId="77777777">
            <w:pPr>
              <w:jc w:val="right"/>
              <w:rPr>
                <w:sz w:val="20"/>
                <w:szCs w:val="20"/>
              </w:rPr>
            </w:pPr>
            <w:r w:rsidRPr="0074102E">
              <w:rPr>
                <w:sz w:val="20"/>
                <w:szCs w:val="20"/>
              </w:rPr>
              <w:t>(30 minutes)</w:t>
            </w:r>
          </w:p>
        </w:tc>
        <w:tc>
          <w:tcPr>
            <w:tcW w:w="1152" w:type="dxa"/>
            <w:tcBorders>
              <w:top w:val="single" w:sz="4" w:space="0" w:color="auto"/>
              <w:left w:val="single" w:sz="4" w:space="0" w:color="auto"/>
              <w:bottom w:val="single" w:sz="4" w:space="0" w:color="auto"/>
              <w:right w:val="single" w:sz="4" w:space="0" w:color="auto"/>
            </w:tcBorders>
            <w:hideMark/>
          </w:tcPr>
          <w:p w:rsidR="00BF45FB" w:rsidRPr="0074102E" w:rsidP="00BF45FB" w14:paraId="421B54D9" w14:textId="77777777">
            <w:pPr>
              <w:jc w:val="right"/>
              <w:rPr>
                <w:sz w:val="20"/>
                <w:szCs w:val="20"/>
              </w:rPr>
            </w:pPr>
            <w:r>
              <w:rPr>
                <w:sz w:val="20"/>
                <w:szCs w:val="20"/>
              </w:rPr>
              <w:t>1,700</w:t>
            </w:r>
          </w:p>
        </w:tc>
      </w:tr>
      <w:tr w14:paraId="3D4DE11B" w14:textId="77777777" w:rsidTr="00682C00">
        <w:tblPrEx>
          <w:tblW w:w="9360" w:type="dxa"/>
          <w:tblInd w:w="175" w:type="dxa"/>
          <w:tblLayout w:type="fixed"/>
          <w:tblLook w:val="01E0"/>
        </w:tblPrEx>
        <w:trPr>
          <w:cantSplit/>
          <w:trHeight w:val="20"/>
        </w:trPr>
        <w:tc>
          <w:tcPr>
            <w:tcW w:w="2837" w:type="dxa"/>
            <w:tcBorders>
              <w:top w:val="single" w:sz="4" w:space="0" w:color="auto"/>
              <w:left w:val="single" w:sz="4" w:space="0" w:color="auto"/>
              <w:bottom w:val="single" w:sz="4" w:space="0" w:color="auto"/>
              <w:right w:val="single" w:sz="4" w:space="0" w:color="auto"/>
            </w:tcBorders>
            <w:hideMark/>
          </w:tcPr>
          <w:p w:rsidR="00BF45FB" w:rsidRPr="0074102E" w:rsidP="00BF45FB" w14:paraId="75796463" w14:textId="77777777">
            <w:pPr>
              <w:rPr>
                <w:sz w:val="20"/>
                <w:szCs w:val="20"/>
              </w:rPr>
            </w:pPr>
            <w:r w:rsidRPr="0074102E">
              <w:rPr>
                <w:sz w:val="20"/>
                <w:szCs w:val="20"/>
              </w:rPr>
              <w:t xml:space="preserve">Sec. 607(a)(2) and (5) of the FD&amp;C Act; biennial registration renewals </w:t>
            </w:r>
          </w:p>
        </w:tc>
        <w:tc>
          <w:tcPr>
            <w:tcW w:w="1273" w:type="dxa"/>
            <w:tcBorders>
              <w:top w:val="single" w:sz="4" w:space="0" w:color="auto"/>
              <w:left w:val="single" w:sz="4" w:space="0" w:color="auto"/>
              <w:bottom w:val="single" w:sz="4" w:space="0" w:color="auto"/>
              <w:right w:val="single" w:sz="4" w:space="0" w:color="auto"/>
            </w:tcBorders>
            <w:hideMark/>
          </w:tcPr>
          <w:p w:rsidR="00BF45FB" w:rsidRPr="0074102E" w:rsidP="00BF45FB" w14:paraId="4D0D2F56" w14:textId="77777777">
            <w:pPr>
              <w:jc w:val="right"/>
              <w:rPr>
                <w:sz w:val="20"/>
                <w:szCs w:val="20"/>
              </w:rPr>
            </w:pPr>
            <w:r w:rsidRPr="0074102E">
              <w:rPr>
                <w:sz w:val="20"/>
                <w:szCs w:val="20"/>
              </w:rPr>
              <w:t>1,700</w:t>
            </w:r>
          </w:p>
        </w:tc>
        <w:tc>
          <w:tcPr>
            <w:tcW w:w="1455" w:type="dxa"/>
            <w:tcBorders>
              <w:top w:val="single" w:sz="4" w:space="0" w:color="auto"/>
              <w:left w:val="single" w:sz="4" w:space="0" w:color="auto"/>
              <w:bottom w:val="single" w:sz="4" w:space="0" w:color="auto"/>
              <w:right w:val="single" w:sz="4" w:space="0" w:color="auto"/>
            </w:tcBorders>
            <w:hideMark/>
          </w:tcPr>
          <w:p w:rsidR="00BF45FB" w:rsidRPr="0074102E" w:rsidP="00BF45FB" w14:paraId="0DDDDC5F" w14:textId="77777777">
            <w:pPr>
              <w:jc w:val="right"/>
              <w:rPr>
                <w:sz w:val="20"/>
                <w:szCs w:val="20"/>
              </w:rPr>
            </w:pPr>
            <w:r w:rsidRPr="0074102E">
              <w:rPr>
                <w:sz w:val="20"/>
                <w:szCs w:val="20"/>
              </w:rPr>
              <w:t>1</w:t>
            </w:r>
          </w:p>
        </w:tc>
        <w:tc>
          <w:tcPr>
            <w:tcW w:w="1183" w:type="dxa"/>
            <w:tcBorders>
              <w:top w:val="single" w:sz="4" w:space="0" w:color="auto"/>
              <w:left w:val="single" w:sz="4" w:space="0" w:color="auto"/>
              <w:bottom w:val="single" w:sz="4" w:space="0" w:color="auto"/>
              <w:right w:val="single" w:sz="4" w:space="0" w:color="auto"/>
            </w:tcBorders>
            <w:hideMark/>
          </w:tcPr>
          <w:p w:rsidR="00BF45FB" w:rsidRPr="0074102E" w:rsidP="00BF45FB" w14:paraId="135BF218" w14:textId="77777777">
            <w:pPr>
              <w:jc w:val="right"/>
              <w:rPr>
                <w:sz w:val="20"/>
                <w:szCs w:val="20"/>
              </w:rPr>
            </w:pPr>
            <w:r w:rsidRPr="0074102E">
              <w:rPr>
                <w:sz w:val="20"/>
                <w:szCs w:val="20"/>
              </w:rPr>
              <w:t>1,700</w:t>
            </w:r>
          </w:p>
        </w:tc>
        <w:tc>
          <w:tcPr>
            <w:tcW w:w="1460" w:type="dxa"/>
            <w:tcBorders>
              <w:top w:val="single" w:sz="4" w:space="0" w:color="auto"/>
              <w:left w:val="single" w:sz="4" w:space="0" w:color="auto"/>
              <w:bottom w:val="single" w:sz="4" w:space="0" w:color="auto"/>
              <w:right w:val="single" w:sz="4" w:space="0" w:color="auto"/>
            </w:tcBorders>
            <w:hideMark/>
          </w:tcPr>
          <w:p w:rsidR="00BF45FB" w:rsidRPr="0074102E" w:rsidP="00BF45FB" w14:paraId="4963446E" w14:textId="77777777">
            <w:pPr>
              <w:jc w:val="right"/>
              <w:rPr>
                <w:sz w:val="20"/>
                <w:szCs w:val="20"/>
              </w:rPr>
            </w:pPr>
            <w:r w:rsidRPr="0074102E">
              <w:rPr>
                <w:sz w:val="20"/>
                <w:szCs w:val="20"/>
              </w:rPr>
              <w:t>0.25</w:t>
            </w:r>
          </w:p>
          <w:p w:rsidR="00BF45FB" w:rsidRPr="0074102E" w:rsidP="00BF45FB" w14:paraId="00451545" w14:textId="77777777">
            <w:pPr>
              <w:jc w:val="right"/>
              <w:rPr>
                <w:sz w:val="20"/>
                <w:szCs w:val="20"/>
              </w:rPr>
            </w:pPr>
            <w:r w:rsidRPr="0074102E">
              <w:rPr>
                <w:sz w:val="20"/>
                <w:szCs w:val="20"/>
              </w:rPr>
              <w:t>(15 minutes)</w:t>
            </w:r>
          </w:p>
        </w:tc>
        <w:tc>
          <w:tcPr>
            <w:tcW w:w="1152" w:type="dxa"/>
            <w:tcBorders>
              <w:top w:val="single" w:sz="4" w:space="0" w:color="auto"/>
              <w:left w:val="single" w:sz="4" w:space="0" w:color="auto"/>
              <w:bottom w:val="single" w:sz="4" w:space="0" w:color="auto"/>
              <w:right w:val="single" w:sz="4" w:space="0" w:color="auto"/>
            </w:tcBorders>
            <w:hideMark/>
          </w:tcPr>
          <w:p w:rsidR="00BF45FB" w:rsidRPr="0074102E" w:rsidP="00BF45FB" w14:paraId="754D9B5B" w14:textId="77777777">
            <w:pPr>
              <w:jc w:val="right"/>
              <w:rPr>
                <w:sz w:val="20"/>
                <w:szCs w:val="20"/>
              </w:rPr>
            </w:pPr>
            <w:r w:rsidRPr="0074102E">
              <w:rPr>
                <w:sz w:val="20"/>
                <w:szCs w:val="20"/>
              </w:rPr>
              <w:t>425</w:t>
            </w:r>
          </w:p>
        </w:tc>
      </w:tr>
      <w:tr w14:paraId="0621EABD" w14:textId="77777777" w:rsidTr="00682C00">
        <w:tblPrEx>
          <w:tblW w:w="9360" w:type="dxa"/>
          <w:tblInd w:w="175" w:type="dxa"/>
          <w:tblLayout w:type="fixed"/>
          <w:tblLook w:val="01E0"/>
        </w:tblPrEx>
        <w:trPr>
          <w:cantSplit/>
          <w:trHeight w:val="20"/>
        </w:trPr>
        <w:tc>
          <w:tcPr>
            <w:tcW w:w="2837" w:type="dxa"/>
            <w:tcBorders>
              <w:top w:val="single" w:sz="4" w:space="0" w:color="auto"/>
              <w:left w:val="single" w:sz="4" w:space="0" w:color="auto"/>
              <w:bottom w:val="single" w:sz="4" w:space="0" w:color="auto"/>
              <w:right w:val="single" w:sz="4" w:space="0" w:color="auto"/>
            </w:tcBorders>
            <w:hideMark/>
          </w:tcPr>
          <w:p w:rsidR="00BF45FB" w:rsidRPr="0074102E" w:rsidP="00BF45FB" w14:paraId="6FC19203" w14:textId="77777777">
            <w:pPr>
              <w:rPr>
                <w:sz w:val="20"/>
                <w:szCs w:val="20"/>
              </w:rPr>
            </w:pPr>
            <w:r w:rsidRPr="0074102E">
              <w:rPr>
                <w:sz w:val="20"/>
                <w:szCs w:val="20"/>
              </w:rPr>
              <w:t xml:space="preserve">Sec. 607(a)(4) of the FD&amp;C Act; registration updates </w:t>
            </w:r>
          </w:p>
        </w:tc>
        <w:tc>
          <w:tcPr>
            <w:tcW w:w="1273" w:type="dxa"/>
            <w:tcBorders>
              <w:top w:val="single" w:sz="4" w:space="0" w:color="auto"/>
              <w:left w:val="single" w:sz="4" w:space="0" w:color="auto"/>
              <w:bottom w:val="single" w:sz="4" w:space="0" w:color="auto"/>
              <w:right w:val="single" w:sz="4" w:space="0" w:color="auto"/>
            </w:tcBorders>
            <w:hideMark/>
          </w:tcPr>
          <w:p w:rsidR="00BF45FB" w:rsidRPr="0074102E" w:rsidP="00BF45FB" w14:paraId="700B68AF" w14:textId="77777777">
            <w:pPr>
              <w:jc w:val="right"/>
              <w:rPr>
                <w:sz w:val="20"/>
                <w:szCs w:val="20"/>
              </w:rPr>
            </w:pPr>
            <w:r w:rsidRPr="0074102E">
              <w:rPr>
                <w:sz w:val="20"/>
                <w:szCs w:val="20"/>
              </w:rPr>
              <w:t>100</w:t>
            </w:r>
          </w:p>
        </w:tc>
        <w:tc>
          <w:tcPr>
            <w:tcW w:w="1455" w:type="dxa"/>
            <w:tcBorders>
              <w:top w:val="single" w:sz="4" w:space="0" w:color="auto"/>
              <w:left w:val="single" w:sz="4" w:space="0" w:color="auto"/>
              <w:bottom w:val="single" w:sz="4" w:space="0" w:color="auto"/>
              <w:right w:val="single" w:sz="4" w:space="0" w:color="auto"/>
            </w:tcBorders>
            <w:hideMark/>
          </w:tcPr>
          <w:p w:rsidR="00BF45FB" w:rsidRPr="0074102E" w:rsidP="00BF45FB" w14:paraId="00BBFB7D" w14:textId="77777777">
            <w:pPr>
              <w:jc w:val="right"/>
              <w:rPr>
                <w:sz w:val="20"/>
                <w:szCs w:val="20"/>
              </w:rPr>
            </w:pPr>
            <w:r w:rsidRPr="0074102E">
              <w:rPr>
                <w:sz w:val="20"/>
                <w:szCs w:val="20"/>
              </w:rPr>
              <w:t>1</w:t>
            </w:r>
          </w:p>
        </w:tc>
        <w:tc>
          <w:tcPr>
            <w:tcW w:w="1183" w:type="dxa"/>
            <w:tcBorders>
              <w:top w:val="single" w:sz="4" w:space="0" w:color="auto"/>
              <w:left w:val="single" w:sz="4" w:space="0" w:color="auto"/>
              <w:bottom w:val="single" w:sz="4" w:space="0" w:color="auto"/>
              <w:right w:val="single" w:sz="4" w:space="0" w:color="auto"/>
            </w:tcBorders>
            <w:hideMark/>
          </w:tcPr>
          <w:p w:rsidR="00BF45FB" w:rsidRPr="0074102E" w:rsidP="00BF45FB" w14:paraId="46AB8BE7" w14:textId="77777777">
            <w:pPr>
              <w:jc w:val="right"/>
              <w:rPr>
                <w:sz w:val="20"/>
                <w:szCs w:val="20"/>
              </w:rPr>
            </w:pPr>
            <w:r w:rsidRPr="0074102E">
              <w:rPr>
                <w:sz w:val="20"/>
                <w:szCs w:val="20"/>
              </w:rPr>
              <w:t>100</w:t>
            </w:r>
          </w:p>
        </w:tc>
        <w:tc>
          <w:tcPr>
            <w:tcW w:w="1460" w:type="dxa"/>
            <w:tcBorders>
              <w:top w:val="single" w:sz="4" w:space="0" w:color="auto"/>
              <w:left w:val="single" w:sz="4" w:space="0" w:color="auto"/>
              <w:bottom w:val="single" w:sz="4" w:space="0" w:color="auto"/>
              <w:right w:val="single" w:sz="4" w:space="0" w:color="auto"/>
            </w:tcBorders>
            <w:hideMark/>
          </w:tcPr>
          <w:p w:rsidR="00BF45FB" w:rsidRPr="0074102E" w:rsidP="00BF45FB" w14:paraId="3E22FE2D" w14:textId="77777777">
            <w:pPr>
              <w:jc w:val="right"/>
              <w:rPr>
                <w:sz w:val="20"/>
                <w:szCs w:val="20"/>
              </w:rPr>
            </w:pPr>
            <w:r w:rsidRPr="0074102E">
              <w:rPr>
                <w:sz w:val="20"/>
                <w:szCs w:val="20"/>
              </w:rPr>
              <w:t>0.25</w:t>
            </w:r>
          </w:p>
          <w:p w:rsidR="00BF45FB" w:rsidRPr="0074102E" w:rsidP="00BF45FB" w14:paraId="5F7DE0CF" w14:textId="77777777">
            <w:pPr>
              <w:jc w:val="right"/>
              <w:rPr>
                <w:sz w:val="20"/>
                <w:szCs w:val="20"/>
              </w:rPr>
            </w:pPr>
            <w:r w:rsidRPr="0074102E">
              <w:rPr>
                <w:sz w:val="20"/>
                <w:szCs w:val="20"/>
              </w:rPr>
              <w:t>(15 minutes)</w:t>
            </w:r>
          </w:p>
        </w:tc>
        <w:tc>
          <w:tcPr>
            <w:tcW w:w="1152" w:type="dxa"/>
            <w:tcBorders>
              <w:top w:val="single" w:sz="4" w:space="0" w:color="auto"/>
              <w:left w:val="single" w:sz="4" w:space="0" w:color="auto"/>
              <w:bottom w:val="single" w:sz="4" w:space="0" w:color="auto"/>
              <w:right w:val="single" w:sz="4" w:space="0" w:color="auto"/>
            </w:tcBorders>
            <w:hideMark/>
          </w:tcPr>
          <w:p w:rsidR="00BF45FB" w:rsidRPr="0074102E" w:rsidP="00BF45FB" w14:paraId="7B264494" w14:textId="77777777">
            <w:pPr>
              <w:jc w:val="right"/>
              <w:rPr>
                <w:sz w:val="20"/>
                <w:szCs w:val="20"/>
              </w:rPr>
            </w:pPr>
            <w:r w:rsidRPr="0074102E">
              <w:rPr>
                <w:sz w:val="20"/>
                <w:szCs w:val="20"/>
              </w:rPr>
              <w:t>25</w:t>
            </w:r>
          </w:p>
        </w:tc>
      </w:tr>
      <w:tr w14:paraId="39B29006" w14:textId="77777777" w:rsidTr="00682C00">
        <w:tblPrEx>
          <w:tblW w:w="9360" w:type="dxa"/>
          <w:tblInd w:w="175" w:type="dxa"/>
          <w:tblLayout w:type="fixed"/>
          <w:tblLook w:val="01E0"/>
        </w:tblPrEx>
        <w:trPr>
          <w:cantSplit/>
          <w:trHeight w:val="20"/>
        </w:trPr>
        <w:tc>
          <w:tcPr>
            <w:tcW w:w="2837" w:type="dxa"/>
            <w:tcBorders>
              <w:top w:val="single" w:sz="4" w:space="0" w:color="auto"/>
              <w:left w:val="single" w:sz="4" w:space="0" w:color="auto"/>
              <w:bottom w:val="single" w:sz="4" w:space="0" w:color="auto"/>
              <w:right w:val="single" w:sz="4" w:space="0" w:color="auto"/>
            </w:tcBorders>
            <w:hideMark/>
          </w:tcPr>
          <w:p w:rsidR="00BF45FB" w:rsidRPr="0074102E" w:rsidP="00BF45FB" w14:paraId="5E3709A2" w14:textId="77777777">
            <w:pPr>
              <w:rPr>
                <w:sz w:val="20"/>
                <w:szCs w:val="20"/>
              </w:rPr>
            </w:pPr>
            <w:r w:rsidRPr="0074102E">
              <w:rPr>
                <w:sz w:val="20"/>
                <w:szCs w:val="20"/>
              </w:rPr>
              <w:t xml:space="preserve">Sec. 607(f) of the FD&amp;C Act; post-hearing corrective action plan </w:t>
            </w:r>
          </w:p>
        </w:tc>
        <w:tc>
          <w:tcPr>
            <w:tcW w:w="1273" w:type="dxa"/>
            <w:tcBorders>
              <w:top w:val="single" w:sz="4" w:space="0" w:color="auto"/>
              <w:left w:val="single" w:sz="4" w:space="0" w:color="auto"/>
              <w:bottom w:val="single" w:sz="4" w:space="0" w:color="auto"/>
              <w:right w:val="single" w:sz="4" w:space="0" w:color="auto"/>
            </w:tcBorders>
            <w:hideMark/>
          </w:tcPr>
          <w:p w:rsidR="00BF45FB" w:rsidRPr="0074102E" w:rsidP="00BF45FB" w14:paraId="007975CE" w14:textId="77777777">
            <w:pPr>
              <w:jc w:val="right"/>
              <w:rPr>
                <w:sz w:val="20"/>
                <w:szCs w:val="20"/>
              </w:rPr>
            </w:pPr>
            <w:r w:rsidRPr="0074102E">
              <w:rPr>
                <w:sz w:val="20"/>
                <w:szCs w:val="20"/>
              </w:rPr>
              <w:t>5</w:t>
            </w:r>
          </w:p>
        </w:tc>
        <w:tc>
          <w:tcPr>
            <w:tcW w:w="1455" w:type="dxa"/>
            <w:tcBorders>
              <w:top w:val="single" w:sz="4" w:space="0" w:color="auto"/>
              <w:left w:val="single" w:sz="4" w:space="0" w:color="auto"/>
              <w:bottom w:val="single" w:sz="4" w:space="0" w:color="auto"/>
              <w:right w:val="single" w:sz="4" w:space="0" w:color="auto"/>
            </w:tcBorders>
            <w:hideMark/>
          </w:tcPr>
          <w:p w:rsidR="00BF45FB" w:rsidRPr="0074102E" w:rsidP="00BF45FB" w14:paraId="4EA90D2B" w14:textId="77777777">
            <w:pPr>
              <w:jc w:val="right"/>
              <w:rPr>
                <w:sz w:val="20"/>
                <w:szCs w:val="20"/>
              </w:rPr>
            </w:pPr>
            <w:r w:rsidRPr="0074102E">
              <w:rPr>
                <w:sz w:val="20"/>
                <w:szCs w:val="20"/>
              </w:rPr>
              <w:t>1</w:t>
            </w:r>
          </w:p>
        </w:tc>
        <w:tc>
          <w:tcPr>
            <w:tcW w:w="1183" w:type="dxa"/>
            <w:tcBorders>
              <w:top w:val="single" w:sz="4" w:space="0" w:color="auto"/>
              <w:left w:val="single" w:sz="4" w:space="0" w:color="auto"/>
              <w:bottom w:val="single" w:sz="4" w:space="0" w:color="auto"/>
              <w:right w:val="single" w:sz="4" w:space="0" w:color="auto"/>
            </w:tcBorders>
            <w:hideMark/>
          </w:tcPr>
          <w:p w:rsidR="00BF45FB" w:rsidRPr="0074102E" w:rsidP="00BF45FB" w14:paraId="466B0057" w14:textId="77777777">
            <w:pPr>
              <w:jc w:val="right"/>
              <w:rPr>
                <w:sz w:val="20"/>
                <w:szCs w:val="20"/>
              </w:rPr>
            </w:pPr>
            <w:r w:rsidRPr="0074102E">
              <w:rPr>
                <w:sz w:val="20"/>
                <w:szCs w:val="20"/>
              </w:rPr>
              <w:t>5</w:t>
            </w:r>
          </w:p>
        </w:tc>
        <w:tc>
          <w:tcPr>
            <w:tcW w:w="1460" w:type="dxa"/>
            <w:tcBorders>
              <w:top w:val="single" w:sz="4" w:space="0" w:color="auto"/>
              <w:left w:val="single" w:sz="4" w:space="0" w:color="auto"/>
              <w:bottom w:val="single" w:sz="4" w:space="0" w:color="auto"/>
              <w:right w:val="single" w:sz="4" w:space="0" w:color="auto"/>
            </w:tcBorders>
            <w:hideMark/>
          </w:tcPr>
          <w:p w:rsidR="00BF45FB" w:rsidRPr="0074102E" w:rsidP="00BF45FB" w14:paraId="11F8E71E" w14:textId="77777777">
            <w:pPr>
              <w:jc w:val="right"/>
              <w:rPr>
                <w:sz w:val="20"/>
                <w:szCs w:val="20"/>
              </w:rPr>
            </w:pPr>
            <w:r w:rsidRPr="0074102E">
              <w:rPr>
                <w:sz w:val="20"/>
                <w:szCs w:val="20"/>
              </w:rPr>
              <w:t>10</w:t>
            </w:r>
          </w:p>
        </w:tc>
        <w:tc>
          <w:tcPr>
            <w:tcW w:w="1152" w:type="dxa"/>
            <w:tcBorders>
              <w:top w:val="single" w:sz="4" w:space="0" w:color="auto"/>
              <w:left w:val="single" w:sz="4" w:space="0" w:color="auto"/>
              <w:bottom w:val="single" w:sz="4" w:space="0" w:color="auto"/>
              <w:right w:val="single" w:sz="4" w:space="0" w:color="auto"/>
            </w:tcBorders>
            <w:hideMark/>
          </w:tcPr>
          <w:p w:rsidR="00BF45FB" w:rsidRPr="0074102E" w:rsidP="00BF45FB" w14:paraId="14C737C0" w14:textId="77777777">
            <w:pPr>
              <w:jc w:val="right"/>
              <w:rPr>
                <w:sz w:val="20"/>
                <w:szCs w:val="20"/>
              </w:rPr>
            </w:pPr>
            <w:r w:rsidRPr="0074102E">
              <w:rPr>
                <w:sz w:val="20"/>
                <w:szCs w:val="20"/>
              </w:rPr>
              <w:t>50</w:t>
            </w:r>
          </w:p>
        </w:tc>
      </w:tr>
      <w:tr w14:paraId="0621D3E6" w14:textId="77777777" w:rsidTr="00682C00">
        <w:tblPrEx>
          <w:tblW w:w="9360" w:type="dxa"/>
          <w:tblInd w:w="175" w:type="dxa"/>
          <w:tblLayout w:type="fixed"/>
          <w:tblLook w:val="01E0"/>
        </w:tblPrEx>
        <w:trPr>
          <w:trHeight w:val="552"/>
        </w:trPr>
        <w:tc>
          <w:tcPr>
            <w:tcW w:w="28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F45FB" w:rsidRPr="0074102E" w:rsidP="00BF45FB" w14:paraId="124C16C4" w14:textId="77777777">
            <w:pPr>
              <w:widowControl w:val="0"/>
              <w:autoSpaceDE w:val="0"/>
              <w:autoSpaceDN w:val="0"/>
              <w:ind w:left="99"/>
              <w:contextualSpacing/>
              <w:rPr>
                <w:sz w:val="20"/>
                <w:szCs w:val="20"/>
              </w:rPr>
            </w:pPr>
            <w:r w:rsidRPr="0074102E">
              <w:rPr>
                <w:sz w:val="20"/>
                <w:szCs w:val="20"/>
              </w:rPr>
              <w:t xml:space="preserve">Sec. 607(c)(1) and (2) of the FD&amp;C Act; cosmetic product listing </w:t>
            </w:r>
          </w:p>
        </w:tc>
        <w:tc>
          <w:tcPr>
            <w:tcW w:w="127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F45FB" w:rsidRPr="0074102E" w:rsidP="00BF45FB" w14:paraId="0C1215DA" w14:textId="77777777">
            <w:pPr>
              <w:widowControl w:val="0"/>
              <w:autoSpaceDE w:val="0"/>
              <w:autoSpaceDN w:val="0"/>
              <w:ind w:right="85"/>
              <w:contextualSpacing/>
              <w:jc w:val="right"/>
              <w:rPr>
                <w:sz w:val="20"/>
                <w:szCs w:val="20"/>
              </w:rPr>
            </w:pPr>
            <w:r w:rsidRPr="0074102E">
              <w:rPr>
                <w:sz w:val="20"/>
                <w:szCs w:val="20"/>
              </w:rPr>
              <w:t>3,400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F45FB" w:rsidRPr="0074102E" w:rsidP="00BF45FB" w14:paraId="2CDD0BF6" w14:textId="2551AAC0">
            <w:pPr>
              <w:widowControl w:val="0"/>
              <w:autoSpaceDE w:val="0"/>
              <w:autoSpaceDN w:val="0"/>
              <w:ind w:right="85"/>
              <w:contextualSpacing/>
              <w:jc w:val="right"/>
              <w:rPr>
                <w:sz w:val="20"/>
                <w:szCs w:val="20"/>
              </w:rPr>
            </w:pPr>
            <w:r>
              <w:rPr>
                <w:sz w:val="20"/>
                <w:szCs w:val="20"/>
              </w:rPr>
              <w:t>10</w:t>
            </w:r>
          </w:p>
        </w:tc>
        <w:tc>
          <w:tcPr>
            <w:tcW w:w="11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F45FB" w:rsidRPr="0074102E" w:rsidP="00BF45FB" w14:paraId="3720A5F3" w14:textId="49104724">
            <w:pPr>
              <w:widowControl w:val="0"/>
              <w:autoSpaceDE w:val="0"/>
              <w:autoSpaceDN w:val="0"/>
              <w:ind w:right="85"/>
              <w:contextualSpacing/>
              <w:jc w:val="right"/>
              <w:rPr>
                <w:sz w:val="20"/>
                <w:szCs w:val="20"/>
              </w:rPr>
            </w:pPr>
            <w:r w:rsidRPr="64D6123D">
              <w:rPr>
                <w:sz w:val="20"/>
                <w:szCs w:val="20"/>
              </w:rPr>
              <w:t>34</w:t>
            </w:r>
            <w:r w:rsidRPr="0074102E">
              <w:rPr>
                <w:sz w:val="20"/>
                <w:szCs w:val="20"/>
              </w:rPr>
              <w:t>,000</w:t>
            </w:r>
          </w:p>
        </w:tc>
        <w:tc>
          <w:tcPr>
            <w:tcW w:w="146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hideMark/>
          </w:tcPr>
          <w:p w:rsidR="00BF45FB" w:rsidRPr="0074102E" w:rsidP="00BF45FB" w14:paraId="7A8B1CFC" w14:textId="77777777">
            <w:pPr>
              <w:widowControl w:val="0"/>
              <w:autoSpaceDE w:val="0"/>
              <w:autoSpaceDN w:val="0"/>
              <w:ind w:right="87"/>
              <w:contextualSpacing/>
              <w:jc w:val="right"/>
              <w:rPr>
                <w:sz w:val="20"/>
                <w:szCs w:val="20"/>
              </w:rPr>
            </w:pPr>
            <w:r w:rsidRPr="6E40DADD">
              <w:rPr>
                <w:sz w:val="20"/>
                <w:szCs w:val="20"/>
              </w:rPr>
              <w:t>1</w:t>
            </w:r>
          </w:p>
          <w:p w:rsidR="00BF45FB" w:rsidRPr="0074102E" w:rsidP="00BF45FB" w14:paraId="45E3FB37" w14:textId="77777777">
            <w:pPr>
              <w:widowControl w:val="0"/>
              <w:autoSpaceDE w:val="0"/>
              <w:autoSpaceDN w:val="0"/>
              <w:ind w:left="99"/>
              <w:contextualSpacing/>
              <w:jc w:val="right"/>
              <w:rPr>
                <w:sz w:val="20"/>
                <w:szCs w:val="20"/>
              </w:rPr>
            </w:pPr>
          </w:p>
        </w:tc>
        <w:tc>
          <w:tcPr>
            <w:tcW w:w="115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hideMark/>
          </w:tcPr>
          <w:p w:rsidR="00BF45FB" w:rsidRPr="0074102E" w:rsidP="00BF45FB" w14:paraId="562936A2" w14:textId="1085FD2F">
            <w:pPr>
              <w:widowControl w:val="0"/>
              <w:autoSpaceDE w:val="0"/>
              <w:autoSpaceDN w:val="0"/>
              <w:ind w:right="87"/>
              <w:contextualSpacing/>
              <w:jc w:val="right"/>
              <w:rPr>
                <w:sz w:val="20"/>
                <w:szCs w:val="20"/>
              </w:rPr>
            </w:pPr>
            <w:r w:rsidRPr="64D6123D">
              <w:rPr>
                <w:sz w:val="20"/>
                <w:szCs w:val="20"/>
              </w:rPr>
              <w:t>34,000</w:t>
            </w:r>
          </w:p>
        </w:tc>
      </w:tr>
      <w:tr w14:paraId="71FCB2EE" w14:textId="77777777" w:rsidTr="00682C00">
        <w:tblPrEx>
          <w:tblW w:w="9360" w:type="dxa"/>
          <w:tblInd w:w="175" w:type="dxa"/>
          <w:tblLayout w:type="fixed"/>
          <w:tblLook w:val="01E0"/>
        </w:tblPrEx>
        <w:trPr>
          <w:trHeight w:val="552"/>
        </w:trPr>
        <w:tc>
          <w:tcPr>
            <w:tcW w:w="28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F45FB" w:rsidRPr="0074102E" w:rsidP="00BF45FB" w14:paraId="5ACAD95F" w14:textId="06F783FA">
            <w:pPr>
              <w:widowControl w:val="0"/>
              <w:autoSpaceDE w:val="0"/>
              <w:autoSpaceDN w:val="0"/>
              <w:ind w:left="99"/>
              <w:contextualSpacing/>
              <w:rPr>
                <w:sz w:val="20"/>
                <w:szCs w:val="20"/>
              </w:rPr>
            </w:pPr>
            <w:r w:rsidRPr="0074102E">
              <w:rPr>
                <w:sz w:val="20"/>
                <w:szCs w:val="20"/>
              </w:rPr>
              <w:t xml:space="preserve">Sec. 607(c)(3) of the FD&amp;C Act; product listing </w:t>
            </w:r>
            <w:r w:rsidR="004E1194">
              <w:rPr>
                <w:sz w:val="20"/>
                <w:szCs w:val="20"/>
              </w:rPr>
              <w:t>abbreviated renewal</w:t>
            </w:r>
            <w:r w:rsidR="00F25BD4">
              <w:rPr>
                <w:sz w:val="20"/>
                <w:szCs w:val="20"/>
              </w:rPr>
              <w:t>s</w:t>
            </w:r>
            <w:r w:rsidR="004E1194">
              <w:rPr>
                <w:sz w:val="20"/>
                <w:szCs w:val="20"/>
              </w:rPr>
              <w:t xml:space="preserve"> </w:t>
            </w:r>
            <w:r w:rsidRPr="0074102E" w:rsidR="00756927">
              <w:rPr>
                <w:sz w:val="20"/>
                <w:szCs w:val="20"/>
              </w:rPr>
              <w:t xml:space="preserve"> </w:t>
            </w:r>
          </w:p>
        </w:tc>
        <w:tc>
          <w:tcPr>
            <w:tcW w:w="127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F45FB" w:rsidRPr="0074102E" w:rsidP="00BF45FB" w14:paraId="330201E8" w14:textId="77777777">
            <w:pPr>
              <w:widowControl w:val="0"/>
              <w:autoSpaceDE w:val="0"/>
              <w:autoSpaceDN w:val="0"/>
              <w:ind w:right="85"/>
              <w:contextualSpacing/>
              <w:jc w:val="right"/>
              <w:rPr>
                <w:sz w:val="20"/>
                <w:szCs w:val="20"/>
              </w:rPr>
            </w:pPr>
            <w:r w:rsidRPr="0074102E">
              <w:rPr>
                <w:sz w:val="20"/>
                <w:szCs w:val="20"/>
              </w:rPr>
              <w:t>3,400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F45FB" w:rsidRPr="0074102E" w:rsidP="00BF45FB" w14:paraId="6F0FE670" w14:textId="608EC2CB">
            <w:pPr>
              <w:widowControl w:val="0"/>
              <w:autoSpaceDE w:val="0"/>
              <w:autoSpaceDN w:val="0"/>
              <w:ind w:right="85"/>
              <w:contextualSpacing/>
              <w:jc w:val="right"/>
              <w:rPr>
                <w:sz w:val="20"/>
                <w:szCs w:val="20"/>
              </w:rPr>
            </w:pPr>
            <w:r>
              <w:rPr>
                <w:sz w:val="20"/>
                <w:szCs w:val="20"/>
              </w:rPr>
              <w:t>10</w:t>
            </w:r>
          </w:p>
        </w:tc>
        <w:tc>
          <w:tcPr>
            <w:tcW w:w="11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F45FB" w:rsidRPr="0074102E" w:rsidP="00BF45FB" w14:paraId="500849A0" w14:textId="5FD3CFB1">
            <w:pPr>
              <w:widowControl w:val="0"/>
              <w:autoSpaceDE w:val="0"/>
              <w:autoSpaceDN w:val="0"/>
              <w:ind w:right="85"/>
              <w:contextualSpacing/>
              <w:jc w:val="right"/>
              <w:rPr>
                <w:sz w:val="20"/>
                <w:szCs w:val="20"/>
              </w:rPr>
            </w:pPr>
            <w:r w:rsidRPr="64D6123D">
              <w:rPr>
                <w:sz w:val="20"/>
                <w:szCs w:val="20"/>
              </w:rPr>
              <w:t>34</w:t>
            </w:r>
            <w:r w:rsidRPr="0074102E">
              <w:rPr>
                <w:sz w:val="20"/>
                <w:szCs w:val="20"/>
              </w:rPr>
              <w:t>,000</w:t>
            </w:r>
          </w:p>
        </w:tc>
        <w:tc>
          <w:tcPr>
            <w:tcW w:w="146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hideMark/>
          </w:tcPr>
          <w:p w:rsidR="00BF45FB" w:rsidRPr="0074102E" w:rsidP="00BF45FB" w14:paraId="68FD718A" w14:textId="77777777">
            <w:pPr>
              <w:widowControl w:val="0"/>
              <w:autoSpaceDE w:val="0"/>
              <w:autoSpaceDN w:val="0"/>
              <w:ind w:right="87"/>
              <w:contextualSpacing/>
              <w:jc w:val="right"/>
              <w:rPr>
                <w:sz w:val="20"/>
                <w:szCs w:val="20"/>
              </w:rPr>
            </w:pPr>
            <w:r w:rsidRPr="0074102E">
              <w:rPr>
                <w:sz w:val="20"/>
                <w:szCs w:val="20"/>
              </w:rPr>
              <w:t>0.25</w:t>
            </w:r>
          </w:p>
          <w:p w:rsidR="00BF45FB" w:rsidRPr="0074102E" w:rsidP="00BF45FB" w14:paraId="5DF9A2FB" w14:textId="77777777">
            <w:pPr>
              <w:widowControl w:val="0"/>
              <w:autoSpaceDE w:val="0"/>
              <w:autoSpaceDN w:val="0"/>
              <w:ind w:right="87"/>
              <w:contextualSpacing/>
              <w:jc w:val="right"/>
              <w:rPr>
                <w:sz w:val="20"/>
                <w:szCs w:val="20"/>
              </w:rPr>
            </w:pPr>
            <w:r w:rsidRPr="0074102E">
              <w:rPr>
                <w:sz w:val="20"/>
                <w:szCs w:val="20"/>
              </w:rPr>
              <w:t>(15 minutes)</w:t>
            </w:r>
          </w:p>
        </w:tc>
        <w:tc>
          <w:tcPr>
            <w:tcW w:w="115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hideMark/>
          </w:tcPr>
          <w:p w:rsidR="00BF45FB" w:rsidRPr="0074102E" w:rsidP="00B16851" w14:paraId="4CEE6DF2" w14:textId="5BD3B35C">
            <w:pPr>
              <w:widowControl w:val="0"/>
              <w:spacing w:line="259" w:lineRule="auto"/>
              <w:ind w:right="87"/>
              <w:contextualSpacing/>
              <w:jc w:val="right"/>
              <w:rPr>
                <w:sz w:val="20"/>
                <w:szCs w:val="20"/>
              </w:rPr>
            </w:pPr>
            <w:r w:rsidRPr="64D6123D">
              <w:rPr>
                <w:sz w:val="20"/>
                <w:szCs w:val="20"/>
              </w:rPr>
              <w:t>8,500</w:t>
            </w:r>
          </w:p>
        </w:tc>
      </w:tr>
      <w:tr w14:paraId="60D88444" w14:textId="77777777" w:rsidTr="00682C00">
        <w:tblPrEx>
          <w:tblW w:w="9360" w:type="dxa"/>
          <w:tblInd w:w="175" w:type="dxa"/>
          <w:tblLayout w:type="fixed"/>
          <w:tblLook w:val="01E0"/>
        </w:tblPrEx>
        <w:trPr>
          <w:trHeight w:val="552"/>
        </w:trPr>
        <w:tc>
          <w:tcPr>
            <w:tcW w:w="28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BF45FB" w:rsidRPr="0074102E" w:rsidP="00BF45FB" w14:paraId="06694262" w14:textId="047891E6">
            <w:pPr>
              <w:widowControl w:val="0"/>
              <w:autoSpaceDE w:val="0"/>
              <w:autoSpaceDN w:val="0"/>
              <w:ind w:left="99"/>
              <w:contextualSpacing/>
              <w:rPr>
                <w:sz w:val="20"/>
                <w:szCs w:val="20"/>
              </w:rPr>
            </w:pPr>
            <w:r w:rsidRPr="0074102E">
              <w:rPr>
                <w:sz w:val="20"/>
                <w:szCs w:val="20"/>
              </w:rPr>
              <w:t xml:space="preserve">Sec. 607(c)(5) of the FD&amp;C Act; product listing updates </w:t>
            </w:r>
          </w:p>
        </w:tc>
        <w:tc>
          <w:tcPr>
            <w:tcW w:w="127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5FB" w:rsidRPr="0074102E" w:rsidP="00BF45FB" w14:paraId="0F246F10" w14:textId="43047DED">
            <w:pPr>
              <w:widowControl w:val="0"/>
              <w:autoSpaceDE w:val="0"/>
              <w:autoSpaceDN w:val="0"/>
              <w:ind w:right="85"/>
              <w:contextualSpacing/>
              <w:jc w:val="right"/>
              <w:rPr>
                <w:sz w:val="20"/>
                <w:szCs w:val="20"/>
              </w:rPr>
            </w:pPr>
            <w:r w:rsidRPr="0074102E">
              <w:rPr>
                <w:sz w:val="20"/>
                <w:szCs w:val="20"/>
              </w:rPr>
              <w:t>200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5FB" w:rsidRPr="0074102E" w:rsidP="00BF45FB" w14:paraId="03C57AE7" w14:textId="31FC9C4A">
            <w:pPr>
              <w:widowControl w:val="0"/>
              <w:autoSpaceDE w:val="0"/>
              <w:autoSpaceDN w:val="0"/>
              <w:ind w:right="85"/>
              <w:contextualSpacing/>
              <w:jc w:val="right"/>
              <w:rPr>
                <w:sz w:val="20"/>
                <w:szCs w:val="20"/>
              </w:rPr>
            </w:pPr>
            <w:r w:rsidRPr="0074102E">
              <w:rPr>
                <w:sz w:val="20"/>
                <w:szCs w:val="20"/>
              </w:rPr>
              <w:t>1</w:t>
            </w:r>
          </w:p>
        </w:tc>
        <w:tc>
          <w:tcPr>
            <w:tcW w:w="11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BF45FB" w:rsidRPr="0074102E" w:rsidP="00BF45FB" w14:paraId="4A08AB56" w14:textId="22EB2524">
            <w:pPr>
              <w:widowControl w:val="0"/>
              <w:autoSpaceDE w:val="0"/>
              <w:autoSpaceDN w:val="0"/>
              <w:ind w:right="85"/>
              <w:contextualSpacing/>
              <w:jc w:val="right"/>
              <w:rPr>
                <w:sz w:val="20"/>
                <w:szCs w:val="20"/>
              </w:rPr>
            </w:pPr>
            <w:r w:rsidRPr="0074102E">
              <w:rPr>
                <w:sz w:val="20"/>
                <w:szCs w:val="20"/>
              </w:rPr>
              <w:t>200</w:t>
            </w:r>
          </w:p>
        </w:tc>
        <w:tc>
          <w:tcPr>
            <w:tcW w:w="1460"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BF45FB" w:rsidRPr="0074102E" w:rsidP="00BF45FB" w14:paraId="49A1DDA8" w14:textId="4CF4FA42">
            <w:pPr>
              <w:widowControl w:val="0"/>
              <w:autoSpaceDE w:val="0"/>
              <w:autoSpaceDN w:val="0"/>
              <w:ind w:right="87"/>
              <w:contextualSpacing/>
              <w:jc w:val="right"/>
              <w:rPr>
                <w:sz w:val="20"/>
                <w:szCs w:val="20"/>
              </w:rPr>
            </w:pPr>
            <w:r w:rsidRPr="0074102E">
              <w:rPr>
                <w:sz w:val="20"/>
                <w:szCs w:val="20"/>
              </w:rPr>
              <w:t>0.25</w:t>
            </w:r>
          </w:p>
          <w:p w:rsidR="00BF45FB" w:rsidRPr="0074102E" w:rsidP="00BF45FB" w14:paraId="61C14095" w14:textId="6D3199EE">
            <w:pPr>
              <w:widowControl w:val="0"/>
              <w:autoSpaceDE w:val="0"/>
              <w:autoSpaceDN w:val="0"/>
              <w:ind w:right="87"/>
              <w:contextualSpacing/>
              <w:jc w:val="right"/>
              <w:rPr>
                <w:sz w:val="20"/>
                <w:szCs w:val="20"/>
              </w:rPr>
            </w:pPr>
            <w:r w:rsidRPr="0074102E">
              <w:rPr>
                <w:sz w:val="20"/>
                <w:szCs w:val="20"/>
              </w:rPr>
              <w:t>(15 minutes)</w:t>
            </w:r>
          </w:p>
        </w:tc>
        <w:tc>
          <w:tcPr>
            <w:tcW w:w="115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rsidR="00BF45FB" w:rsidRPr="0074102E" w:rsidP="00BF45FB" w14:paraId="4DD78A11" w14:textId="1DE44B43">
            <w:pPr>
              <w:widowControl w:val="0"/>
              <w:autoSpaceDE w:val="0"/>
              <w:autoSpaceDN w:val="0"/>
              <w:ind w:right="87"/>
              <w:contextualSpacing/>
              <w:jc w:val="right"/>
              <w:rPr>
                <w:sz w:val="20"/>
                <w:szCs w:val="20"/>
              </w:rPr>
            </w:pPr>
            <w:r w:rsidRPr="0074102E">
              <w:rPr>
                <w:sz w:val="20"/>
                <w:szCs w:val="20"/>
              </w:rPr>
              <w:t>50</w:t>
            </w:r>
          </w:p>
        </w:tc>
      </w:tr>
      <w:tr w14:paraId="0B0F599E" w14:textId="77777777" w:rsidTr="00682C00">
        <w:tblPrEx>
          <w:tblW w:w="9360" w:type="dxa"/>
          <w:tblInd w:w="175" w:type="dxa"/>
          <w:tblLayout w:type="fixed"/>
          <w:tblLook w:val="01E0"/>
        </w:tblPrEx>
        <w:trPr>
          <w:trHeight w:val="318"/>
        </w:trPr>
        <w:tc>
          <w:tcPr>
            <w:tcW w:w="8208" w:type="dxa"/>
            <w:gridSpan w:val="5"/>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hideMark/>
          </w:tcPr>
          <w:p w:rsidR="00BF45FB" w:rsidRPr="0074102E" w:rsidP="00BF45FB" w14:paraId="6D571997" w14:textId="77777777">
            <w:pPr>
              <w:widowControl w:val="0"/>
              <w:autoSpaceDE w:val="0"/>
              <w:autoSpaceDN w:val="0"/>
              <w:ind w:left="90" w:right="87"/>
              <w:contextualSpacing/>
              <w:rPr>
                <w:sz w:val="20"/>
                <w:szCs w:val="20"/>
              </w:rPr>
            </w:pPr>
            <w:r w:rsidRPr="0074102E">
              <w:rPr>
                <w:sz w:val="20"/>
                <w:szCs w:val="20"/>
              </w:rPr>
              <w:t>Total</w:t>
            </w:r>
          </w:p>
        </w:tc>
        <w:tc>
          <w:tcPr>
            <w:tcW w:w="1152"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hideMark/>
          </w:tcPr>
          <w:p w:rsidR="00BF45FB" w:rsidRPr="0074102E" w:rsidP="00BF45FB" w14:paraId="417D9D7B" w14:textId="6394A623">
            <w:pPr>
              <w:widowControl w:val="0"/>
              <w:autoSpaceDE w:val="0"/>
              <w:autoSpaceDN w:val="0"/>
              <w:ind w:right="87"/>
              <w:contextualSpacing/>
              <w:jc w:val="right"/>
              <w:rPr>
                <w:sz w:val="20"/>
                <w:szCs w:val="20"/>
              </w:rPr>
            </w:pPr>
            <w:r w:rsidRPr="64D6123D">
              <w:rPr>
                <w:sz w:val="20"/>
                <w:szCs w:val="20"/>
              </w:rPr>
              <w:t>44,750</w:t>
            </w:r>
          </w:p>
        </w:tc>
      </w:tr>
    </w:tbl>
    <w:p w:rsidR="0074102E" w:rsidRPr="0074102E" w:rsidP="00F1772F" w14:paraId="66EDC562" w14:textId="77777777">
      <w:pPr>
        <w:ind w:left="360"/>
        <w:rPr>
          <w:sz w:val="20"/>
          <w:szCs w:val="20"/>
        </w:rPr>
      </w:pPr>
      <w:r w:rsidRPr="0074102E">
        <w:rPr>
          <w:sz w:val="20"/>
          <w:szCs w:val="20"/>
          <w:vertAlign w:val="superscript"/>
        </w:rPr>
        <w:t>1</w:t>
      </w:r>
      <w:r w:rsidRPr="0074102E">
        <w:rPr>
          <w:sz w:val="20"/>
          <w:szCs w:val="20"/>
        </w:rPr>
        <w:t xml:space="preserve"> There are no capital costs or operating and maintenance costs associated with this collection of information.</w:t>
      </w:r>
    </w:p>
    <w:p w:rsidR="0074102E" w:rsidP="00834A66" w14:paraId="4ABA2947" w14:textId="77777777">
      <w:pPr>
        <w:ind w:left="360"/>
        <w:rPr>
          <w:rFonts w:eastAsia="Calibri"/>
        </w:rPr>
      </w:pPr>
    </w:p>
    <w:p w:rsidR="0074102E" w:rsidP="00C01015" w14:paraId="62CE591D" w14:textId="6D1DF27E">
      <w:pPr>
        <w:spacing w:after="200"/>
        <w:rPr>
          <w:rFonts w:eastAsia="Calibri"/>
        </w:rPr>
      </w:pPr>
      <w:r>
        <w:t xml:space="preserve">We base our estimate of reporting burden hours on information from the VCRP, because it provided the best available data to FDA in terms of the number of respondents and responses.  We believe that the VCRP reflected less than half of cosmetic manufacturers and processors because it was a voluntary system.  </w:t>
      </w:r>
      <w:r w:rsidR="39E0FBA6">
        <w:t>W</w:t>
      </w:r>
      <w:r>
        <w:t>e</w:t>
      </w:r>
      <w:r w:rsidR="7B608CD6">
        <w:t xml:space="preserve"> initially</w:t>
      </w:r>
      <w:r>
        <w:t xml:space="preserve"> doubled our estimate for the number of respondents registering and used this number to estimate other activities related to facility registration and cosmetic product listing.  </w:t>
      </w:r>
      <w:r w:rsidR="0FE31EF2">
        <w:t>We have since further increased the number of product listings per respondent</w:t>
      </w:r>
      <w:r w:rsidR="1AC5C257">
        <w:t xml:space="preserve">, which also increases the number of responses (products).  </w:t>
      </w:r>
      <w:r>
        <w:t xml:space="preserve">Based on a review of the information collection since our last request for OMB approval, we have increased our estimate to account for an anticipated increase in respondents </w:t>
      </w:r>
      <w:r w:rsidR="57845BD9">
        <w:t>and responses</w:t>
      </w:r>
      <w:r>
        <w:t xml:space="preserve"> resulting from new statutory requirements.</w:t>
      </w:r>
    </w:p>
    <w:tbl>
      <w:tblPr>
        <w:tblW w:w="9450" w:type="dxa"/>
        <w:tblInd w:w="90" w:type="dxa"/>
        <w:tblLayout w:type="fixed"/>
        <w:tblLook w:val="06A0"/>
      </w:tblPr>
      <w:tblGrid>
        <w:gridCol w:w="2250"/>
        <w:gridCol w:w="1530"/>
        <w:gridCol w:w="1710"/>
        <w:gridCol w:w="1350"/>
        <w:gridCol w:w="1800"/>
        <w:gridCol w:w="810"/>
      </w:tblGrid>
      <w:tr w14:paraId="1D082477" w14:textId="77777777" w:rsidTr="00C01015">
        <w:tblPrEx>
          <w:tblW w:w="9450" w:type="dxa"/>
          <w:tblInd w:w="90" w:type="dxa"/>
          <w:tblLayout w:type="fixed"/>
          <w:tblLook w:val="06A0"/>
        </w:tblPrEx>
        <w:trPr>
          <w:trHeight w:val="240"/>
        </w:trPr>
        <w:tc>
          <w:tcPr>
            <w:tcW w:w="9450" w:type="dxa"/>
            <w:gridSpan w:val="6"/>
            <w:tcBorders>
              <w:top w:val="nil"/>
              <w:left w:val="nil"/>
              <w:bottom w:val="single" w:sz="8" w:space="0" w:color="000000" w:themeColor="text1"/>
              <w:right w:val="nil"/>
            </w:tcBorders>
            <w:tcMar>
              <w:left w:w="101" w:type="dxa"/>
              <w:right w:w="101" w:type="dxa"/>
            </w:tcMar>
          </w:tcPr>
          <w:p w:rsidR="6B516C8B" w:rsidRPr="00DE4D81" w:rsidP="00B16851" w14:paraId="23524470" w14:textId="5B8B32BD">
            <w:pPr>
              <w:ind w:left="-144"/>
              <w:jc w:val="center"/>
              <w:rPr>
                <w:smallCaps/>
                <w:sz w:val="20"/>
                <w:szCs w:val="20"/>
                <w:vertAlign w:val="superscript"/>
              </w:rPr>
            </w:pPr>
            <w:r w:rsidRPr="00DE4D81">
              <w:rPr>
                <w:sz w:val="20"/>
                <w:szCs w:val="20"/>
              </w:rPr>
              <w:t>Table</w:t>
            </w:r>
            <w:r w:rsidRPr="00DE4D81">
              <w:rPr>
                <w:smallCaps/>
                <w:sz w:val="20"/>
                <w:szCs w:val="20"/>
              </w:rPr>
              <w:t xml:space="preserve"> 3.--</w:t>
            </w:r>
            <w:r w:rsidRPr="00DE4D81">
              <w:rPr>
                <w:sz w:val="20"/>
                <w:szCs w:val="20"/>
              </w:rPr>
              <w:t>Estimated Annual Recordkeeping Burden</w:t>
            </w:r>
            <w:r w:rsidRPr="00DE4D81">
              <w:rPr>
                <w:smallCaps/>
                <w:sz w:val="20"/>
                <w:szCs w:val="20"/>
                <w:vertAlign w:val="superscript"/>
              </w:rPr>
              <w:t>1</w:t>
            </w:r>
          </w:p>
        </w:tc>
      </w:tr>
      <w:tr w14:paraId="33326077" w14:textId="77777777" w:rsidTr="00C01015">
        <w:tblPrEx>
          <w:tblW w:w="9450" w:type="dxa"/>
          <w:tblInd w:w="90" w:type="dxa"/>
          <w:tblLayout w:type="fixed"/>
          <w:tblLook w:val="06A0"/>
        </w:tblPrEx>
        <w:trPr>
          <w:trHeight w:val="480"/>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1" w:type="dxa"/>
              <w:right w:w="101" w:type="dxa"/>
            </w:tcMar>
          </w:tcPr>
          <w:p w:rsidR="5A243F40" w:rsidRPr="00DE4D81" w:rsidP="00DE4D81" w14:paraId="6163917E" w14:textId="3EED27AF">
            <w:pPr>
              <w:ind w:right="83"/>
              <w:jc w:val="center"/>
              <w:rPr>
                <w:sz w:val="20"/>
                <w:szCs w:val="20"/>
              </w:rPr>
            </w:pPr>
            <w:r w:rsidRPr="00DE4D81">
              <w:rPr>
                <w:sz w:val="20"/>
                <w:szCs w:val="20"/>
              </w:rPr>
              <w:t>MoCRA Citation; Activity</w:t>
            </w:r>
          </w:p>
        </w:tc>
        <w:tc>
          <w:tcPr>
            <w:tcW w:w="1530" w:type="dxa"/>
            <w:tcBorders>
              <w:top w:val="nil"/>
              <w:left w:val="single" w:sz="8" w:space="0" w:color="000000" w:themeColor="text1"/>
              <w:bottom w:val="single" w:sz="8" w:space="0" w:color="000000" w:themeColor="text1"/>
              <w:right w:val="single" w:sz="8" w:space="0" w:color="000000" w:themeColor="text1"/>
            </w:tcBorders>
            <w:tcMar>
              <w:left w:w="101" w:type="dxa"/>
              <w:right w:w="101" w:type="dxa"/>
            </w:tcMar>
          </w:tcPr>
          <w:p w:rsidR="6B516C8B" w:rsidRPr="00DE4D81" w:rsidP="00DE4D81" w14:paraId="51B459F1" w14:textId="7A0AB70D">
            <w:pPr>
              <w:ind w:left="-7"/>
              <w:jc w:val="center"/>
              <w:rPr>
                <w:sz w:val="20"/>
                <w:szCs w:val="20"/>
              </w:rPr>
            </w:pPr>
            <w:r w:rsidRPr="00DE4D81">
              <w:rPr>
                <w:sz w:val="20"/>
                <w:szCs w:val="20"/>
              </w:rPr>
              <w:t>No. of Recordkeepers</w:t>
            </w:r>
          </w:p>
        </w:tc>
        <w:tc>
          <w:tcPr>
            <w:tcW w:w="1710" w:type="dxa"/>
            <w:tcBorders>
              <w:top w:val="nil"/>
              <w:left w:val="single" w:sz="8" w:space="0" w:color="000000" w:themeColor="text1"/>
              <w:bottom w:val="single" w:sz="8" w:space="0" w:color="000000" w:themeColor="text1"/>
              <w:right w:val="single" w:sz="8" w:space="0" w:color="000000" w:themeColor="text1"/>
            </w:tcBorders>
            <w:tcMar>
              <w:left w:w="101" w:type="dxa"/>
              <w:right w:w="101" w:type="dxa"/>
            </w:tcMar>
          </w:tcPr>
          <w:p w:rsidR="6B516C8B" w:rsidRPr="00DE4D81" w:rsidP="00DE4D81" w14:paraId="09BE0680" w14:textId="72DC5212">
            <w:pPr>
              <w:ind w:left="-7" w:right="83"/>
              <w:jc w:val="center"/>
              <w:rPr>
                <w:sz w:val="20"/>
                <w:szCs w:val="20"/>
              </w:rPr>
            </w:pPr>
            <w:r w:rsidRPr="00DE4D81">
              <w:rPr>
                <w:sz w:val="20"/>
                <w:szCs w:val="20"/>
              </w:rPr>
              <w:t>No. of Records per Recordkeeper</w:t>
            </w:r>
          </w:p>
        </w:tc>
        <w:tc>
          <w:tcPr>
            <w:tcW w:w="1350" w:type="dxa"/>
            <w:tcBorders>
              <w:top w:val="nil"/>
              <w:left w:val="single" w:sz="8" w:space="0" w:color="000000" w:themeColor="text1"/>
              <w:bottom w:val="single" w:sz="8" w:space="0" w:color="000000" w:themeColor="text1"/>
              <w:right w:val="single" w:sz="8" w:space="0" w:color="000000" w:themeColor="text1"/>
            </w:tcBorders>
            <w:tcMar>
              <w:left w:w="101" w:type="dxa"/>
              <w:right w:w="101" w:type="dxa"/>
            </w:tcMar>
          </w:tcPr>
          <w:p w:rsidR="6B516C8B" w:rsidRPr="00DE4D81" w:rsidP="00DE4D81" w14:paraId="75F2430F" w14:textId="1396B2D2">
            <w:pPr>
              <w:ind w:right="83"/>
              <w:jc w:val="center"/>
              <w:rPr>
                <w:sz w:val="20"/>
                <w:szCs w:val="20"/>
              </w:rPr>
            </w:pPr>
            <w:r w:rsidRPr="00DE4D81">
              <w:rPr>
                <w:sz w:val="20"/>
                <w:szCs w:val="20"/>
              </w:rPr>
              <w:t>Total Annual Records</w:t>
            </w:r>
          </w:p>
        </w:tc>
        <w:tc>
          <w:tcPr>
            <w:tcW w:w="1800" w:type="dxa"/>
            <w:tcBorders>
              <w:top w:val="nil"/>
              <w:left w:val="single" w:sz="8" w:space="0" w:color="000000" w:themeColor="text1"/>
              <w:bottom w:val="single" w:sz="8" w:space="0" w:color="000000" w:themeColor="text1"/>
              <w:right w:val="single" w:sz="8" w:space="0" w:color="000000" w:themeColor="text1"/>
            </w:tcBorders>
            <w:tcMar>
              <w:left w:w="101" w:type="dxa"/>
              <w:right w:w="101" w:type="dxa"/>
            </w:tcMar>
          </w:tcPr>
          <w:p w:rsidR="6B516C8B" w:rsidRPr="00DE4D81" w:rsidP="00DE4D81" w14:paraId="7877F4D2" w14:textId="57D6A32C">
            <w:pPr>
              <w:ind w:left="-7" w:right="83"/>
              <w:jc w:val="center"/>
              <w:rPr>
                <w:sz w:val="20"/>
                <w:szCs w:val="20"/>
              </w:rPr>
            </w:pPr>
            <w:r w:rsidRPr="00DE4D81">
              <w:rPr>
                <w:sz w:val="20"/>
                <w:szCs w:val="20"/>
              </w:rPr>
              <w:t>Average Burden per Recordkeeping</w:t>
            </w:r>
          </w:p>
        </w:tc>
        <w:tc>
          <w:tcPr>
            <w:tcW w:w="810" w:type="dxa"/>
            <w:tcBorders>
              <w:top w:val="nil"/>
              <w:left w:val="single" w:sz="8" w:space="0" w:color="000000" w:themeColor="text1"/>
              <w:bottom w:val="single" w:sz="8" w:space="0" w:color="000000" w:themeColor="text1"/>
              <w:right w:val="single" w:sz="8" w:space="0" w:color="000000" w:themeColor="text1"/>
            </w:tcBorders>
            <w:tcMar>
              <w:left w:w="101" w:type="dxa"/>
              <w:right w:w="101" w:type="dxa"/>
            </w:tcMar>
          </w:tcPr>
          <w:p w:rsidR="6B516C8B" w:rsidRPr="00DE4D81" w:rsidP="00DE4D81" w14:paraId="16EDDCD5" w14:textId="0E4B179D">
            <w:pPr>
              <w:ind w:right="84"/>
              <w:jc w:val="center"/>
              <w:rPr>
                <w:sz w:val="20"/>
                <w:szCs w:val="20"/>
              </w:rPr>
            </w:pPr>
            <w:r w:rsidRPr="00DE4D81">
              <w:rPr>
                <w:sz w:val="20"/>
                <w:szCs w:val="20"/>
              </w:rPr>
              <w:t>Total Hours</w:t>
            </w:r>
          </w:p>
        </w:tc>
      </w:tr>
      <w:tr w14:paraId="1F366F62" w14:textId="77777777" w:rsidTr="00C01015">
        <w:tblPrEx>
          <w:tblW w:w="9450" w:type="dxa"/>
          <w:tblInd w:w="90" w:type="dxa"/>
          <w:tblLayout w:type="fixed"/>
          <w:tblLook w:val="06A0"/>
        </w:tblPrEx>
        <w:trPr>
          <w:trHeight w:val="465"/>
        </w:trPr>
        <w:tc>
          <w:tcPr>
            <w:tcW w:w="22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1" w:type="dxa"/>
              <w:right w:w="101" w:type="dxa"/>
            </w:tcMar>
          </w:tcPr>
          <w:p w:rsidR="6B516C8B" w:rsidRPr="00DE4D81" w:rsidP="00DE4D81" w14:paraId="0314C6B4" w14:textId="456A0543">
            <w:pPr>
              <w:ind w:left="82" w:right="83"/>
              <w:rPr>
                <w:sz w:val="20"/>
                <w:szCs w:val="20"/>
              </w:rPr>
            </w:pPr>
            <w:r w:rsidRPr="00DE4D81">
              <w:rPr>
                <w:sz w:val="20"/>
                <w:szCs w:val="20"/>
              </w:rPr>
              <w:t>Sec. 60</w:t>
            </w:r>
            <w:r w:rsidRPr="00DE4D81" w:rsidR="4D53F159">
              <w:rPr>
                <w:sz w:val="20"/>
                <w:szCs w:val="20"/>
              </w:rPr>
              <w:t>5</w:t>
            </w:r>
            <w:r w:rsidRPr="00DE4D81">
              <w:rPr>
                <w:sz w:val="20"/>
                <w:szCs w:val="20"/>
              </w:rPr>
              <w:t>(</w:t>
            </w:r>
            <w:r w:rsidRPr="00DE4D81" w:rsidR="41BFB690">
              <w:rPr>
                <w:sz w:val="20"/>
                <w:szCs w:val="20"/>
              </w:rPr>
              <w:t>e</w:t>
            </w:r>
            <w:r w:rsidRPr="00DE4D81">
              <w:rPr>
                <w:sz w:val="20"/>
                <w:szCs w:val="20"/>
              </w:rPr>
              <w:t>) of the FD&amp;C Act;</w:t>
            </w:r>
            <w:r w:rsidR="000A676B">
              <w:rPr>
                <w:sz w:val="20"/>
                <w:szCs w:val="20"/>
              </w:rPr>
              <w:t xml:space="preserve"> </w:t>
            </w:r>
            <w:r w:rsidRPr="00DE4D81">
              <w:rPr>
                <w:sz w:val="20"/>
                <w:szCs w:val="20"/>
              </w:rPr>
              <w:t>adverse events records</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1" w:type="dxa"/>
              <w:right w:w="101" w:type="dxa"/>
            </w:tcMar>
          </w:tcPr>
          <w:p w:rsidR="6B516C8B" w:rsidRPr="00DE4D81" w:rsidP="00DE4D81" w14:paraId="5994F734" w14:textId="6AE89F0A">
            <w:pPr>
              <w:ind w:left="-144"/>
              <w:jc w:val="right"/>
              <w:rPr>
                <w:sz w:val="20"/>
                <w:szCs w:val="20"/>
              </w:rPr>
            </w:pPr>
            <w:r w:rsidRPr="00DE4D81">
              <w:rPr>
                <w:sz w:val="20"/>
                <w:szCs w:val="20"/>
              </w:rPr>
              <w:t>1,</w:t>
            </w:r>
            <w:r w:rsidRPr="00DE4D81" w:rsidR="205D694C">
              <w:rPr>
                <w:sz w:val="20"/>
                <w:szCs w:val="20"/>
              </w:rPr>
              <w:t>0</w:t>
            </w:r>
            <w:r w:rsidRPr="00DE4D81">
              <w:rPr>
                <w:sz w:val="20"/>
                <w:szCs w:val="20"/>
              </w:rPr>
              <w:t>00</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1" w:type="dxa"/>
              <w:right w:w="101" w:type="dxa"/>
            </w:tcMar>
          </w:tcPr>
          <w:p w:rsidR="2EACFFD1" w:rsidRPr="00DE4D81" w:rsidP="00DE4D81" w14:paraId="0274FB2B" w14:textId="69BE23CE">
            <w:pPr>
              <w:ind w:left="-144"/>
              <w:jc w:val="right"/>
              <w:rPr>
                <w:sz w:val="20"/>
                <w:szCs w:val="20"/>
              </w:rPr>
            </w:pPr>
            <w:r w:rsidRPr="00DE4D81">
              <w:rPr>
                <w:sz w:val="20"/>
                <w:szCs w:val="20"/>
              </w:rPr>
              <w:t>1</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1" w:type="dxa"/>
              <w:right w:w="101" w:type="dxa"/>
            </w:tcMar>
          </w:tcPr>
          <w:p w:rsidR="6B516C8B" w:rsidRPr="00DE4D81" w:rsidP="00DE4D81" w14:paraId="28003B04" w14:textId="36B4350A">
            <w:pPr>
              <w:ind w:left="-144"/>
              <w:jc w:val="right"/>
              <w:rPr>
                <w:sz w:val="20"/>
                <w:szCs w:val="20"/>
              </w:rPr>
            </w:pPr>
            <w:r w:rsidRPr="00DE4D81">
              <w:rPr>
                <w:sz w:val="20"/>
                <w:szCs w:val="20"/>
              </w:rPr>
              <w:t xml:space="preserve"> 1</w:t>
            </w:r>
            <w:r w:rsidRPr="00DE4D81" w:rsidR="19F61DAD">
              <w:rPr>
                <w:sz w:val="20"/>
                <w:szCs w:val="20"/>
              </w:rPr>
              <w:t>,0</w:t>
            </w:r>
            <w:r w:rsidRPr="00DE4D81">
              <w:rPr>
                <w:sz w:val="20"/>
                <w:szCs w:val="20"/>
              </w:rPr>
              <w:t>00</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1" w:type="dxa"/>
              <w:right w:w="101" w:type="dxa"/>
            </w:tcMar>
          </w:tcPr>
          <w:p w:rsidR="6B516C8B" w:rsidRPr="00DE4D81" w:rsidP="00DE4D81" w14:paraId="52DB7263" w14:textId="3CA476ED">
            <w:pPr>
              <w:ind w:left="-144"/>
              <w:jc w:val="right"/>
              <w:rPr>
                <w:sz w:val="20"/>
                <w:szCs w:val="20"/>
              </w:rPr>
            </w:pPr>
            <w:r w:rsidRPr="00DE4D81">
              <w:rPr>
                <w:sz w:val="20"/>
                <w:szCs w:val="20"/>
              </w:rPr>
              <w:t>0.5</w:t>
            </w:r>
          </w:p>
          <w:p w:rsidR="6B516C8B" w:rsidRPr="00DE4D81" w:rsidP="00DE4D81" w14:paraId="74ACB547" w14:textId="1FC4402A">
            <w:pPr>
              <w:ind w:left="-144"/>
              <w:jc w:val="right"/>
              <w:rPr>
                <w:sz w:val="20"/>
                <w:szCs w:val="20"/>
              </w:rPr>
            </w:pPr>
            <w:r w:rsidRPr="00DE4D81">
              <w:rPr>
                <w:sz w:val="20"/>
                <w:szCs w:val="20"/>
              </w:rPr>
              <w:t>(30 minutes)</w:t>
            </w:r>
          </w:p>
        </w:tc>
        <w:tc>
          <w:tcPr>
            <w:tcW w:w="8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1" w:type="dxa"/>
              <w:right w:w="101" w:type="dxa"/>
            </w:tcMar>
          </w:tcPr>
          <w:p w:rsidR="589BB819" w:rsidRPr="00DE4D81" w:rsidP="00DE4D81" w14:paraId="2997959F" w14:textId="741322EC">
            <w:pPr>
              <w:ind w:left="-144"/>
              <w:jc w:val="right"/>
              <w:rPr>
                <w:sz w:val="20"/>
                <w:szCs w:val="20"/>
              </w:rPr>
            </w:pPr>
            <w:r w:rsidRPr="00DE4D81">
              <w:rPr>
                <w:sz w:val="20"/>
                <w:szCs w:val="20"/>
              </w:rPr>
              <w:t>5</w:t>
            </w:r>
            <w:r w:rsidRPr="00DE4D81" w:rsidR="6B516C8B">
              <w:rPr>
                <w:sz w:val="20"/>
                <w:szCs w:val="20"/>
              </w:rPr>
              <w:t>00</w:t>
            </w:r>
          </w:p>
        </w:tc>
      </w:tr>
      <w:tr w14:paraId="622EBFC1" w14:textId="77777777" w:rsidTr="00C01015">
        <w:tblPrEx>
          <w:tblW w:w="9450" w:type="dxa"/>
          <w:tblInd w:w="90" w:type="dxa"/>
          <w:tblLayout w:type="fixed"/>
          <w:tblLook w:val="06A0"/>
        </w:tblPrEx>
        <w:trPr>
          <w:trHeight w:val="403"/>
        </w:trPr>
        <w:tc>
          <w:tcPr>
            <w:tcW w:w="9450" w:type="dxa"/>
            <w:gridSpan w:val="6"/>
            <w:tcBorders>
              <w:top w:val="single" w:sz="8" w:space="0" w:color="000000" w:themeColor="text1"/>
              <w:left w:val="nil"/>
              <w:bottom w:val="nil"/>
              <w:right w:val="nil"/>
            </w:tcBorders>
            <w:tcMar>
              <w:left w:w="101" w:type="dxa"/>
              <w:right w:w="101" w:type="dxa"/>
            </w:tcMar>
          </w:tcPr>
          <w:p w:rsidR="6B516C8B" w:rsidRPr="00DE4D81" w:rsidP="00DE4D81" w14:paraId="5BA09A31" w14:textId="2A750794">
            <w:pPr>
              <w:rPr>
                <w:sz w:val="20"/>
                <w:szCs w:val="20"/>
              </w:rPr>
            </w:pPr>
            <w:r w:rsidRPr="00DE4D81">
              <w:rPr>
                <w:sz w:val="20"/>
                <w:szCs w:val="20"/>
                <w:vertAlign w:val="superscript"/>
              </w:rPr>
              <w:t>1</w:t>
            </w:r>
            <w:r w:rsidR="00556F5F">
              <w:rPr>
                <w:sz w:val="20"/>
                <w:szCs w:val="20"/>
                <w:vertAlign w:val="superscript"/>
              </w:rPr>
              <w:t xml:space="preserve"> </w:t>
            </w:r>
            <w:r w:rsidRPr="00DE4D81">
              <w:rPr>
                <w:sz w:val="20"/>
                <w:szCs w:val="20"/>
              </w:rPr>
              <w:t>There are no capital costs or operating costs associated with the collection of information</w:t>
            </w:r>
            <w:r w:rsidRPr="00DE4D81" w:rsidR="37EE2AB2">
              <w:rPr>
                <w:sz w:val="20"/>
                <w:szCs w:val="20"/>
              </w:rPr>
              <w:t>.</w:t>
            </w:r>
          </w:p>
        </w:tc>
      </w:tr>
    </w:tbl>
    <w:p w:rsidR="008E0C66" w:rsidRPr="00DE4D81" w:rsidP="00C01015" w14:paraId="738EB16A" w14:textId="7DF24710">
      <w:r w:rsidRPr="00DE4D81">
        <w:t>We base our estimate of recordkeeping burden hours on estimates found in the</w:t>
      </w:r>
      <w:r w:rsidRPr="00DE4D81" w:rsidR="4A76D069">
        <w:t xml:space="preserve"> information collection approved under OMB control no. 0910-0291 (FDA’s Adverse Event and Product Experience Reporting Program).</w:t>
      </w:r>
      <w:r w:rsidRPr="00DE4D81" w:rsidR="620791CF">
        <w:t xml:space="preserve">  The collection </w:t>
      </w:r>
      <w:r w:rsidRPr="00DE4D81" w:rsidR="2CF571A7">
        <w:t xml:space="preserve">currently estimates 1,793 paper reports &amp; 1,398 Safety Reporting Portal </w:t>
      </w:r>
      <w:r w:rsidRPr="00DE4D81" w:rsidR="27130D65">
        <w:t xml:space="preserve">submissions, </w:t>
      </w:r>
      <w:r w:rsidRPr="00DE4D81" w:rsidR="627868E0">
        <w:t xml:space="preserve">for CFSAN </w:t>
      </w:r>
      <w:r w:rsidRPr="00DE4D81" w:rsidR="27130D65">
        <w:t>which includes f</w:t>
      </w:r>
      <w:r w:rsidRPr="00DE4D81" w:rsidR="2CF571A7">
        <w:t xml:space="preserve">ood, </w:t>
      </w:r>
      <w:r w:rsidRPr="00DE4D81" w:rsidR="06657FFE">
        <w:t>i</w:t>
      </w:r>
      <w:r w:rsidRPr="00DE4D81" w:rsidR="2CF571A7">
        <w:t xml:space="preserve">nfant formula, </w:t>
      </w:r>
      <w:r w:rsidRPr="00DE4D81" w:rsidR="5E9A76BE">
        <w:t>and</w:t>
      </w:r>
      <w:r w:rsidRPr="00DE4D81" w:rsidR="2CF571A7">
        <w:t xml:space="preserve"> </w:t>
      </w:r>
      <w:r w:rsidRPr="00DE4D81" w:rsidR="4081F982">
        <w:t>c</w:t>
      </w:r>
      <w:r w:rsidRPr="00DE4D81" w:rsidR="2CF571A7">
        <w:t xml:space="preserve">osmetic </w:t>
      </w:r>
      <w:r w:rsidRPr="00DE4D81" w:rsidR="5B1E613D">
        <w:t>products</w:t>
      </w:r>
      <w:r w:rsidRPr="00DE4D81" w:rsidR="2CF571A7">
        <w:t>, equal</w:t>
      </w:r>
      <w:r w:rsidRPr="00DE4D81" w:rsidR="178FAB00">
        <w:t>ing</w:t>
      </w:r>
      <w:r w:rsidRPr="00DE4D81" w:rsidR="2CF571A7">
        <w:t xml:space="preserve"> 3,191</w:t>
      </w:r>
      <w:r w:rsidRPr="00DE4D81" w:rsidR="502B5FAC">
        <w:t>.  We estimate that cosmetic</w:t>
      </w:r>
      <w:r w:rsidR="00E20479">
        <w:t xml:space="preserve"> product</w:t>
      </w:r>
      <w:r w:rsidRPr="00DE4D81" w:rsidR="502B5FAC">
        <w:t xml:space="preserve">s account for </w:t>
      </w:r>
      <w:r w:rsidRPr="00DE4D81" w:rsidR="7D48B3FC">
        <w:t>around</w:t>
      </w:r>
      <w:r w:rsidRPr="00DE4D81" w:rsidR="1DF64164">
        <w:t xml:space="preserve"> </w:t>
      </w:r>
      <w:r w:rsidRPr="00DE4D81" w:rsidR="502B5FAC">
        <w:t xml:space="preserve">a </w:t>
      </w:r>
      <w:r w:rsidRPr="00DE4D81" w:rsidR="3DAA1DA0">
        <w:t>third</w:t>
      </w:r>
      <w:r w:rsidRPr="00DE4D81" w:rsidR="502B5FAC">
        <w:t xml:space="preserve"> of the reports (</w:t>
      </w:r>
      <w:r w:rsidRPr="00DE4D81" w:rsidR="68E4213B">
        <w:t>estimating</w:t>
      </w:r>
      <w:r w:rsidRPr="00DE4D81" w:rsidR="502B5FAC">
        <w:t xml:space="preserve"> 1,000) with each report corresponding to a</w:t>
      </w:r>
      <w:r w:rsidRPr="00DE4D81" w:rsidR="55C2964E">
        <w:t xml:space="preserve"> separate</w:t>
      </w:r>
      <w:r w:rsidRPr="00DE4D81" w:rsidR="502B5FAC">
        <w:t xml:space="preserve"> recordkeeping. </w:t>
      </w:r>
      <w:r w:rsidRPr="00DE4D81" w:rsidR="33CC7C70">
        <w:t xml:space="preserve"> We estimate that </w:t>
      </w:r>
      <w:r w:rsidRPr="00DE4D81" w:rsidR="742BE7FB">
        <w:t xml:space="preserve">maintaining the record will take 30 minutes.  However, </w:t>
      </w:r>
      <w:r w:rsidRPr="00DE4D81" w:rsidR="06DB7906">
        <w:t>o</w:t>
      </w:r>
      <w:r w:rsidRPr="00DE4D81" w:rsidR="742BE7FB">
        <w:t xml:space="preserve">nce the documents pertaining to an adverse event report have been assembled and filed in accordance with </w:t>
      </w:r>
      <w:r w:rsidRPr="00DE4D81" w:rsidR="32D0CD2D">
        <w:t>MoCRA</w:t>
      </w:r>
      <w:r w:rsidRPr="00DE4D81" w:rsidR="742BE7FB">
        <w:t xml:space="preserve">, we expect the records retention burden to be minimal, as we believe most </w:t>
      </w:r>
      <w:r w:rsidRPr="00DE4D81" w:rsidR="21BF8671">
        <w:t>responsible person</w:t>
      </w:r>
      <w:r w:rsidRPr="00DE4D81" w:rsidR="742BE7FB">
        <w:t xml:space="preserve">s would normally keep this kind of record for at least several years after </w:t>
      </w:r>
      <w:r w:rsidRPr="00DE4D81" w:rsidR="155C3D66">
        <w:t>creat</w:t>
      </w:r>
      <w:r w:rsidRPr="00DE4D81" w:rsidR="742BE7FB">
        <w:t xml:space="preserve">ing the </w:t>
      </w:r>
      <w:r w:rsidRPr="00DE4D81" w:rsidR="650ED6DC">
        <w:t>document</w:t>
      </w:r>
      <w:r w:rsidRPr="00DE4D81" w:rsidR="742BE7FB">
        <w:t>, as a matter of usual and customary business practice.</w:t>
      </w:r>
    </w:p>
    <w:p w:rsidR="33CC7C70" w:rsidP="00DE4D81" w14:paraId="391C8989" w14:textId="2D3A97C9">
      <w:pPr>
        <w:ind w:left="432"/>
      </w:pPr>
    </w:p>
    <w:p w:rsidR="00357C8A" w:rsidRPr="00AF0260" w:rsidP="00AF0260" w14:paraId="41EDEF03" w14:textId="77777777">
      <w:pPr>
        <w:ind w:firstLine="720"/>
        <w:rPr>
          <w:rFonts w:eastAsia="Calibri"/>
          <w:i/>
          <w:iCs/>
        </w:rPr>
      </w:pPr>
      <w:r w:rsidRPr="00AF0260">
        <w:rPr>
          <w:rFonts w:eastAsia="Calibri"/>
          <w:i/>
          <w:iCs/>
        </w:rPr>
        <w:t>12b.  Annualized Cost Burden Estimate</w:t>
      </w:r>
    </w:p>
    <w:p w:rsidR="00F1772F" w:rsidP="00AF0260" w14:paraId="5FF72B17" w14:textId="77777777">
      <w:pPr>
        <w:ind w:left="180"/>
        <w:rPr>
          <w:rFonts w:eastAsia="Calibri"/>
        </w:rPr>
      </w:pPr>
    </w:p>
    <w:p w:rsidR="00F1772F" w:rsidP="00C01015" w14:paraId="283D0BDD" w14:textId="054E3A31">
      <w:pPr>
        <w:rPr>
          <w:rFonts w:eastAsia="Calibri"/>
        </w:rPr>
      </w:pPr>
      <w:r w:rsidRPr="00F1772F">
        <w:rPr>
          <w:rFonts w:eastAsia="Calibri"/>
        </w:rPr>
        <w:t>We estimate the annualized burden hour cost to respondents for this collection of</w:t>
      </w:r>
      <w:r>
        <w:rPr>
          <w:rFonts w:eastAsia="Calibri"/>
        </w:rPr>
        <w:t xml:space="preserve"> </w:t>
      </w:r>
      <w:r w:rsidRPr="00F1772F">
        <w:rPr>
          <w:rFonts w:eastAsia="Calibri"/>
        </w:rPr>
        <w:t>information to be approximately $</w:t>
      </w:r>
      <w:r w:rsidRPr="5820B9D4" w:rsidR="2063E20E">
        <w:rPr>
          <w:rFonts w:eastAsia="Calibri"/>
        </w:rPr>
        <w:t>20,227,775</w:t>
      </w:r>
      <w:r w:rsidR="00311C34">
        <w:rPr>
          <w:rFonts w:eastAsia="Calibri"/>
        </w:rPr>
        <w:t>.68</w:t>
      </w:r>
      <w:r w:rsidRPr="00F1772F">
        <w:rPr>
          <w:rFonts w:eastAsia="Calibri"/>
        </w:rPr>
        <w:t>.</w:t>
      </w:r>
    </w:p>
    <w:p w:rsidR="00F1772F" w:rsidRPr="00F1772F" w:rsidP="00C01015" w14:paraId="48FCF673" w14:textId="77777777">
      <w:pPr>
        <w:rPr>
          <w:rFonts w:eastAsia="Calibri"/>
        </w:rPr>
      </w:pPr>
    </w:p>
    <w:p w:rsidR="00F1772F" w:rsidRPr="00F1772F" w:rsidP="00C01015" w14:paraId="2B877976" w14:textId="77777777">
      <w:pPr>
        <w:rPr>
          <w:rFonts w:eastAsia="Calibri"/>
        </w:rPr>
      </w:pPr>
      <w:r w:rsidRPr="00F1772F">
        <w:rPr>
          <w:rFonts w:eastAsia="Calibri"/>
        </w:rPr>
        <w:t>We estimate that the label design process will involve an employee making an average wage</w:t>
      </w:r>
      <w:r>
        <w:rPr>
          <w:rFonts w:eastAsia="Calibri"/>
        </w:rPr>
        <w:t xml:space="preserve"> </w:t>
      </w:r>
      <w:r w:rsidRPr="00F1772F">
        <w:rPr>
          <w:rFonts w:eastAsia="Calibri"/>
        </w:rPr>
        <w:t>similar that of a Federal government employee at the GS-12/Step-1 rate for the Washington-</w:t>
      </w:r>
    </w:p>
    <w:p w:rsidR="00F1772F" w:rsidP="00C01015" w14:paraId="074B7BFD" w14:textId="77777777">
      <w:pPr>
        <w:rPr>
          <w:rFonts w:eastAsia="Calibri"/>
        </w:rPr>
      </w:pPr>
      <w:r w:rsidRPr="00F1772F">
        <w:rPr>
          <w:rFonts w:eastAsia="Calibri"/>
        </w:rPr>
        <w:t>Baltimore locality pay area for the year 202</w:t>
      </w:r>
      <w:r w:rsidR="00D35E31">
        <w:rPr>
          <w:rFonts w:eastAsia="Calibri"/>
        </w:rPr>
        <w:t>3</w:t>
      </w:r>
      <w:r w:rsidRPr="00F1772F">
        <w:rPr>
          <w:rFonts w:eastAsia="Calibri"/>
        </w:rPr>
        <w:t>, which is $</w:t>
      </w:r>
      <w:r w:rsidR="00D35E31">
        <w:rPr>
          <w:rFonts w:eastAsia="Calibri"/>
        </w:rPr>
        <w:t>45.14</w:t>
      </w:r>
      <w:r w:rsidRPr="00F1772F">
        <w:rPr>
          <w:rFonts w:eastAsia="Calibri"/>
        </w:rPr>
        <w:t xml:space="preserve"> per hour. </w:t>
      </w:r>
      <w:r>
        <w:rPr>
          <w:rFonts w:eastAsia="Calibri"/>
        </w:rPr>
        <w:t xml:space="preserve"> </w:t>
      </w:r>
      <w:r w:rsidRPr="00F1772F">
        <w:rPr>
          <w:rFonts w:eastAsia="Calibri"/>
        </w:rPr>
        <w:t>To account for</w:t>
      </w:r>
      <w:r>
        <w:rPr>
          <w:rFonts w:eastAsia="Calibri"/>
        </w:rPr>
        <w:t xml:space="preserve"> </w:t>
      </w:r>
      <w:r w:rsidRPr="00F1772F">
        <w:rPr>
          <w:rFonts w:eastAsia="Calibri"/>
        </w:rPr>
        <w:t>overhead, this cost is increased by 100 percent, which is $</w:t>
      </w:r>
      <w:bookmarkStart w:id="11" w:name="_Hlk140833293"/>
      <w:r w:rsidR="00D35E31">
        <w:rPr>
          <w:rFonts w:eastAsia="Calibri"/>
        </w:rPr>
        <w:t>90.28</w:t>
      </w:r>
      <w:bookmarkEnd w:id="11"/>
      <w:r w:rsidRPr="00F1772F">
        <w:rPr>
          <w:rFonts w:eastAsia="Calibri"/>
        </w:rPr>
        <w:t xml:space="preserve"> per hour. </w:t>
      </w:r>
      <w:r>
        <w:rPr>
          <w:rFonts w:eastAsia="Calibri"/>
        </w:rPr>
        <w:t xml:space="preserve"> </w:t>
      </w:r>
      <w:r w:rsidRPr="00F1772F">
        <w:rPr>
          <w:rFonts w:eastAsia="Calibri"/>
        </w:rPr>
        <w:t>Thus, the</w:t>
      </w:r>
      <w:r>
        <w:rPr>
          <w:rFonts w:eastAsia="Calibri"/>
        </w:rPr>
        <w:t xml:space="preserve"> </w:t>
      </w:r>
      <w:r w:rsidRPr="00F1772F">
        <w:rPr>
          <w:rFonts w:eastAsia="Calibri"/>
        </w:rPr>
        <w:t>estimated cost imposed by third-party disclosures is approximately $</w:t>
      </w:r>
      <w:r w:rsidR="00D02F2E">
        <w:rPr>
          <w:rFonts w:eastAsia="Calibri"/>
        </w:rPr>
        <w:t>16,142,605.68</w:t>
      </w:r>
      <w:r w:rsidRPr="00F1772F">
        <w:rPr>
          <w:rFonts w:eastAsia="Calibri"/>
        </w:rPr>
        <w:t xml:space="preserve"> (</w:t>
      </w:r>
      <w:r w:rsidRPr="00D02F2E" w:rsidR="00D02F2E">
        <w:rPr>
          <w:rFonts w:eastAsia="Calibri"/>
        </w:rPr>
        <w:t>178,806</w:t>
      </w:r>
      <w:r>
        <w:rPr>
          <w:rFonts w:eastAsia="Calibri"/>
        </w:rPr>
        <w:t xml:space="preserve"> </w:t>
      </w:r>
      <w:r w:rsidRPr="00F1772F">
        <w:rPr>
          <w:rFonts w:eastAsia="Calibri"/>
        </w:rPr>
        <w:t>hours x $</w:t>
      </w:r>
      <w:r w:rsidRPr="00D02F2E" w:rsidR="00D02F2E">
        <w:rPr>
          <w:rFonts w:eastAsia="Calibri"/>
        </w:rPr>
        <w:t>90.28</w:t>
      </w:r>
      <w:r w:rsidRPr="00F1772F">
        <w:rPr>
          <w:rFonts w:eastAsia="Calibri"/>
        </w:rPr>
        <w:t xml:space="preserve"> per hour).</w:t>
      </w:r>
    </w:p>
    <w:p w:rsidR="00F1772F" w:rsidRPr="00F1772F" w:rsidP="00C01015" w14:paraId="75E03D66" w14:textId="77777777">
      <w:pPr>
        <w:rPr>
          <w:rFonts w:eastAsia="Calibri"/>
        </w:rPr>
      </w:pPr>
    </w:p>
    <w:p w:rsidR="00F1772F" w:rsidRPr="00F1772F" w:rsidP="00C01015" w14:paraId="36A05D81" w14:textId="77777777">
      <w:pPr>
        <w:rPr>
          <w:rFonts w:eastAsia="Calibri"/>
        </w:rPr>
      </w:pPr>
      <w:r w:rsidRPr="00F1772F">
        <w:rPr>
          <w:rFonts w:eastAsia="Calibri"/>
        </w:rPr>
        <w:t>We estimate that the average hourly wage for the employee preparing and submitting the</w:t>
      </w:r>
    </w:p>
    <w:p w:rsidR="00F1772F" w:rsidRPr="00F1772F" w:rsidP="00C01015" w14:paraId="412FE39F" w14:textId="77777777">
      <w:pPr>
        <w:rPr>
          <w:rFonts w:eastAsia="Calibri"/>
        </w:rPr>
      </w:pPr>
      <w:r w:rsidRPr="00F1772F">
        <w:rPr>
          <w:rFonts w:eastAsia="Calibri"/>
        </w:rPr>
        <w:t xml:space="preserve">registrations and </w:t>
      </w:r>
      <w:r w:rsidR="00D02F2E">
        <w:rPr>
          <w:rFonts w:eastAsia="Calibri"/>
        </w:rPr>
        <w:t>product listings</w:t>
      </w:r>
      <w:r w:rsidRPr="00F1772F">
        <w:rPr>
          <w:rFonts w:eastAsia="Calibri"/>
        </w:rPr>
        <w:t xml:space="preserve"> would also be equivalent to a GS-12/Step-1 level in the</w:t>
      </w:r>
    </w:p>
    <w:p w:rsidR="00F1772F" w:rsidRPr="00F1772F" w:rsidP="00C01015" w14:paraId="653C28B8" w14:textId="77777777">
      <w:pPr>
        <w:rPr>
          <w:rFonts w:eastAsia="Calibri"/>
        </w:rPr>
      </w:pPr>
      <w:r w:rsidRPr="00F1772F">
        <w:rPr>
          <w:rFonts w:eastAsia="Calibri"/>
        </w:rPr>
        <w:t>locality pay area of Washington-Baltimore in 202</w:t>
      </w:r>
      <w:r w:rsidR="00D02F2E">
        <w:rPr>
          <w:rFonts w:eastAsia="Calibri"/>
        </w:rPr>
        <w:t>3</w:t>
      </w:r>
      <w:r w:rsidRPr="00F1772F">
        <w:rPr>
          <w:rFonts w:eastAsia="Calibri"/>
        </w:rPr>
        <w:t>, approximately $</w:t>
      </w:r>
      <w:r w:rsidRPr="00D02F2E" w:rsidR="00D02F2E">
        <w:rPr>
          <w:rFonts w:eastAsia="Calibri"/>
        </w:rPr>
        <w:t>45.14</w:t>
      </w:r>
      <w:r w:rsidRPr="00F1772F">
        <w:rPr>
          <w:rFonts w:eastAsia="Calibri"/>
        </w:rPr>
        <w:t xml:space="preserve">/hour. </w:t>
      </w:r>
      <w:r w:rsidR="00D02F2E">
        <w:rPr>
          <w:rFonts w:eastAsia="Calibri"/>
        </w:rPr>
        <w:t xml:space="preserve"> </w:t>
      </w:r>
      <w:r w:rsidRPr="00F1772F">
        <w:rPr>
          <w:rFonts w:eastAsia="Calibri"/>
        </w:rPr>
        <w:t>Doubling</w:t>
      </w:r>
    </w:p>
    <w:p w:rsidR="00F1772F" w:rsidRPr="00F1772F" w:rsidP="00C01015" w14:paraId="4FF31281" w14:textId="77777777">
      <w:pPr>
        <w:rPr>
          <w:rFonts w:eastAsia="Calibri"/>
        </w:rPr>
      </w:pPr>
      <w:r w:rsidRPr="00F1772F">
        <w:rPr>
          <w:rFonts w:eastAsia="Calibri"/>
        </w:rPr>
        <w:t>this wage to account for overhead costs, we estimate the average hourly cost to respondents</w:t>
      </w:r>
    </w:p>
    <w:p w:rsidR="00357C8A" w:rsidP="00C01015" w14:paraId="568E9205" w14:textId="1A9B5159">
      <w:pPr>
        <w:rPr>
          <w:rFonts w:eastAsia="Calibri"/>
        </w:rPr>
      </w:pPr>
      <w:r w:rsidRPr="00F1772F">
        <w:rPr>
          <w:rFonts w:eastAsia="Calibri"/>
        </w:rPr>
        <w:t>to be $</w:t>
      </w:r>
      <w:bookmarkStart w:id="12" w:name="_Hlk140835311"/>
      <w:r w:rsidRPr="00311C34" w:rsidR="00311C34">
        <w:rPr>
          <w:rFonts w:eastAsia="Calibri"/>
        </w:rPr>
        <w:t>90.28</w:t>
      </w:r>
      <w:bookmarkEnd w:id="12"/>
      <w:r w:rsidRPr="00F1772F">
        <w:rPr>
          <w:rFonts w:eastAsia="Calibri"/>
        </w:rPr>
        <w:t xml:space="preserve">/hour. </w:t>
      </w:r>
      <w:r w:rsidR="00311C34">
        <w:rPr>
          <w:rFonts w:eastAsia="Calibri"/>
        </w:rPr>
        <w:t xml:space="preserve"> </w:t>
      </w:r>
      <w:r w:rsidRPr="00F1772F">
        <w:rPr>
          <w:rFonts w:eastAsia="Calibri"/>
        </w:rPr>
        <w:t>Thus, the estimated cost incurred by reporting is $</w:t>
      </w:r>
      <w:r w:rsidRPr="5820B9D4" w:rsidR="23371ACC">
        <w:rPr>
          <w:rFonts w:eastAsia="Calibri"/>
        </w:rPr>
        <w:t>4,040,030</w:t>
      </w:r>
      <w:r w:rsidRPr="00F1772F">
        <w:rPr>
          <w:rFonts w:eastAsia="Calibri"/>
        </w:rPr>
        <w:t xml:space="preserve"> (</w:t>
      </w:r>
      <w:r w:rsidRPr="5820B9D4" w:rsidR="48581F52">
        <w:rPr>
          <w:rFonts w:eastAsia="Calibri"/>
        </w:rPr>
        <w:t>44,750</w:t>
      </w:r>
      <w:r w:rsidR="00311C34">
        <w:rPr>
          <w:rFonts w:eastAsia="Calibri"/>
        </w:rPr>
        <w:t xml:space="preserve"> </w:t>
      </w:r>
      <w:r w:rsidRPr="00F1772F">
        <w:rPr>
          <w:rFonts w:eastAsia="Calibri"/>
        </w:rPr>
        <w:t>burden hours x $</w:t>
      </w:r>
      <w:r w:rsidRPr="00311C34" w:rsidR="00311C34">
        <w:rPr>
          <w:rFonts w:eastAsia="Calibri"/>
        </w:rPr>
        <w:t>90.28</w:t>
      </w:r>
      <w:r w:rsidRPr="00F1772F">
        <w:rPr>
          <w:rFonts w:eastAsia="Calibri"/>
        </w:rPr>
        <w:t>/hr)</w:t>
      </w:r>
      <w:r w:rsidRPr="00357C8A">
        <w:rPr>
          <w:rFonts w:eastAsia="Calibri"/>
        </w:rPr>
        <w:t>.</w:t>
      </w:r>
    </w:p>
    <w:p w:rsidR="5820B9D4" w:rsidP="00C01015" w14:paraId="4725C006" w14:textId="6C8E2810">
      <w:pPr>
        <w:rPr>
          <w:rFonts w:eastAsia="Calibri"/>
        </w:rPr>
      </w:pPr>
    </w:p>
    <w:p w:rsidR="645002C1" w:rsidRPr="00DE4D81" w:rsidP="00C01015" w14:paraId="15E44ED4" w14:textId="3EDC36BC">
      <w:pPr>
        <w:rPr>
          <w:rFonts w:eastAsia="Calibri"/>
        </w:rPr>
      </w:pPr>
      <w:r w:rsidRPr="00DE4D81">
        <w:rPr>
          <w:rFonts w:eastAsia="Calibri"/>
        </w:rPr>
        <w:t xml:space="preserve">We estimate that the average hourly wage for the employee assembling and retaining </w:t>
      </w:r>
      <w:r w:rsidRPr="00DE4D81" w:rsidR="006B5999">
        <w:rPr>
          <w:rFonts w:eastAsia="Calibri"/>
        </w:rPr>
        <w:t>records</w:t>
      </w:r>
      <w:r w:rsidR="006B5999">
        <w:rPr>
          <w:rFonts w:eastAsia="Calibri"/>
        </w:rPr>
        <w:t xml:space="preserve"> for</w:t>
      </w:r>
      <w:r w:rsidRPr="00DE4D81" w:rsidR="006B5999">
        <w:rPr>
          <w:rFonts w:eastAsia="Calibri"/>
        </w:rPr>
        <w:t xml:space="preserve"> </w:t>
      </w:r>
      <w:r w:rsidRPr="00DE4D81">
        <w:rPr>
          <w:rFonts w:eastAsia="Calibri"/>
        </w:rPr>
        <w:t>adverse event re</w:t>
      </w:r>
      <w:r w:rsidRPr="00DE4D81" w:rsidR="4FEB7000">
        <w:rPr>
          <w:rFonts w:eastAsia="Calibri"/>
        </w:rPr>
        <w:t>porting</w:t>
      </w:r>
      <w:r w:rsidRPr="00DE4D81">
        <w:rPr>
          <w:rFonts w:eastAsia="Calibri"/>
        </w:rPr>
        <w:t xml:space="preserve"> </w:t>
      </w:r>
      <w:r w:rsidRPr="00DE4D81" w:rsidR="4BE3213F">
        <w:rPr>
          <w:rFonts w:eastAsia="Calibri"/>
        </w:rPr>
        <w:t xml:space="preserve">required by MoCRA would also be equivalent to a GS-12/Step-1 level in the locality pay area of Washington-Baltimore in 2023, approximately $45.14/hour. Doubling this wage to account for overhead costs, we estimate the average hourly cost to respondents to be $90.28/hour.  Thus, the estimated cost incurred by </w:t>
      </w:r>
      <w:r w:rsidRPr="00DE4D81" w:rsidR="68006388">
        <w:rPr>
          <w:rFonts w:eastAsia="Calibri"/>
        </w:rPr>
        <w:t>recordkeep</w:t>
      </w:r>
      <w:r w:rsidRPr="00DE4D81" w:rsidR="4BE3213F">
        <w:rPr>
          <w:rFonts w:eastAsia="Calibri"/>
        </w:rPr>
        <w:t>ing is $</w:t>
      </w:r>
      <w:r w:rsidRPr="00DE4D81" w:rsidR="68D2096B">
        <w:rPr>
          <w:rFonts w:eastAsia="Calibri"/>
        </w:rPr>
        <w:t>45,140</w:t>
      </w:r>
      <w:r w:rsidRPr="00DE4D81" w:rsidR="4BE3213F">
        <w:rPr>
          <w:rFonts w:eastAsia="Calibri"/>
        </w:rPr>
        <w:t xml:space="preserve"> (5</w:t>
      </w:r>
      <w:r w:rsidRPr="00DE4D81" w:rsidR="21DC6FD4">
        <w:rPr>
          <w:rFonts w:eastAsia="Calibri"/>
        </w:rPr>
        <w:t>0</w:t>
      </w:r>
      <w:r w:rsidRPr="00DE4D81" w:rsidR="4BE3213F">
        <w:rPr>
          <w:rFonts w:eastAsia="Calibri"/>
        </w:rPr>
        <w:t>0 burden hours x $90.28/hr).</w:t>
      </w:r>
    </w:p>
    <w:p w:rsidR="00311C34" w:rsidP="00834A66" w14:paraId="36849B6A" w14:textId="77777777">
      <w:pPr>
        <w:ind w:left="360"/>
        <w:rPr>
          <w:rFonts w:eastAsia="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97"/>
        <w:gridCol w:w="1823"/>
        <w:gridCol w:w="1941"/>
        <w:gridCol w:w="2338"/>
      </w:tblGrid>
      <w:tr w14:paraId="10E293CF" w14:textId="77777777" w:rsidTr="00C01015">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9499" w:type="dxa"/>
            <w:gridSpan w:val="4"/>
            <w:shd w:val="clear" w:color="auto" w:fill="auto"/>
          </w:tcPr>
          <w:p w:rsidR="00311C34" w:rsidRPr="00834A66" w:rsidP="009818BF" w14:paraId="184B03EF" w14:textId="3BDDD163">
            <w:pPr>
              <w:jc w:val="center"/>
              <w:rPr>
                <w:sz w:val="20"/>
                <w:szCs w:val="20"/>
              </w:rPr>
            </w:pPr>
            <w:r w:rsidRPr="00834A66">
              <w:rPr>
                <w:sz w:val="20"/>
                <w:szCs w:val="20"/>
              </w:rPr>
              <w:t xml:space="preserve">Table </w:t>
            </w:r>
            <w:r w:rsidR="008E0C66">
              <w:rPr>
                <w:sz w:val="20"/>
                <w:szCs w:val="20"/>
              </w:rPr>
              <w:t>4</w:t>
            </w:r>
            <w:r w:rsidRPr="00834A66">
              <w:rPr>
                <w:sz w:val="20"/>
                <w:szCs w:val="20"/>
              </w:rPr>
              <w:t>.--Annual Cost Burden Estimate</w:t>
            </w:r>
          </w:p>
        </w:tc>
      </w:tr>
      <w:tr w14:paraId="3C9624A5" w14:textId="77777777" w:rsidTr="00C01015">
        <w:tblPrEx>
          <w:tblW w:w="0" w:type="auto"/>
          <w:tblInd w:w="-5" w:type="dxa"/>
          <w:tblLayout w:type="fixed"/>
          <w:tblLook w:val="01E0"/>
        </w:tblPrEx>
        <w:trPr>
          <w:trHeight w:val="530"/>
        </w:trPr>
        <w:tc>
          <w:tcPr>
            <w:tcW w:w="3397" w:type="dxa"/>
            <w:shd w:val="clear" w:color="auto" w:fill="auto"/>
          </w:tcPr>
          <w:p w:rsidR="00311C34" w:rsidRPr="00834A66" w:rsidP="00834A66" w14:paraId="5F4D3793" w14:textId="77777777">
            <w:pPr>
              <w:jc w:val="center"/>
              <w:rPr>
                <w:sz w:val="20"/>
                <w:szCs w:val="20"/>
              </w:rPr>
            </w:pPr>
            <w:r w:rsidRPr="00834A66">
              <w:rPr>
                <w:sz w:val="20"/>
                <w:szCs w:val="20"/>
              </w:rPr>
              <w:t>Activity</w:t>
            </w:r>
          </w:p>
        </w:tc>
        <w:tc>
          <w:tcPr>
            <w:tcW w:w="1823" w:type="dxa"/>
            <w:shd w:val="clear" w:color="auto" w:fill="auto"/>
          </w:tcPr>
          <w:p w:rsidR="00311C34" w:rsidRPr="00834A66" w:rsidP="009818BF" w14:paraId="3059F844" w14:textId="77777777">
            <w:pPr>
              <w:jc w:val="center"/>
              <w:rPr>
                <w:sz w:val="20"/>
                <w:szCs w:val="20"/>
              </w:rPr>
            </w:pPr>
            <w:r w:rsidRPr="00834A66">
              <w:rPr>
                <w:sz w:val="20"/>
                <w:szCs w:val="20"/>
              </w:rPr>
              <w:t>Total Burden Hours</w:t>
            </w:r>
          </w:p>
        </w:tc>
        <w:tc>
          <w:tcPr>
            <w:tcW w:w="1941" w:type="dxa"/>
            <w:shd w:val="clear" w:color="auto" w:fill="auto"/>
          </w:tcPr>
          <w:p w:rsidR="00311C34" w:rsidRPr="00834A66" w:rsidP="009818BF" w14:paraId="069617D5" w14:textId="77777777">
            <w:pPr>
              <w:jc w:val="center"/>
              <w:rPr>
                <w:sz w:val="20"/>
                <w:szCs w:val="20"/>
              </w:rPr>
            </w:pPr>
            <w:r w:rsidRPr="00834A66">
              <w:rPr>
                <w:sz w:val="20"/>
                <w:szCs w:val="20"/>
              </w:rPr>
              <w:t>Hourly Wage Rate</w:t>
            </w:r>
          </w:p>
        </w:tc>
        <w:tc>
          <w:tcPr>
            <w:tcW w:w="2338" w:type="dxa"/>
            <w:shd w:val="clear" w:color="auto" w:fill="auto"/>
          </w:tcPr>
          <w:p w:rsidR="00311C34" w:rsidRPr="00834A66" w:rsidP="009818BF" w14:paraId="471CF2A9" w14:textId="77777777">
            <w:pPr>
              <w:jc w:val="center"/>
              <w:rPr>
                <w:sz w:val="20"/>
                <w:szCs w:val="20"/>
              </w:rPr>
            </w:pPr>
            <w:r w:rsidRPr="00834A66">
              <w:rPr>
                <w:sz w:val="20"/>
                <w:szCs w:val="20"/>
              </w:rPr>
              <w:t>Total Respondent Costs</w:t>
            </w:r>
          </w:p>
        </w:tc>
      </w:tr>
      <w:tr w14:paraId="53A84FCE" w14:textId="77777777" w:rsidTr="00C01015">
        <w:tblPrEx>
          <w:tblW w:w="0" w:type="auto"/>
          <w:tblInd w:w="-5" w:type="dxa"/>
          <w:tblLayout w:type="fixed"/>
          <w:tblLook w:val="01E0"/>
        </w:tblPrEx>
        <w:trPr>
          <w:trHeight w:val="332"/>
        </w:trPr>
        <w:tc>
          <w:tcPr>
            <w:tcW w:w="3397" w:type="dxa"/>
            <w:shd w:val="clear" w:color="auto" w:fill="auto"/>
          </w:tcPr>
          <w:p w:rsidR="00311C34" w:rsidRPr="00834A66" w:rsidP="009818BF" w14:paraId="6708B351" w14:textId="77777777">
            <w:pPr>
              <w:rPr>
                <w:sz w:val="20"/>
                <w:szCs w:val="20"/>
              </w:rPr>
            </w:pPr>
            <w:r w:rsidRPr="00834A66">
              <w:rPr>
                <w:sz w:val="20"/>
                <w:szCs w:val="20"/>
              </w:rPr>
              <w:t>Label Design Process</w:t>
            </w:r>
          </w:p>
        </w:tc>
        <w:tc>
          <w:tcPr>
            <w:tcW w:w="1823" w:type="dxa"/>
            <w:shd w:val="clear" w:color="auto" w:fill="auto"/>
          </w:tcPr>
          <w:p w:rsidR="00311C34" w:rsidRPr="00834A66" w:rsidP="009818BF" w14:paraId="53D42169" w14:textId="77777777">
            <w:pPr>
              <w:jc w:val="right"/>
              <w:rPr>
                <w:sz w:val="20"/>
                <w:szCs w:val="20"/>
              </w:rPr>
            </w:pPr>
            <w:r w:rsidRPr="00311C34">
              <w:rPr>
                <w:sz w:val="20"/>
                <w:szCs w:val="20"/>
              </w:rPr>
              <w:t>178,806</w:t>
            </w:r>
            <w:r w:rsidRPr="00834A66">
              <w:rPr>
                <w:sz w:val="20"/>
                <w:szCs w:val="20"/>
              </w:rPr>
              <w:t xml:space="preserve"> </w:t>
            </w:r>
          </w:p>
        </w:tc>
        <w:tc>
          <w:tcPr>
            <w:tcW w:w="1941" w:type="dxa"/>
            <w:shd w:val="clear" w:color="auto" w:fill="auto"/>
          </w:tcPr>
          <w:p w:rsidR="00311C34" w:rsidRPr="00834A66" w:rsidP="009818BF" w14:paraId="0C12A412" w14:textId="77777777">
            <w:pPr>
              <w:jc w:val="right"/>
              <w:rPr>
                <w:sz w:val="20"/>
                <w:szCs w:val="20"/>
              </w:rPr>
            </w:pPr>
            <w:r w:rsidRPr="00834A66">
              <w:rPr>
                <w:sz w:val="20"/>
                <w:szCs w:val="20"/>
              </w:rPr>
              <w:t>$</w:t>
            </w:r>
            <w:r w:rsidRPr="00311C34">
              <w:rPr>
                <w:sz w:val="20"/>
                <w:szCs w:val="20"/>
              </w:rPr>
              <w:t>90.28</w:t>
            </w:r>
          </w:p>
        </w:tc>
        <w:tc>
          <w:tcPr>
            <w:tcW w:w="2338" w:type="dxa"/>
            <w:shd w:val="clear" w:color="auto" w:fill="auto"/>
          </w:tcPr>
          <w:p w:rsidR="00311C34" w:rsidRPr="00834A66" w:rsidP="009818BF" w14:paraId="422D01BC" w14:textId="77777777">
            <w:pPr>
              <w:jc w:val="right"/>
              <w:rPr>
                <w:sz w:val="20"/>
                <w:szCs w:val="20"/>
              </w:rPr>
            </w:pPr>
            <w:r w:rsidRPr="00834A66">
              <w:rPr>
                <w:sz w:val="20"/>
                <w:szCs w:val="20"/>
              </w:rPr>
              <w:t>$</w:t>
            </w:r>
            <w:r w:rsidRPr="00311C34">
              <w:rPr>
                <w:sz w:val="20"/>
                <w:szCs w:val="20"/>
              </w:rPr>
              <w:t>16,142,605.68</w:t>
            </w:r>
          </w:p>
        </w:tc>
      </w:tr>
      <w:tr w14:paraId="350E6C70" w14:textId="77777777" w:rsidTr="00C01015">
        <w:tblPrEx>
          <w:tblW w:w="0" w:type="auto"/>
          <w:tblInd w:w="-5" w:type="dxa"/>
          <w:tblLayout w:type="fixed"/>
          <w:tblLook w:val="01E0"/>
        </w:tblPrEx>
        <w:trPr>
          <w:trHeight w:val="548"/>
        </w:trPr>
        <w:tc>
          <w:tcPr>
            <w:tcW w:w="3397" w:type="dxa"/>
            <w:shd w:val="clear" w:color="auto" w:fill="auto"/>
          </w:tcPr>
          <w:p w:rsidR="00311C34" w:rsidRPr="00834A66" w:rsidP="009818BF" w14:paraId="7B0A68C0" w14:textId="77777777">
            <w:pPr>
              <w:rPr>
                <w:sz w:val="20"/>
                <w:szCs w:val="20"/>
              </w:rPr>
            </w:pPr>
            <w:r w:rsidRPr="00834A66">
              <w:rPr>
                <w:sz w:val="20"/>
                <w:szCs w:val="20"/>
              </w:rPr>
              <w:t xml:space="preserve">Preparation and submission of registration and </w:t>
            </w:r>
            <w:r>
              <w:rPr>
                <w:sz w:val="20"/>
                <w:szCs w:val="20"/>
              </w:rPr>
              <w:t>product listing</w:t>
            </w:r>
            <w:r w:rsidRPr="00834A66">
              <w:rPr>
                <w:sz w:val="20"/>
                <w:szCs w:val="20"/>
              </w:rPr>
              <w:t xml:space="preserve"> </w:t>
            </w:r>
          </w:p>
        </w:tc>
        <w:tc>
          <w:tcPr>
            <w:tcW w:w="1823" w:type="dxa"/>
            <w:shd w:val="clear" w:color="auto" w:fill="auto"/>
          </w:tcPr>
          <w:p w:rsidR="00311C34" w:rsidRPr="00834A66" w:rsidP="009818BF" w14:paraId="59618290" w14:textId="538C9095">
            <w:pPr>
              <w:jc w:val="right"/>
              <w:rPr>
                <w:sz w:val="20"/>
                <w:szCs w:val="20"/>
              </w:rPr>
            </w:pPr>
            <w:r w:rsidRPr="64D6123D">
              <w:rPr>
                <w:sz w:val="20"/>
                <w:szCs w:val="20"/>
              </w:rPr>
              <w:t>44,750</w:t>
            </w:r>
          </w:p>
        </w:tc>
        <w:tc>
          <w:tcPr>
            <w:tcW w:w="1941" w:type="dxa"/>
            <w:shd w:val="clear" w:color="auto" w:fill="auto"/>
          </w:tcPr>
          <w:p w:rsidR="00311C34" w:rsidRPr="00834A66" w:rsidP="009818BF" w14:paraId="0CDAAF0C" w14:textId="77777777">
            <w:pPr>
              <w:jc w:val="right"/>
              <w:rPr>
                <w:sz w:val="20"/>
                <w:szCs w:val="20"/>
              </w:rPr>
            </w:pPr>
            <w:r w:rsidRPr="00834A66">
              <w:rPr>
                <w:sz w:val="20"/>
                <w:szCs w:val="20"/>
              </w:rPr>
              <w:t>$</w:t>
            </w:r>
            <w:r w:rsidRPr="00311C34">
              <w:rPr>
                <w:sz w:val="20"/>
                <w:szCs w:val="20"/>
              </w:rPr>
              <w:t>90.28</w:t>
            </w:r>
          </w:p>
        </w:tc>
        <w:tc>
          <w:tcPr>
            <w:tcW w:w="2338" w:type="dxa"/>
            <w:shd w:val="clear" w:color="auto" w:fill="auto"/>
          </w:tcPr>
          <w:p w:rsidR="00311C34" w:rsidRPr="00834A66" w:rsidP="009818BF" w14:paraId="3C7A25F1" w14:textId="09C752DD">
            <w:pPr>
              <w:jc w:val="right"/>
              <w:rPr>
                <w:sz w:val="20"/>
                <w:szCs w:val="20"/>
              </w:rPr>
            </w:pPr>
            <w:r w:rsidRPr="00834A66">
              <w:rPr>
                <w:sz w:val="20"/>
                <w:szCs w:val="20"/>
              </w:rPr>
              <w:t>$</w:t>
            </w:r>
            <w:r w:rsidRPr="64D6123D" w:rsidR="6A5FE9BA">
              <w:rPr>
                <w:sz w:val="20"/>
                <w:szCs w:val="20"/>
              </w:rPr>
              <w:t>4,040,030</w:t>
            </w:r>
            <w:r w:rsidR="00AB3E1B">
              <w:rPr>
                <w:sz w:val="20"/>
                <w:szCs w:val="20"/>
              </w:rPr>
              <w:t>.00</w:t>
            </w:r>
          </w:p>
        </w:tc>
      </w:tr>
      <w:tr w14:paraId="5512F806" w14:textId="77777777" w:rsidTr="00C01015">
        <w:tblPrEx>
          <w:tblW w:w="0" w:type="auto"/>
          <w:tblInd w:w="-5" w:type="dxa"/>
          <w:tblLayout w:type="fixed"/>
          <w:tblLook w:val="01E0"/>
        </w:tblPrEx>
        <w:trPr>
          <w:trHeight w:val="323"/>
        </w:trPr>
        <w:tc>
          <w:tcPr>
            <w:tcW w:w="3397" w:type="dxa"/>
            <w:shd w:val="clear" w:color="auto" w:fill="auto"/>
          </w:tcPr>
          <w:p w:rsidR="572EBB5B" w:rsidRPr="00DE4D81" w:rsidP="6B516C8B" w14:paraId="1ACF1FEE" w14:textId="0866734B">
            <w:pPr>
              <w:rPr>
                <w:sz w:val="20"/>
                <w:szCs w:val="20"/>
              </w:rPr>
            </w:pPr>
            <w:r w:rsidRPr="00DE4D81">
              <w:rPr>
                <w:sz w:val="20"/>
                <w:szCs w:val="20"/>
              </w:rPr>
              <w:t>Recordkeeping for adverse event</w:t>
            </w:r>
          </w:p>
        </w:tc>
        <w:tc>
          <w:tcPr>
            <w:tcW w:w="1823" w:type="dxa"/>
            <w:shd w:val="clear" w:color="auto" w:fill="auto"/>
          </w:tcPr>
          <w:p w:rsidR="6B516C8B" w:rsidRPr="00DE4D81" w:rsidP="6B516C8B" w14:paraId="7A258586" w14:textId="67B8C8C0">
            <w:pPr>
              <w:jc w:val="right"/>
              <w:rPr>
                <w:sz w:val="20"/>
                <w:szCs w:val="20"/>
              </w:rPr>
            </w:pPr>
            <w:r w:rsidRPr="00DE4D81">
              <w:rPr>
                <w:sz w:val="20"/>
                <w:szCs w:val="20"/>
              </w:rPr>
              <w:t>500</w:t>
            </w:r>
          </w:p>
        </w:tc>
        <w:tc>
          <w:tcPr>
            <w:tcW w:w="1941" w:type="dxa"/>
            <w:shd w:val="clear" w:color="auto" w:fill="auto"/>
          </w:tcPr>
          <w:p w:rsidR="572EBB5B" w:rsidRPr="00DE4D81" w:rsidP="6B516C8B" w14:paraId="2F63EABF" w14:textId="34FA2A23">
            <w:pPr>
              <w:jc w:val="right"/>
              <w:rPr>
                <w:sz w:val="20"/>
                <w:szCs w:val="20"/>
              </w:rPr>
            </w:pPr>
            <w:r>
              <w:rPr>
                <w:sz w:val="20"/>
                <w:szCs w:val="20"/>
              </w:rPr>
              <w:t>$</w:t>
            </w:r>
            <w:r w:rsidRPr="00DE4D81">
              <w:rPr>
                <w:sz w:val="20"/>
                <w:szCs w:val="20"/>
              </w:rPr>
              <w:t>90.28</w:t>
            </w:r>
          </w:p>
        </w:tc>
        <w:tc>
          <w:tcPr>
            <w:tcW w:w="2338" w:type="dxa"/>
            <w:shd w:val="clear" w:color="auto" w:fill="auto"/>
          </w:tcPr>
          <w:p w:rsidR="6B516C8B" w:rsidRPr="00DE4D81" w:rsidP="6B516C8B" w14:paraId="4E8DEA1B" w14:textId="528615AE">
            <w:pPr>
              <w:jc w:val="right"/>
              <w:rPr>
                <w:sz w:val="20"/>
                <w:szCs w:val="20"/>
              </w:rPr>
            </w:pPr>
            <w:r w:rsidRPr="00DE4D81">
              <w:rPr>
                <w:sz w:val="20"/>
                <w:szCs w:val="20"/>
              </w:rPr>
              <w:t>$45,140</w:t>
            </w:r>
            <w:r w:rsidR="00AB3E1B">
              <w:rPr>
                <w:sz w:val="20"/>
                <w:szCs w:val="20"/>
              </w:rPr>
              <w:t>.00</w:t>
            </w:r>
          </w:p>
        </w:tc>
      </w:tr>
      <w:tr w14:paraId="0D885082" w14:textId="77777777" w:rsidTr="00C01015">
        <w:tblPrEx>
          <w:tblW w:w="0" w:type="auto"/>
          <w:tblInd w:w="-5" w:type="dxa"/>
          <w:tblLayout w:type="fixed"/>
          <w:tblLook w:val="01E0"/>
        </w:tblPrEx>
        <w:tc>
          <w:tcPr>
            <w:tcW w:w="7161" w:type="dxa"/>
            <w:gridSpan w:val="3"/>
            <w:shd w:val="clear" w:color="auto" w:fill="auto"/>
          </w:tcPr>
          <w:p w:rsidR="00311C34" w:rsidRPr="00834A66" w:rsidP="009818BF" w14:paraId="0562CF05" w14:textId="77777777">
            <w:pPr>
              <w:rPr>
                <w:sz w:val="20"/>
                <w:szCs w:val="20"/>
              </w:rPr>
            </w:pPr>
            <w:r w:rsidRPr="00834A66">
              <w:rPr>
                <w:sz w:val="20"/>
                <w:szCs w:val="20"/>
              </w:rPr>
              <w:t>Total</w:t>
            </w:r>
          </w:p>
        </w:tc>
        <w:tc>
          <w:tcPr>
            <w:tcW w:w="2338" w:type="dxa"/>
            <w:shd w:val="clear" w:color="auto" w:fill="auto"/>
          </w:tcPr>
          <w:p w:rsidR="00311C34" w:rsidRPr="00834A66" w:rsidP="009818BF" w14:paraId="3AACAD7C" w14:textId="43E60B65">
            <w:pPr>
              <w:jc w:val="right"/>
              <w:rPr>
                <w:sz w:val="20"/>
                <w:szCs w:val="20"/>
              </w:rPr>
            </w:pPr>
            <w:r w:rsidRPr="5820B9D4">
              <w:rPr>
                <w:sz w:val="20"/>
                <w:szCs w:val="20"/>
              </w:rPr>
              <w:t>$</w:t>
            </w:r>
            <w:r w:rsidRPr="5820B9D4" w:rsidR="1EEF026F">
              <w:rPr>
                <w:sz w:val="20"/>
                <w:szCs w:val="20"/>
              </w:rPr>
              <w:t>20,227,775</w:t>
            </w:r>
            <w:r w:rsidRPr="5820B9D4">
              <w:rPr>
                <w:sz w:val="20"/>
                <w:szCs w:val="20"/>
              </w:rPr>
              <w:t>.68</w:t>
            </w:r>
          </w:p>
        </w:tc>
      </w:tr>
    </w:tbl>
    <w:p w:rsidR="00357C8A" w:rsidRPr="00357C8A" w:rsidP="00AF0260" w14:paraId="55D2C356" w14:textId="77777777">
      <w:pPr>
        <w:rPr>
          <w:rFonts w:eastAsia="Calibri"/>
        </w:rPr>
      </w:pPr>
    </w:p>
    <w:p w:rsidR="00357C8A" w:rsidRPr="00357C8A" w:rsidP="00AF0260" w14:paraId="119C9116" w14:textId="77777777">
      <w:pPr>
        <w:numPr>
          <w:ilvl w:val="0"/>
          <w:numId w:val="7"/>
        </w:numPr>
        <w:ind w:left="0"/>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AF0260" w:rsidP="00AF0260" w14:paraId="1121FDF5" w14:textId="77777777">
      <w:pPr>
        <w:rPr>
          <w:rFonts w:eastAsia="Calibri"/>
        </w:rPr>
      </w:pPr>
    </w:p>
    <w:p w:rsidR="0022425B" w:rsidP="00AF0260" w14:paraId="6CC2C6BC" w14:textId="75C474A2">
      <w:pPr>
        <w:rPr>
          <w:rFonts w:eastAsia="Calibri"/>
        </w:rPr>
      </w:pPr>
      <w:r>
        <w:rPr>
          <w:rFonts w:eastAsia="Calibri"/>
        </w:rPr>
        <w:t>W</w:t>
      </w:r>
      <w:r w:rsidRPr="00897B37">
        <w:rPr>
          <w:rFonts w:eastAsia="Calibri"/>
        </w:rPr>
        <w:t>e estimate that there will be a capital cost of $94,080,000 associated with relabeling.  This is the cost of designing a revised label and incorporating it into the manufacturing process.  We believe that this will be a one-time cost.</w:t>
      </w:r>
    </w:p>
    <w:p w:rsidR="00837C68" w:rsidP="00AF0260" w14:paraId="0CBB71F3" w14:textId="77777777">
      <w:pPr>
        <w:rPr>
          <w:rFonts w:eastAsia="Calibri"/>
          <w:u w:val="single"/>
        </w:rPr>
      </w:pPr>
    </w:p>
    <w:p w:rsidR="00357C8A" w:rsidRPr="00357C8A" w:rsidP="00AF0260" w14:paraId="074EFFE7" w14:textId="77777777">
      <w:pPr>
        <w:numPr>
          <w:ilvl w:val="0"/>
          <w:numId w:val="7"/>
        </w:numPr>
        <w:ind w:left="0"/>
        <w:rPr>
          <w:rFonts w:eastAsia="Calibri"/>
          <w:u w:val="single"/>
        </w:rPr>
      </w:pPr>
      <w:r w:rsidRPr="00357C8A">
        <w:rPr>
          <w:rFonts w:eastAsia="Calibri"/>
          <w:u w:val="single"/>
        </w:rPr>
        <w:t>Annualized Cost to the Federal Government</w:t>
      </w:r>
    </w:p>
    <w:p w:rsidR="00837C68" w:rsidP="00AF0260" w14:paraId="79C7DEAD" w14:textId="77777777">
      <w:pPr>
        <w:autoSpaceDE w:val="0"/>
        <w:autoSpaceDN w:val="0"/>
        <w:adjustRightInd w:val="0"/>
      </w:pPr>
    </w:p>
    <w:p w:rsidR="00897B37" w:rsidP="00AF0260" w14:paraId="7CBC0014" w14:textId="0E0F3DF0">
      <w:pPr>
        <w:autoSpaceDE w:val="0"/>
        <w:autoSpaceDN w:val="0"/>
        <w:adjustRightInd w:val="0"/>
      </w:pPr>
      <w:r>
        <w:t>As part of FDA’s responsibility to enforce the provisions of the FD&amp;C Act (including MoCRA) and the FPLA, the agency conducts the Cosmetics Compliance Program to evaluate cosmetic products for compliance with the labeling requirements.  Under this program, FDA’s field offices carry out investigations, inspections, sample collections, sample analyses, and other compliance activities, and FDA’s headquarters provides guidance for field office activities.  In addition, we provide advice to representatives of cosmetic establishments and start-up businesses regarding the labeling requirements for cosmetic products.  We estimate that the agency needs six professional staff persons per year (12,480 hours) to review compliance and regulatory activities related to cosmetic labeling.  Using an hourly cost to the agency of $</w:t>
      </w:r>
      <w:r w:rsidRPr="00EC7363" w:rsidR="00EC7363">
        <w:t>45.14</w:t>
      </w:r>
      <w:r>
        <w:t xml:space="preserve"> per hour (the GS-12/Step-1 rate for the Washington-Baltimore locality pay area for the year 202</w:t>
      </w:r>
      <w:r w:rsidR="00EC7363">
        <w:t>3</w:t>
      </w:r>
      <w:r>
        <w:t xml:space="preserve">, increased by 100 percent, which </w:t>
      </w:r>
      <w:r>
        <w:t>is $</w:t>
      </w:r>
      <w:r w:rsidRPr="00EC7363" w:rsidR="00EC7363">
        <w:t>90.28</w:t>
      </w:r>
      <w:r>
        <w:t xml:space="preserve"> to account for overhead), we estimate the annual cost to the Federal government to be $1,</w:t>
      </w:r>
      <w:r w:rsidR="00EC7363">
        <w:t>126,694.40</w:t>
      </w:r>
      <w:r>
        <w:t xml:space="preserve"> (12,480 x $</w:t>
      </w:r>
      <w:r w:rsidRPr="00EC7363" w:rsidR="00EC7363">
        <w:t>90.28</w:t>
      </w:r>
      <w:r>
        <w:t xml:space="preserve"> per hour).</w:t>
      </w:r>
    </w:p>
    <w:p w:rsidR="00897B37" w:rsidP="00AF0260" w14:paraId="535C0430" w14:textId="77777777">
      <w:pPr>
        <w:autoSpaceDE w:val="0"/>
        <w:autoSpaceDN w:val="0"/>
        <w:adjustRightInd w:val="0"/>
      </w:pPr>
    </w:p>
    <w:p w:rsidR="00897B37" w:rsidP="00AF0260" w14:paraId="0C198845" w14:textId="35EBE3FB">
      <w:pPr>
        <w:autoSpaceDE w:val="0"/>
        <w:autoSpaceDN w:val="0"/>
        <w:adjustRightInd w:val="0"/>
      </w:pPr>
      <w:r>
        <w:t xml:space="preserve">We have also allocated FTEs to review the submissions and maintain computer files, which requires about </w:t>
      </w:r>
      <w:r w:rsidR="00EC7363">
        <w:t>2</w:t>
      </w:r>
      <w:r>
        <w:t xml:space="preserve">00 hours annually for registrations and </w:t>
      </w:r>
      <w:r w:rsidR="00EC7363">
        <w:t>12,000</w:t>
      </w:r>
      <w:r>
        <w:t xml:space="preserve"> hours annually for </w:t>
      </w:r>
      <w:r w:rsidR="00EC7363">
        <w:t>product listings</w:t>
      </w:r>
      <w:r>
        <w:t xml:space="preserve">, for a total of </w:t>
      </w:r>
      <w:r w:rsidR="00EC7363">
        <w:t>12,200</w:t>
      </w:r>
      <w:r>
        <w:t xml:space="preserve"> hours annually.  We estimate that, on average, the hourly cost for review and evaluation of the submissions is approximately $</w:t>
      </w:r>
      <w:r w:rsidRPr="00EC7363" w:rsidR="00EC7363">
        <w:t>45.14</w:t>
      </w:r>
      <w:r>
        <w:t xml:space="preserve"> per hour, the GS-12/Step-1 rate for the Washington-Baltimore locality pay area for the year 202</w:t>
      </w:r>
      <w:r w:rsidR="00EC7363">
        <w:t>3</w:t>
      </w:r>
      <w:r>
        <w:t>.  To account for overhead, this cost is increased by 100 percent, making the total cost $</w:t>
      </w:r>
      <w:r w:rsidRPr="00EC7363" w:rsidR="00EC7363">
        <w:t>90.28</w:t>
      </w:r>
      <w:r>
        <w:t xml:space="preserve"> per hour.  Thus, we estimate the cost to the Federal government for the review of submissions to be $</w:t>
      </w:r>
      <w:r w:rsidR="00EC7363">
        <w:t>1,101,416</w:t>
      </w:r>
      <w:r>
        <w:t xml:space="preserve"> ($</w:t>
      </w:r>
      <w:r w:rsidRPr="00EC7363" w:rsidR="00EC7363">
        <w:t>90.28</w:t>
      </w:r>
      <w:r>
        <w:t xml:space="preserve">/hour x </w:t>
      </w:r>
      <w:r w:rsidR="00EC7363">
        <w:t>12,200</w:t>
      </w:r>
      <w:r>
        <w:t xml:space="preserve"> hours).</w:t>
      </w:r>
      <w:r w:rsidR="00EC7363">
        <w:t xml:space="preserve"> </w:t>
      </w:r>
    </w:p>
    <w:p w:rsidR="6B516C8B" w:rsidP="00AF0260" w14:paraId="385B5EDE" w14:textId="71C5D863"/>
    <w:p w:rsidR="2C5FE54C" w:rsidRPr="00B16851" w:rsidP="00AF0260" w14:paraId="462D9B9A" w14:textId="5A1E62B8">
      <w:pPr>
        <w:rPr>
          <w:highlight w:val="cyan"/>
        </w:rPr>
      </w:pPr>
      <w:r w:rsidRPr="00DE4D81">
        <w:t>Our review of the retained records occurs as part of inspection activities.  We devote approximately 5 hours per inspection to the inspection of records.  We estimate the cost to the Federal government for the review of records retained by a firm to be $491.90 per review.  In this calculation of cost, we estimate the hourly cost for review and evaluation to be $49.19 per hour, the GS-13/Step-1 rate for the Washington-Baltimore locality pay area for the year 2020.  Five hours multiplied by $49.19 per hour equals $245.95.  To account for overhead, this cost is increased by 100 percent, making the total annualized cost to the Federal government $491.90 per review.  If we inspected 1,000 firms annually, we estimate that the total annual cost to the Federal government would be $491,900 ($491.90 x 1,000).</w:t>
      </w:r>
    </w:p>
    <w:p w:rsidR="00897B37" w:rsidP="00AF0260" w14:paraId="4A8D88F2" w14:textId="77777777">
      <w:pPr>
        <w:autoSpaceDE w:val="0"/>
        <w:autoSpaceDN w:val="0"/>
        <w:adjustRightInd w:val="0"/>
      </w:pPr>
    </w:p>
    <w:p w:rsidR="00357C8A" w:rsidP="00AF0260" w14:paraId="4566C852" w14:textId="0B430D5B">
      <w:pPr>
        <w:rPr>
          <w:rFonts w:eastAsia="Calibri"/>
        </w:rPr>
      </w:pPr>
      <w:r>
        <w:t xml:space="preserve">Therefore, the total government cost for this collection of information is </w:t>
      </w:r>
      <w:r w:rsidRPr="002C47D4">
        <w:rPr>
          <w:b/>
          <w:bCs/>
        </w:rPr>
        <w:t>$</w:t>
      </w:r>
      <w:r w:rsidRPr="002C47D4" w:rsidR="00EC7363">
        <w:rPr>
          <w:b/>
          <w:bCs/>
        </w:rPr>
        <w:t>2,</w:t>
      </w:r>
      <w:r w:rsidRPr="002C47D4" w:rsidR="176D2068">
        <w:rPr>
          <w:b/>
          <w:bCs/>
        </w:rPr>
        <w:t>720,010.40</w:t>
      </w:r>
      <w:r w:rsidR="00EC7363">
        <w:t xml:space="preserve"> </w:t>
      </w:r>
      <w:r>
        <w:t>($</w:t>
      </w:r>
      <w:r w:rsidRPr="00EC7363" w:rsidR="00EC7363">
        <w:t>1,126,694.40</w:t>
      </w:r>
      <w:r>
        <w:t xml:space="preserve"> [labeling] + $</w:t>
      </w:r>
      <w:r w:rsidRPr="00EC7363" w:rsidR="00EC7363">
        <w:t>1,101,416</w:t>
      </w:r>
      <w:r>
        <w:t xml:space="preserve"> [</w:t>
      </w:r>
      <w:r w:rsidR="00EC7363">
        <w:t>registration and product listing</w:t>
      </w:r>
      <w:r>
        <w:t>]</w:t>
      </w:r>
      <w:r w:rsidR="5F2ED19A">
        <w:t xml:space="preserve"> + $491,900 [recordkeeping</w:t>
      </w:r>
      <w:r>
        <w:t>]).</w:t>
      </w:r>
    </w:p>
    <w:p w:rsidR="00837C68" w:rsidRPr="00357C8A" w:rsidP="00AF0260" w14:paraId="26641B9A" w14:textId="77777777">
      <w:pPr>
        <w:rPr>
          <w:rFonts w:eastAsia="Calibri"/>
        </w:rPr>
      </w:pPr>
    </w:p>
    <w:p w:rsidR="00357C8A" w:rsidP="00AF0260" w14:paraId="131FBCF2" w14:textId="4E5F7F70">
      <w:pPr>
        <w:numPr>
          <w:ilvl w:val="0"/>
          <w:numId w:val="7"/>
        </w:numPr>
        <w:ind w:left="0"/>
        <w:rPr>
          <w:rFonts w:eastAsia="Calibri"/>
          <w:u w:val="single"/>
        </w:rPr>
      </w:pPr>
      <w:r w:rsidRPr="00357C8A">
        <w:rPr>
          <w:rFonts w:eastAsia="Calibri"/>
          <w:u w:val="single"/>
        </w:rPr>
        <w:t>Explanation for Program Changes or Adjustments</w:t>
      </w:r>
    </w:p>
    <w:p w:rsidR="00837C68" w:rsidP="00AF0260" w14:paraId="785C7CD5" w14:textId="77777777"/>
    <w:p w:rsidR="00357C8A" w:rsidP="00AF0260" w14:paraId="51B26FD1" w14:textId="53CFABED">
      <w:pPr>
        <w:rPr>
          <w:rFonts w:eastAsia="Calibri"/>
        </w:rPr>
      </w:pPr>
      <w:r>
        <w:t>This</w:t>
      </w:r>
      <w:r w:rsidR="00CE39C0">
        <w:t xml:space="preserve"> information collection reflects </w:t>
      </w:r>
      <w:r>
        <w:t>program change</w:t>
      </w:r>
      <w:r w:rsidR="00CE39C0">
        <w:t>s</w:t>
      </w:r>
      <w:r w:rsidR="0042476E">
        <w:t xml:space="preserve"> introduced by </w:t>
      </w:r>
      <w:r w:rsidR="00CE39C0">
        <w:t>new legislation</w:t>
      </w:r>
      <w:r>
        <w:t xml:space="preserve">.  The burden for this information collection reflects an overall increase of </w:t>
      </w:r>
      <w:r w:rsidRPr="0067665D" w:rsidR="008F7EA4">
        <w:t>79,838</w:t>
      </w:r>
      <w:r w:rsidRPr="0067665D">
        <w:t xml:space="preserve"> burden hours and a</w:t>
      </w:r>
      <w:r w:rsidR="00EB40FA">
        <w:t xml:space="preserve">n </w:t>
      </w:r>
      <w:r w:rsidRPr="0067665D">
        <w:t xml:space="preserve">increase </w:t>
      </w:r>
      <w:r w:rsidRPr="00CD0C3E">
        <w:t xml:space="preserve">of </w:t>
      </w:r>
      <w:r w:rsidRPr="00CD0C3E" w:rsidR="00590A73">
        <w:t>100,</w:t>
      </w:r>
      <w:r w:rsidR="00EF180A">
        <w:t>78</w:t>
      </w:r>
      <w:r w:rsidR="00CD0C3E">
        <w:t>2</w:t>
      </w:r>
      <w:r w:rsidR="000425DB">
        <w:t xml:space="preserve"> </w:t>
      </w:r>
      <w:r>
        <w:t>responses</w:t>
      </w:r>
      <w:r w:rsidR="00A56CCE">
        <w:t xml:space="preserve"> </w:t>
      </w:r>
      <w:r w:rsidR="00EB40FA">
        <w:t>annually.  We have also</w:t>
      </w:r>
      <w:r w:rsidR="00DD2B21">
        <w:t xml:space="preserve"> proposed new collection instruments as we continue to implement the new statutory provisions.</w:t>
      </w:r>
    </w:p>
    <w:p w:rsidR="00837C68" w:rsidRPr="00357C8A" w:rsidP="00AF0260" w14:paraId="730C8F07" w14:textId="77777777">
      <w:pPr>
        <w:rPr>
          <w:rFonts w:eastAsia="Calibri"/>
        </w:rPr>
      </w:pPr>
    </w:p>
    <w:p w:rsidR="00357C8A" w:rsidRPr="00357C8A" w:rsidP="00AF0260" w14:paraId="3A229CB2" w14:textId="77777777">
      <w:pPr>
        <w:numPr>
          <w:ilvl w:val="0"/>
          <w:numId w:val="7"/>
        </w:numPr>
        <w:ind w:left="0"/>
        <w:rPr>
          <w:rFonts w:eastAsia="Calibri"/>
          <w:u w:val="single"/>
        </w:rPr>
      </w:pPr>
      <w:r w:rsidRPr="00357C8A">
        <w:rPr>
          <w:rFonts w:eastAsia="Calibri"/>
          <w:u w:val="single"/>
        </w:rPr>
        <w:t>Plans for Tabulation and Publication and Project Time Schedule</w:t>
      </w:r>
    </w:p>
    <w:p w:rsidR="00837C68" w:rsidP="00AF0260" w14:paraId="4CB81F62" w14:textId="77777777">
      <w:pPr>
        <w:rPr>
          <w:color w:val="000000" w:themeColor="text1"/>
        </w:rPr>
      </w:pPr>
      <w:r w:rsidRPr="0D5EF007">
        <w:rPr>
          <w:color w:val="000000" w:themeColor="text1"/>
        </w:rPr>
        <w:t xml:space="preserve"> </w:t>
      </w:r>
    </w:p>
    <w:p w:rsidR="00A26418" w:rsidP="00AF0260" w14:paraId="3FD2CF7E" w14:textId="43D7E6A5">
      <w:pPr>
        <w:rPr>
          <w:rFonts w:eastAsia="Calibri"/>
          <w:color w:val="FF0000"/>
        </w:rPr>
      </w:pPr>
      <w:r w:rsidRPr="0D5EF007">
        <w:rPr>
          <w:color w:val="000000" w:themeColor="text1"/>
        </w:rPr>
        <w:t>We intend to develop a mechanism to provide public access to relevant information found in cosmetic product facility registrations and listings to the extent permitted by law.  We are not specifying that mechanism as we continue to contemplate the most efficient method available</w:t>
      </w:r>
      <w:r w:rsidRPr="0D5EF007" w:rsidR="25893788">
        <w:rPr>
          <w:color w:val="000000" w:themeColor="text1"/>
        </w:rPr>
        <w:t>.</w:t>
      </w:r>
    </w:p>
    <w:p w:rsidR="45931251" w:rsidP="00AF0260" w14:paraId="4CE4C3CE" w14:textId="66A39A78">
      <w:pPr>
        <w:rPr>
          <w:rFonts w:eastAsia="Calibri"/>
        </w:rPr>
      </w:pPr>
    </w:p>
    <w:p w:rsidR="00357C8A" w:rsidRPr="00357C8A" w:rsidP="00AF0260" w14:paraId="44CAA22D" w14:textId="77777777">
      <w:pPr>
        <w:numPr>
          <w:ilvl w:val="0"/>
          <w:numId w:val="7"/>
        </w:numPr>
        <w:ind w:left="0"/>
        <w:rPr>
          <w:rFonts w:eastAsia="Calibri"/>
          <w:u w:val="single"/>
        </w:rPr>
      </w:pPr>
      <w:r w:rsidRPr="00357C8A">
        <w:rPr>
          <w:rFonts w:eastAsia="Calibri"/>
          <w:u w:val="single"/>
        </w:rPr>
        <w:t>Reason(s) Display of OMB Expiration Date is Inappropriate</w:t>
      </w:r>
    </w:p>
    <w:p w:rsidR="00837C68" w:rsidP="00AF0260" w14:paraId="56C27E67" w14:textId="77777777">
      <w:pPr>
        <w:rPr>
          <w:rFonts w:eastAsia="Calibri"/>
        </w:rPr>
      </w:pPr>
    </w:p>
    <w:p w:rsidR="00744525" w:rsidP="00AF0260" w14:paraId="56301931" w14:textId="7E781E04">
      <w:pPr>
        <w:rPr>
          <w:rFonts w:eastAsia="Calibri"/>
        </w:rPr>
      </w:pPr>
      <w:r w:rsidRPr="00B16851">
        <w:rPr>
          <w:rFonts w:eastAsia="Calibri"/>
        </w:rPr>
        <w:t xml:space="preserve">Consistent with established practice FDA will publish a </w:t>
      </w:r>
      <w:r w:rsidRPr="00B16851">
        <w:rPr>
          <w:rFonts w:eastAsia="Calibri"/>
          <w:i/>
        </w:rPr>
        <w:t>Federal Register</w:t>
      </w:r>
      <w:r w:rsidRPr="00B16851">
        <w:rPr>
          <w:rFonts w:eastAsia="Calibri"/>
        </w:rPr>
        <w:t xml:space="preserve"> notice announcing OMB</w:t>
      </w:r>
      <w:r w:rsidRPr="00B16851" w:rsidR="002B464A">
        <w:rPr>
          <w:rFonts w:eastAsia="Calibri"/>
        </w:rPr>
        <w:t xml:space="preserve"> </w:t>
      </w:r>
      <w:r w:rsidRPr="00B16851">
        <w:rPr>
          <w:rFonts w:eastAsia="Calibri"/>
        </w:rPr>
        <w:t xml:space="preserve">approval of the information collection associated with this guidance document and will display in that notice both the OMB control number and its current expiration date. </w:t>
      </w:r>
      <w:r w:rsidRPr="00B16851" w:rsidR="000425DB">
        <w:rPr>
          <w:rFonts w:eastAsia="Calibri"/>
        </w:rPr>
        <w:t xml:space="preserve"> </w:t>
      </w:r>
      <w:r w:rsidRPr="00B16851">
        <w:rPr>
          <w:rFonts w:eastAsia="Calibri"/>
        </w:rPr>
        <w:t xml:space="preserve">In addition, the OMB control number will be displayed on the guidance document cover page and include a link to </w:t>
      </w:r>
      <w:hyperlink r:id="rId8">
        <w:r w:rsidRPr="00B16851" w:rsidR="76F4EF71">
          <w:rPr>
            <w:rStyle w:val="Hyperlink"/>
            <w:rFonts w:eastAsia="Calibri"/>
          </w:rPr>
          <w:t>www.reginfo.gov</w:t>
        </w:r>
      </w:hyperlink>
      <w:r w:rsidRPr="00B16851" w:rsidR="000425DB">
        <w:rPr>
          <w:rFonts w:eastAsia="Calibri"/>
        </w:rPr>
        <w:t xml:space="preserve"> </w:t>
      </w:r>
      <w:r w:rsidRPr="00B16851">
        <w:rPr>
          <w:rFonts w:eastAsia="Calibri"/>
        </w:rPr>
        <w:t>to identify the current expiration date</w:t>
      </w:r>
      <w:r w:rsidRPr="00744525">
        <w:rPr>
          <w:rFonts w:eastAsia="Calibri"/>
        </w:rPr>
        <w:t>.</w:t>
      </w:r>
    </w:p>
    <w:p w:rsidR="00837C68" w:rsidRPr="00357C8A" w:rsidP="00AF0260" w14:paraId="61246F2B" w14:textId="77777777">
      <w:pPr>
        <w:rPr>
          <w:rFonts w:eastAsia="Calibri"/>
        </w:rPr>
      </w:pPr>
    </w:p>
    <w:p w:rsidR="00357C8A" w:rsidRPr="00357C8A" w:rsidP="00AF0260" w14:paraId="488935C3" w14:textId="77777777">
      <w:pPr>
        <w:numPr>
          <w:ilvl w:val="0"/>
          <w:numId w:val="7"/>
        </w:numPr>
        <w:ind w:left="0"/>
        <w:rPr>
          <w:rFonts w:eastAsia="Calibri"/>
          <w:u w:val="single"/>
        </w:rPr>
      </w:pPr>
      <w:r w:rsidRPr="00357C8A">
        <w:rPr>
          <w:rFonts w:eastAsia="Calibri"/>
          <w:u w:val="single"/>
        </w:rPr>
        <w:t>Exceptions to Certification for Paperwork Reduction Act Submissions</w:t>
      </w:r>
    </w:p>
    <w:p w:rsidR="00837C68" w:rsidP="00837C68" w14:paraId="54D4DB7D" w14:textId="77777777">
      <w:pPr>
        <w:rPr>
          <w:rFonts w:eastAsia="Calibri"/>
        </w:rPr>
      </w:pPr>
    </w:p>
    <w:p w:rsidR="00544138" w:rsidRPr="00C20690" w:rsidP="00837C68" w14:paraId="3108DEDC" w14:textId="789059E0">
      <w:pPr>
        <w:rPr>
          <w:rFonts w:eastAsia="Calibri"/>
        </w:rPr>
      </w:pPr>
      <w:r w:rsidRPr="007E59A8">
        <w:rPr>
          <w:rFonts w:eastAsia="Calibri"/>
        </w:rPr>
        <w:t>There are no exceptions to the certification</w:t>
      </w:r>
      <w:r>
        <w:rPr>
          <w:rFonts w:eastAsia="Calibri"/>
        </w:rPr>
        <w:t>.</w:t>
      </w:r>
    </w:p>
    <w:sectPr w:rsidSect="00546575">
      <w:footerReference w:type="even" r:id="rId9"/>
      <w:footerReference w:type="default" r:id="rId10"/>
      <w:pgSz w:w="12240" w:h="15840" w:code="1"/>
      <w:pgMar w:top="1440" w:right="1296"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A360ED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1D68">
      <w:rPr>
        <w:rStyle w:val="PageNumber"/>
        <w:noProof/>
      </w:rPr>
      <w:t>2</w:t>
    </w:r>
    <w:r>
      <w:rPr>
        <w:rStyle w:val="PageNumber"/>
      </w:rPr>
      <w:fldChar w:fldCharType="end"/>
    </w:r>
  </w:p>
  <w:p w:rsidR="00E63DE5" w14:paraId="66E339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711CDA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610C7E5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6B27"/>
    <w:multiLevelType w:val="hybridMultilevel"/>
    <w:tmpl w:val="22C402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33452DC2"/>
    <w:multiLevelType w:val="hybridMultilevel"/>
    <w:tmpl w:val="587E3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E0DFF98"/>
    <w:multiLevelType w:val="hybridMultilevel"/>
    <w:tmpl w:val="158AC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69E6B69"/>
    <w:multiLevelType w:val="hybridMultilevel"/>
    <w:tmpl w:val="B29CBC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60056262">
    <w:abstractNumId w:val="6"/>
  </w:num>
  <w:num w:numId="2" w16cid:durableId="402877607">
    <w:abstractNumId w:val="8"/>
  </w:num>
  <w:num w:numId="3" w16cid:durableId="363871697">
    <w:abstractNumId w:val="2"/>
  </w:num>
  <w:num w:numId="4" w16cid:durableId="709957288">
    <w:abstractNumId w:val="9"/>
  </w:num>
  <w:num w:numId="5" w16cid:durableId="1807893701">
    <w:abstractNumId w:val="5"/>
  </w:num>
  <w:num w:numId="6" w16cid:durableId="65416613">
    <w:abstractNumId w:val="11"/>
  </w:num>
  <w:num w:numId="7" w16cid:durableId="1404715685">
    <w:abstractNumId w:val="1"/>
  </w:num>
  <w:num w:numId="8" w16cid:durableId="1815828731">
    <w:abstractNumId w:val="3"/>
  </w:num>
  <w:num w:numId="9" w16cid:durableId="1533768662">
    <w:abstractNumId w:val="7"/>
  </w:num>
  <w:num w:numId="10" w16cid:durableId="1763409523">
    <w:abstractNumId w:val="10"/>
  </w:num>
  <w:num w:numId="11" w16cid:durableId="716660528">
    <w:abstractNumId w:val="0"/>
  </w:num>
  <w:num w:numId="12" w16cid:durableId="1950478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5A52"/>
    <w:rsid w:val="00011D2C"/>
    <w:rsid w:val="00011FEB"/>
    <w:rsid w:val="0001203F"/>
    <w:rsid w:val="00015C53"/>
    <w:rsid w:val="000303F9"/>
    <w:rsid w:val="000319A1"/>
    <w:rsid w:val="00031A2C"/>
    <w:rsid w:val="00031F27"/>
    <w:rsid w:val="00041146"/>
    <w:rsid w:val="000425DB"/>
    <w:rsid w:val="00042B93"/>
    <w:rsid w:val="00043C7F"/>
    <w:rsid w:val="00045ED4"/>
    <w:rsid w:val="000467A8"/>
    <w:rsid w:val="00047BB6"/>
    <w:rsid w:val="00055321"/>
    <w:rsid w:val="000621E9"/>
    <w:rsid w:val="000651F9"/>
    <w:rsid w:val="0006570F"/>
    <w:rsid w:val="00072CF2"/>
    <w:rsid w:val="00075DE8"/>
    <w:rsid w:val="00077D64"/>
    <w:rsid w:val="00087439"/>
    <w:rsid w:val="000878E7"/>
    <w:rsid w:val="000910BA"/>
    <w:rsid w:val="000A2750"/>
    <w:rsid w:val="000A5643"/>
    <w:rsid w:val="000A676B"/>
    <w:rsid w:val="000B56EC"/>
    <w:rsid w:val="000B5DA2"/>
    <w:rsid w:val="000C1260"/>
    <w:rsid w:val="000C4461"/>
    <w:rsid w:val="000C560C"/>
    <w:rsid w:val="000C5FF9"/>
    <w:rsid w:val="000D080B"/>
    <w:rsid w:val="000D48FD"/>
    <w:rsid w:val="000D596D"/>
    <w:rsid w:val="000D79CC"/>
    <w:rsid w:val="000D7E31"/>
    <w:rsid w:val="000E1C64"/>
    <w:rsid w:val="000E534C"/>
    <w:rsid w:val="000E610E"/>
    <w:rsid w:val="000F2D3C"/>
    <w:rsid w:val="000F42DD"/>
    <w:rsid w:val="000F6E40"/>
    <w:rsid w:val="000F7119"/>
    <w:rsid w:val="00100739"/>
    <w:rsid w:val="00100C8C"/>
    <w:rsid w:val="0010493E"/>
    <w:rsid w:val="0010572F"/>
    <w:rsid w:val="0010653C"/>
    <w:rsid w:val="001075D3"/>
    <w:rsid w:val="00107885"/>
    <w:rsid w:val="00110B5B"/>
    <w:rsid w:val="00112861"/>
    <w:rsid w:val="00113445"/>
    <w:rsid w:val="00114FC4"/>
    <w:rsid w:val="0011A5F7"/>
    <w:rsid w:val="0012044E"/>
    <w:rsid w:val="00120AFC"/>
    <w:rsid w:val="0012329C"/>
    <w:rsid w:val="001268B8"/>
    <w:rsid w:val="00134FA7"/>
    <w:rsid w:val="00135406"/>
    <w:rsid w:val="0013735F"/>
    <w:rsid w:val="00137950"/>
    <w:rsid w:val="0014508E"/>
    <w:rsid w:val="00152F29"/>
    <w:rsid w:val="001542BA"/>
    <w:rsid w:val="00156735"/>
    <w:rsid w:val="00161098"/>
    <w:rsid w:val="001633D7"/>
    <w:rsid w:val="00165DAB"/>
    <w:rsid w:val="00170860"/>
    <w:rsid w:val="00174D54"/>
    <w:rsid w:val="0017702C"/>
    <w:rsid w:val="00184CF9"/>
    <w:rsid w:val="00185270"/>
    <w:rsid w:val="00187D47"/>
    <w:rsid w:val="00193AE8"/>
    <w:rsid w:val="001A3114"/>
    <w:rsid w:val="001A3B5A"/>
    <w:rsid w:val="001A458C"/>
    <w:rsid w:val="001A5184"/>
    <w:rsid w:val="001A5799"/>
    <w:rsid w:val="001B0481"/>
    <w:rsid w:val="001B3B95"/>
    <w:rsid w:val="001B7CE9"/>
    <w:rsid w:val="001C0CA5"/>
    <w:rsid w:val="001C0E47"/>
    <w:rsid w:val="001C60AE"/>
    <w:rsid w:val="001D18D7"/>
    <w:rsid w:val="001D1AF1"/>
    <w:rsid w:val="001D2893"/>
    <w:rsid w:val="001D495A"/>
    <w:rsid w:val="001D4BBF"/>
    <w:rsid w:val="001E244C"/>
    <w:rsid w:val="001E7D05"/>
    <w:rsid w:val="001F1437"/>
    <w:rsid w:val="001F2B86"/>
    <w:rsid w:val="001F384B"/>
    <w:rsid w:val="002064B3"/>
    <w:rsid w:val="00206567"/>
    <w:rsid w:val="00206799"/>
    <w:rsid w:val="00206BCD"/>
    <w:rsid w:val="002074FE"/>
    <w:rsid w:val="0021012C"/>
    <w:rsid w:val="00210A9F"/>
    <w:rsid w:val="00212BDA"/>
    <w:rsid w:val="00216EB9"/>
    <w:rsid w:val="0022159F"/>
    <w:rsid w:val="0022425B"/>
    <w:rsid w:val="002259EF"/>
    <w:rsid w:val="00232717"/>
    <w:rsid w:val="002333AA"/>
    <w:rsid w:val="002344E4"/>
    <w:rsid w:val="00234B5C"/>
    <w:rsid w:val="00242ED1"/>
    <w:rsid w:val="002444BB"/>
    <w:rsid w:val="00250472"/>
    <w:rsid w:val="00253C29"/>
    <w:rsid w:val="00254069"/>
    <w:rsid w:val="0026142B"/>
    <w:rsid w:val="0026147F"/>
    <w:rsid w:val="00270748"/>
    <w:rsid w:val="002734E5"/>
    <w:rsid w:val="002746DB"/>
    <w:rsid w:val="00280CAF"/>
    <w:rsid w:val="00281799"/>
    <w:rsid w:val="00282F09"/>
    <w:rsid w:val="00285137"/>
    <w:rsid w:val="00287ED7"/>
    <w:rsid w:val="0029085B"/>
    <w:rsid w:val="00291810"/>
    <w:rsid w:val="00291F93"/>
    <w:rsid w:val="00294D62"/>
    <w:rsid w:val="00297532"/>
    <w:rsid w:val="00297FFD"/>
    <w:rsid w:val="0029ADC7"/>
    <w:rsid w:val="002A1210"/>
    <w:rsid w:val="002A34EA"/>
    <w:rsid w:val="002A37A5"/>
    <w:rsid w:val="002A47D2"/>
    <w:rsid w:val="002A76F3"/>
    <w:rsid w:val="002A7FB5"/>
    <w:rsid w:val="002B13CA"/>
    <w:rsid w:val="002B2074"/>
    <w:rsid w:val="002B3137"/>
    <w:rsid w:val="002B3E78"/>
    <w:rsid w:val="002B464A"/>
    <w:rsid w:val="002B54A5"/>
    <w:rsid w:val="002B5E25"/>
    <w:rsid w:val="002C47D4"/>
    <w:rsid w:val="002D05B3"/>
    <w:rsid w:val="002D14D8"/>
    <w:rsid w:val="002D34A9"/>
    <w:rsid w:val="002D4799"/>
    <w:rsid w:val="002D5C37"/>
    <w:rsid w:val="002E1D12"/>
    <w:rsid w:val="002E3A47"/>
    <w:rsid w:val="002E3FA4"/>
    <w:rsid w:val="002E53A5"/>
    <w:rsid w:val="002E64B8"/>
    <w:rsid w:val="002E6834"/>
    <w:rsid w:val="002F7AA2"/>
    <w:rsid w:val="002F7EC9"/>
    <w:rsid w:val="00302B29"/>
    <w:rsid w:val="003058DF"/>
    <w:rsid w:val="003113FF"/>
    <w:rsid w:val="00311C34"/>
    <w:rsid w:val="00312622"/>
    <w:rsid w:val="0031358E"/>
    <w:rsid w:val="003141CE"/>
    <w:rsid w:val="003163A4"/>
    <w:rsid w:val="0032277F"/>
    <w:rsid w:val="00323621"/>
    <w:rsid w:val="00325B2E"/>
    <w:rsid w:val="00335785"/>
    <w:rsid w:val="00336B69"/>
    <w:rsid w:val="00341EB5"/>
    <w:rsid w:val="0034302B"/>
    <w:rsid w:val="0034727B"/>
    <w:rsid w:val="00350523"/>
    <w:rsid w:val="00350BF3"/>
    <w:rsid w:val="0035189D"/>
    <w:rsid w:val="00353E90"/>
    <w:rsid w:val="00354094"/>
    <w:rsid w:val="00355B62"/>
    <w:rsid w:val="00357C8A"/>
    <w:rsid w:val="003638BF"/>
    <w:rsid w:val="0036634A"/>
    <w:rsid w:val="003740BC"/>
    <w:rsid w:val="0037456B"/>
    <w:rsid w:val="00374F5B"/>
    <w:rsid w:val="00376FB2"/>
    <w:rsid w:val="003801A3"/>
    <w:rsid w:val="0038095F"/>
    <w:rsid w:val="00383D90"/>
    <w:rsid w:val="003870AE"/>
    <w:rsid w:val="00392372"/>
    <w:rsid w:val="003A020B"/>
    <w:rsid w:val="003A1A27"/>
    <w:rsid w:val="003A1A6F"/>
    <w:rsid w:val="003A1AA5"/>
    <w:rsid w:val="003A50CC"/>
    <w:rsid w:val="003B175B"/>
    <w:rsid w:val="003B42B3"/>
    <w:rsid w:val="003B5217"/>
    <w:rsid w:val="003B5FB3"/>
    <w:rsid w:val="003B6384"/>
    <w:rsid w:val="003C0FE2"/>
    <w:rsid w:val="003C373B"/>
    <w:rsid w:val="003C4EBB"/>
    <w:rsid w:val="003D1531"/>
    <w:rsid w:val="003D2E49"/>
    <w:rsid w:val="003D38AA"/>
    <w:rsid w:val="003D66E3"/>
    <w:rsid w:val="003E1421"/>
    <w:rsid w:val="003E4829"/>
    <w:rsid w:val="003E4D92"/>
    <w:rsid w:val="003E4EC6"/>
    <w:rsid w:val="003E527E"/>
    <w:rsid w:val="003E553E"/>
    <w:rsid w:val="003E7078"/>
    <w:rsid w:val="003F16B9"/>
    <w:rsid w:val="003F3DF5"/>
    <w:rsid w:val="003F5505"/>
    <w:rsid w:val="003F73B8"/>
    <w:rsid w:val="003F7B81"/>
    <w:rsid w:val="0040297E"/>
    <w:rsid w:val="00407894"/>
    <w:rsid w:val="00410990"/>
    <w:rsid w:val="00410D1C"/>
    <w:rsid w:val="00411D11"/>
    <w:rsid w:val="00414494"/>
    <w:rsid w:val="00415E23"/>
    <w:rsid w:val="0041670D"/>
    <w:rsid w:val="00416EF6"/>
    <w:rsid w:val="00420486"/>
    <w:rsid w:val="00422AC3"/>
    <w:rsid w:val="00423272"/>
    <w:rsid w:val="00424061"/>
    <w:rsid w:val="0042476E"/>
    <w:rsid w:val="0043208F"/>
    <w:rsid w:val="00434851"/>
    <w:rsid w:val="00442A3C"/>
    <w:rsid w:val="00443969"/>
    <w:rsid w:val="00447D74"/>
    <w:rsid w:val="004505C2"/>
    <w:rsid w:val="00450A74"/>
    <w:rsid w:val="004536FC"/>
    <w:rsid w:val="004546BF"/>
    <w:rsid w:val="00460C1B"/>
    <w:rsid w:val="00465350"/>
    <w:rsid w:val="00467A96"/>
    <w:rsid w:val="004727BA"/>
    <w:rsid w:val="0047469F"/>
    <w:rsid w:val="00475AD6"/>
    <w:rsid w:val="00476B91"/>
    <w:rsid w:val="00479681"/>
    <w:rsid w:val="00480982"/>
    <w:rsid w:val="0048224A"/>
    <w:rsid w:val="004840E3"/>
    <w:rsid w:val="004846BF"/>
    <w:rsid w:val="00486CBD"/>
    <w:rsid w:val="004873EE"/>
    <w:rsid w:val="00491711"/>
    <w:rsid w:val="00491BF1"/>
    <w:rsid w:val="00494912"/>
    <w:rsid w:val="004A0B47"/>
    <w:rsid w:val="004A17D6"/>
    <w:rsid w:val="004A1FF9"/>
    <w:rsid w:val="004A3EE7"/>
    <w:rsid w:val="004A4FAD"/>
    <w:rsid w:val="004A4FC4"/>
    <w:rsid w:val="004A5323"/>
    <w:rsid w:val="004A5A99"/>
    <w:rsid w:val="004B19E9"/>
    <w:rsid w:val="004C6979"/>
    <w:rsid w:val="004D13A2"/>
    <w:rsid w:val="004D1891"/>
    <w:rsid w:val="004D1B18"/>
    <w:rsid w:val="004D3E7A"/>
    <w:rsid w:val="004D4B13"/>
    <w:rsid w:val="004D7872"/>
    <w:rsid w:val="004E1194"/>
    <w:rsid w:val="004E25A1"/>
    <w:rsid w:val="004E571F"/>
    <w:rsid w:val="004E5B5A"/>
    <w:rsid w:val="004F1219"/>
    <w:rsid w:val="004F594B"/>
    <w:rsid w:val="004F61E1"/>
    <w:rsid w:val="004F7118"/>
    <w:rsid w:val="004F7C5B"/>
    <w:rsid w:val="00501401"/>
    <w:rsid w:val="005038D9"/>
    <w:rsid w:val="005105EE"/>
    <w:rsid w:val="00510923"/>
    <w:rsid w:val="005127A3"/>
    <w:rsid w:val="005132BF"/>
    <w:rsid w:val="005133C4"/>
    <w:rsid w:val="005144EC"/>
    <w:rsid w:val="005230D9"/>
    <w:rsid w:val="0052373D"/>
    <w:rsid w:val="005266E6"/>
    <w:rsid w:val="0053380B"/>
    <w:rsid w:val="00535D68"/>
    <w:rsid w:val="00543194"/>
    <w:rsid w:val="00544138"/>
    <w:rsid w:val="0054537F"/>
    <w:rsid w:val="00546067"/>
    <w:rsid w:val="00546575"/>
    <w:rsid w:val="00554B9F"/>
    <w:rsid w:val="00554E34"/>
    <w:rsid w:val="00556437"/>
    <w:rsid w:val="00556F5F"/>
    <w:rsid w:val="00560011"/>
    <w:rsid w:val="00560BA3"/>
    <w:rsid w:val="00561CD0"/>
    <w:rsid w:val="00565014"/>
    <w:rsid w:val="00573737"/>
    <w:rsid w:val="005772FF"/>
    <w:rsid w:val="00584583"/>
    <w:rsid w:val="00585CA6"/>
    <w:rsid w:val="00585CDA"/>
    <w:rsid w:val="00587FD6"/>
    <w:rsid w:val="00590A73"/>
    <w:rsid w:val="00590E90"/>
    <w:rsid w:val="00590EEB"/>
    <w:rsid w:val="00593569"/>
    <w:rsid w:val="00593D22"/>
    <w:rsid w:val="005A0C37"/>
    <w:rsid w:val="005A4099"/>
    <w:rsid w:val="005A630D"/>
    <w:rsid w:val="005A6ACB"/>
    <w:rsid w:val="005A75B0"/>
    <w:rsid w:val="005B37A9"/>
    <w:rsid w:val="005B437A"/>
    <w:rsid w:val="005C38B2"/>
    <w:rsid w:val="005C5029"/>
    <w:rsid w:val="005C55C2"/>
    <w:rsid w:val="005C71CA"/>
    <w:rsid w:val="005C745C"/>
    <w:rsid w:val="005D0864"/>
    <w:rsid w:val="005D4DF5"/>
    <w:rsid w:val="005D7B3B"/>
    <w:rsid w:val="005E172B"/>
    <w:rsid w:val="005E213E"/>
    <w:rsid w:val="005E42BA"/>
    <w:rsid w:val="005E4B2B"/>
    <w:rsid w:val="005E7653"/>
    <w:rsid w:val="005F30C2"/>
    <w:rsid w:val="005F4DDF"/>
    <w:rsid w:val="005F5F36"/>
    <w:rsid w:val="00602B9D"/>
    <w:rsid w:val="00604A47"/>
    <w:rsid w:val="006057CA"/>
    <w:rsid w:val="00607AC3"/>
    <w:rsid w:val="0061125A"/>
    <w:rsid w:val="0061183B"/>
    <w:rsid w:val="00611D6B"/>
    <w:rsid w:val="00611D90"/>
    <w:rsid w:val="0061764E"/>
    <w:rsid w:val="00623CCB"/>
    <w:rsid w:val="00624B22"/>
    <w:rsid w:val="00625CFD"/>
    <w:rsid w:val="00627158"/>
    <w:rsid w:val="006326EC"/>
    <w:rsid w:val="00632851"/>
    <w:rsid w:val="006331B5"/>
    <w:rsid w:val="00633A52"/>
    <w:rsid w:val="006406F9"/>
    <w:rsid w:val="006424DA"/>
    <w:rsid w:val="00645BA7"/>
    <w:rsid w:val="006475FF"/>
    <w:rsid w:val="00652170"/>
    <w:rsid w:val="00655EDA"/>
    <w:rsid w:val="006624E1"/>
    <w:rsid w:val="00663A42"/>
    <w:rsid w:val="006641C7"/>
    <w:rsid w:val="00667C59"/>
    <w:rsid w:val="006705EA"/>
    <w:rsid w:val="00670BE2"/>
    <w:rsid w:val="0067665D"/>
    <w:rsid w:val="00682C00"/>
    <w:rsid w:val="00683432"/>
    <w:rsid w:val="00685720"/>
    <w:rsid w:val="006905C0"/>
    <w:rsid w:val="006916D9"/>
    <w:rsid w:val="00692BFD"/>
    <w:rsid w:val="00692CD7"/>
    <w:rsid w:val="006A0E05"/>
    <w:rsid w:val="006A26C6"/>
    <w:rsid w:val="006A390F"/>
    <w:rsid w:val="006A465A"/>
    <w:rsid w:val="006A7132"/>
    <w:rsid w:val="006A7D5D"/>
    <w:rsid w:val="006B1F62"/>
    <w:rsid w:val="006B5999"/>
    <w:rsid w:val="006C148C"/>
    <w:rsid w:val="006C3FE6"/>
    <w:rsid w:val="006C5806"/>
    <w:rsid w:val="006D0C12"/>
    <w:rsid w:val="006D212B"/>
    <w:rsid w:val="006D4EEA"/>
    <w:rsid w:val="006D5D57"/>
    <w:rsid w:val="006E100C"/>
    <w:rsid w:val="006E2538"/>
    <w:rsid w:val="006E302F"/>
    <w:rsid w:val="006F0C47"/>
    <w:rsid w:val="006F0DF2"/>
    <w:rsid w:val="006F19C6"/>
    <w:rsid w:val="006F4970"/>
    <w:rsid w:val="006F4C08"/>
    <w:rsid w:val="006F4D6D"/>
    <w:rsid w:val="006F7302"/>
    <w:rsid w:val="00705086"/>
    <w:rsid w:val="0072033E"/>
    <w:rsid w:val="00722001"/>
    <w:rsid w:val="007312E1"/>
    <w:rsid w:val="007367B5"/>
    <w:rsid w:val="0074102E"/>
    <w:rsid w:val="00742B51"/>
    <w:rsid w:val="00744525"/>
    <w:rsid w:val="007451A5"/>
    <w:rsid w:val="007454D5"/>
    <w:rsid w:val="00751E66"/>
    <w:rsid w:val="00754497"/>
    <w:rsid w:val="007553A4"/>
    <w:rsid w:val="00755BDE"/>
    <w:rsid w:val="00756927"/>
    <w:rsid w:val="0075780E"/>
    <w:rsid w:val="0077114F"/>
    <w:rsid w:val="00773201"/>
    <w:rsid w:val="00787C39"/>
    <w:rsid w:val="00790036"/>
    <w:rsid w:val="00792947"/>
    <w:rsid w:val="00792A72"/>
    <w:rsid w:val="0079318C"/>
    <w:rsid w:val="00793193"/>
    <w:rsid w:val="00795DF3"/>
    <w:rsid w:val="007A373C"/>
    <w:rsid w:val="007A5188"/>
    <w:rsid w:val="007B225C"/>
    <w:rsid w:val="007B30C1"/>
    <w:rsid w:val="007B527F"/>
    <w:rsid w:val="007B7304"/>
    <w:rsid w:val="007C47A1"/>
    <w:rsid w:val="007C75B1"/>
    <w:rsid w:val="007C7DE6"/>
    <w:rsid w:val="007D3DFC"/>
    <w:rsid w:val="007E0B48"/>
    <w:rsid w:val="007E2F07"/>
    <w:rsid w:val="007E4FA4"/>
    <w:rsid w:val="007E57E0"/>
    <w:rsid w:val="007E59A8"/>
    <w:rsid w:val="007E5A8F"/>
    <w:rsid w:val="007E7600"/>
    <w:rsid w:val="007E7B08"/>
    <w:rsid w:val="007F75E6"/>
    <w:rsid w:val="00801ACF"/>
    <w:rsid w:val="0080776D"/>
    <w:rsid w:val="00810145"/>
    <w:rsid w:val="008108FA"/>
    <w:rsid w:val="00810FF1"/>
    <w:rsid w:val="008122F9"/>
    <w:rsid w:val="00816D62"/>
    <w:rsid w:val="008207DE"/>
    <w:rsid w:val="00822336"/>
    <w:rsid w:val="00822840"/>
    <w:rsid w:val="00823DFA"/>
    <w:rsid w:val="00826419"/>
    <w:rsid w:val="00830206"/>
    <w:rsid w:val="008341E4"/>
    <w:rsid w:val="00834A66"/>
    <w:rsid w:val="00837C68"/>
    <w:rsid w:val="008400E2"/>
    <w:rsid w:val="00840155"/>
    <w:rsid w:val="00842DB7"/>
    <w:rsid w:val="00843752"/>
    <w:rsid w:val="0084479F"/>
    <w:rsid w:val="00854AA3"/>
    <w:rsid w:val="00855B38"/>
    <w:rsid w:val="00856C03"/>
    <w:rsid w:val="0085725E"/>
    <w:rsid w:val="00857EF5"/>
    <w:rsid w:val="008614A0"/>
    <w:rsid w:val="00861CC8"/>
    <w:rsid w:val="0086493D"/>
    <w:rsid w:val="00865737"/>
    <w:rsid w:val="0087187C"/>
    <w:rsid w:val="00871978"/>
    <w:rsid w:val="00873D4F"/>
    <w:rsid w:val="0087509F"/>
    <w:rsid w:val="00883ACC"/>
    <w:rsid w:val="0088501B"/>
    <w:rsid w:val="00885B09"/>
    <w:rsid w:val="0089079A"/>
    <w:rsid w:val="00892400"/>
    <w:rsid w:val="008924D8"/>
    <w:rsid w:val="00893CBC"/>
    <w:rsid w:val="00893DBE"/>
    <w:rsid w:val="0089656A"/>
    <w:rsid w:val="00896C5F"/>
    <w:rsid w:val="008979F4"/>
    <w:rsid w:val="00897B37"/>
    <w:rsid w:val="008A209D"/>
    <w:rsid w:val="008A22BB"/>
    <w:rsid w:val="008A6192"/>
    <w:rsid w:val="008B035D"/>
    <w:rsid w:val="008B0E29"/>
    <w:rsid w:val="008B0EFA"/>
    <w:rsid w:val="008B1C9F"/>
    <w:rsid w:val="008B2C6B"/>
    <w:rsid w:val="008B30AB"/>
    <w:rsid w:val="008B3F3A"/>
    <w:rsid w:val="008B6610"/>
    <w:rsid w:val="008C3BB8"/>
    <w:rsid w:val="008C4B65"/>
    <w:rsid w:val="008C50DE"/>
    <w:rsid w:val="008D6603"/>
    <w:rsid w:val="008E0C66"/>
    <w:rsid w:val="008E5AD3"/>
    <w:rsid w:val="008E5F55"/>
    <w:rsid w:val="008F79D1"/>
    <w:rsid w:val="008F7BD5"/>
    <w:rsid w:val="008F7EA4"/>
    <w:rsid w:val="009009E7"/>
    <w:rsid w:val="009037FD"/>
    <w:rsid w:val="00905DEF"/>
    <w:rsid w:val="00906056"/>
    <w:rsid w:val="009122AE"/>
    <w:rsid w:val="00913B43"/>
    <w:rsid w:val="00916B0D"/>
    <w:rsid w:val="00920A8B"/>
    <w:rsid w:val="0092568D"/>
    <w:rsid w:val="0092664F"/>
    <w:rsid w:val="00930203"/>
    <w:rsid w:val="009311D2"/>
    <w:rsid w:val="009311E6"/>
    <w:rsid w:val="00931275"/>
    <w:rsid w:val="00934743"/>
    <w:rsid w:val="00935456"/>
    <w:rsid w:val="00936AC7"/>
    <w:rsid w:val="009428AC"/>
    <w:rsid w:val="009438F2"/>
    <w:rsid w:val="00947519"/>
    <w:rsid w:val="00951636"/>
    <w:rsid w:val="00953B64"/>
    <w:rsid w:val="00954EAA"/>
    <w:rsid w:val="00960A31"/>
    <w:rsid w:val="009646A7"/>
    <w:rsid w:val="00964C8B"/>
    <w:rsid w:val="009650E9"/>
    <w:rsid w:val="00970A88"/>
    <w:rsid w:val="009723A9"/>
    <w:rsid w:val="00975864"/>
    <w:rsid w:val="009818A1"/>
    <w:rsid w:val="009818BF"/>
    <w:rsid w:val="009912EC"/>
    <w:rsid w:val="00992935"/>
    <w:rsid w:val="00992DB2"/>
    <w:rsid w:val="009934BA"/>
    <w:rsid w:val="00994CB1"/>
    <w:rsid w:val="009A147F"/>
    <w:rsid w:val="009A1674"/>
    <w:rsid w:val="009B220F"/>
    <w:rsid w:val="009B2A60"/>
    <w:rsid w:val="009B3538"/>
    <w:rsid w:val="009B382F"/>
    <w:rsid w:val="009B38BE"/>
    <w:rsid w:val="009B4DF2"/>
    <w:rsid w:val="009B6834"/>
    <w:rsid w:val="009C684F"/>
    <w:rsid w:val="009D074C"/>
    <w:rsid w:val="009D0DCD"/>
    <w:rsid w:val="009D39B3"/>
    <w:rsid w:val="009D437F"/>
    <w:rsid w:val="009D6E73"/>
    <w:rsid w:val="009D7FA4"/>
    <w:rsid w:val="009F1F1D"/>
    <w:rsid w:val="009F2B4F"/>
    <w:rsid w:val="009F3C63"/>
    <w:rsid w:val="009F66B5"/>
    <w:rsid w:val="00A02F10"/>
    <w:rsid w:val="00A04736"/>
    <w:rsid w:val="00A1060C"/>
    <w:rsid w:val="00A16221"/>
    <w:rsid w:val="00A20A4B"/>
    <w:rsid w:val="00A20A7D"/>
    <w:rsid w:val="00A22E7B"/>
    <w:rsid w:val="00A25342"/>
    <w:rsid w:val="00A26350"/>
    <w:rsid w:val="00A26418"/>
    <w:rsid w:val="00A30201"/>
    <w:rsid w:val="00A32509"/>
    <w:rsid w:val="00A329F9"/>
    <w:rsid w:val="00A35743"/>
    <w:rsid w:val="00A35C90"/>
    <w:rsid w:val="00A35D42"/>
    <w:rsid w:val="00A37FA5"/>
    <w:rsid w:val="00A46B23"/>
    <w:rsid w:val="00A46CCF"/>
    <w:rsid w:val="00A506DE"/>
    <w:rsid w:val="00A51EA4"/>
    <w:rsid w:val="00A53451"/>
    <w:rsid w:val="00A56CCE"/>
    <w:rsid w:val="00A57182"/>
    <w:rsid w:val="00A70426"/>
    <w:rsid w:val="00A707CC"/>
    <w:rsid w:val="00A71395"/>
    <w:rsid w:val="00A71410"/>
    <w:rsid w:val="00A71B5B"/>
    <w:rsid w:val="00A7286A"/>
    <w:rsid w:val="00A7509D"/>
    <w:rsid w:val="00A87CFB"/>
    <w:rsid w:val="00A903C3"/>
    <w:rsid w:val="00A91E9A"/>
    <w:rsid w:val="00A93ED9"/>
    <w:rsid w:val="00A960B6"/>
    <w:rsid w:val="00A96221"/>
    <w:rsid w:val="00A97C24"/>
    <w:rsid w:val="00AA2552"/>
    <w:rsid w:val="00AA4240"/>
    <w:rsid w:val="00AB0F69"/>
    <w:rsid w:val="00AB32BA"/>
    <w:rsid w:val="00AB3E1B"/>
    <w:rsid w:val="00AC2DBB"/>
    <w:rsid w:val="00AC4A88"/>
    <w:rsid w:val="00AC6A99"/>
    <w:rsid w:val="00AD067C"/>
    <w:rsid w:val="00AD386E"/>
    <w:rsid w:val="00AD6048"/>
    <w:rsid w:val="00AD6D00"/>
    <w:rsid w:val="00AD7AB8"/>
    <w:rsid w:val="00AE2FA4"/>
    <w:rsid w:val="00AE4EC0"/>
    <w:rsid w:val="00AE5ECB"/>
    <w:rsid w:val="00AE6129"/>
    <w:rsid w:val="00AF0260"/>
    <w:rsid w:val="00AF1E5B"/>
    <w:rsid w:val="00AF51E4"/>
    <w:rsid w:val="00B00E32"/>
    <w:rsid w:val="00B05553"/>
    <w:rsid w:val="00B055EF"/>
    <w:rsid w:val="00B061CE"/>
    <w:rsid w:val="00B06B5B"/>
    <w:rsid w:val="00B10F70"/>
    <w:rsid w:val="00B11D46"/>
    <w:rsid w:val="00B1609C"/>
    <w:rsid w:val="00B16851"/>
    <w:rsid w:val="00B17312"/>
    <w:rsid w:val="00B216F3"/>
    <w:rsid w:val="00B23769"/>
    <w:rsid w:val="00B26F4C"/>
    <w:rsid w:val="00B331E6"/>
    <w:rsid w:val="00B35C0B"/>
    <w:rsid w:val="00B409A3"/>
    <w:rsid w:val="00B41789"/>
    <w:rsid w:val="00B43F27"/>
    <w:rsid w:val="00B635C4"/>
    <w:rsid w:val="00B679A6"/>
    <w:rsid w:val="00B80442"/>
    <w:rsid w:val="00B807EC"/>
    <w:rsid w:val="00B81808"/>
    <w:rsid w:val="00B82E28"/>
    <w:rsid w:val="00B839F3"/>
    <w:rsid w:val="00B85D12"/>
    <w:rsid w:val="00B86DFA"/>
    <w:rsid w:val="00B936D0"/>
    <w:rsid w:val="00B9DB9E"/>
    <w:rsid w:val="00BA2812"/>
    <w:rsid w:val="00BA2B3D"/>
    <w:rsid w:val="00BB0272"/>
    <w:rsid w:val="00BB15FB"/>
    <w:rsid w:val="00BB1DB3"/>
    <w:rsid w:val="00BB598C"/>
    <w:rsid w:val="00BC3CE7"/>
    <w:rsid w:val="00BC43DA"/>
    <w:rsid w:val="00BC5EB1"/>
    <w:rsid w:val="00BD353E"/>
    <w:rsid w:val="00BD3D5B"/>
    <w:rsid w:val="00BD56F9"/>
    <w:rsid w:val="00BE0230"/>
    <w:rsid w:val="00BE270B"/>
    <w:rsid w:val="00BE2BDC"/>
    <w:rsid w:val="00BE3282"/>
    <w:rsid w:val="00BE3600"/>
    <w:rsid w:val="00BE54F5"/>
    <w:rsid w:val="00BF45FB"/>
    <w:rsid w:val="00BF7033"/>
    <w:rsid w:val="00BF73C3"/>
    <w:rsid w:val="00C01015"/>
    <w:rsid w:val="00C01F6F"/>
    <w:rsid w:val="00C041EA"/>
    <w:rsid w:val="00C0623E"/>
    <w:rsid w:val="00C13BBD"/>
    <w:rsid w:val="00C149AB"/>
    <w:rsid w:val="00C16929"/>
    <w:rsid w:val="00C2044E"/>
    <w:rsid w:val="00C20690"/>
    <w:rsid w:val="00C308DB"/>
    <w:rsid w:val="00C32F3F"/>
    <w:rsid w:val="00C34010"/>
    <w:rsid w:val="00C34173"/>
    <w:rsid w:val="00C36020"/>
    <w:rsid w:val="00C40694"/>
    <w:rsid w:val="00C41762"/>
    <w:rsid w:val="00C41837"/>
    <w:rsid w:val="00C479BF"/>
    <w:rsid w:val="00C5124B"/>
    <w:rsid w:val="00C51667"/>
    <w:rsid w:val="00C52298"/>
    <w:rsid w:val="00C523A3"/>
    <w:rsid w:val="00C54B77"/>
    <w:rsid w:val="00C57A78"/>
    <w:rsid w:val="00C621EF"/>
    <w:rsid w:val="00C70542"/>
    <w:rsid w:val="00C7390D"/>
    <w:rsid w:val="00C752DD"/>
    <w:rsid w:val="00C75CBF"/>
    <w:rsid w:val="00C82A8C"/>
    <w:rsid w:val="00C82CC0"/>
    <w:rsid w:val="00C9207E"/>
    <w:rsid w:val="00C948DD"/>
    <w:rsid w:val="00C97BB0"/>
    <w:rsid w:val="00CA4FE9"/>
    <w:rsid w:val="00CA5E1C"/>
    <w:rsid w:val="00CA6A7F"/>
    <w:rsid w:val="00CA7B03"/>
    <w:rsid w:val="00CB1B29"/>
    <w:rsid w:val="00CB1E3D"/>
    <w:rsid w:val="00CB49F9"/>
    <w:rsid w:val="00CB5167"/>
    <w:rsid w:val="00CC2894"/>
    <w:rsid w:val="00CC768D"/>
    <w:rsid w:val="00CD06AD"/>
    <w:rsid w:val="00CD0C3E"/>
    <w:rsid w:val="00CD2884"/>
    <w:rsid w:val="00CD5058"/>
    <w:rsid w:val="00CD77C3"/>
    <w:rsid w:val="00CE112C"/>
    <w:rsid w:val="00CE27AF"/>
    <w:rsid w:val="00CE39C0"/>
    <w:rsid w:val="00CF00D9"/>
    <w:rsid w:val="00CF55D4"/>
    <w:rsid w:val="00D0271B"/>
    <w:rsid w:val="00D02F2E"/>
    <w:rsid w:val="00D04C39"/>
    <w:rsid w:val="00D066ED"/>
    <w:rsid w:val="00D07EFE"/>
    <w:rsid w:val="00D1175B"/>
    <w:rsid w:val="00D120BA"/>
    <w:rsid w:val="00D14988"/>
    <w:rsid w:val="00D222E8"/>
    <w:rsid w:val="00D23D0F"/>
    <w:rsid w:val="00D252BD"/>
    <w:rsid w:val="00D26D9C"/>
    <w:rsid w:val="00D307C1"/>
    <w:rsid w:val="00D309D0"/>
    <w:rsid w:val="00D30B7F"/>
    <w:rsid w:val="00D329E7"/>
    <w:rsid w:val="00D32A84"/>
    <w:rsid w:val="00D35E31"/>
    <w:rsid w:val="00D4015B"/>
    <w:rsid w:val="00D42D25"/>
    <w:rsid w:val="00D470C8"/>
    <w:rsid w:val="00D479B7"/>
    <w:rsid w:val="00D53F45"/>
    <w:rsid w:val="00D554A5"/>
    <w:rsid w:val="00D608DA"/>
    <w:rsid w:val="00D62657"/>
    <w:rsid w:val="00D730BF"/>
    <w:rsid w:val="00D75B06"/>
    <w:rsid w:val="00D828FF"/>
    <w:rsid w:val="00D852F4"/>
    <w:rsid w:val="00D86749"/>
    <w:rsid w:val="00DA6643"/>
    <w:rsid w:val="00DB0ABE"/>
    <w:rsid w:val="00DB1110"/>
    <w:rsid w:val="00DB3730"/>
    <w:rsid w:val="00DC17E6"/>
    <w:rsid w:val="00DC371B"/>
    <w:rsid w:val="00DC3788"/>
    <w:rsid w:val="00DC76C7"/>
    <w:rsid w:val="00DD09F5"/>
    <w:rsid w:val="00DD0E02"/>
    <w:rsid w:val="00DD2B21"/>
    <w:rsid w:val="00DD4201"/>
    <w:rsid w:val="00DD53C5"/>
    <w:rsid w:val="00DD5E9F"/>
    <w:rsid w:val="00DE4B74"/>
    <w:rsid w:val="00DE4D81"/>
    <w:rsid w:val="00DE5711"/>
    <w:rsid w:val="00DE66CE"/>
    <w:rsid w:val="00DF69EE"/>
    <w:rsid w:val="00DF7F0B"/>
    <w:rsid w:val="00E009A2"/>
    <w:rsid w:val="00E00B01"/>
    <w:rsid w:val="00E00EA0"/>
    <w:rsid w:val="00E021CB"/>
    <w:rsid w:val="00E057CF"/>
    <w:rsid w:val="00E07477"/>
    <w:rsid w:val="00E077A1"/>
    <w:rsid w:val="00E138F1"/>
    <w:rsid w:val="00E139C2"/>
    <w:rsid w:val="00E13A1E"/>
    <w:rsid w:val="00E145BB"/>
    <w:rsid w:val="00E171EC"/>
    <w:rsid w:val="00E20479"/>
    <w:rsid w:val="00E2309D"/>
    <w:rsid w:val="00E2405E"/>
    <w:rsid w:val="00E2438A"/>
    <w:rsid w:val="00E25B38"/>
    <w:rsid w:val="00E26758"/>
    <w:rsid w:val="00E273B6"/>
    <w:rsid w:val="00E351FE"/>
    <w:rsid w:val="00E4357B"/>
    <w:rsid w:val="00E443A7"/>
    <w:rsid w:val="00E44AAA"/>
    <w:rsid w:val="00E44E09"/>
    <w:rsid w:val="00E45904"/>
    <w:rsid w:val="00E47569"/>
    <w:rsid w:val="00E5204B"/>
    <w:rsid w:val="00E55DDD"/>
    <w:rsid w:val="00E56ABD"/>
    <w:rsid w:val="00E56F79"/>
    <w:rsid w:val="00E6017F"/>
    <w:rsid w:val="00E61D68"/>
    <w:rsid w:val="00E63DE5"/>
    <w:rsid w:val="00E647AF"/>
    <w:rsid w:val="00E647C7"/>
    <w:rsid w:val="00E65A37"/>
    <w:rsid w:val="00E65EF7"/>
    <w:rsid w:val="00E716F9"/>
    <w:rsid w:val="00E72CD1"/>
    <w:rsid w:val="00E73925"/>
    <w:rsid w:val="00E74D32"/>
    <w:rsid w:val="00E75356"/>
    <w:rsid w:val="00E77B48"/>
    <w:rsid w:val="00E8531E"/>
    <w:rsid w:val="00E857FB"/>
    <w:rsid w:val="00E874CE"/>
    <w:rsid w:val="00E90B93"/>
    <w:rsid w:val="00E9128C"/>
    <w:rsid w:val="00E91799"/>
    <w:rsid w:val="00E935A0"/>
    <w:rsid w:val="00E97DF8"/>
    <w:rsid w:val="00EA21FE"/>
    <w:rsid w:val="00EA34E3"/>
    <w:rsid w:val="00EA5695"/>
    <w:rsid w:val="00EB0058"/>
    <w:rsid w:val="00EB1388"/>
    <w:rsid w:val="00EB40FA"/>
    <w:rsid w:val="00EB7538"/>
    <w:rsid w:val="00EC02B0"/>
    <w:rsid w:val="00EC1868"/>
    <w:rsid w:val="00EC7363"/>
    <w:rsid w:val="00ED2B0E"/>
    <w:rsid w:val="00ED5268"/>
    <w:rsid w:val="00ED6588"/>
    <w:rsid w:val="00ED7088"/>
    <w:rsid w:val="00EE27C0"/>
    <w:rsid w:val="00EE5D47"/>
    <w:rsid w:val="00EE6468"/>
    <w:rsid w:val="00EF180A"/>
    <w:rsid w:val="00EF2484"/>
    <w:rsid w:val="00EF500C"/>
    <w:rsid w:val="00EF7B4A"/>
    <w:rsid w:val="00EF7FEE"/>
    <w:rsid w:val="00F0173B"/>
    <w:rsid w:val="00F04D0F"/>
    <w:rsid w:val="00F1299B"/>
    <w:rsid w:val="00F15064"/>
    <w:rsid w:val="00F1772F"/>
    <w:rsid w:val="00F17C81"/>
    <w:rsid w:val="00F207A4"/>
    <w:rsid w:val="00F20A2B"/>
    <w:rsid w:val="00F2183C"/>
    <w:rsid w:val="00F21974"/>
    <w:rsid w:val="00F23307"/>
    <w:rsid w:val="00F2384A"/>
    <w:rsid w:val="00F25173"/>
    <w:rsid w:val="00F25BD4"/>
    <w:rsid w:val="00F26939"/>
    <w:rsid w:val="00F3062E"/>
    <w:rsid w:val="00F31BCE"/>
    <w:rsid w:val="00F335BF"/>
    <w:rsid w:val="00F33BB5"/>
    <w:rsid w:val="00F3408D"/>
    <w:rsid w:val="00F355AC"/>
    <w:rsid w:val="00F357C5"/>
    <w:rsid w:val="00F40CF7"/>
    <w:rsid w:val="00F44194"/>
    <w:rsid w:val="00F45B79"/>
    <w:rsid w:val="00F47B5C"/>
    <w:rsid w:val="00F63A90"/>
    <w:rsid w:val="00F66BC5"/>
    <w:rsid w:val="00F71A5A"/>
    <w:rsid w:val="00F7253B"/>
    <w:rsid w:val="00F73A1A"/>
    <w:rsid w:val="00F769E0"/>
    <w:rsid w:val="00F922BD"/>
    <w:rsid w:val="00F963F1"/>
    <w:rsid w:val="00FA4A46"/>
    <w:rsid w:val="00FA75FE"/>
    <w:rsid w:val="00FB1032"/>
    <w:rsid w:val="00FB39BC"/>
    <w:rsid w:val="00FB6A53"/>
    <w:rsid w:val="00FC11CA"/>
    <w:rsid w:val="00FC6BDE"/>
    <w:rsid w:val="00FD0795"/>
    <w:rsid w:val="00FD09E5"/>
    <w:rsid w:val="00FD0C84"/>
    <w:rsid w:val="00FD0D38"/>
    <w:rsid w:val="00FD7251"/>
    <w:rsid w:val="00FE082E"/>
    <w:rsid w:val="00FF00C0"/>
    <w:rsid w:val="00FF4363"/>
    <w:rsid w:val="00FF544D"/>
    <w:rsid w:val="00FF6138"/>
    <w:rsid w:val="01004ACC"/>
    <w:rsid w:val="01008A65"/>
    <w:rsid w:val="01AD7658"/>
    <w:rsid w:val="020E42DD"/>
    <w:rsid w:val="025BA201"/>
    <w:rsid w:val="0273F21D"/>
    <w:rsid w:val="02B16C70"/>
    <w:rsid w:val="02EB3B53"/>
    <w:rsid w:val="031EB9BF"/>
    <w:rsid w:val="0322CC4D"/>
    <w:rsid w:val="032564B2"/>
    <w:rsid w:val="03C9E150"/>
    <w:rsid w:val="042CB90A"/>
    <w:rsid w:val="0455FF38"/>
    <w:rsid w:val="045B5603"/>
    <w:rsid w:val="04BFBD40"/>
    <w:rsid w:val="04D86437"/>
    <w:rsid w:val="04E5171A"/>
    <w:rsid w:val="04F08170"/>
    <w:rsid w:val="051C0270"/>
    <w:rsid w:val="052AAD91"/>
    <w:rsid w:val="058D5F69"/>
    <w:rsid w:val="05CE7D4B"/>
    <w:rsid w:val="05F2FB45"/>
    <w:rsid w:val="06657FFE"/>
    <w:rsid w:val="0680E77B"/>
    <w:rsid w:val="06C04579"/>
    <w:rsid w:val="06DB7906"/>
    <w:rsid w:val="06E1B400"/>
    <w:rsid w:val="06E2EEA7"/>
    <w:rsid w:val="06EC3E8B"/>
    <w:rsid w:val="07291D22"/>
    <w:rsid w:val="0773CA13"/>
    <w:rsid w:val="0775750B"/>
    <w:rsid w:val="07D92511"/>
    <w:rsid w:val="08880EEC"/>
    <w:rsid w:val="08889F1D"/>
    <w:rsid w:val="08ABC526"/>
    <w:rsid w:val="08D413A0"/>
    <w:rsid w:val="08DDA93A"/>
    <w:rsid w:val="093DA638"/>
    <w:rsid w:val="09650B7F"/>
    <w:rsid w:val="09757C0D"/>
    <w:rsid w:val="097CED38"/>
    <w:rsid w:val="09802E1F"/>
    <w:rsid w:val="098DE49F"/>
    <w:rsid w:val="099A714A"/>
    <w:rsid w:val="099F44C0"/>
    <w:rsid w:val="0A1954C2"/>
    <w:rsid w:val="0A1DF96C"/>
    <w:rsid w:val="0A3566A1"/>
    <w:rsid w:val="0A487500"/>
    <w:rsid w:val="0A5651A6"/>
    <w:rsid w:val="0AB73480"/>
    <w:rsid w:val="0B02D623"/>
    <w:rsid w:val="0B79B2F0"/>
    <w:rsid w:val="0B7F34BA"/>
    <w:rsid w:val="0BB72AB0"/>
    <w:rsid w:val="0BD21A99"/>
    <w:rsid w:val="0BD6EB73"/>
    <w:rsid w:val="0C04C33A"/>
    <w:rsid w:val="0C0D022A"/>
    <w:rsid w:val="0C529D2A"/>
    <w:rsid w:val="0D156010"/>
    <w:rsid w:val="0D2045B8"/>
    <w:rsid w:val="0D50F584"/>
    <w:rsid w:val="0D5EF007"/>
    <w:rsid w:val="0D717E87"/>
    <w:rsid w:val="0E213BCB"/>
    <w:rsid w:val="0E35B347"/>
    <w:rsid w:val="0E58EFD0"/>
    <w:rsid w:val="0E7083B6"/>
    <w:rsid w:val="0EAA6587"/>
    <w:rsid w:val="0F342F07"/>
    <w:rsid w:val="0FE31EF2"/>
    <w:rsid w:val="100741B9"/>
    <w:rsid w:val="102E2AC5"/>
    <w:rsid w:val="11034DA4"/>
    <w:rsid w:val="111B61F3"/>
    <w:rsid w:val="1121F478"/>
    <w:rsid w:val="113ACFBA"/>
    <w:rsid w:val="11793A4B"/>
    <w:rsid w:val="1182A450"/>
    <w:rsid w:val="119BF8D1"/>
    <w:rsid w:val="11A3121A"/>
    <w:rsid w:val="11BEC072"/>
    <w:rsid w:val="12095097"/>
    <w:rsid w:val="126BCFC9"/>
    <w:rsid w:val="137391D2"/>
    <w:rsid w:val="13AAA637"/>
    <w:rsid w:val="140554F2"/>
    <w:rsid w:val="1451F5E5"/>
    <w:rsid w:val="146553E8"/>
    <w:rsid w:val="14AFE3DD"/>
    <w:rsid w:val="14B5F310"/>
    <w:rsid w:val="14EB06C4"/>
    <w:rsid w:val="155C3D66"/>
    <w:rsid w:val="159B47FA"/>
    <w:rsid w:val="15A3708B"/>
    <w:rsid w:val="15C0586B"/>
    <w:rsid w:val="15C5D4BC"/>
    <w:rsid w:val="1670F6C0"/>
    <w:rsid w:val="16787A99"/>
    <w:rsid w:val="16B31ECA"/>
    <w:rsid w:val="16BDDF7A"/>
    <w:rsid w:val="16C29851"/>
    <w:rsid w:val="16DFB822"/>
    <w:rsid w:val="1729CD7A"/>
    <w:rsid w:val="174ED0C4"/>
    <w:rsid w:val="176D2068"/>
    <w:rsid w:val="178FAB00"/>
    <w:rsid w:val="17A49D13"/>
    <w:rsid w:val="1811B84C"/>
    <w:rsid w:val="182181C2"/>
    <w:rsid w:val="18B4312E"/>
    <w:rsid w:val="18C59DDB"/>
    <w:rsid w:val="18DA857E"/>
    <w:rsid w:val="19369D01"/>
    <w:rsid w:val="198B9FC4"/>
    <w:rsid w:val="19F61DAD"/>
    <w:rsid w:val="19FA2DEB"/>
    <w:rsid w:val="1A6E9D99"/>
    <w:rsid w:val="1A76E1AE"/>
    <w:rsid w:val="1A8A0E0C"/>
    <w:rsid w:val="1AC5C257"/>
    <w:rsid w:val="1AC7CBCF"/>
    <w:rsid w:val="1B08EEBC"/>
    <w:rsid w:val="1B498EBE"/>
    <w:rsid w:val="1B5497F8"/>
    <w:rsid w:val="1B69A153"/>
    <w:rsid w:val="1BD2A993"/>
    <w:rsid w:val="1C0C5EA3"/>
    <w:rsid w:val="1C12B20F"/>
    <w:rsid w:val="1C53A280"/>
    <w:rsid w:val="1C5734ED"/>
    <w:rsid w:val="1C615077"/>
    <w:rsid w:val="1CA764C4"/>
    <w:rsid w:val="1CAFA28F"/>
    <w:rsid w:val="1CBCB6A9"/>
    <w:rsid w:val="1CF06859"/>
    <w:rsid w:val="1D5DC9B0"/>
    <w:rsid w:val="1DF64164"/>
    <w:rsid w:val="1E26F72C"/>
    <w:rsid w:val="1E2BBC89"/>
    <w:rsid w:val="1E3151B1"/>
    <w:rsid w:val="1E46AD93"/>
    <w:rsid w:val="1E4B72F0"/>
    <w:rsid w:val="1EB73FBD"/>
    <w:rsid w:val="1EBCE9C0"/>
    <w:rsid w:val="1ED99E7E"/>
    <w:rsid w:val="1EEF026F"/>
    <w:rsid w:val="1F0CDCC2"/>
    <w:rsid w:val="1FC78CEA"/>
    <w:rsid w:val="1FD1AD17"/>
    <w:rsid w:val="1FE6DF9B"/>
    <w:rsid w:val="200BC50A"/>
    <w:rsid w:val="20432450"/>
    <w:rsid w:val="205D694C"/>
    <w:rsid w:val="2063E20E"/>
    <w:rsid w:val="20BA69D0"/>
    <w:rsid w:val="20D5C7D4"/>
    <w:rsid w:val="20F5C0AF"/>
    <w:rsid w:val="21A46F15"/>
    <w:rsid w:val="21BF8671"/>
    <w:rsid w:val="21DC6FD4"/>
    <w:rsid w:val="21FB2F41"/>
    <w:rsid w:val="22452152"/>
    <w:rsid w:val="22719835"/>
    <w:rsid w:val="23245692"/>
    <w:rsid w:val="23371ACC"/>
    <w:rsid w:val="234237D7"/>
    <w:rsid w:val="241D22C1"/>
    <w:rsid w:val="2499EA03"/>
    <w:rsid w:val="24DE0838"/>
    <w:rsid w:val="25265337"/>
    <w:rsid w:val="256B6D6E"/>
    <w:rsid w:val="25893788"/>
    <w:rsid w:val="26575054"/>
    <w:rsid w:val="2679D899"/>
    <w:rsid w:val="267C0AB2"/>
    <w:rsid w:val="26BA9964"/>
    <w:rsid w:val="27130D65"/>
    <w:rsid w:val="2797F6C1"/>
    <w:rsid w:val="27D29ECF"/>
    <w:rsid w:val="2803C831"/>
    <w:rsid w:val="2816D6EF"/>
    <w:rsid w:val="2838B8A7"/>
    <w:rsid w:val="284B71C7"/>
    <w:rsid w:val="2867C2EF"/>
    <w:rsid w:val="28764C8E"/>
    <w:rsid w:val="28B1ADA5"/>
    <w:rsid w:val="28D2178B"/>
    <w:rsid w:val="2912130C"/>
    <w:rsid w:val="292133BF"/>
    <w:rsid w:val="29B2A750"/>
    <w:rsid w:val="2AA375E6"/>
    <w:rsid w:val="2B0A3F91"/>
    <w:rsid w:val="2BE65712"/>
    <w:rsid w:val="2BE8CD5D"/>
    <w:rsid w:val="2C09B84D"/>
    <w:rsid w:val="2C399C93"/>
    <w:rsid w:val="2C5FE54C"/>
    <w:rsid w:val="2C63284E"/>
    <w:rsid w:val="2C804FF7"/>
    <w:rsid w:val="2CE12C15"/>
    <w:rsid w:val="2CF571A7"/>
    <w:rsid w:val="2CF68579"/>
    <w:rsid w:val="2D41588C"/>
    <w:rsid w:val="2D5840E1"/>
    <w:rsid w:val="2DD6E37B"/>
    <w:rsid w:val="2DDB16A8"/>
    <w:rsid w:val="2DEDBC3E"/>
    <w:rsid w:val="2DEE7359"/>
    <w:rsid w:val="2EA7970D"/>
    <w:rsid w:val="2EACFFD1"/>
    <w:rsid w:val="2F02EEC7"/>
    <w:rsid w:val="2F067D37"/>
    <w:rsid w:val="2F41590F"/>
    <w:rsid w:val="2F8A43BA"/>
    <w:rsid w:val="2FCE3414"/>
    <w:rsid w:val="2FEDF12B"/>
    <w:rsid w:val="305A8E5C"/>
    <w:rsid w:val="30AE5E2E"/>
    <w:rsid w:val="30CA667C"/>
    <w:rsid w:val="31558020"/>
    <w:rsid w:val="3189C18C"/>
    <w:rsid w:val="319765F6"/>
    <w:rsid w:val="31CEF220"/>
    <w:rsid w:val="31ECBF9D"/>
    <w:rsid w:val="323A9DC1"/>
    <w:rsid w:val="32494DAF"/>
    <w:rsid w:val="3251D250"/>
    <w:rsid w:val="3278F9D1"/>
    <w:rsid w:val="32D0CD2D"/>
    <w:rsid w:val="3331DAB5"/>
    <w:rsid w:val="33333657"/>
    <w:rsid w:val="3361771C"/>
    <w:rsid w:val="338D3227"/>
    <w:rsid w:val="33CC7C70"/>
    <w:rsid w:val="33ED9AA1"/>
    <w:rsid w:val="33F239F9"/>
    <w:rsid w:val="34B53904"/>
    <w:rsid w:val="34F8ABA5"/>
    <w:rsid w:val="3506DDCA"/>
    <w:rsid w:val="350E563E"/>
    <w:rsid w:val="35846555"/>
    <w:rsid w:val="35FBCD86"/>
    <w:rsid w:val="366A4A39"/>
    <w:rsid w:val="366AD719"/>
    <w:rsid w:val="373584B3"/>
    <w:rsid w:val="3771DE8D"/>
    <w:rsid w:val="37C73F5F"/>
    <w:rsid w:val="37EE2AB2"/>
    <w:rsid w:val="38234938"/>
    <w:rsid w:val="38ADF935"/>
    <w:rsid w:val="38CA7793"/>
    <w:rsid w:val="3935F972"/>
    <w:rsid w:val="395CBA46"/>
    <w:rsid w:val="399E0CB7"/>
    <w:rsid w:val="39A1EAFB"/>
    <w:rsid w:val="39E0FBA6"/>
    <w:rsid w:val="3A5F2D90"/>
    <w:rsid w:val="3A8BF93C"/>
    <w:rsid w:val="3A9EA66C"/>
    <w:rsid w:val="3B56E3B9"/>
    <w:rsid w:val="3B6D595E"/>
    <w:rsid w:val="3B7D22A5"/>
    <w:rsid w:val="3BD7739B"/>
    <w:rsid w:val="3BE6FA31"/>
    <w:rsid w:val="3CAE87FA"/>
    <w:rsid w:val="3CC11DD3"/>
    <w:rsid w:val="3CC14575"/>
    <w:rsid w:val="3CEE08EE"/>
    <w:rsid w:val="3D8C5211"/>
    <w:rsid w:val="3DAA1DA0"/>
    <w:rsid w:val="3E8D6E3B"/>
    <w:rsid w:val="3EED5509"/>
    <w:rsid w:val="3F39B917"/>
    <w:rsid w:val="3F584F18"/>
    <w:rsid w:val="3F5F6A5F"/>
    <w:rsid w:val="40112C7F"/>
    <w:rsid w:val="401580DE"/>
    <w:rsid w:val="40297813"/>
    <w:rsid w:val="402AD233"/>
    <w:rsid w:val="4081F982"/>
    <w:rsid w:val="4111FCEA"/>
    <w:rsid w:val="413B39F5"/>
    <w:rsid w:val="415A33C9"/>
    <w:rsid w:val="41B85452"/>
    <w:rsid w:val="41BBD0C0"/>
    <w:rsid w:val="41BFB690"/>
    <w:rsid w:val="41C381A1"/>
    <w:rsid w:val="4203BF90"/>
    <w:rsid w:val="4237F46A"/>
    <w:rsid w:val="426A3F75"/>
    <w:rsid w:val="42DEAFE8"/>
    <w:rsid w:val="436D42FC"/>
    <w:rsid w:val="43CB67C8"/>
    <w:rsid w:val="43F5BFF5"/>
    <w:rsid w:val="451074D7"/>
    <w:rsid w:val="45931251"/>
    <w:rsid w:val="4608D701"/>
    <w:rsid w:val="465E79F1"/>
    <w:rsid w:val="46A805C4"/>
    <w:rsid w:val="46F7EB46"/>
    <w:rsid w:val="473567AD"/>
    <w:rsid w:val="48171460"/>
    <w:rsid w:val="48581F52"/>
    <w:rsid w:val="4863C7C0"/>
    <w:rsid w:val="48853A9E"/>
    <w:rsid w:val="492971A9"/>
    <w:rsid w:val="492C13B9"/>
    <w:rsid w:val="4945139D"/>
    <w:rsid w:val="494D743A"/>
    <w:rsid w:val="49FB779C"/>
    <w:rsid w:val="49FF9821"/>
    <w:rsid w:val="4A23955F"/>
    <w:rsid w:val="4A76D069"/>
    <w:rsid w:val="4A76FFCA"/>
    <w:rsid w:val="4AB4FED1"/>
    <w:rsid w:val="4AF8CC0A"/>
    <w:rsid w:val="4B024766"/>
    <w:rsid w:val="4B0B21B0"/>
    <w:rsid w:val="4B22095C"/>
    <w:rsid w:val="4B416B4D"/>
    <w:rsid w:val="4B7CB79C"/>
    <w:rsid w:val="4B8E309B"/>
    <w:rsid w:val="4BC79690"/>
    <w:rsid w:val="4BE3213F"/>
    <w:rsid w:val="4C3DA4D1"/>
    <w:rsid w:val="4C99E51F"/>
    <w:rsid w:val="4CF8A205"/>
    <w:rsid w:val="4CFDD501"/>
    <w:rsid w:val="4D53F159"/>
    <w:rsid w:val="4E0F6FA8"/>
    <w:rsid w:val="4E260A25"/>
    <w:rsid w:val="4E64F5BF"/>
    <w:rsid w:val="4E9EFFCB"/>
    <w:rsid w:val="4F70666A"/>
    <w:rsid w:val="4FEB7000"/>
    <w:rsid w:val="502B5FAC"/>
    <w:rsid w:val="502F3DCF"/>
    <w:rsid w:val="505028BF"/>
    <w:rsid w:val="50525B50"/>
    <w:rsid w:val="5064A0D6"/>
    <w:rsid w:val="50745BB7"/>
    <w:rsid w:val="50A1AB3A"/>
    <w:rsid w:val="50A34969"/>
    <w:rsid w:val="510B2CE5"/>
    <w:rsid w:val="510D024A"/>
    <w:rsid w:val="5130B884"/>
    <w:rsid w:val="513E8B48"/>
    <w:rsid w:val="51BA6817"/>
    <w:rsid w:val="51D6C47F"/>
    <w:rsid w:val="51DF5D4A"/>
    <w:rsid w:val="52125BFA"/>
    <w:rsid w:val="521C58EC"/>
    <w:rsid w:val="521E909B"/>
    <w:rsid w:val="5267D804"/>
    <w:rsid w:val="528850C5"/>
    <w:rsid w:val="52BE910E"/>
    <w:rsid w:val="52F62C68"/>
    <w:rsid w:val="533B18C0"/>
    <w:rsid w:val="53646B65"/>
    <w:rsid w:val="539C4198"/>
    <w:rsid w:val="53A645DA"/>
    <w:rsid w:val="53ADB7CB"/>
    <w:rsid w:val="5412917F"/>
    <w:rsid w:val="5454542A"/>
    <w:rsid w:val="546D3246"/>
    <w:rsid w:val="54905E9A"/>
    <w:rsid w:val="54C69690"/>
    <w:rsid w:val="552399E2"/>
    <w:rsid w:val="553E5B55"/>
    <w:rsid w:val="55494251"/>
    <w:rsid w:val="55C2964E"/>
    <w:rsid w:val="55CCB23F"/>
    <w:rsid w:val="55D9CDFE"/>
    <w:rsid w:val="561DFDF2"/>
    <w:rsid w:val="5699B8FB"/>
    <w:rsid w:val="56AB73CA"/>
    <w:rsid w:val="56B3207D"/>
    <w:rsid w:val="572119DA"/>
    <w:rsid w:val="572EBB5B"/>
    <w:rsid w:val="5774D377"/>
    <w:rsid w:val="5777E0E7"/>
    <w:rsid w:val="57845BD9"/>
    <w:rsid w:val="57901D10"/>
    <w:rsid w:val="57A25C54"/>
    <w:rsid w:val="57CE580A"/>
    <w:rsid w:val="5820B9D4"/>
    <w:rsid w:val="582E4586"/>
    <w:rsid w:val="582E8522"/>
    <w:rsid w:val="589BB819"/>
    <w:rsid w:val="58A14D7D"/>
    <w:rsid w:val="590BBEA5"/>
    <w:rsid w:val="596F2751"/>
    <w:rsid w:val="5A243F40"/>
    <w:rsid w:val="5A69B8F9"/>
    <w:rsid w:val="5A6BFA23"/>
    <w:rsid w:val="5AD79ACA"/>
    <w:rsid w:val="5AF4CD49"/>
    <w:rsid w:val="5B1E613D"/>
    <w:rsid w:val="5B5438F9"/>
    <w:rsid w:val="5BC3A80D"/>
    <w:rsid w:val="5C0E80BB"/>
    <w:rsid w:val="5C4D17EC"/>
    <w:rsid w:val="5C537166"/>
    <w:rsid w:val="5C736B2B"/>
    <w:rsid w:val="5CF68F0A"/>
    <w:rsid w:val="5CFB4CFE"/>
    <w:rsid w:val="5D0DC0D7"/>
    <w:rsid w:val="5D334101"/>
    <w:rsid w:val="5D5404C2"/>
    <w:rsid w:val="5D61CEF1"/>
    <w:rsid w:val="5D62C1EE"/>
    <w:rsid w:val="5D8DF755"/>
    <w:rsid w:val="5E1D281A"/>
    <w:rsid w:val="5E1DCAEA"/>
    <w:rsid w:val="5E9A76BE"/>
    <w:rsid w:val="5EA99138"/>
    <w:rsid w:val="5ECA7C28"/>
    <w:rsid w:val="5F2ED19A"/>
    <w:rsid w:val="5F611129"/>
    <w:rsid w:val="5F710E8F"/>
    <w:rsid w:val="5F7BDF02"/>
    <w:rsid w:val="5F9AA5E0"/>
    <w:rsid w:val="5FAB0BED"/>
    <w:rsid w:val="605C2D47"/>
    <w:rsid w:val="607E1E9F"/>
    <w:rsid w:val="609A0184"/>
    <w:rsid w:val="60FC1869"/>
    <w:rsid w:val="618B7D8B"/>
    <w:rsid w:val="61A9B079"/>
    <w:rsid w:val="61D5D0F1"/>
    <w:rsid w:val="6201606B"/>
    <w:rsid w:val="620791CF"/>
    <w:rsid w:val="6260AF7A"/>
    <w:rsid w:val="627868E0"/>
    <w:rsid w:val="62820940"/>
    <w:rsid w:val="6294BE85"/>
    <w:rsid w:val="6301A930"/>
    <w:rsid w:val="6334E3E2"/>
    <w:rsid w:val="6346EC55"/>
    <w:rsid w:val="637449C8"/>
    <w:rsid w:val="6394D050"/>
    <w:rsid w:val="63A03C20"/>
    <w:rsid w:val="644C241C"/>
    <w:rsid w:val="645002C1"/>
    <w:rsid w:val="64ACFB4B"/>
    <w:rsid w:val="64B51702"/>
    <w:rsid w:val="64D6123D"/>
    <w:rsid w:val="650ED6DC"/>
    <w:rsid w:val="6513BFD9"/>
    <w:rsid w:val="654796A6"/>
    <w:rsid w:val="6554AB76"/>
    <w:rsid w:val="657F93F8"/>
    <w:rsid w:val="65F36D52"/>
    <w:rsid w:val="6607BC6C"/>
    <w:rsid w:val="660E319B"/>
    <w:rsid w:val="661A4D71"/>
    <w:rsid w:val="666F63EA"/>
    <w:rsid w:val="66D0664E"/>
    <w:rsid w:val="66E36707"/>
    <w:rsid w:val="66F07BD7"/>
    <w:rsid w:val="67BC826A"/>
    <w:rsid w:val="68006388"/>
    <w:rsid w:val="6801AB1E"/>
    <w:rsid w:val="6847BAEB"/>
    <w:rsid w:val="68539AAC"/>
    <w:rsid w:val="687F3768"/>
    <w:rsid w:val="68D2096B"/>
    <w:rsid w:val="68E4213B"/>
    <w:rsid w:val="68EADAC3"/>
    <w:rsid w:val="6932C805"/>
    <w:rsid w:val="693F5D2E"/>
    <w:rsid w:val="697D511A"/>
    <w:rsid w:val="69E38B4C"/>
    <w:rsid w:val="6A281C99"/>
    <w:rsid w:val="6A2F0145"/>
    <w:rsid w:val="6A5FE9BA"/>
    <w:rsid w:val="6A60A07D"/>
    <w:rsid w:val="6A7BFC12"/>
    <w:rsid w:val="6A80229F"/>
    <w:rsid w:val="6A824CCC"/>
    <w:rsid w:val="6A8554B4"/>
    <w:rsid w:val="6A86AB24"/>
    <w:rsid w:val="6A95D596"/>
    <w:rsid w:val="6AC631DE"/>
    <w:rsid w:val="6AD122C6"/>
    <w:rsid w:val="6AEDBE94"/>
    <w:rsid w:val="6AFC08B1"/>
    <w:rsid w:val="6B516C8B"/>
    <w:rsid w:val="6BB53457"/>
    <w:rsid w:val="6BBB23D4"/>
    <w:rsid w:val="6C62AED6"/>
    <w:rsid w:val="6D64298B"/>
    <w:rsid w:val="6D786452"/>
    <w:rsid w:val="6E089777"/>
    <w:rsid w:val="6E40DADD"/>
    <w:rsid w:val="6E460893"/>
    <w:rsid w:val="6E6B80BC"/>
    <w:rsid w:val="6EC2DC30"/>
    <w:rsid w:val="6F29DBD3"/>
    <w:rsid w:val="6F6D7AC1"/>
    <w:rsid w:val="6F89A97F"/>
    <w:rsid w:val="6F9A4F98"/>
    <w:rsid w:val="6FCFD952"/>
    <w:rsid w:val="6FD462E5"/>
    <w:rsid w:val="6FFD71A7"/>
    <w:rsid w:val="70313A09"/>
    <w:rsid w:val="7049E05F"/>
    <w:rsid w:val="70FFE8B7"/>
    <w:rsid w:val="717DA955"/>
    <w:rsid w:val="71EC18AF"/>
    <w:rsid w:val="71F52B3B"/>
    <w:rsid w:val="72E90300"/>
    <w:rsid w:val="731979B6"/>
    <w:rsid w:val="73CB8694"/>
    <w:rsid w:val="73EEF06A"/>
    <w:rsid w:val="74022FA5"/>
    <w:rsid w:val="7412111A"/>
    <w:rsid w:val="7429949B"/>
    <w:rsid w:val="742BE7FB"/>
    <w:rsid w:val="74837CB0"/>
    <w:rsid w:val="74AEAFFE"/>
    <w:rsid w:val="74B54A17"/>
    <w:rsid w:val="7511DAF3"/>
    <w:rsid w:val="75941EEE"/>
    <w:rsid w:val="75C7FCA2"/>
    <w:rsid w:val="75D3F929"/>
    <w:rsid w:val="766C53F1"/>
    <w:rsid w:val="76827651"/>
    <w:rsid w:val="76C82E69"/>
    <w:rsid w:val="76F4EF71"/>
    <w:rsid w:val="77021DE5"/>
    <w:rsid w:val="770B0BD1"/>
    <w:rsid w:val="774528ED"/>
    <w:rsid w:val="77CAC6F0"/>
    <w:rsid w:val="77DE1E83"/>
    <w:rsid w:val="77E52207"/>
    <w:rsid w:val="783E2A93"/>
    <w:rsid w:val="78497BB5"/>
    <w:rsid w:val="78C9664C"/>
    <w:rsid w:val="78E4F249"/>
    <w:rsid w:val="78EB6776"/>
    <w:rsid w:val="7966FE49"/>
    <w:rsid w:val="79784CA0"/>
    <w:rsid w:val="79880D6E"/>
    <w:rsid w:val="79A0F648"/>
    <w:rsid w:val="7AAB98DC"/>
    <w:rsid w:val="7AFFE271"/>
    <w:rsid w:val="7B05DAB5"/>
    <w:rsid w:val="7B5A6DEB"/>
    <w:rsid w:val="7B608CD6"/>
    <w:rsid w:val="7B7B07D2"/>
    <w:rsid w:val="7B83BEB9"/>
    <w:rsid w:val="7BC663AE"/>
    <w:rsid w:val="7BC8C5FA"/>
    <w:rsid w:val="7BDE7CF4"/>
    <w:rsid w:val="7C0123F7"/>
    <w:rsid w:val="7C230838"/>
    <w:rsid w:val="7CA1AB16"/>
    <w:rsid w:val="7CC3EDF3"/>
    <w:rsid w:val="7CC965E4"/>
    <w:rsid w:val="7D350467"/>
    <w:rsid w:val="7D48B3FC"/>
    <w:rsid w:val="7D88EF5A"/>
    <w:rsid w:val="7DBED899"/>
    <w:rsid w:val="7DE73323"/>
    <w:rsid w:val="7E2846D6"/>
    <w:rsid w:val="7E3311C5"/>
    <w:rsid w:val="7E5FBE54"/>
    <w:rsid w:val="7EC9A940"/>
    <w:rsid w:val="7ED6A21A"/>
    <w:rsid w:val="7EDCFFEC"/>
    <w:rsid w:val="7FBA7811"/>
    <w:rsid w:val="7FFF18F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991CB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E61D68"/>
    <w:rPr>
      <w:sz w:val="24"/>
      <w:szCs w:val="24"/>
    </w:rPr>
  </w:style>
  <w:style w:type="character" w:styleId="CommentReference">
    <w:name w:val="annotation reference"/>
    <w:rsid w:val="00BA2812"/>
    <w:rPr>
      <w:sz w:val="16"/>
      <w:szCs w:val="16"/>
    </w:rPr>
  </w:style>
  <w:style w:type="paragraph" w:styleId="CommentText">
    <w:name w:val="annotation text"/>
    <w:basedOn w:val="Normal"/>
    <w:link w:val="CommentTextChar"/>
    <w:rsid w:val="00BA2812"/>
    <w:rPr>
      <w:sz w:val="20"/>
      <w:szCs w:val="20"/>
    </w:rPr>
  </w:style>
  <w:style w:type="character" w:customStyle="1" w:styleId="CommentTextChar">
    <w:name w:val="Comment Text Char"/>
    <w:basedOn w:val="DefaultParagraphFont"/>
    <w:link w:val="CommentText"/>
    <w:rsid w:val="00BA2812"/>
  </w:style>
  <w:style w:type="paragraph" w:styleId="CommentSubject">
    <w:name w:val="annotation subject"/>
    <w:basedOn w:val="CommentText"/>
    <w:next w:val="CommentText"/>
    <w:link w:val="CommentSubjectChar"/>
    <w:rsid w:val="00BA2812"/>
    <w:rPr>
      <w:b/>
      <w:bCs/>
    </w:rPr>
  </w:style>
  <w:style w:type="character" w:customStyle="1" w:styleId="CommentSubjectChar">
    <w:name w:val="Comment Subject Char"/>
    <w:link w:val="CommentSubject"/>
    <w:rsid w:val="00BA2812"/>
    <w:rPr>
      <w:b/>
      <w:bCs/>
    </w:rPr>
  </w:style>
  <w:style w:type="paragraph" w:styleId="BodyText">
    <w:name w:val="Body Text"/>
    <w:basedOn w:val="Normal"/>
    <w:link w:val="BodyTextChar"/>
    <w:rsid w:val="00E171EC"/>
    <w:pPr>
      <w:spacing w:after="120"/>
    </w:pPr>
  </w:style>
  <w:style w:type="character" w:customStyle="1" w:styleId="BodyTextChar">
    <w:name w:val="Body Text Char"/>
    <w:link w:val="BodyText"/>
    <w:rsid w:val="00E171EC"/>
    <w:rPr>
      <w:sz w:val="24"/>
      <w:szCs w:val="24"/>
    </w:rPr>
  </w:style>
  <w:style w:type="paragraph" w:styleId="NoSpacing">
    <w:name w:val="No Spacing"/>
    <w:uiPriority w:val="1"/>
    <w:qFormat/>
    <w:rsid w:val="006328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cosmetics/cosmetics-news-events" TargetMode="External" /><Relationship Id="rId5" Type="http://schemas.openxmlformats.org/officeDocument/2006/relationships/hyperlink" Target="https://www.fda.gov/cosmetics/registration-listing-cosmetic-product-facilities-and-products" TargetMode="External" /><Relationship Id="rId6" Type="http://schemas.openxmlformats.org/officeDocument/2006/relationships/hyperlink" Target="https://www.fda.gov/regulatory-information/search-fda-guidance-documents/draft-guidance-industry-registration-and-listing-cosmetic-product-facilities-and-products" TargetMode="External" /><Relationship Id="rId7" Type="http://schemas.openxmlformats.org/officeDocument/2006/relationships/hyperlink" Target="https://www.fda.gov/industry/small-business-assistance" TargetMode="External" /><Relationship Id="rId8" Type="http://schemas.openxmlformats.org/officeDocument/2006/relationships/hyperlink" Target="http://www.reginfo.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4413</Words>
  <Characters>25158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2023-09-20T11:04:00Z</dcterms:created>
  <dcterms:modified xsi:type="dcterms:W3CDTF">2023-09-20T11:04:00Z</dcterms:modified>
</cp:coreProperties>
</file>