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633D" w:rsidP="009B633D" w14:paraId="4A784913" w14:textId="77777777">
      <w:pPr>
        <w:jc w:val="center"/>
        <w:rPr>
          <w:sz w:val="28"/>
          <w:szCs w:val="28"/>
        </w:rPr>
      </w:pPr>
    </w:p>
    <w:p w:rsidR="009B633D" w:rsidP="009B633D" w14:paraId="03982DB4" w14:textId="77777777">
      <w:pPr>
        <w:jc w:val="center"/>
        <w:rPr>
          <w:sz w:val="28"/>
          <w:szCs w:val="28"/>
        </w:rPr>
      </w:pPr>
    </w:p>
    <w:p w:rsidR="009B633D" w:rsidP="009B633D" w14:paraId="001E1707" w14:textId="77777777">
      <w:pPr>
        <w:jc w:val="center"/>
        <w:rPr>
          <w:sz w:val="28"/>
          <w:szCs w:val="28"/>
        </w:rPr>
      </w:pPr>
    </w:p>
    <w:p w:rsidR="009B633D" w:rsidP="009B633D" w14:paraId="1D6629B5" w14:textId="77777777">
      <w:pPr>
        <w:jc w:val="center"/>
        <w:rPr>
          <w:b/>
          <w:sz w:val="28"/>
          <w:szCs w:val="28"/>
        </w:rPr>
      </w:pPr>
      <w:r w:rsidRPr="00456179">
        <w:rPr>
          <w:b/>
          <w:sz w:val="28"/>
          <w:szCs w:val="28"/>
        </w:rPr>
        <w:t>SUPPORTING STATEMENT</w:t>
      </w:r>
    </w:p>
    <w:p w:rsidR="00635119" w:rsidP="009B633D" w14:paraId="735AC724" w14:textId="77777777">
      <w:pPr>
        <w:jc w:val="center"/>
        <w:rPr>
          <w:b/>
          <w:sz w:val="28"/>
          <w:szCs w:val="28"/>
        </w:rPr>
      </w:pPr>
    </w:p>
    <w:p w:rsidR="009B633D" w:rsidP="009B633D" w14:paraId="7C9695C1" w14:textId="77777777">
      <w:pPr>
        <w:jc w:val="center"/>
        <w:rPr>
          <w:sz w:val="28"/>
          <w:szCs w:val="28"/>
        </w:rPr>
      </w:pPr>
      <w:r>
        <w:rPr>
          <w:b/>
          <w:sz w:val="28"/>
          <w:szCs w:val="28"/>
        </w:rPr>
        <w:t>Part A</w:t>
      </w:r>
    </w:p>
    <w:p w:rsidR="009B633D" w:rsidP="009B633D" w14:paraId="37FBF9AF" w14:textId="77777777">
      <w:pPr>
        <w:jc w:val="center"/>
        <w:rPr>
          <w:sz w:val="28"/>
          <w:szCs w:val="28"/>
        </w:rPr>
      </w:pPr>
    </w:p>
    <w:p w:rsidR="009B633D" w:rsidP="009B633D" w14:paraId="58A6900E" w14:textId="77777777">
      <w:pPr>
        <w:jc w:val="center"/>
        <w:rPr>
          <w:sz w:val="28"/>
          <w:szCs w:val="28"/>
        </w:rPr>
      </w:pPr>
    </w:p>
    <w:p w:rsidR="009B633D" w:rsidP="009B633D" w14:paraId="08F14EFE" w14:textId="77777777">
      <w:pPr>
        <w:jc w:val="center"/>
        <w:rPr>
          <w:sz w:val="28"/>
          <w:szCs w:val="28"/>
        </w:rPr>
      </w:pPr>
    </w:p>
    <w:p w:rsidR="009B633D" w:rsidP="009B633D" w14:paraId="2C701AF3" w14:textId="77777777">
      <w:pPr>
        <w:jc w:val="center"/>
        <w:rPr>
          <w:sz w:val="28"/>
          <w:szCs w:val="28"/>
        </w:rPr>
      </w:pPr>
    </w:p>
    <w:p w:rsidR="009B633D" w:rsidP="009B633D" w14:paraId="63C6AA5A" w14:textId="77777777">
      <w:pPr>
        <w:jc w:val="center"/>
        <w:rPr>
          <w:sz w:val="28"/>
          <w:szCs w:val="28"/>
        </w:rPr>
      </w:pPr>
    </w:p>
    <w:p w:rsidR="009B633D" w:rsidP="009B633D" w14:paraId="578222E0" w14:textId="77777777">
      <w:pPr>
        <w:jc w:val="center"/>
        <w:rPr>
          <w:sz w:val="28"/>
          <w:szCs w:val="28"/>
        </w:rPr>
      </w:pPr>
    </w:p>
    <w:p w:rsidR="009B633D" w:rsidRPr="00C4006D" w:rsidP="009B633D" w14:paraId="3680BF98" w14:textId="77777777">
      <w:pPr>
        <w:jc w:val="center"/>
        <w:rPr>
          <w:i/>
          <w:sz w:val="28"/>
          <w:szCs w:val="28"/>
        </w:rPr>
      </w:pPr>
      <w:r>
        <w:t xml:space="preserve">Use of </w:t>
      </w:r>
      <w:r w:rsidR="006F06AF">
        <w:t>Open-Ended Responses</w:t>
      </w:r>
      <w:r>
        <w:t xml:space="preserve"> to Explore </w:t>
      </w:r>
      <w:r w:rsidRPr="00BD680C">
        <w:t>D</w:t>
      </w:r>
      <w:r>
        <w:t>isparities</w:t>
      </w:r>
      <w:r w:rsidRPr="00BD680C">
        <w:t xml:space="preserve"> in Patient Experience</w:t>
      </w:r>
    </w:p>
    <w:p w:rsidR="009B633D" w:rsidRPr="00082047" w:rsidP="009B633D" w14:paraId="04430A5B" w14:textId="77777777">
      <w:pPr>
        <w:jc w:val="center"/>
        <w:rPr>
          <w:i/>
          <w:sz w:val="28"/>
          <w:szCs w:val="28"/>
        </w:rPr>
      </w:pPr>
    </w:p>
    <w:p w:rsidR="009B633D" w:rsidP="009B633D" w14:paraId="1AF0FA43" w14:textId="77777777">
      <w:pPr>
        <w:jc w:val="center"/>
        <w:rPr>
          <w:sz w:val="28"/>
          <w:szCs w:val="28"/>
        </w:rPr>
      </w:pPr>
    </w:p>
    <w:p w:rsidR="009B633D" w:rsidP="009B633D" w14:paraId="29BD8E78" w14:textId="77777777">
      <w:pPr>
        <w:jc w:val="center"/>
        <w:rPr>
          <w:sz w:val="28"/>
          <w:szCs w:val="28"/>
        </w:rPr>
      </w:pPr>
    </w:p>
    <w:p w:rsidR="009B633D" w:rsidP="009B633D" w14:paraId="680F58EC" w14:textId="77777777">
      <w:pPr>
        <w:jc w:val="center"/>
        <w:rPr>
          <w:sz w:val="28"/>
          <w:szCs w:val="28"/>
        </w:rPr>
      </w:pPr>
    </w:p>
    <w:p w:rsidR="009B633D" w:rsidRPr="00C4006D" w:rsidP="009B633D" w14:paraId="2FD352F1" w14:textId="77777777">
      <w:pPr>
        <w:jc w:val="center"/>
        <w:rPr>
          <w:i/>
          <w:sz w:val="28"/>
          <w:szCs w:val="28"/>
        </w:rPr>
      </w:pPr>
      <w:r>
        <w:rPr>
          <w:b/>
          <w:sz w:val="28"/>
          <w:szCs w:val="28"/>
        </w:rPr>
        <w:t>Version</w:t>
      </w:r>
      <w:r w:rsidR="00FF42BD">
        <w:rPr>
          <w:b/>
          <w:sz w:val="28"/>
          <w:szCs w:val="28"/>
        </w:rPr>
        <w:t>:</w:t>
      </w:r>
      <w:r>
        <w:rPr>
          <w:b/>
          <w:sz w:val="28"/>
          <w:szCs w:val="28"/>
        </w:rPr>
        <w:t xml:space="preserve"> </w:t>
      </w:r>
      <w:r w:rsidR="008E2E16">
        <w:rPr>
          <w:b/>
          <w:sz w:val="28"/>
          <w:szCs w:val="28"/>
        </w:rPr>
        <w:t>September 13</w:t>
      </w:r>
      <w:r w:rsidR="009D73A3">
        <w:rPr>
          <w:b/>
          <w:sz w:val="28"/>
          <w:szCs w:val="28"/>
        </w:rPr>
        <w:t>, 2023</w:t>
      </w:r>
    </w:p>
    <w:p w:rsidR="009B633D" w:rsidP="009B633D" w14:paraId="5921AF08" w14:textId="77777777">
      <w:pPr>
        <w:jc w:val="center"/>
        <w:rPr>
          <w:i/>
          <w:sz w:val="28"/>
          <w:szCs w:val="28"/>
        </w:rPr>
      </w:pPr>
    </w:p>
    <w:p w:rsidR="009B633D" w:rsidP="009B633D" w14:paraId="7C44AAAE" w14:textId="77777777">
      <w:pPr>
        <w:jc w:val="center"/>
        <w:rPr>
          <w:sz w:val="28"/>
          <w:szCs w:val="28"/>
        </w:rPr>
      </w:pPr>
    </w:p>
    <w:p w:rsidR="009B633D" w:rsidP="009B633D" w14:paraId="7154E12D" w14:textId="77777777">
      <w:pPr>
        <w:jc w:val="center"/>
        <w:rPr>
          <w:sz w:val="28"/>
          <w:szCs w:val="28"/>
        </w:rPr>
      </w:pPr>
    </w:p>
    <w:p w:rsidR="009B633D" w:rsidP="009B633D" w14:paraId="604F60E0" w14:textId="77777777">
      <w:pPr>
        <w:jc w:val="center"/>
        <w:rPr>
          <w:sz w:val="28"/>
          <w:szCs w:val="28"/>
        </w:rPr>
      </w:pPr>
    </w:p>
    <w:p w:rsidR="009B633D" w:rsidP="009B633D" w14:paraId="60445002" w14:textId="77777777">
      <w:pPr>
        <w:jc w:val="center"/>
        <w:rPr>
          <w:sz w:val="28"/>
          <w:szCs w:val="28"/>
        </w:rPr>
      </w:pPr>
    </w:p>
    <w:p w:rsidR="009B633D" w:rsidP="009B633D" w14:paraId="37BE4660" w14:textId="77777777">
      <w:pPr>
        <w:jc w:val="center"/>
        <w:rPr>
          <w:sz w:val="28"/>
          <w:szCs w:val="28"/>
        </w:rPr>
      </w:pPr>
    </w:p>
    <w:p w:rsidR="009B633D" w:rsidP="009B633D" w14:paraId="199EAF10" w14:textId="77777777">
      <w:pPr>
        <w:jc w:val="center"/>
        <w:rPr>
          <w:sz w:val="28"/>
          <w:szCs w:val="28"/>
        </w:rPr>
      </w:pPr>
      <w:r w:rsidRPr="00677A0B">
        <w:rPr>
          <w:sz w:val="28"/>
          <w:szCs w:val="28"/>
        </w:rPr>
        <w:t>Agency of Healthcare Research and Quality (AHRQ)</w:t>
      </w:r>
    </w:p>
    <w:p w:rsidR="009B633D" w14:paraId="77AEB8A6" w14:textId="77777777">
      <w:pPr>
        <w:rPr>
          <w:sz w:val="28"/>
          <w:szCs w:val="28"/>
        </w:rPr>
      </w:pPr>
    </w:p>
    <w:p w:rsidR="009B633D" w14:paraId="04EEAF38" w14:textId="77777777">
      <w:pPr>
        <w:rPr>
          <w:sz w:val="28"/>
          <w:szCs w:val="28"/>
        </w:rPr>
      </w:pPr>
    </w:p>
    <w:p w:rsidR="009B633D" w:rsidP="008C580E" w14:paraId="53C4B502" w14:textId="77777777">
      <w:pPr>
        <w:rPr>
          <w:b/>
        </w:rPr>
      </w:pPr>
      <w:r>
        <w:rPr>
          <w:b/>
        </w:rPr>
        <w:br w:type="page"/>
      </w:r>
      <w:r w:rsidRPr="001D0454">
        <w:rPr>
          <w:b/>
        </w:rPr>
        <w:t>Table of contents</w:t>
      </w:r>
    </w:p>
    <w:p w:rsidR="00EB58F3" w:rsidP="009B633D" w14:paraId="3C60FA60" w14:textId="77777777">
      <w:pPr>
        <w:jc w:val="center"/>
        <w:rPr>
          <w:b/>
        </w:rPr>
      </w:pPr>
    </w:p>
    <w:p w:rsidR="00EB58F3" w:rsidP="007B3A8E" w14:paraId="6F71F6E2" w14:textId="77777777">
      <w:pPr>
        <w:tabs>
          <w:tab w:val="left" w:leader="dot" w:pos="8280"/>
        </w:tabs>
      </w:pPr>
      <w:r w:rsidRPr="008C580E">
        <w:t>A. Justification</w:t>
      </w:r>
      <w:r w:rsidR="007B3A8E">
        <w:tab/>
        <w:t>3</w:t>
      </w:r>
    </w:p>
    <w:p w:rsidR="007B3A8E" w:rsidP="007B3A8E" w14:paraId="02193D48" w14:textId="77777777">
      <w:pPr>
        <w:tabs>
          <w:tab w:val="left" w:pos="360"/>
          <w:tab w:val="left" w:leader="dot" w:pos="8280"/>
        </w:tabs>
      </w:pPr>
      <w:r>
        <w:tab/>
        <w:t xml:space="preserve">1. </w:t>
      </w:r>
      <w:r w:rsidR="006014DB">
        <w:t>Circumstances that make the collection of information necessary</w:t>
      </w:r>
      <w:r>
        <w:tab/>
      </w:r>
      <w:r w:rsidR="00094648">
        <w:t>3</w:t>
      </w:r>
    </w:p>
    <w:p w:rsidR="007B3A8E" w:rsidP="007B3A8E" w14:paraId="1D50AC54" w14:textId="77777777">
      <w:pPr>
        <w:tabs>
          <w:tab w:val="left" w:pos="360"/>
          <w:tab w:val="left" w:leader="dot" w:pos="8280"/>
        </w:tabs>
      </w:pPr>
      <w:r>
        <w:tab/>
        <w:t xml:space="preserve">2. </w:t>
      </w:r>
      <w:r w:rsidR="006014DB">
        <w:t>Purpose and use of i</w:t>
      </w:r>
      <w:r w:rsidRPr="007B3A8E">
        <w:t>nformation</w:t>
      </w:r>
      <w:r>
        <w:tab/>
      </w:r>
      <w:r w:rsidR="00F5527F">
        <w:t>5</w:t>
      </w:r>
    </w:p>
    <w:p w:rsidR="007B3A8E" w:rsidP="007B3A8E" w14:paraId="3AEFDCB3" w14:textId="77777777">
      <w:pPr>
        <w:tabs>
          <w:tab w:val="left" w:pos="360"/>
          <w:tab w:val="left" w:leader="dot" w:pos="8280"/>
        </w:tabs>
      </w:pPr>
      <w:r>
        <w:tab/>
        <w:t xml:space="preserve">3. </w:t>
      </w:r>
      <w:r w:rsidRPr="007B3A8E">
        <w:t>Use of Improved Information Technology</w:t>
      </w:r>
      <w:r>
        <w:tab/>
      </w:r>
      <w:r w:rsidR="00BA04A1">
        <w:t>6</w:t>
      </w:r>
    </w:p>
    <w:p w:rsidR="007B3A8E" w:rsidP="007B3A8E" w14:paraId="1EF282C4" w14:textId="77777777">
      <w:pPr>
        <w:tabs>
          <w:tab w:val="left" w:pos="360"/>
          <w:tab w:val="left" w:leader="dot" w:pos="8280"/>
        </w:tabs>
      </w:pPr>
      <w:r>
        <w:tab/>
        <w:t xml:space="preserve">4. </w:t>
      </w:r>
      <w:r w:rsidRPr="007B3A8E">
        <w:t>Efforts to Identify Duplication</w:t>
      </w:r>
      <w:r>
        <w:tab/>
      </w:r>
      <w:r w:rsidR="00F5527F">
        <w:t>6</w:t>
      </w:r>
    </w:p>
    <w:p w:rsidR="007B3A8E" w:rsidP="007B3A8E" w14:paraId="588F5478" w14:textId="77777777">
      <w:pPr>
        <w:tabs>
          <w:tab w:val="left" w:pos="360"/>
          <w:tab w:val="left" w:leader="dot" w:pos="8280"/>
        </w:tabs>
      </w:pPr>
      <w:r>
        <w:tab/>
        <w:t xml:space="preserve">5. </w:t>
      </w:r>
      <w:r w:rsidRPr="00556066" w:rsidR="00556066">
        <w:t>Involvement of Small Entities</w:t>
      </w:r>
      <w:r w:rsidR="00556066">
        <w:tab/>
      </w:r>
      <w:r w:rsidR="00F5527F">
        <w:t>6</w:t>
      </w:r>
    </w:p>
    <w:p w:rsidR="00556066" w:rsidP="007B3A8E" w14:paraId="0DA87370" w14:textId="77777777">
      <w:pPr>
        <w:tabs>
          <w:tab w:val="left" w:pos="360"/>
          <w:tab w:val="left" w:leader="dot" w:pos="8280"/>
        </w:tabs>
      </w:pPr>
      <w:r>
        <w:tab/>
        <w:t xml:space="preserve">6. </w:t>
      </w:r>
      <w:r w:rsidRPr="00556066">
        <w:t>Consequences if Information Collected Less Frequently</w:t>
      </w:r>
      <w:r>
        <w:tab/>
      </w:r>
      <w:r w:rsidR="00F5527F">
        <w:t>6</w:t>
      </w:r>
    </w:p>
    <w:p w:rsidR="00556066" w:rsidP="007B3A8E" w14:paraId="12613C20" w14:textId="77777777">
      <w:pPr>
        <w:tabs>
          <w:tab w:val="left" w:pos="360"/>
          <w:tab w:val="left" w:leader="dot" w:pos="8280"/>
        </w:tabs>
      </w:pPr>
      <w:r>
        <w:tab/>
        <w:t xml:space="preserve">7. </w:t>
      </w:r>
      <w:r w:rsidRPr="00556066">
        <w:t>Special Circumstances</w:t>
      </w:r>
      <w:r>
        <w:tab/>
      </w:r>
      <w:r w:rsidR="00F5527F">
        <w:t>6</w:t>
      </w:r>
    </w:p>
    <w:p w:rsidR="00556066" w:rsidP="007B3A8E" w14:paraId="374C4016" w14:textId="77777777">
      <w:pPr>
        <w:tabs>
          <w:tab w:val="left" w:pos="360"/>
          <w:tab w:val="left" w:leader="dot" w:pos="8280"/>
        </w:tabs>
      </w:pPr>
      <w:r>
        <w:tab/>
        <w:t xml:space="preserve">8. </w:t>
      </w:r>
      <w:r w:rsidRPr="00556066">
        <w:t>Consultation outside the Agency</w:t>
      </w:r>
      <w:r>
        <w:tab/>
      </w:r>
      <w:r w:rsidR="00F5527F">
        <w:t>6</w:t>
      </w:r>
    </w:p>
    <w:p w:rsidR="00556066" w:rsidP="007B3A8E" w14:paraId="03436922" w14:textId="77777777">
      <w:pPr>
        <w:tabs>
          <w:tab w:val="left" w:pos="360"/>
          <w:tab w:val="left" w:leader="dot" w:pos="8280"/>
        </w:tabs>
      </w:pPr>
      <w:r>
        <w:tab/>
        <w:t xml:space="preserve">9. </w:t>
      </w:r>
      <w:r w:rsidRPr="00556066">
        <w:t>Payments/Gifts to Respondents</w:t>
      </w:r>
      <w:r>
        <w:tab/>
      </w:r>
      <w:r w:rsidR="00BA04A1">
        <w:t>7</w:t>
      </w:r>
    </w:p>
    <w:p w:rsidR="00556066" w:rsidP="007B3A8E" w14:paraId="4C24E85C" w14:textId="77777777">
      <w:pPr>
        <w:tabs>
          <w:tab w:val="left" w:pos="360"/>
          <w:tab w:val="left" w:leader="dot" w:pos="8280"/>
        </w:tabs>
      </w:pPr>
      <w:r>
        <w:tab/>
        <w:t xml:space="preserve">10. </w:t>
      </w:r>
      <w:r w:rsidRPr="00556066">
        <w:t>Assurance of Confidentiality</w:t>
      </w:r>
      <w:r>
        <w:tab/>
      </w:r>
      <w:r w:rsidR="00F5527F">
        <w:t>7</w:t>
      </w:r>
    </w:p>
    <w:p w:rsidR="00556066" w:rsidP="007B3A8E" w14:paraId="3EF2F54E" w14:textId="77777777">
      <w:pPr>
        <w:tabs>
          <w:tab w:val="left" w:pos="360"/>
          <w:tab w:val="left" w:leader="dot" w:pos="8280"/>
        </w:tabs>
      </w:pPr>
      <w:r>
        <w:tab/>
        <w:t xml:space="preserve">11. </w:t>
      </w:r>
      <w:r w:rsidRPr="00556066">
        <w:t>Questions of a Sensitive Nature</w:t>
      </w:r>
      <w:r>
        <w:tab/>
      </w:r>
      <w:r w:rsidR="00BA04A1">
        <w:t>8</w:t>
      </w:r>
    </w:p>
    <w:p w:rsidR="00556066" w:rsidP="007B3A8E" w14:paraId="09B980B0" w14:textId="77777777">
      <w:pPr>
        <w:tabs>
          <w:tab w:val="left" w:pos="360"/>
          <w:tab w:val="left" w:leader="dot" w:pos="8280"/>
        </w:tabs>
      </w:pPr>
      <w:r>
        <w:tab/>
        <w:t xml:space="preserve">12. </w:t>
      </w:r>
      <w:r w:rsidRPr="00556066">
        <w:t>Estimates of Annualized Burden Hours and Costs</w:t>
      </w:r>
      <w:r>
        <w:tab/>
      </w:r>
      <w:r w:rsidR="00F5527F">
        <w:t>8</w:t>
      </w:r>
    </w:p>
    <w:p w:rsidR="00556066" w:rsidP="007B3A8E" w14:paraId="2C8AA120" w14:textId="77777777">
      <w:pPr>
        <w:tabs>
          <w:tab w:val="left" w:pos="360"/>
          <w:tab w:val="left" w:leader="dot" w:pos="8280"/>
        </w:tabs>
      </w:pPr>
      <w:r>
        <w:tab/>
        <w:t xml:space="preserve">13. </w:t>
      </w:r>
      <w:r w:rsidRPr="00556066">
        <w:t>Estimates of Annualized Respondent Capital and Maintenance Costs</w:t>
      </w:r>
      <w:r>
        <w:tab/>
      </w:r>
      <w:r w:rsidR="00BA04A1">
        <w:t>9</w:t>
      </w:r>
    </w:p>
    <w:p w:rsidR="00556066" w:rsidP="007B3A8E" w14:paraId="5D542383" w14:textId="77777777">
      <w:pPr>
        <w:tabs>
          <w:tab w:val="left" w:pos="360"/>
          <w:tab w:val="left" w:leader="dot" w:pos="8280"/>
        </w:tabs>
      </w:pPr>
      <w:r>
        <w:tab/>
        <w:t xml:space="preserve">14. </w:t>
      </w:r>
      <w:r w:rsidRPr="00556066">
        <w:t>Estimates of Annualized Cost to the Government</w:t>
      </w:r>
      <w:r>
        <w:tab/>
      </w:r>
      <w:r w:rsidR="00F5527F">
        <w:t>9</w:t>
      </w:r>
    </w:p>
    <w:p w:rsidR="00556066" w:rsidP="007B3A8E" w14:paraId="7FE33F17" w14:textId="77777777">
      <w:pPr>
        <w:tabs>
          <w:tab w:val="left" w:pos="360"/>
          <w:tab w:val="left" w:leader="dot" w:pos="8280"/>
        </w:tabs>
      </w:pPr>
      <w:r>
        <w:tab/>
        <w:t xml:space="preserve">15. </w:t>
      </w:r>
      <w:r w:rsidRPr="00556066">
        <w:t>Changes in Hour Burden</w:t>
      </w:r>
      <w:r>
        <w:tab/>
      </w:r>
      <w:r w:rsidR="00F5527F">
        <w:t>9</w:t>
      </w:r>
    </w:p>
    <w:p w:rsidR="006014DB" w:rsidP="007B3A8E" w14:paraId="4BF841C7" w14:textId="77777777">
      <w:pPr>
        <w:tabs>
          <w:tab w:val="left" w:pos="360"/>
          <w:tab w:val="left" w:leader="dot" w:pos="8280"/>
        </w:tabs>
      </w:pPr>
      <w:r>
        <w:tab/>
        <w:t xml:space="preserve">16. </w:t>
      </w:r>
      <w:r w:rsidRPr="006014DB">
        <w:t>Time Schedule, Publication and Analysis Plans</w:t>
      </w:r>
      <w:r>
        <w:tab/>
      </w:r>
      <w:r w:rsidR="00F5527F">
        <w:t>9</w:t>
      </w:r>
    </w:p>
    <w:p w:rsidR="006014DB" w:rsidP="007B3A8E" w14:paraId="0E0042D7" w14:textId="77777777">
      <w:pPr>
        <w:tabs>
          <w:tab w:val="left" w:pos="360"/>
          <w:tab w:val="left" w:leader="dot" w:pos="8280"/>
        </w:tabs>
      </w:pPr>
      <w:r>
        <w:tab/>
        <w:t xml:space="preserve">17. </w:t>
      </w:r>
      <w:r w:rsidRPr="006014DB">
        <w:t>Exemption for Display of Expiration Date</w:t>
      </w:r>
      <w:r>
        <w:tab/>
      </w:r>
      <w:r w:rsidR="001A00B0">
        <w:t>1</w:t>
      </w:r>
      <w:r w:rsidR="00F5527F">
        <w:t>0</w:t>
      </w:r>
    </w:p>
    <w:p w:rsidR="00556066" w:rsidRPr="00556066" w:rsidP="007B3A8E" w14:paraId="3B10F9E3" w14:textId="77777777">
      <w:pPr>
        <w:tabs>
          <w:tab w:val="left" w:pos="360"/>
          <w:tab w:val="left" w:leader="dot" w:pos="8280"/>
        </w:tabs>
      </w:pPr>
      <w:r>
        <w:tab/>
      </w:r>
      <w:r w:rsidR="00904CC3">
        <w:t>List of Attachments</w:t>
      </w:r>
      <w:r w:rsidR="00904CC3">
        <w:tab/>
      </w:r>
      <w:r w:rsidR="001A00B0">
        <w:t>1</w:t>
      </w:r>
      <w:r w:rsidR="00F5527F">
        <w:t>0</w:t>
      </w:r>
    </w:p>
    <w:p w:rsidR="00556066" w:rsidRPr="00556066" w:rsidP="007B3A8E" w14:paraId="154F53C2" w14:textId="77777777">
      <w:pPr>
        <w:tabs>
          <w:tab w:val="left" w:pos="360"/>
          <w:tab w:val="left" w:leader="dot" w:pos="8280"/>
        </w:tabs>
      </w:pPr>
      <w:r>
        <w:tab/>
      </w:r>
    </w:p>
    <w:p w:rsidR="009B633D" w:rsidP="009B633D" w14:paraId="1F4CE83C" w14:textId="77777777">
      <w:pPr>
        <w:jc w:val="center"/>
        <w:rPr>
          <w:b/>
        </w:rPr>
      </w:pPr>
    </w:p>
    <w:p w:rsidR="009B633D" w14:paraId="64760675" w14:textId="77777777">
      <w:pPr>
        <w:pStyle w:val="TOC2"/>
        <w:tabs>
          <w:tab w:val="right" w:leader="dot" w:pos="8630"/>
        </w:tabs>
        <w:rPr>
          <w:noProof/>
        </w:rPr>
      </w:pPr>
      <w:r>
        <w:rPr>
          <w:b/>
        </w:rPr>
        <w:fldChar w:fldCharType="begin"/>
      </w:r>
      <w:r>
        <w:rPr>
          <w:b/>
        </w:rPr>
        <w:instrText xml:space="preserve"> TOC \o "1-3" \h \z \u </w:instrText>
      </w:r>
      <w:r>
        <w:rPr>
          <w:b/>
        </w:rPr>
        <w:fldChar w:fldCharType="separate"/>
      </w:r>
    </w:p>
    <w:p w:rsidR="009B633D" w:rsidRPr="001D0454" w:rsidP="009B633D" w14:paraId="1EE2AD58" w14:textId="77777777">
      <w:pPr>
        <w:jc w:val="center"/>
        <w:rPr>
          <w:b/>
        </w:rPr>
      </w:pPr>
      <w:r>
        <w:rPr>
          <w:b/>
        </w:rPr>
        <w:fldChar w:fldCharType="end"/>
      </w:r>
    </w:p>
    <w:p w:rsidR="009B633D" w:rsidRPr="006014DB" w:rsidP="009B633D" w14:paraId="7920BF97" w14:textId="77777777">
      <w:pPr>
        <w:pStyle w:val="Heading1"/>
        <w:rPr>
          <w:sz w:val="24"/>
          <w:szCs w:val="24"/>
        </w:rPr>
      </w:pPr>
      <w:r>
        <w:br w:type="page"/>
      </w:r>
      <w:bookmarkStart w:id="0" w:name="_Toc151782175"/>
      <w:bookmarkStart w:id="1" w:name="_Toc158526215"/>
      <w:r w:rsidRPr="006014DB">
        <w:rPr>
          <w:sz w:val="24"/>
          <w:szCs w:val="24"/>
        </w:rPr>
        <w:t>A. Justification</w:t>
      </w:r>
      <w:bookmarkEnd w:id="0"/>
      <w:bookmarkEnd w:id="1"/>
    </w:p>
    <w:p w:rsidR="009B633D" w:rsidRPr="006014DB" w:rsidP="009B633D" w14:paraId="7862EDA7" w14:textId="77777777"/>
    <w:p w:rsidR="009B633D" w:rsidP="006014DB" w14:paraId="06440BCB" w14:textId="77777777">
      <w:pPr>
        <w:pStyle w:val="Heading2"/>
        <w:spacing w:before="0" w:after="0"/>
        <w:rPr>
          <w:sz w:val="24"/>
          <w:szCs w:val="24"/>
        </w:rPr>
      </w:pPr>
      <w:bookmarkStart w:id="2" w:name="_Toc151782176"/>
      <w:bookmarkStart w:id="3" w:name="_Toc158526216"/>
      <w:r w:rsidRPr="006014DB">
        <w:rPr>
          <w:sz w:val="24"/>
          <w:szCs w:val="24"/>
        </w:rPr>
        <w:t xml:space="preserve">1. </w:t>
      </w:r>
      <w:bookmarkEnd w:id="2"/>
      <w:bookmarkEnd w:id="3"/>
      <w:r w:rsidRPr="006014DB" w:rsidR="006014DB">
        <w:rPr>
          <w:sz w:val="24"/>
          <w:szCs w:val="24"/>
        </w:rPr>
        <w:t>Circumstances that make the collection of information necessary</w:t>
      </w:r>
    </w:p>
    <w:p w:rsidR="006014DB" w:rsidP="006014DB" w14:paraId="7B85226A" w14:textId="77777777"/>
    <w:p w:rsidR="000A140E" w:rsidP="000A140E" w14:paraId="3D863B23" w14:textId="77777777">
      <w:r>
        <w:t xml:space="preserve">The mission of the Agency for Healthcare Research and Quality (AHRQ) set out in its authorizing legislation, The Healthcare Research and Quality Act of 1999 (see </w:t>
      </w:r>
      <w:r w:rsidRPr="008573ED" w:rsidR="008573ED">
        <w:t>http://www.ahrq.gov/hrqa99.pdf</w:t>
      </w:r>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6014DB" w:rsidP="006014DB" w14:paraId="619786A7" w14:textId="77777777"/>
    <w:p w:rsidR="00606400" w:rsidP="00606400" w14:paraId="0D15A5D0" w14:textId="77777777">
      <w:pPr>
        <w:tabs>
          <w:tab w:val="left" w:pos="360"/>
        </w:tabs>
      </w:pPr>
      <w:r>
        <w:tab/>
      </w:r>
    </w:p>
    <w:p w:rsidR="00606400" w:rsidP="00606400" w14:paraId="1286DAAE" w14:textId="77777777">
      <w:pPr>
        <w:tabs>
          <w:tab w:val="left" w:pos="360"/>
        </w:tabs>
        <w:ind w:left="360"/>
      </w:pPr>
      <w:r>
        <w:t>1.</w:t>
      </w:r>
      <w:r>
        <w:tab/>
        <w:t>research that develops and presents scientific evidence regardi</w:t>
      </w:r>
      <w:r w:rsidR="00AA1DDC">
        <w:t xml:space="preserve">ng all aspects of </w:t>
      </w:r>
      <w:r w:rsidR="00AA1DDC">
        <w:tab/>
      </w:r>
      <w:r w:rsidR="00AA1DDC">
        <w:tab/>
        <w:t>health care</w:t>
      </w:r>
      <w:r w:rsidR="00325B9C">
        <w:t>;</w:t>
      </w:r>
      <w:r w:rsidR="00B645ED">
        <w:t xml:space="preserve"> and</w:t>
      </w:r>
    </w:p>
    <w:p w:rsidR="00325B9C" w:rsidP="00606400" w14:paraId="5A800EF0" w14:textId="77777777">
      <w:pPr>
        <w:tabs>
          <w:tab w:val="left" w:pos="360"/>
        </w:tabs>
        <w:ind w:left="360"/>
      </w:pPr>
    </w:p>
    <w:p w:rsidR="00325B9C" w:rsidP="00606400" w14:paraId="7DCA0332" w14:textId="77777777">
      <w:pPr>
        <w:tabs>
          <w:tab w:val="left" w:pos="360"/>
        </w:tabs>
        <w:ind w:left="360"/>
      </w:pPr>
      <w:r>
        <w:t>2.</w:t>
      </w:r>
      <w:r>
        <w:tab/>
      </w:r>
      <w:r w:rsidR="00B645ED">
        <w:t xml:space="preserve">the synthesis and dissemination of available scientific evidence for use by </w:t>
      </w:r>
      <w:r w:rsidR="00B645ED">
        <w:tab/>
        <w:t xml:space="preserve">patients, consumers, practitioners, providers, purchasers, policy makers, and </w:t>
      </w:r>
      <w:r w:rsidR="00B645ED">
        <w:tab/>
        <w:t>educators; and</w:t>
      </w:r>
    </w:p>
    <w:p w:rsidR="00B645ED" w:rsidP="00606400" w14:paraId="49E99897" w14:textId="77777777">
      <w:pPr>
        <w:tabs>
          <w:tab w:val="left" w:pos="360"/>
        </w:tabs>
        <w:ind w:left="360"/>
      </w:pPr>
    </w:p>
    <w:p w:rsidR="00B645ED" w:rsidP="00606400" w14:paraId="218FA369" w14:textId="77777777">
      <w:pPr>
        <w:tabs>
          <w:tab w:val="left" w:pos="360"/>
        </w:tabs>
        <w:ind w:left="360"/>
      </w:pPr>
      <w:r>
        <w:t>3.</w:t>
      </w:r>
      <w:r>
        <w:tab/>
        <w:t>initiatives to advance private and public efforts to improve health care quality.</w:t>
      </w:r>
    </w:p>
    <w:p w:rsidR="00B645ED" w:rsidP="00B645ED" w14:paraId="1E7CC2B9" w14:textId="77777777">
      <w:pPr>
        <w:tabs>
          <w:tab w:val="left" w:pos="360"/>
        </w:tabs>
      </w:pPr>
    </w:p>
    <w:p w:rsidR="008450C0" w:rsidP="00B645ED" w14:paraId="3346E2F0" w14:textId="77777777">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8450C0" w:rsidP="00B645ED" w14:paraId="417CDFB6" w14:textId="77777777">
      <w:pPr>
        <w:tabs>
          <w:tab w:val="left" w:pos="360"/>
        </w:tabs>
      </w:pPr>
    </w:p>
    <w:p w:rsidR="009D73A3" w:rsidRPr="00FD4EE7" w:rsidP="009D73A3" w14:paraId="6E9F30BE" w14:textId="77777777">
      <w:r>
        <w:t>T</w:t>
      </w:r>
      <w:r w:rsidRPr="00FD4EE7">
        <w:t>he Consumer Assessment of Healthcare Providers and Systems (CAHPS</w:t>
      </w:r>
      <w:r w:rsidRPr="00FD4EE7">
        <w:rPr>
          <w:rFonts w:ascii="Symbol" w:hAnsi="Symbol"/>
          <w:vertAlign w:val="superscript"/>
        </w:rPr>
        <w:sym w:font="Symbol" w:char="F0D2"/>
      </w:r>
      <w:r w:rsidRPr="00FD4EE7">
        <w:t xml:space="preserve">) </w:t>
      </w:r>
      <w:r w:rsidR="00D4433D">
        <w:t>program, which is sponsored by AHRQ, has the purpose of</w:t>
      </w:r>
      <w:r w:rsidRPr="00FD4EE7">
        <w:t xml:space="preserve"> advancing the scientific understanding of the patient experience of care, including the development and testing of new surveys and/or approaches to data collection to promote or improve the collection of consumer reports and evaluations of their experiences with health care.</w:t>
      </w:r>
    </w:p>
    <w:p w:rsidR="009D73A3" w:rsidP="00B645ED" w14:paraId="6C1DCAE1" w14:textId="77777777">
      <w:pPr>
        <w:tabs>
          <w:tab w:val="left" w:pos="360"/>
        </w:tabs>
      </w:pPr>
    </w:p>
    <w:p w:rsidR="005E676F" w:rsidRPr="00FD4EE7" w:rsidP="005E676F" w14:paraId="4DFCFC45" w14:textId="77777777">
      <w:pPr>
        <w:spacing w:after="240"/>
        <w:rPr>
          <w:rFonts w:eastAsia="MS Mincho"/>
          <w:color w:val="000000"/>
        </w:rPr>
      </w:pPr>
      <w:r w:rsidRPr="00FD4EE7">
        <w:rPr>
          <w:rFonts w:eastAsia="MS Mincho"/>
          <w:color w:val="000000"/>
        </w:rPr>
        <w:t>Standardized surveys and administration procedures are central components of CAHPS. The CAHPS survey items represent what consumers value and for which they are the best source of information. The CAHPS suite of surveys is extensive and includes items to evaluate ambulatory care (e.g., accountable care organizations--ACOs, health plans, clinicians/groups, patient-centered medical homes), and institutional care (</w:t>
      </w:r>
      <w:r>
        <w:rPr>
          <w:rFonts w:eastAsia="MS Mincho"/>
          <w:color w:val="000000"/>
        </w:rPr>
        <w:t xml:space="preserve">e.g., emergency department, </w:t>
      </w:r>
      <w:r w:rsidRPr="00FD4EE7">
        <w:rPr>
          <w:rFonts w:eastAsia="MS Mincho"/>
          <w:color w:val="000000"/>
        </w:rPr>
        <w:t>hospital, nursing home). CAHPS survey data are used as a component of provider quality payments</w:t>
      </w:r>
      <w:r w:rsidR="00D779B5">
        <w:rPr>
          <w:rFonts w:eastAsia="MS Mincho"/>
          <w:color w:val="000000"/>
        </w:rPr>
        <w:t xml:space="preserve"> programs hosted by CMS</w:t>
      </w:r>
      <w:r w:rsidRPr="00FD4EE7">
        <w:rPr>
          <w:rFonts w:eastAsia="MS Mincho"/>
          <w:color w:val="000000"/>
        </w:rPr>
        <w:t>, including pay-for-reporting by ACOs under the Medicare Shared Savings Program</w:t>
      </w:r>
      <w:r>
        <w:rPr>
          <w:rFonts w:eastAsia="MS Mincho"/>
          <w:color w:val="000000"/>
        </w:rPr>
        <w:t xml:space="preserve"> and Merit-Based Incentive Payment System (MIPS)</w:t>
      </w:r>
      <w:r w:rsidRPr="00FD4EE7">
        <w:rPr>
          <w:rFonts w:eastAsia="MS Mincho"/>
          <w:color w:val="000000"/>
        </w:rPr>
        <w:t xml:space="preserve">, hospital value-based purchasing payments, </w:t>
      </w:r>
      <w:r>
        <w:rPr>
          <w:rFonts w:eastAsia="MS Mincho"/>
          <w:color w:val="000000"/>
        </w:rPr>
        <w:t xml:space="preserve">and </w:t>
      </w:r>
      <w:r w:rsidRPr="00FD4EE7">
        <w:rPr>
          <w:rFonts w:eastAsia="MS Mincho"/>
          <w:color w:val="000000"/>
        </w:rPr>
        <w:t xml:space="preserve">quality bonus payments for Medicare Advantage Plans. </w:t>
      </w:r>
    </w:p>
    <w:p w:rsidR="005E676F" w:rsidP="009D73A3" w14:paraId="7D66B782" w14:textId="77777777"/>
    <w:p w:rsidR="005E676F" w:rsidP="009D73A3" w14:paraId="689AEB43" w14:textId="77777777">
      <w:r w:rsidRPr="00FD4EE7">
        <w:t xml:space="preserve">There is growing evidence that consumers are interested in comments posted by patients online regarding their experiences with their doctors; the number and use of websites with such patient comments has increased rapidly in recent years. </w:t>
      </w:r>
      <w:r w:rsidRPr="00FD4EE7">
        <w:rPr>
          <w:rFonts w:cs="Arial"/>
          <w:szCs w:val="22"/>
        </w:rPr>
        <w:t xml:space="preserve">Comments from patients often cover the same experiential domains as </w:t>
      </w:r>
      <w:r>
        <w:rPr>
          <w:rFonts w:cs="Arial"/>
          <w:szCs w:val="22"/>
        </w:rPr>
        <w:t xml:space="preserve">closed-ended items include on </w:t>
      </w:r>
      <w:r w:rsidRPr="00FD4EE7">
        <w:rPr>
          <w:rFonts w:cs="Arial"/>
          <w:szCs w:val="22"/>
        </w:rPr>
        <w:t xml:space="preserve">CAHPS surveys, but in ways that can be easier to understand, more engaging, and more persuasive to those reading a report than statistically summarized survey scores. This has led AHRQ to </w:t>
      </w:r>
      <w:r w:rsidRPr="00F97D53">
        <w:rPr>
          <w:rFonts w:cs="Arial"/>
          <w:szCs w:val="22"/>
        </w:rPr>
        <w:t>develop Narrative Item Sets (NIS), including for the CAHPS Clinician &amp; Group Survey</w:t>
      </w:r>
      <w:r w:rsidRPr="00F97D53" w:rsidR="00A97F40">
        <w:rPr>
          <w:rFonts w:cs="Arial"/>
          <w:szCs w:val="22"/>
        </w:rPr>
        <w:t xml:space="preserve"> (CG-CAHPS)</w:t>
      </w:r>
      <w:r w:rsidRPr="00F97D53">
        <w:rPr>
          <w:rFonts w:cs="Arial"/>
          <w:szCs w:val="22"/>
        </w:rPr>
        <w:t>. The CG-CAHPS NIS captures experiences, in patients’ own words, that both align with the scope of CG-CAHPS closed-ended questions and extend beyond them (</w:t>
      </w:r>
      <w:r w:rsidRPr="00F97D53">
        <w:t>Grob</w:t>
      </w:r>
      <w:r w:rsidRPr="00FD4EE7">
        <w:t xml:space="preserve"> et al., 2019; Schlesinger et al., 2020). </w:t>
      </w:r>
    </w:p>
    <w:p w:rsidR="005E676F" w:rsidP="009D73A3" w14:paraId="1A405F0E" w14:textId="77777777"/>
    <w:p w:rsidR="009D73A3" w:rsidRPr="00FD4EE7" w:rsidP="009D73A3" w14:paraId="328B5D46" w14:textId="77777777">
      <w:r w:rsidRPr="00C836D3">
        <w:t>I</w:t>
      </w:r>
      <w:r w:rsidRPr="00C836D3">
        <w:t xml:space="preserve">mportant differences </w:t>
      </w:r>
      <w:r w:rsidRPr="00C836D3">
        <w:t xml:space="preserve">have been demonstrated </w:t>
      </w:r>
      <w:r w:rsidRPr="00C836D3">
        <w:t>in patient experience by race/ethnicity, gender, and preferred language, as captured in the closed-ended CG-CAHPS survey.</w:t>
      </w:r>
      <w:r w:rsidRPr="00BC2428">
        <w:t xml:space="preserve">  For example, studies of people with Medicare have </w:t>
      </w:r>
      <w:r w:rsidRPr="00BC2428">
        <w:rPr>
          <w:bCs/>
          <w:iCs/>
        </w:rPr>
        <w:t>shown that, on average, American Indian</w:t>
      </w:r>
      <w:r w:rsidRPr="00FD4EE7">
        <w:rPr>
          <w:bCs/>
          <w:iCs/>
        </w:rPr>
        <w:t xml:space="preserve"> and Alaska Native, Asian American/</w:t>
      </w:r>
      <w:r w:rsidR="006F06AF">
        <w:rPr>
          <w:bCs/>
          <w:iCs/>
        </w:rPr>
        <w:t>Native Hawaiian/</w:t>
      </w:r>
      <w:r w:rsidRPr="00FD4EE7">
        <w:rPr>
          <w:bCs/>
          <w:iCs/>
        </w:rPr>
        <w:t xml:space="preserve">Pacific Islander, Black, and Hispanic people tend to report worse experiences with care than non-Hispanic White people (Elliott et al., 2011; </w:t>
      </w:r>
      <w:r w:rsidRPr="00FD4EE7">
        <w:rPr>
          <w:bCs/>
          <w:iCs/>
        </w:rPr>
        <w:t>Fongwa</w:t>
      </w:r>
      <w:r w:rsidRPr="00FD4EE7">
        <w:rPr>
          <w:bCs/>
          <w:iCs/>
        </w:rPr>
        <w:t xml:space="preserve"> et al., 2008; Martino et al., 2016; Martino et al., 2021; </w:t>
      </w:r>
      <w:r w:rsidRPr="00FD4EE7">
        <w:rPr>
          <w:bCs/>
          <w:iCs/>
        </w:rPr>
        <w:t>Weech</w:t>
      </w:r>
      <w:r w:rsidRPr="00FD4EE7">
        <w:rPr>
          <w:bCs/>
          <w:iCs/>
        </w:rPr>
        <w:t>-Maldonado et al., 2008). A recent analysis of Medicare’s patient experience data from 2009-2018 showed that although racial/ethnic inequities have lessened over time, sizable inequities remain. Other analyses have shown that preferring a language other than English can compound the problems that racial/ethnic minorities face in getting care that meets their needs (</w:t>
      </w:r>
      <w:r w:rsidRPr="00FD4EE7">
        <w:rPr>
          <w:bCs/>
          <w:iCs/>
        </w:rPr>
        <w:t>Haskard-Zolnierek</w:t>
      </w:r>
      <w:r w:rsidRPr="00FD4EE7">
        <w:rPr>
          <w:bCs/>
          <w:iCs/>
        </w:rPr>
        <w:t xml:space="preserve"> et al., 2021; Quigley et al., 2019). In addition, patient experience also differs across genders in nuanced ways. A recent study found that female Medicare Advantage enrollees report worse experiences than male enrollees in getting needed care but better experiences with customer service staff (Burkhart et al., 2020).</w:t>
      </w:r>
      <w:r w:rsidR="00D779B5">
        <w:rPr>
          <w:bCs/>
          <w:iCs/>
        </w:rPr>
        <w:t xml:space="preserve"> </w:t>
      </w:r>
    </w:p>
    <w:p w:rsidR="009D73A3" w:rsidRPr="00FD4EE7" w:rsidP="009D73A3" w14:paraId="27862152" w14:textId="77777777"/>
    <w:p w:rsidR="009D73A3" w:rsidP="009D73A3" w14:paraId="5FB906ED" w14:textId="77777777">
      <w:r w:rsidRPr="00FD4EE7">
        <w:t xml:space="preserve">Unlike responses to closed-ended survey questions, </w:t>
      </w:r>
      <w:r w:rsidR="00D779B5">
        <w:t>organizations fielding surveys</w:t>
      </w:r>
      <w:r w:rsidRPr="00FD4EE7">
        <w:t xml:space="preserve"> often review and analyze patient</w:t>
      </w:r>
      <w:r w:rsidR="006F06AF">
        <w:t>s’</w:t>
      </w:r>
      <w:r w:rsidRPr="00FD4EE7">
        <w:t xml:space="preserve"> </w:t>
      </w:r>
      <w:r w:rsidR="006F06AF">
        <w:t>open-ended responses (narratives)</w:t>
      </w:r>
      <w:r w:rsidRPr="00FD4EE7" w:rsidR="006F06AF">
        <w:t xml:space="preserve"> </w:t>
      </w:r>
      <w:r w:rsidRPr="00FD4EE7">
        <w:t>by hand, which requires time, resources, and human coders with specialized training.</w:t>
      </w:r>
      <w:r w:rsidRPr="00FD4EE7">
        <w:rPr>
          <w:rFonts w:ascii="ArialMT" w:eastAsia="ArialMT" w:cs="ArialMT"/>
          <w:sz w:val="22"/>
          <w:szCs w:val="22"/>
        </w:rPr>
        <w:t xml:space="preserve"> </w:t>
      </w:r>
      <w:r w:rsidRPr="00FD4EE7">
        <w:t xml:space="preserve">As health </w:t>
      </w:r>
      <w:r w:rsidRPr="00457486">
        <w:t>systems and hospitals have moved toward collecting narratives in greater quantities and at greater frequency,</w:t>
      </w:r>
      <w:r w:rsidRPr="00FD4EE7">
        <w:t xml:space="preserve"> </w:t>
      </w:r>
      <w:r w:rsidRPr="00457486">
        <w:t>the need for automated analysis of narratives is growing. Health systems and hospitals need assistance in</w:t>
      </w:r>
      <w:r w:rsidRPr="00FD4EE7">
        <w:t xml:space="preserve"> </w:t>
      </w:r>
      <w:r w:rsidRPr="00457486">
        <w:t>categorizing and sorting comments into groups to assist with processing voluminous narrative data into</w:t>
      </w:r>
      <w:r w:rsidRPr="00FD4EE7">
        <w:t xml:space="preserve"> meaningful and usable content. More and more, health systems are turning to automated analysis of patent narratives using “off-the-shelf” </w:t>
      </w:r>
      <w:r w:rsidR="007544E4">
        <w:t>Natural Language Processing (</w:t>
      </w:r>
      <w:r w:rsidRPr="00FD4EE7">
        <w:t>NLP</w:t>
      </w:r>
      <w:r w:rsidR="007544E4">
        <w:t>)</w:t>
      </w:r>
      <w:r w:rsidRPr="00FD4EE7">
        <w:t xml:space="preserve"> software, but these programs may not be well-aligned with the specific language and terminology used to describe healthcare experiences. Furthermore, a growing concern surrounding </w:t>
      </w:r>
      <w:r w:rsidRPr="00457486">
        <w:t xml:space="preserve">the actual deployment of these methods in real-world decision-making is the risk of </w:t>
      </w:r>
      <w:r w:rsidRPr="00457486">
        <w:rPr>
          <w:rFonts w:hint="eastAsia"/>
        </w:rPr>
        <w:t>“</w:t>
      </w:r>
      <w:r w:rsidRPr="00457486">
        <w:t>algorithmic bias.</w:t>
      </w:r>
      <w:r w:rsidRPr="00457486">
        <w:rPr>
          <w:rFonts w:hint="eastAsia"/>
        </w:rPr>
        <w:t>”</w:t>
      </w:r>
      <w:r w:rsidRPr="00457486">
        <w:t xml:space="preserve"> In</w:t>
      </w:r>
      <w:r w:rsidRPr="00FD4EE7">
        <w:t xml:space="preserve"> </w:t>
      </w:r>
      <w:r w:rsidRPr="00457486">
        <w:t>general, algorithmic bias refers to circumstances where predictive machine learning algorithms unintentionally</w:t>
      </w:r>
      <w:r w:rsidRPr="00FD4EE7">
        <w:t xml:space="preserve"> </w:t>
      </w:r>
      <w:r w:rsidRPr="00457486">
        <w:t>reinforce or even exacerbate biases because of differential algorithmic performance across a sensitive</w:t>
      </w:r>
      <w:r w:rsidRPr="00FD4EE7">
        <w:t xml:space="preserve"> attribute, such as race/ethnicity (Vyas et al., 2020), a problem that persists even when such sensitive attributes are not algorithmic inputs (</w:t>
      </w:r>
      <w:r w:rsidRPr="00FD4EE7">
        <w:t>Cabreros</w:t>
      </w:r>
      <w:r w:rsidRPr="00FD4EE7">
        <w:t xml:space="preserve"> et al., in press; </w:t>
      </w:r>
      <w:r w:rsidRPr="00FD4EE7">
        <w:t>Pedreshi</w:t>
      </w:r>
      <w:r w:rsidRPr="00FD4EE7">
        <w:t xml:space="preserve"> et </w:t>
      </w:r>
      <w:r w:rsidRPr="00BC2428">
        <w:t>al., 2008).</w:t>
      </w:r>
      <w:r w:rsidRPr="00BC2428">
        <w:rPr>
          <w:rFonts w:ascii="ArialMT" w:eastAsia="ArialMT" w:cs="ArialMT"/>
          <w:sz w:val="22"/>
          <w:szCs w:val="22"/>
        </w:rPr>
        <w:t xml:space="preserve"> </w:t>
      </w:r>
      <w:r w:rsidRPr="00C836D3" w:rsidR="00BC2428">
        <w:t xml:space="preserve">That said, potential algorithmic </w:t>
      </w:r>
      <w:r w:rsidRPr="00C836D3">
        <w:t xml:space="preserve">adjustments </w:t>
      </w:r>
      <w:r w:rsidRPr="00C836D3" w:rsidR="00BC2428">
        <w:t xml:space="preserve">include </w:t>
      </w:r>
      <w:r w:rsidRPr="00C836D3">
        <w:t>the input for these programs</w:t>
      </w:r>
      <w:r w:rsidRPr="00BC2428">
        <w:t xml:space="preserve"> (i.e., the human-coded data on which </w:t>
      </w:r>
      <w:r w:rsidRPr="00BC2428">
        <w:t xml:space="preserve">algorithms are trained) </w:t>
      </w:r>
      <w:r w:rsidRPr="00C836D3">
        <w:t>or the outputs</w:t>
      </w:r>
      <w:r>
        <w:t xml:space="preserve"> (i.e., the prevalence estimates used to characterize the experiences of different patient groups).</w:t>
      </w:r>
    </w:p>
    <w:p w:rsidR="005E676F" w:rsidP="009D73A3" w14:paraId="584B9E85" w14:textId="77777777"/>
    <w:p w:rsidR="00527BBD" w:rsidP="006014DB" w14:paraId="680D27C9" w14:textId="77777777">
      <w:r>
        <w:t>This research has the following goals:</w:t>
      </w:r>
    </w:p>
    <w:p w:rsidR="00D4433D" w:rsidP="006014DB" w14:paraId="5BBC3132" w14:textId="77777777"/>
    <w:p w:rsidR="00527BBD" w:rsidP="000E4841" w14:paraId="5DB82992" w14:textId="77777777">
      <w:pPr>
        <w:tabs>
          <w:tab w:val="left" w:pos="360"/>
        </w:tabs>
        <w:ind w:left="720" w:hanging="360"/>
      </w:pPr>
      <w:r>
        <w:t>1)</w:t>
      </w:r>
      <w:r>
        <w:tab/>
      </w:r>
      <w:r w:rsidRPr="00FD4EE7" w:rsidR="005E676F">
        <w:rPr>
          <w:rFonts w:cs="Arial"/>
          <w:szCs w:val="22"/>
        </w:rPr>
        <w:t xml:space="preserve">Use </w:t>
      </w:r>
      <w:r w:rsidR="006F06AF">
        <w:rPr>
          <w:rFonts w:cs="Arial"/>
          <w:szCs w:val="22"/>
        </w:rPr>
        <w:t>open-ended (</w:t>
      </w:r>
      <w:r w:rsidRPr="00FD4EE7" w:rsidR="005E676F">
        <w:rPr>
          <w:rFonts w:cs="Arial"/>
          <w:szCs w:val="22"/>
        </w:rPr>
        <w:t>narrative</w:t>
      </w:r>
      <w:r w:rsidR="006F06AF">
        <w:rPr>
          <w:rFonts w:cs="Arial"/>
          <w:szCs w:val="22"/>
        </w:rPr>
        <w:t>)</w:t>
      </w:r>
      <w:r w:rsidRPr="00FD4EE7" w:rsidR="005E676F">
        <w:rPr>
          <w:rFonts w:cs="Arial"/>
          <w:szCs w:val="22"/>
        </w:rPr>
        <w:t xml:space="preserve"> </w:t>
      </w:r>
      <w:r w:rsidR="006F06AF">
        <w:rPr>
          <w:rFonts w:cs="Arial"/>
          <w:szCs w:val="22"/>
        </w:rPr>
        <w:t>responses</w:t>
      </w:r>
      <w:r w:rsidRPr="00FD4EE7" w:rsidR="006F06AF">
        <w:rPr>
          <w:rFonts w:cs="Arial"/>
          <w:szCs w:val="22"/>
        </w:rPr>
        <w:t xml:space="preserve"> </w:t>
      </w:r>
      <w:r w:rsidRPr="00FD4EE7" w:rsidR="005E676F">
        <w:rPr>
          <w:rFonts w:cs="Arial"/>
          <w:szCs w:val="22"/>
        </w:rPr>
        <w:t>to</w:t>
      </w:r>
      <w:r w:rsidR="007544E4">
        <w:rPr>
          <w:rFonts w:cs="Arial"/>
          <w:szCs w:val="22"/>
        </w:rPr>
        <w:t xml:space="preserve"> provide context, detail, and understanding regarding observed</w:t>
      </w:r>
      <w:r w:rsidRPr="00FD4EE7" w:rsidR="005E676F">
        <w:rPr>
          <w:rFonts w:cs="Arial"/>
          <w:szCs w:val="22"/>
        </w:rPr>
        <w:t xml:space="preserve"> differences in patient experience based on race, ethnicity, gender, </w:t>
      </w:r>
      <w:r w:rsidR="00C23D9A">
        <w:rPr>
          <w:rFonts w:cs="Arial"/>
          <w:szCs w:val="22"/>
        </w:rPr>
        <w:t xml:space="preserve">disability status, </w:t>
      </w:r>
      <w:r w:rsidRPr="00FD4EE7" w:rsidR="005E676F">
        <w:rPr>
          <w:rFonts w:cs="Arial"/>
          <w:szCs w:val="22"/>
        </w:rPr>
        <w:t>and preferred language.</w:t>
      </w:r>
    </w:p>
    <w:p w:rsidR="007544E4" w:rsidRPr="00BC2428" w:rsidP="007544E4" w14:paraId="7D1FC125" w14:textId="77777777">
      <w:pPr>
        <w:tabs>
          <w:tab w:val="left" w:pos="360"/>
        </w:tabs>
        <w:ind w:left="720" w:hanging="360"/>
      </w:pPr>
      <w:r w:rsidRPr="00BC2428">
        <w:t>2</w:t>
      </w:r>
      <w:r w:rsidRPr="00BC2428">
        <w:t>)</w:t>
      </w:r>
      <w:r w:rsidRPr="00BC2428">
        <w:tab/>
      </w:r>
      <w:r w:rsidRPr="00C836D3">
        <w:t>Use CG-CAHPS NIS</w:t>
      </w:r>
      <w:r>
        <w:t>-generated narrative</w:t>
      </w:r>
      <w:r w:rsidRPr="00C836D3">
        <w:t xml:space="preserve"> data to examine potential algorithmic bias in NLP programs that could potentially be used to code large quantities of narrative data.</w:t>
      </w:r>
    </w:p>
    <w:p w:rsidR="00527BBD" w:rsidRPr="00527BBD" w:rsidP="007544E4" w14:paraId="464192FD" w14:textId="77777777">
      <w:pPr>
        <w:tabs>
          <w:tab w:val="left" w:pos="360"/>
        </w:tabs>
        <w:ind w:left="720" w:hanging="360"/>
      </w:pPr>
      <w:r w:rsidRPr="00BC2428">
        <w:t>3</w:t>
      </w:r>
      <w:r w:rsidRPr="00BC2428" w:rsidR="007544E4">
        <w:t>)</w:t>
      </w:r>
      <w:r w:rsidRPr="00BC2428" w:rsidR="007544E4">
        <w:tab/>
      </w:r>
      <w:r w:rsidRPr="00C836D3" w:rsidR="007544E4">
        <w:t>Where algorithmic bias is uncovered, use this analysis to identify adjustments that can be applied to both the input for these programs</w:t>
      </w:r>
      <w:r w:rsidRPr="00BC2428" w:rsidR="007544E4">
        <w:t xml:space="preserve"> </w:t>
      </w:r>
      <w:r w:rsidRPr="00C836D3" w:rsidR="007544E4">
        <w:t>or the outputs</w:t>
      </w:r>
      <w:r w:rsidRPr="00BC2428">
        <w:t>.</w:t>
      </w:r>
      <w:r>
        <w:tab/>
      </w:r>
    </w:p>
    <w:p w:rsidR="00527BBD" w:rsidP="006014DB" w14:paraId="5CB0D923" w14:textId="77777777"/>
    <w:p w:rsidR="00527BBD" w:rsidP="006014DB" w14:paraId="0786FCC5" w14:textId="77777777">
      <w:r>
        <w:t>To achieve the goals of this project the following data collections will be implemented:</w:t>
      </w:r>
    </w:p>
    <w:p w:rsidR="00D4433D" w:rsidP="006014DB" w14:paraId="609BB801" w14:textId="77777777"/>
    <w:p w:rsidR="00527BBD" w:rsidP="000E4841" w14:paraId="50EEDF2C" w14:textId="77777777">
      <w:r w:rsidRPr="00C836D3">
        <w:t xml:space="preserve">Online </w:t>
      </w:r>
      <w:r w:rsidRPr="00C836D3" w:rsidR="00A97F40">
        <w:t>survey</w:t>
      </w:r>
      <w:r w:rsidR="00A97F40">
        <w:t xml:space="preserve">: </w:t>
      </w:r>
      <w:r w:rsidR="00A97F40">
        <w:rPr>
          <w:rFonts w:cs="Arial"/>
          <w:szCs w:val="22"/>
        </w:rPr>
        <w:t>D</w:t>
      </w:r>
      <w:r w:rsidRPr="00FD4EE7" w:rsidR="00A97F40">
        <w:rPr>
          <w:rFonts w:cs="Arial"/>
          <w:szCs w:val="22"/>
        </w:rPr>
        <w:t xml:space="preserve">ata </w:t>
      </w:r>
      <w:r w:rsidR="00A97F40">
        <w:rPr>
          <w:rFonts w:cs="Arial"/>
          <w:szCs w:val="22"/>
        </w:rPr>
        <w:t xml:space="preserve">will be </w:t>
      </w:r>
      <w:r w:rsidRPr="00FD4EE7" w:rsidR="00A97F40">
        <w:rPr>
          <w:rFonts w:cs="Arial"/>
          <w:szCs w:val="22"/>
        </w:rPr>
        <w:t xml:space="preserve">collected from a sample of </w:t>
      </w:r>
      <w:r w:rsidR="00481AF5">
        <w:rPr>
          <w:rFonts w:cs="Arial"/>
          <w:szCs w:val="22"/>
        </w:rPr>
        <w:t>4,998</w:t>
      </w:r>
      <w:r w:rsidRPr="00FD4EE7" w:rsidR="00A97F40">
        <w:rPr>
          <w:rFonts w:cs="Arial"/>
          <w:szCs w:val="22"/>
        </w:rPr>
        <w:t xml:space="preserve"> survey respondents drawn from the Ipsos </w:t>
      </w:r>
      <w:r w:rsidRPr="00FD4EE7" w:rsidR="00A97F40">
        <w:rPr>
          <w:rFonts w:cs="Arial"/>
          <w:szCs w:val="22"/>
        </w:rPr>
        <w:t>KnowledgePanel</w:t>
      </w:r>
      <w:r w:rsidRPr="00FD4EE7" w:rsidR="00A97F40">
        <w:rPr>
          <w:rFonts w:cs="Arial"/>
          <w:szCs w:val="22"/>
        </w:rPr>
        <w:t>, a large nationwide online panel of American adults (over 50,000 panelists) with demographic characteristics consistent with the adult U.S. population.</w:t>
      </w:r>
      <w:r w:rsidRPr="00A97F40" w:rsidR="00A97F40">
        <w:rPr>
          <w:rFonts w:cs="Arial"/>
          <w:szCs w:val="22"/>
        </w:rPr>
        <w:t xml:space="preserve"> </w:t>
      </w:r>
      <w:r w:rsidRPr="00FD4EE7" w:rsidR="00A97F40">
        <w:rPr>
          <w:rFonts w:cs="Arial"/>
          <w:szCs w:val="22"/>
        </w:rPr>
        <w:t xml:space="preserve">Equal-sized subsamples will be drawn for each of the following groups: </w:t>
      </w:r>
      <w:r w:rsidRPr="00FD4EE7" w:rsidR="00A97F40">
        <w:t>non-Hispanic Asian American</w:t>
      </w:r>
      <w:r w:rsidR="006F06AF">
        <w:t xml:space="preserve">, Native Hawaiian, or Other </w:t>
      </w:r>
      <w:r w:rsidRPr="00FD4EE7" w:rsidR="00A97F40">
        <w:t>Pacific Islander</w:t>
      </w:r>
      <w:r w:rsidR="006F06AF">
        <w:t>;</w:t>
      </w:r>
      <w:r w:rsidRPr="00FD4EE7" w:rsidR="006F06AF">
        <w:t xml:space="preserve"> </w:t>
      </w:r>
      <w:r w:rsidRPr="00FD4EE7" w:rsidR="00A97F40">
        <w:t>non-Hispanic Black</w:t>
      </w:r>
      <w:r w:rsidR="006F06AF">
        <w:t>;</w:t>
      </w:r>
      <w:r w:rsidRPr="00FD4EE7" w:rsidR="006F06AF">
        <w:t xml:space="preserve"> </w:t>
      </w:r>
      <w:r w:rsidRPr="00FD4EE7" w:rsidR="00A97F40">
        <w:t>Spanish-speaking Hispanic</w:t>
      </w:r>
      <w:r w:rsidR="006F06AF">
        <w:t>;</w:t>
      </w:r>
      <w:r w:rsidRPr="00FD4EE7" w:rsidR="006F06AF">
        <w:t xml:space="preserve"> </w:t>
      </w:r>
      <w:r w:rsidRPr="00FD4EE7" w:rsidR="00A97F40">
        <w:t>English-speaking Hispanic</w:t>
      </w:r>
      <w:r w:rsidR="006F06AF">
        <w:t>;</w:t>
      </w:r>
      <w:r w:rsidRPr="00FD4EE7" w:rsidR="006F06AF">
        <w:t xml:space="preserve"> </w:t>
      </w:r>
      <w:r w:rsidRPr="00FD4EE7" w:rsidR="00A97F40">
        <w:t>non-Hispanic Multiracial</w:t>
      </w:r>
      <w:r w:rsidR="006F06AF">
        <w:t>;</w:t>
      </w:r>
      <w:r w:rsidRPr="00FD4EE7" w:rsidR="006F06AF">
        <w:t xml:space="preserve"> </w:t>
      </w:r>
      <w:r w:rsidRPr="00FD4EE7" w:rsidR="00A97F40">
        <w:t>and non-Hispanic White.</w:t>
      </w:r>
      <w:r w:rsidR="00A97F40">
        <w:t xml:space="preserve"> Within these six subsamples, we will strive to recruit a roughly equal split of men and women.</w:t>
      </w:r>
      <w:r w:rsidR="006F06AF">
        <w:t xml:space="preserve"> </w:t>
      </w:r>
      <w:r w:rsidR="006F06AF">
        <w:rPr>
          <w:bCs/>
        </w:rPr>
        <w:t>The survey will be fielded in English and Spanish based on respondent-preferred language.</w:t>
      </w:r>
    </w:p>
    <w:p w:rsidR="00527BBD" w:rsidP="006014DB" w14:paraId="76F46888" w14:textId="77777777"/>
    <w:p w:rsidR="00527BBD" w:rsidP="006014DB" w14:paraId="195B2989" w14:textId="77777777">
      <w:r w:rsidRPr="00527BBD">
        <w:t xml:space="preserve">This study is being conducted by AHRQ through its contractor, </w:t>
      </w:r>
      <w:r w:rsidR="009D73A3">
        <w:t>the RAND Corporation,</w:t>
      </w:r>
      <w:r w:rsidRPr="00527BBD">
        <w:t xml:space="preserve"> pursuant to AHRQ’s statutory authority to conduct and support research on healthcare and on systems for the delivery of such care, including activities with respect to the quality, effectiveness, efficiency, </w:t>
      </w:r>
      <w:r w:rsidRPr="00527BBD">
        <w:t>appropriateness</w:t>
      </w:r>
      <w:r w:rsidRPr="00527BBD">
        <w:t xml:space="preserve"> and value of healthcare services and with respect to quality measurement and improvement.  42 U.S.C. 299a(a)(1) and (2).</w:t>
      </w:r>
    </w:p>
    <w:p w:rsidR="005E676F" w:rsidP="006014DB" w14:paraId="5955379F" w14:textId="77777777"/>
    <w:p w:rsidR="005E676F" w:rsidRPr="00FD4EE7" w:rsidP="005E676F" w14:paraId="3543BA36" w14:textId="77777777">
      <w:pPr>
        <w:spacing w:after="240"/>
      </w:pPr>
      <w:r w:rsidRPr="00FD4EE7">
        <w:t xml:space="preserve">Attachment A presents the study invitation that will be used for recruitment.  Attachment B presents the CG-CAHPS </w:t>
      </w:r>
      <w:r>
        <w:t xml:space="preserve">3.1 </w:t>
      </w:r>
      <w:r w:rsidRPr="00FD4EE7">
        <w:t>survey</w:t>
      </w:r>
      <w:r>
        <w:t>;</w:t>
      </w:r>
      <w:r w:rsidRPr="00FD4EE7">
        <w:t xml:space="preserve"> the </w:t>
      </w:r>
      <w:r>
        <w:t>NIS</w:t>
      </w:r>
      <w:r w:rsidRPr="00FD4EE7">
        <w:t xml:space="preserve"> for CG-CAHPS</w:t>
      </w:r>
      <w:r>
        <w:t>;</w:t>
      </w:r>
      <w:r w:rsidRPr="00FD4EE7">
        <w:t xml:space="preserve"> and a closed-ended item</w:t>
      </w:r>
      <w:r>
        <w:t>, recently</w:t>
      </w:r>
      <w:r w:rsidRPr="00FD4EE7">
        <w:t xml:space="preserve"> developed by CMS </w:t>
      </w:r>
      <w:r>
        <w:t>for inclusion on the Medicare CAHPS survey</w:t>
      </w:r>
      <w:r>
        <w:rPr>
          <w:rStyle w:val="FootnoteReference"/>
        </w:rPr>
        <w:footnoteReference w:id="2"/>
      </w:r>
      <w:r>
        <w:t xml:space="preserve">, </w:t>
      </w:r>
      <w:r w:rsidRPr="00FD4EE7">
        <w:t>to assess perceived unfair or insensitive healthcare treatment because of a range of individual characteristics, as well as a follow-up open-ended question asking them to explain their closed-ended responses.</w:t>
      </w:r>
      <w:r w:rsidR="000E4841">
        <w:t xml:space="preserve"> The closed-ended item was modified slightly to fit the current clinician and group context.</w:t>
      </w:r>
      <w:r w:rsidRPr="00FD4EE7">
        <w:t xml:space="preserve"> </w:t>
      </w:r>
      <w:bookmarkStart w:id="4" w:name="_Hlk529184537"/>
      <w:r w:rsidRPr="00FD4EE7">
        <w:t xml:space="preserve">Attachment </w:t>
      </w:r>
      <w:r w:rsidR="0059186C">
        <w:t>C</w:t>
      </w:r>
      <w:r w:rsidRPr="00FD4EE7">
        <w:t xml:space="preserve"> presents the informed consent language all respondents will receive.</w:t>
      </w:r>
      <w:bookmarkEnd w:id="4"/>
      <w:r w:rsidR="0059186C">
        <w:t xml:space="preserve"> Attachment D presents the Ipsos Confidentiality Agreement with their survey panelists.</w:t>
      </w:r>
    </w:p>
    <w:p w:rsidR="009B633D" w:rsidRPr="00983636" w:rsidP="009B633D" w14:paraId="024B6F3B" w14:textId="77777777">
      <w:pPr>
        <w:pStyle w:val="Heading2"/>
        <w:rPr>
          <w:sz w:val="24"/>
        </w:rPr>
      </w:pPr>
      <w:bookmarkStart w:id="5" w:name="_Toc151782177"/>
      <w:bookmarkStart w:id="6" w:name="_Toc158526217"/>
      <w:r w:rsidRPr="00983636">
        <w:rPr>
          <w:sz w:val="24"/>
        </w:rPr>
        <w:t>2. Purpose and Use of Information</w:t>
      </w:r>
      <w:bookmarkEnd w:id="5"/>
      <w:bookmarkEnd w:id="6"/>
    </w:p>
    <w:p w:rsidR="00A97F40" w:rsidRPr="00FD4EE7" w:rsidP="00A97F40" w14:paraId="22F6D419" w14:textId="77777777">
      <w:r w:rsidRPr="00FD4EE7">
        <w:t xml:space="preserve">This </w:t>
      </w:r>
      <w:r>
        <w:t xml:space="preserve">new </w:t>
      </w:r>
      <w:r w:rsidRPr="00FD4EE7">
        <w:t xml:space="preserve">data collection effort is a one-time </w:t>
      </w:r>
      <w:r w:rsidR="00D4433D">
        <w:t>effort</w:t>
      </w:r>
      <w:r w:rsidRPr="00FD4EE7" w:rsidR="00D4433D">
        <w:t xml:space="preserve"> </w:t>
      </w:r>
      <w:r w:rsidRPr="00FD4EE7">
        <w:t xml:space="preserve">to be completed in 2023-2024.  </w:t>
      </w:r>
      <w:r w:rsidR="00BC2428">
        <w:t xml:space="preserve">Respondents will be asked to complete the Online Survey, which includes </w:t>
      </w:r>
      <w:r w:rsidRPr="00FD4EE7">
        <w:t>the CG-CAHPS closed-ended survey</w:t>
      </w:r>
      <w:r w:rsidR="00BC2428">
        <w:t xml:space="preserve"> instrument</w:t>
      </w:r>
      <w:r w:rsidRPr="00FD4EE7">
        <w:t xml:space="preserve">, followed by the CG-CAHPS </w:t>
      </w:r>
      <w:r>
        <w:t>NIS</w:t>
      </w:r>
      <w:r w:rsidRPr="00FD4EE7">
        <w:t xml:space="preserve">. </w:t>
      </w:r>
      <w:r>
        <w:t>Responses to the open-ended items that compose the NIS</w:t>
      </w:r>
      <w:r w:rsidRPr="00FD4EE7">
        <w:t xml:space="preserve"> will be hand coded and NLP coded, including codes for perceived unfair or insensitive treatment based on race/ethnicity, gender, </w:t>
      </w:r>
      <w:r w:rsidR="00C23D9A">
        <w:t xml:space="preserve">disability status, </w:t>
      </w:r>
      <w:r w:rsidRPr="00FD4EE7">
        <w:t xml:space="preserve">or language preference. Because the </w:t>
      </w:r>
      <w:r>
        <w:t>NIS</w:t>
      </w:r>
      <w:r w:rsidRPr="00FD4EE7">
        <w:t xml:space="preserve"> was not designed to specifically elicit perceptions</w:t>
      </w:r>
      <w:r>
        <w:t xml:space="preserve"> of bias, unfair or insensitive treatment</w:t>
      </w:r>
      <w:r w:rsidRPr="00FD4EE7">
        <w:t>, a</w:t>
      </w:r>
      <w:r>
        <w:t>n additional</w:t>
      </w:r>
      <w:r w:rsidRPr="00FD4EE7">
        <w:t xml:space="preserve"> closed-ended question on perceived unfair or insensitive treatment, </w:t>
      </w:r>
      <w:r>
        <w:t>and</w:t>
      </w:r>
      <w:r w:rsidRPr="00FD4EE7">
        <w:t xml:space="preserve"> a</w:t>
      </w:r>
      <w:r>
        <w:t>n open-ended</w:t>
      </w:r>
      <w:r w:rsidRPr="00FD4EE7">
        <w:t xml:space="preserve"> follow-up question will be used to establish the </w:t>
      </w:r>
      <w:r>
        <w:t>NIS</w:t>
      </w:r>
      <w:r w:rsidRPr="00FD4EE7">
        <w:t>’s ability to detect these experiences</w:t>
      </w:r>
      <w:r>
        <w:t xml:space="preserve"> and to obtain further descriptive detail</w:t>
      </w:r>
      <w:r w:rsidRPr="00FD4EE7">
        <w:t xml:space="preserve">. </w:t>
      </w:r>
    </w:p>
    <w:p w:rsidR="00A97F40" w:rsidRPr="00FD4EE7" w:rsidP="00A97F40" w14:paraId="72337642" w14:textId="77777777"/>
    <w:p w:rsidR="00A97F40" w:rsidRPr="00FD4EE7" w:rsidP="00A97F40" w14:paraId="3B4CB524" w14:textId="77777777">
      <w:r>
        <w:t>A</w:t>
      </w:r>
      <w:r w:rsidRPr="00FD4EE7">
        <w:t>nalyses</w:t>
      </w:r>
      <w:r>
        <w:t xml:space="preserve"> of these data</w:t>
      </w:r>
      <w:r w:rsidRPr="00FD4EE7">
        <w:t xml:space="preserve"> will inform AHRQ guidance on addressing equity in healthcare experience, as well as use of general NLP products for coding of </w:t>
      </w:r>
      <w:r>
        <w:t>NIS</w:t>
      </w:r>
      <w:r w:rsidRPr="00FD4EE7">
        <w:t xml:space="preserve"> data. </w:t>
      </w:r>
    </w:p>
    <w:p w:rsidR="009B633D" w:rsidRPr="00983636" w:rsidP="0009778B" w14:paraId="08CE06F7" w14:textId="77777777">
      <w:pPr>
        <w:pStyle w:val="Heading2"/>
        <w:rPr>
          <w:sz w:val="24"/>
        </w:rPr>
      </w:pPr>
      <w:bookmarkStart w:id="7" w:name="_Toc151782178"/>
      <w:bookmarkStart w:id="8" w:name="_Toc158526218"/>
      <w:r w:rsidRPr="00983636">
        <w:rPr>
          <w:sz w:val="24"/>
        </w:rPr>
        <w:t>3. Use of Improved Information Technology</w:t>
      </w:r>
      <w:bookmarkEnd w:id="7"/>
      <w:bookmarkEnd w:id="8"/>
    </w:p>
    <w:p w:rsidR="00D36B5A" w:rsidRPr="00FD4EE7" w:rsidP="00D36B5A" w14:paraId="62EDDFE2" w14:textId="77777777">
      <w:pPr>
        <w:pStyle w:val="Default"/>
        <w:rPr>
          <w:rFonts w:cs="Arial"/>
        </w:rPr>
      </w:pPr>
      <w:bookmarkStart w:id="9" w:name="_Hlk124409978"/>
      <w:r w:rsidRPr="00FD4EE7">
        <w:rPr>
          <w:bCs/>
        </w:rPr>
        <w:t xml:space="preserve">Participants will complete the experiment through a secure online connection from their homes. </w:t>
      </w:r>
      <w:r w:rsidRPr="00FD4EE7">
        <w:t xml:space="preserve"> </w:t>
      </w:r>
      <w:r w:rsidR="00BC2428">
        <w:t xml:space="preserve">Online </w:t>
      </w:r>
      <w:r w:rsidRPr="00FD4EE7">
        <w:rPr>
          <w:rFonts w:cs="Arial"/>
        </w:rPr>
        <w:t xml:space="preserve">Survey data are collected by a web-based survey system (internally referred to as “Dimensions”).  This application runs on top of a secured Windows environment that has been hardened through various network and host-based security techniques.  Participants take online surveys by using a web-browser to access a unique, secured web URL that is both emailed to them and made available through a secured web-portal.  The URL provides access to click through to a </w:t>
      </w:r>
      <w:r w:rsidRPr="00FD4EE7">
        <w:rPr>
          <w:rFonts w:cs="Arial"/>
        </w:rPr>
        <w:t>highly-available</w:t>
      </w:r>
      <w:r w:rsidRPr="00FD4EE7">
        <w:rPr>
          <w:rFonts w:cs="Arial"/>
        </w:rPr>
        <w:t xml:space="preserve"> load-balanced farm of web servers that hosts the </w:t>
      </w:r>
      <w:r w:rsidR="00BC2428">
        <w:rPr>
          <w:rFonts w:cs="Arial"/>
        </w:rPr>
        <w:t>O</w:t>
      </w:r>
      <w:r w:rsidRPr="00FD4EE7" w:rsidR="00BC2428">
        <w:rPr>
          <w:rFonts w:cs="Arial"/>
        </w:rPr>
        <w:t xml:space="preserve">nline </w:t>
      </w:r>
      <w:r w:rsidR="00BC2428">
        <w:rPr>
          <w:rFonts w:cs="Arial"/>
        </w:rPr>
        <w:t>S</w:t>
      </w:r>
      <w:r w:rsidRPr="00FD4EE7">
        <w:rPr>
          <w:rFonts w:cs="Arial"/>
        </w:rPr>
        <w:t>urvey.  This survey URL can be exposed via either standard http or over SSL and TLS encrypted https, depending on the client requirements.  Throughout the interview process, questionnaire data are copied to a secured, centralized database for data processing.</w:t>
      </w:r>
      <w:bookmarkEnd w:id="9"/>
    </w:p>
    <w:p w:rsidR="009B633D" w:rsidP="009B633D" w14:paraId="5AB2DD1B" w14:textId="77777777">
      <w:pPr>
        <w:pStyle w:val="Heading2"/>
        <w:rPr>
          <w:sz w:val="24"/>
        </w:rPr>
      </w:pPr>
      <w:bookmarkStart w:id="10" w:name="_Toc151782179"/>
      <w:bookmarkStart w:id="11" w:name="_Toc158526219"/>
      <w:r w:rsidRPr="00983636">
        <w:rPr>
          <w:sz w:val="24"/>
        </w:rPr>
        <w:t>4. Efforts to Identify Duplication</w:t>
      </w:r>
      <w:bookmarkEnd w:id="10"/>
      <w:bookmarkEnd w:id="11"/>
    </w:p>
    <w:p w:rsidR="00D36B5A" w:rsidRPr="00FD4EE7" w:rsidP="00D36B5A" w14:paraId="1AD94641" w14:textId="77777777">
      <w:r>
        <w:t>AHRQ is aware of no other</w:t>
      </w:r>
      <w:r w:rsidRPr="00FD4EE7">
        <w:t xml:space="preserve"> </w:t>
      </w:r>
      <w:r>
        <w:t>investigations</w:t>
      </w:r>
      <w:r w:rsidRPr="00FD4EE7">
        <w:t xml:space="preserve"> conducted</w:t>
      </w:r>
      <w:r>
        <w:t xml:space="preserve"> that would have produced data </w:t>
      </w:r>
      <w:r w:rsidRPr="00FD4EE7">
        <w:t xml:space="preserve">comparable to </w:t>
      </w:r>
      <w:r>
        <w:t>the one described here</w:t>
      </w:r>
      <w:r w:rsidRPr="00FD4EE7">
        <w:t xml:space="preserve">, and </w:t>
      </w:r>
      <w:r>
        <w:t>NIS-elicited narrative</w:t>
      </w:r>
      <w:r w:rsidRPr="00FD4EE7">
        <w:t xml:space="preserve"> data systematically sampled across demographic groups is currently </w:t>
      </w:r>
      <w:r>
        <w:t>un</w:t>
      </w:r>
      <w:r w:rsidRPr="00FD4EE7">
        <w:t>available.  Hence, the proposed information collection does not duplicate any other effort and the information cannot be obtained from any other source.</w:t>
      </w:r>
    </w:p>
    <w:p w:rsidR="009B633D" w:rsidRPr="00983636" w:rsidP="009B633D" w14:paraId="1C68DF3E" w14:textId="77777777">
      <w:pPr>
        <w:pStyle w:val="Heading2"/>
        <w:rPr>
          <w:sz w:val="24"/>
        </w:rPr>
      </w:pPr>
      <w:bookmarkStart w:id="12" w:name="_Toc151782180"/>
      <w:bookmarkStart w:id="13" w:name="_Toc158526220"/>
      <w:r w:rsidRPr="00983636">
        <w:rPr>
          <w:sz w:val="24"/>
        </w:rPr>
        <w:t>5. Involvement of Small Entities</w:t>
      </w:r>
      <w:bookmarkEnd w:id="12"/>
      <w:bookmarkEnd w:id="13"/>
    </w:p>
    <w:p w:rsidR="00D36B5A" w:rsidRPr="00FD4EE7" w:rsidP="00D36B5A" w14:paraId="7E4906C4" w14:textId="77777777">
      <w:pPr>
        <w:tabs>
          <w:tab w:val="left" w:pos="547"/>
          <w:tab w:val="left" w:pos="1080"/>
          <w:tab w:val="left" w:pos="1627"/>
          <w:tab w:val="left" w:pos="2160"/>
          <w:tab w:val="left" w:pos="2880"/>
        </w:tabs>
      </w:pPr>
      <w:r>
        <w:t xml:space="preserve">Online </w:t>
      </w:r>
      <w:r w:rsidRPr="00FD4EE7">
        <w:t>Survey respondents are consumers of health care services, and the test will employ a standard internet survey protocol, which is designed to minimize burden on survey respondents.  Small businesses or other small entities will be not significantly impacted by the field test.</w:t>
      </w:r>
    </w:p>
    <w:p w:rsidR="009B633D" w:rsidRPr="00983636" w:rsidP="009B633D" w14:paraId="529584B7" w14:textId="77777777">
      <w:pPr>
        <w:pStyle w:val="Heading2"/>
        <w:rPr>
          <w:sz w:val="24"/>
        </w:rPr>
      </w:pPr>
      <w:bookmarkStart w:id="14" w:name="_Toc151782181"/>
      <w:bookmarkStart w:id="15" w:name="_Toc158526221"/>
      <w:r w:rsidRPr="00983636">
        <w:rPr>
          <w:sz w:val="24"/>
        </w:rPr>
        <w:t>6. Consequences if Information Collected Less Frequently</w:t>
      </w:r>
      <w:bookmarkEnd w:id="14"/>
      <w:bookmarkEnd w:id="15"/>
    </w:p>
    <w:p w:rsidR="00D36B5A" w:rsidRPr="00FD4EE7" w:rsidP="00D36B5A" w14:paraId="4D112F88" w14:textId="77777777">
      <w:pPr>
        <w:tabs>
          <w:tab w:val="left" w:pos="540"/>
        </w:tabs>
      </w:pPr>
      <w:bookmarkStart w:id="16" w:name="_Toc151782182"/>
      <w:bookmarkStart w:id="17" w:name="_Toc158526222"/>
      <w:r w:rsidRPr="00FD4EE7">
        <w:t xml:space="preserve">This is a one-time data </w:t>
      </w:r>
      <w:r>
        <w:t>collection</w:t>
      </w:r>
      <w:r w:rsidRPr="00FD4EE7">
        <w:t xml:space="preserve">. </w:t>
      </w:r>
    </w:p>
    <w:p w:rsidR="009B633D" w:rsidP="009B633D" w14:paraId="27594016" w14:textId="77777777">
      <w:pPr>
        <w:pStyle w:val="Heading2"/>
        <w:rPr>
          <w:sz w:val="24"/>
        </w:rPr>
      </w:pPr>
      <w:r w:rsidRPr="00412C6F">
        <w:rPr>
          <w:sz w:val="24"/>
        </w:rPr>
        <w:t>7. Special Circumstances</w:t>
      </w:r>
      <w:bookmarkEnd w:id="16"/>
      <w:bookmarkEnd w:id="17"/>
    </w:p>
    <w:p w:rsidR="009B633D" w:rsidP="009B633D" w14:paraId="25FC5101" w14:textId="77777777">
      <w:pPr>
        <w:spacing w:before="120"/>
      </w:pPr>
      <w:r w:rsidRPr="004F03D2">
        <w:t>This request is consistent with the general information collection guid</w:t>
      </w:r>
      <w:r>
        <w:t>elines of 5 CFR 1320.5(d)(2).  No special circumstances apply.</w:t>
      </w:r>
    </w:p>
    <w:p w:rsidR="004E3A1B" w:rsidP="00F5527F" w14:paraId="5BBC5201" w14:textId="77777777">
      <w:pPr>
        <w:pStyle w:val="Heading2"/>
        <w:rPr>
          <w:sz w:val="24"/>
          <w:szCs w:val="24"/>
        </w:rPr>
      </w:pPr>
      <w:bookmarkStart w:id="18" w:name="_Toc151782183"/>
      <w:bookmarkStart w:id="19" w:name="_Toc158526223"/>
      <w:r w:rsidRPr="00412C6F">
        <w:rPr>
          <w:sz w:val="24"/>
        </w:rPr>
        <w:t>8.</w:t>
      </w:r>
      <w:r w:rsidRPr="004E3A1B">
        <w:rPr>
          <w:sz w:val="24"/>
          <w:szCs w:val="24"/>
        </w:rPr>
        <w:t xml:space="preserve"> </w:t>
      </w:r>
      <w:bookmarkEnd w:id="18"/>
      <w:bookmarkEnd w:id="19"/>
      <w:r w:rsidRPr="004E3A1B">
        <w:rPr>
          <w:sz w:val="24"/>
          <w:szCs w:val="24"/>
        </w:rPr>
        <w:t>Federal Register Notice and Outside Consultations</w:t>
      </w:r>
    </w:p>
    <w:p w:rsidR="004E3A1B" w:rsidP="004E3A1B" w14:paraId="62A2C482" w14:textId="77777777"/>
    <w:p w:rsidR="00131443" w:rsidP="004E3A1B" w14:paraId="19598865" w14:textId="77777777">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rsidR="007C1ECB" w:rsidRPr="007C1ECB" w:rsidP="004E3A1B" w14:paraId="0F87FF35" w14:textId="7E20A104"/>
    <w:p w:rsidR="004E3A1B" w:rsidRPr="004E3A1B" w:rsidP="004E3A1B" w14:paraId="6F565F1B" w14:textId="0CEA5002">
      <w:bookmarkStart w:id="20" w:name="OLE_LINK3"/>
      <w:bookmarkStart w:id="21" w:name="OLE_LINK4"/>
      <w:r>
        <w:t xml:space="preserve">As required by </w:t>
      </w:r>
      <w:r w:rsidR="0037771B">
        <w:t>5 CFR 1320.8(d), n</w:t>
      </w:r>
      <w:r w:rsidRPr="007B4120" w:rsidR="009374DF">
        <w:t>otice was published in the Federal Register on</w:t>
      </w:r>
      <w:r w:rsidR="00F42F01">
        <w:t xml:space="preserve"> June 27, 2023</w:t>
      </w:r>
      <w:r w:rsidR="00521E67">
        <w:t>, page 41619</w:t>
      </w:r>
      <w:r w:rsidRPr="007B4120" w:rsidR="009374DF">
        <w:t xml:space="preserve"> for 60 days</w:t>
      </w:r>
      <w:r w:rsidR="00016560">
        <w:t xml:space="preserve"> </w:t>
      </w:r>
      <w:r w:rsidR="00620B93">
        <w:t>(see A</w:t>
      </w:r>
      <w:r w:rsidR="00EE4455">
        <w:t xml:space="preserve">ttachment </w:t>
      </w:r>
      <w:r w:rsidRPr="00521E67" w:rsidR="00521E67">
        <w:rPr>
          <w:iCs/>
        </w:rPr>
        <w:t>E</w:t>
      </w:r>
      <w:r w:rsidR="00016560">
        <w:t>)</w:t>
      </w:r>
      <w:r w:rsidR="009374DF">
        <w:t xml:space="preserve">. </w:t>
      </w:r>
      <w:r w:rsidR="00537AF2">
        <w:t>No comments were received.</w:t>
      </w:r>
      <w:r w:rsidR="009374DF">
        <w:t xml:space="preserve"> </w:t>
      </w:r>
      <w:bookmarkEnd w:id="20"/>
      <w:bookmarkEnd w:id="21"/>
    </w:p>
    <w:p w:rsidR="009B633D" w:rsidRPr="00412C6F" w:rsidP="009B633D" w14:paraId="5F8B7A41" w14:textId="77777777">
      <w:pPr>
        <w:pStyle w:val="Heading2"/>
        <w:rPr>
          <w:sz w:val="24"/>
        </w:rPr>
      </w:pPr>
      <w:r>
        <w:rPr>
          <w:sz w:val="24"/>
        </w:rPr>
        <w:t xml:space="preserve">8.b.  </w:t>
      </w:r>
      <w:r w:rsidRPr="004E3A1B">
        <w:rPr>
          <w:sz w:val="24"/>
          <w:szCs w:val="24"/>
        </w:rPr>
        <w:t>Outside Consultations</w:t>
      </w:r>
    </w:p>
    <w:p w:rsidR="00F77482" w:rsidRPr="00F77482" w:rsidP="00F77482" w14:paraId="04DDFBBD" w14:textId="77777777">
      <w:pPr>
        <w:spacing w:before="100" w:beforeAutospacing="1" w:after="100" w:afterAutospacing="1"/>
        <w:rPr>
          <w:iCs/>
          <w:highlight w:val="yellow"/>
        </w:rPr>
      </w:pPr>
      <w:bookmarkStart w:id="22" w:name="_Toc457285506"/>
      <w:bookmarkStart w:id="23" w:name="_Toc58725294"/>
      <w:bookmarkStart w:id="24" w:name="_Toc151782184"/>
      <w:bookmarkStart w:id="25" w:name="_Toc158526224"/>
      <w:r w:rsidRPr="00F77482">
        <w:rPr>
          <w:iCs/>
        </w:rPr>
        <w:t xml:space="preserve">Given the nature of the data collection effort, </w:t>
      </w:r>
      <w:r>
        <w:rPr>
          <w:iCs/>
        </w:rPr>
        <w:t xml:space="preserve">which targets as-yet unanswered research questions involving one-time survey respondents, </w:t>
      </w:r>
      <w:r w:rsidRPr="00F77482">
        <w:rPr>
          <w:iCs/>
        </w:rPr>
        <w:t>outside consultations were not necessary for this effort.</w:t>
      </w:r>
    </w:p>
    <w:p w:rsidR="0038217D" w:rsidRPr="0038217D" w:rsidP="0038217D" w14:paraId="530F3942" w14:textId="77777777">
      <w:pPr>
        <w:pStyle w:val="Heading2"/>
        <w:rPr>
          <w:sz w:val="24"/>
        </w:rPr>
      </w:pPr>
      <w:r w:rsidRPr="00412C6F">
        <w:t>9. Payments/Gifts to Respondents</w:t>
      </w:r>
      <w:bookmarkEnd w:id="22"/>
      <w:bookmarkEnd w:id="23"/>
      <w:bookmarkEnd w:id="24"/>
      <w:bookmarkEnd w:id="25"/>
    </w:p>
    <w:p w:rsidR="00D36B5A" w:rsidP="00D36B5A" w14:paraId="0A146A47" w14:textId="77777777">
      <w:pPr>
        <w:rPr>
          <w:rFonts w:eastAsia="MS Mincho"/>
          <w:color w:val="000000"/>
        </w:rPr>
      </w:pPr>
      <w:bookmarkStart w:id="26" w:name="_Hlk3200713"/>
      <w:bookmarkStart w:id="27" w:name="_Hlk126922127"/>
      <w:r w:rsidRPr="00FD4EE7">
        <w:rPr>
          <w:rFonts w:eastAsia="MS Mincho"/>
          <w:color w:val="000000"/>
        </w:rPr>
        <w:t>Re</w:t>
      </w:r>
      <w:r>
        <w:rPr>
          <w:rFonts w:eastAsia="MS Mincho"/>
          <w:color w:val="000000"/>
        </w:rPr>
        <w:t>mun</w:t>
      </w:r>
      <w:r w:rsidRPr="00FD4EE7">
        <w:rPr>
          <w:rFonts w:eastAsia="MS Mincho"/>
          <w:color w:val="000000"/>
        </w:rPr>
        <w:t xml:space="preserve">eration will be provided by Ipsos to participants, according to their usual business practices. </w:t>
      </w:r>
      <w:r>
        <w:rPr>
          <w:color w:val="000000"/>
          <w:szCs w:val="22"/>
        </w:rPr>
        <w:t>Ipsos</w:t>
      </w:r>
      <w:r w:rsidRPr="00DC77C0">
        <w:rPr>
          <w:color w:val="000000"/>
          <w:szCs w:val="22"/>
        </w:rPr>
        <w:t xml:space="preserve"> </w:t>
      </w:r>
      <w:r>
        <w:rPr>
          <w:color w:val="000000"/>
          <w:szCs w:val="22"/>
        </w:rPr>
        <w:t xml:space="preserve">incentivizes panelists primarily </w:t>
      </w:r>
      <w:r>
        <w:rPr>
          <w:color w:val="000000"/>
          <w:szCs w:val="22"/>
        </w:rPr>
        <w:t>through the use of</w:t>
      </w:r>
      <w:r>
        <w:rPr>
          <w:color w:val="000000"/>
          <w:szCs w:val="22"/>
        </w:rPr>
        <w:t xml:space="preserve"> a point system, </w:t>
      </w:r>
      <w:r w:rsidRPr="00DC77C0">
        <w:rPr>
          <w:color w:val="000000"/>
          <w:szCs w:val="22"/>
        </w:rPr>
        <w:t xml:space="preserve">to encourage participation and create member loyalty. Members can </w:t>
      </w:r>
      <w:r>
        <w:rPr>
          <w:color w:val="000000"/>
          <w:szCs w:val="22"/>
        </w:rPr>
        <w:t>redeem their points—for cash, merchandise, gift cards, or game entries—whenever they want. P</w:t>
      </w:r>
      <w:r w:rsidRPr="00147790">
        <w:rPr>
          <w:color w:val="000000"/>
          <w:szCs w:val="22"/>
        </w:rPr>
        <w:t>oint</w:t>
      </w:r>
      <w:r>
        <w:rPr>
          <w:color w:val="000000"/>
          <w:szCs w:val="22"/>
        </w:rPr>
        <w:t xml:space="preserve"> value</w:t>
      </w:r>
      <w:r w:rsidRPr="00147790">
        <w:rPr>
          <w:color w:val="000000"/>
          <w:szCs w:val="22"/>
        </w:rPr>
        <w:t xml:space="preserve">s depend to some extent on the type of reward panelists </w:t>
      </w:r>
      <w:r>
        <w:rPr>
          <w:color w:val="000000"/>
          <w:szCs w:val="22"/>
        </w:rPr>
        <w:t xml:space="preserve">select </w:t>
      </w:r>
      <w:r w:rsidRPr="00147790">
        <w:rPr>
          <w:color w:val="000000"/>
          <w:szCs w:val="22"/>
        </w:rPr>
        <w:t>when redeeming their points</w:t>
      </w:r>
      <w:r>
        <w:rPr>
          <w:color w:val="000000"/>
          <w:szCs w:val="22"/>
        </w:rPr>
        <w:t>, but each 1,000 points is roughly the cash-equivalent of $1 (and most panelists choose to redeem their points for cash). Panelists</w:t>
      </w:r>
      <w:r w:rsidR="00DB615E">
        <w:rPr>
          <w:color w:val="000000"/>
          <w:szCs w:val="22"/>
        </w:rPr>
        <w:t xml:space="preserve"> would</w:t>
      </w:r>
      <w:r>
        <w:rPr>
          <w:color w:val="000000"/>
          <w:szCs w:val="22"/>
        </w:rPr>
        <w:t xml:space="preserve"> earn 1,000 points for completing </w:t>
      </w:r>
      <w:r w:rsidR="00DB615E">
        <w:rPr>
          <w:color w:val="000000"/>
          <w:szCs w:val="22"/>
        </w:rPr>
        <w:t xml:space="preserve">this </w:t>
      </w:r>
      <w:r>
        <w:rPr>
          <w:color w:val="000000"/>
          <w:szCs w:val="22"/>
        </w:rPr>
        <w:t>survey</w:t>
      </w:r>
      <w:r w:rsidR="00DB615E">
        <w:rPr>
          <w:color w:val="000000"/>
          <w:szCs w:val="22"/>
        </w:rPr>
        <w:t xml:space="preserve">, plus </w:t>
      </w:r>
      <w:r>
        <w:t>earn an entry into a sweepstakes.</w:t>
      </w:r>
    </w:p>
    <w:p w:rsidR="00D36B5A" w:rsidP="00D36B5A" w14:paraId="4C3DDC57" w14:textId="77777777">
      <w:pPr>
        <w:tabs>
          <w:tab w:val="left" w:pos="540"/>
        </w:tabs>
        <w:rPr>
          <w:rFonts w:eastAsia="MS Mincho"/>
          <w:color w:val="000000"/>
        </w:rPr>
      </w:pPr>
    </w:p>
    <w:p w:rsidR="00D36B5A" w:rsidRPr="00FD4EE7" w:rsidP="00D36B5A" w14:paraId="7C3AD86F" w14:textId="77777777">
      <w:pPr>
        <w:tabs>
          <w:tab w:val="left" w:pos="540"/>
        </w:tabs>
        <w:rPr>
          <w:rFonts w:eastAsia="MS Mincho"/>
          <w:color w:val="000000"/>
        </w:rPr>
      </w:pPr>
      <w:r w:rsidRPr="00FD4EE7">
        <w:rPr>
          <w:rFonts w:eastAsia="MS Mincho"/>
          <w:color w:val="000000"/>
        </w:rPr>
        <w:t>A past study with patients about their experiences with healthcare showed a greater response rate (57% vs. 50%) for those respondents offered incentives versus those who were not offered incentives, and similar but higher completion rates among those responding (99% vs. 97%; Brown et al., 2016). A second study showed increases in survey response rates (54% vs. 45%; Beebe et al., 2005). The proposed incentive amounts will offset potential increased recruitment costs to the project, thereby limiting the probability of survey non-response</w:t>
      </w:r>
      <w:bookmarkEnd w:id="26"/>
      <w:r w:rsidRPr="00FD4EE7">
        <w:rPr>
          <w:rFonts w:eastAsia="MS Mincho"/>
          <w:color w:val="000000"/>
        </w:rPr>
        <w:t>.</w:t>
      </w:r>
      <w:bookmarkEnd w:id="27"/>
      <w:r w:rsidRPr="00FD4EE7">
        <w:rPr>
          <w:rFonts w:eastAsia="MS Mincho"/>
          <w:color w:val="000000"/>
        </w:rPr>
        <w:t xml:space="preserve">  </w:t>
      </w:r>
    </w:p>
    <w:p w:rsidR="009B633D" w:rsidRPr="00412C6F" w:rsidP="009B633D" w14:paraId="788E0A90" w14:textId="77777777">
      <w:pPr>
        <w:pStyle w:val="Heading2"/>
        <w:rPr>
          <w:sz w:val="24"/>
        </w:rPr>
      </w:pPr>
      <w:bookmarkStart w:id="28" w:name="_Toc151782185"/>
      <w:bookmarkStart w:id="29" w:name="_Toc158526225"/>
      <w:r w:rsidRPr="00412C6F">
        <w:rPr>
          <w:sz w:val="24"/>
        </w:rPr>
        <w:t>10. Assurance of Confidentiality</w:t>
      </w:r>
      <w:bookmarkEnd w:id="28"/>
      <w:bookmarkEnd w:id="29"/>
    </w:p>
    <w:p w:rsidR="008F0B8B" w:rsidP="008F0B8B" w14:paraId="7C383A68" w14:textId="77777777">
      <w:pPr>
        <w:autoSpaceDE w:val="0"/>
        <w:autoSpaceDN w:val="0"/>
        <w:adjustRightInd w:val="0"/>
      </w:pPr>
      <w:r w:rsidRPr="00012921">
        <w:t>Individuals and organizations will be assured of the confidentiality of their replies under Section 944(c) of the Public Health Service Act.  42 U.S.C. 299c-3(c).  That law requires that information collected for research conducted or supported by AHRQ that identifies individuals or establishments be used only for the purpose for which it was supplied</w:t>
      </w:r>
      <w:r>
        <w:t>.</w:t>
      </w:r>
      <w:r>
        <w:t xml:space="preserve"> </w:t>
      </w:r>
    </w:p>
    <w:p w:rsidR="008F0B8B" w:rsidP="008F0B8B" w14:paraId="1425B0FA" w14:textId="77777777">
      <w:pPr>
        <w:autoSpaceDE w:val="0"/>
        <w:autoSpaceDN w:val="0"/>
        <w:adjustRightInd w:val="0"/>
      </w:pPr>
    </w:p>
    <w:p w:rsidR="00C01A11" w:rsidRPr="00C01A11" w:rsidP="00C01A11" w14:paraId="050330C7" w14:textId="77777777">
      <w:pPr>
        <w:autoSpaceDE w:val="0"/>
        <w:autoSpaceDN w:val="0"/>
        <w:adjustRightInd w:val="0"/>
      </w:pPr>
      <w:r>
        <w:t xml:space="preserve">Information that can directly identify the respondent, such as name and/or social security number </w:t>
      </w:r>
      <w:r w:rsidRPr="00D36B5A" w:rsidR="00D36B5A">
        <w:rPr>
          <w:iCs/>
        </w:rPr>
        <w:t xml:space="preserve">will not </w:t>
      </w:r>
      <w:r>
        <w:t xml:space="preserve">be collected. </w:t>
      </w:r>
    </w:p>
    <w:p w:rsidR="009B633D" w:rsidRPr="00412C6F" w:rsidP="009B633D" w14:paraId="6673007B" w14:textId="77777777">
      <w:pPr>
        <w:pStyle w:val="Heading2"/>
        <w:rPr>
          <w:sz w:val="24"/>
        </w:rPr>
      </w:pPr>
      <w:bookmarkStart w:id="30" w:name="_Toc151782186"/>
      <w:bookmarkStart w:id="31" w:name="_Toc158526226"/>
      <w:r w:rsidRPr="00412C6F">
        <w:rPr>
          <w:sz w:val="24"/>
        </w:rPr>
        <w:t>11. Questions of a Sensitive Nature</w:t>
      </w:r>
      <w:bookmarkEnd w:id="30"/>
      <w:bookmarkEnd w:id="31"/>
    </w:p>
    <w:p w:rsidR="00C01A11" w:rsidP="00C01A11" w14:paraId="64E665BE" w14:textId="77777777">
      <w:pPr>
        <w:tabs>
          <w:tab w:val="left" w:pos="540"/>
        </w:tabs>
      </w:pPr>
      <w:r w:rsidRPr="00FD4EE7">
        <w:t xml:space="preserve">The </w:t>
      </w:r>
      <w:r w:rsidR="0009778B">
        <w:t>Online S</w:t>
      </w:r>
      <w:r w:rsidRPr="00FD4EE7">
        <w:t>urvey includes questions regarding healthcare experiences and experiences with unfair or insensitiv</w:t>
      </w:r>
      <w:r>
        <w:t>e</w:t>
      </w:r>
      <w:r w:rsidRPr="00FD4EE7">
        <w:t xml:space="preserve"> healthcare treatment. These questions are necessary to adequately address the proposed research goals. Responses will be used to illuminate important documented </w:t>
      </w:r>
      <w:r>
        <w:t xml:space="preserve">racial/ethnic, sex, and language-based </w:t>
      </w:r>
      <w:r w:rsidRPr="00FD4EE7">
        <w:t>differences in closed-ended CAHPS survey responses, as well as understand potential algorithmic bias in automated coding of narrative data. The nature of these questions, as well as the research team’s inability to link these responses to personally identifying information, will be described to respondents in an informed consent procedure implemented prior to participation.</w:t>
      </w:r>
    </w:p>
    <w:p w:rsidR="00C01A11" w:rsidP="00C01A11" w14:paraId="75DA1BE9" w14:textId="77777777">
      <w:pPr>
        <w:tabs>
          <w:tab w:val="left" w:pos="540"/>
        </w:tabs>
      </w:pPr>
    </w:p>
    <w:p w:rsidR="00C01A11" w:rsidP="00C01A11" w14:paraId="4B6DBD71" w14:textId="77777777">
      <w:pPr>
        <w:tabs>
          <w:tab w:val="left" w:pos="540"/>
        </w:tabs>
      </w:pPr>
      <w:r w:rsidRPr="00FD4EE7">
        <w:t xml:space="preserve">AHRQ will explicitly collect informed consent from all respondents, as detailed in Attachment </w:t>
      </w:r>
      <w:r w:rsidR="0059186C">
        <w:t>C</w:t>
      </w:r>
      <w:r w:rsidRPr="00FD4EE7">
        <w:t>.</w:t>
      </w:r>
      <w:r>
        <w:t xml:space="preserve"> </w:t>
      </w:r>
      <w:r w:rsidRPr="00C01A11">
        <w:rPr>
          <w:iCs/>
        </w:rPr>
        <w:t xml:space="preserve">These materials include the following statement: </w:t>
      </w:r>
      <w:r w:rsidRPr="007208E0">
        <w:t>“</w:t>
      </w:r>
      <w:bookmarkStart w:id="32" w:name="_Hlk124943104"/>
      <w:r w:rsidRPr="0083145C">
        <w:t xml:space="preserve">The confidentiality of your responses </w:t>
      </w:r>
      <w:r>
        <w:t>are</w:t>
      </w:r>
      <w:r w:rsidRPr="0083145C">
        <w:t xml:space="preserve"> protected by Sections 944(c) and 308(d) of the Public Health Service Act [42 U.S.C. 299c-3(c) and 42 U.S.C. 242m(d)].  Information that could identify you will not be disclosed unless you have consented to that disclosure.</w:t>
      </w:r>
      <w:bookmarkEnd w:id="32"/>
      <w:r>
        <w:t xml:space="preserve">” Attachment </w:t>
      </w:r>
      <w:r w:rsidR="0059186C">
        <w:t>D</w:t>
      </w:r>
      <w:r>
        <w:t xml:space="preserve"> provides the Confidentiality Agreement with their </w:t>
      </w:r>
      <w:r w:rsidR="0059186C">
        <w:t>p</w:t>
      </w:r>
      <w:r>
        <w:t>anelists.</w:t>
      </w:r>
    </w:p>
    <w:p w:rsidR="00D779B5" w:rsidP="00C01A11" w14:paraId="4C09855F" w14:textId="77777777">
      <w:pPr>
        <w:tabs>
          <w:tab w:val="left" w:pos="540"/>
        </w:tabs>
      </w:pPr>
    </w:p>
    <w:p w:rsidR="00D779B5" w:rsidP="00C01A11" w14:paraId="244E67E1" w14:textId="77777777">
      <w:pPr>
        <w:tabs>
          <w:tab w:val="left" w:pos="540"/>
        </w:tabs>
      </w:pPr>
      <w:bookmarkStart w:id="33" w:name="_Hlk126922677"/>
      <w:r>
        <w:t>Whereas no direct identifiers will be included in the data, it is possible that respondents will provide identifying information, or information that could allow identification by inference, in their narrative responses. Initial data files will be encrypted and transmitted via secure file transfer. All data will be kept on password-protected computers. Initial data will first be screened and any potentially identifying information redacted within analytic datasets.</w:t>
      </w:r>
      <w:bookmarkEnd w:id="33"/>
    </w:p>
    <w:p w:rsidR="009B633D" w:rsidRPr="00412C6F" w:rsidP="009B633D" w14:paraId="6EF3D876" w14:textId="77777777">
      <w:pPr>
        <w:pStyle w:val="Heading2"/>
        <w:rPr>
          <w:sz w:val="24"/>
        </w:rPr>
      </w:pPr>
      <w:bookmarkStart w:id="34" w:name="_Toc151782187"/>
      <w:bookmarkStart w:id="35" w:name="_Toc158526227"/>
      <w:r w:rsidRPr="00412C6F">
        <w:rPr>
          <w:sz w:val="24"/>
        </w:rPr>
        <w:t>12. Estimates of Annualized Burden Hours and Costs</w:t>
      </w:r>
      <w:bookmarkEnd w:id="34"/>
      <w:bookmarkEnd w:id="35"/>
    </w:p>
    <w:p w:rsidR="00C01A11" w:rsidRPr="00F97D53" w:rsidP="00C01A11" w14:paraId="1BC409C6" w14:textId="77777777">
      <w:pPr>
        <w:keepLines/>
      </w:pPr>
      <w:r>
        <w:t>Exhibit</w:t>
      </w:r>
      <w:r w:rsidRPr="00F97D53">
        <w:t xml:space="preserve"> </w:t>
      </w:r>
      <w:r w:rsidRPr="00F97D53">
        <w:t xml:space="preserve">1 shows the estimated annualized burden </w:t>
      </w:r>
      <w:r>
        <w:t>hours</w:t>
      </w:r>
      <w:r w:rsidR="00BC2428">
        <w:t xml:space="preserve"> </w:t>
      </w:r>
      <w:r w:rsidRPr="00F97D53">
        <w:t xml:space="preserve">for survey </w:t>
      </w:r>
      <w:bookmarkStart w:id="36" w:name="_Hlk131662713"/>
      <w:r w:rsidRPr="00F97D53">
        <w:t>respondents' time to participate in this data collection</w:t>
      </w:r>
      <w:bookmarkEnd w:id="36"/>
      <w:r w:rsidRPr="00F97D53">
        <w:t xml:space="preserve">. </w:t>
      </w:r>
      <w:r w:rsidRPr="00F97D53">
        <w:rPr>
          <w:bCs/>
        </w:rPr>
        <w:t>All participants will complete the</w:t>
      </w:r>
      <w:r w:rsidR="00F97D53">
        <w:rPr>
          <w:bCs/>
        </w:rPr>
        <w:t xml:space="preserve"> </w:t>
      </w:r>
      <w:r w:rsidR="00DE08D3">
        <w:rPr>
          <w:bCs/>
        </w:rPr>
        <w:t>O</w:t>
      </w:r>
      <w:r w:rsidR="00F97D53">
        <w:rPr>
          <w:bCs/>
        </w:rPr>
        <w:t xml:space="preserve">nline </w:t>
      </w:r>
      <w:r w:rsidR="00DE08D3">
        <w:rPr>
          <w:bCs/>
        </w:rPr>
        <w:t>S</w:t>
      </w:r>
      <w:r w:rsidR="00F97D53">
        <w:rPr>
          <w:bCs/>
        </w:rPr>
        <w:t>urvey, which is estimated to take 17 minutes</w:t>
      </w:r>
      <w:r w:rsidR="006F06AF">
        <w:rPr>
          <w:bCs/>
        </w:rPr>
        <w:t xml:space="preserve"> </w:t>
      </w:r>
      <w:r w:rsidR="00F97D53">
        <w:rPr>
          <w:bCs/>
        </w:rPr>
        <w:t xml:space="preserve">per response.  The total annual burden hours are estimated to be </w:t>
      </w:r>
      <w:r>
        <w:rPr>
          <w:bCs/>
        </w:rPr>
        <w:t>1,416 hours.</w:t>
      </w:r>
      <w:r w:rsidRPr="00F97D53">
        <w:rPr>
          <w:bCs/>
        </w:rPr>
        <w:t xml:space="preserve"> </w:t>
      </w:r>
    </w:p>
    <w:p w:rsidR="009F5522" w:rsidP="00C01A11" w14:paraId="4AB7C1C7" w14:textId="77777777">
      <w:pPr>
        <w:keepLines/>
        <w:rPr>
          <w:bCs/>
        </w:rPr>
      </w:pPr>
    </w:p>
    <w:p w:rsidR="009F5522" w:rsidRPr="000D7401" w:rsidP="00C01A11" w14:paraId="0691C8C3" w14:textId="77777777">
      <w:pPr>
        <w:keepLines/>
        <w:rPr>
          <w:color w:val="000000"/>
        </w:rPr>
      </w:pPr>
      <w:r>
        <w:rPr>
          <w:bCs/>
        </w:rPr>
        <w:t xml:space="preserve">Exhibit 2 shows the estimated annualized cost burden associated with the </w:t>
      </w:r>
      <w:r w:rsidRPr="00F97D53">
        <w:t>respondents' time to participate in this data collection</w:t>
      </w:r>
      <w:r>
        <w:t>.  The cost burden is estimated to be $39,</w:t>
      </w:r>
      <w:r w:rsidR="001B60C1">
        <w:t>662.</w:t>
      </w:r>
    </w:p>
    <w:p w:rsidR="00AA788A" w:rsidP="007D4F9F" w14:paraId="21CF8FAC" w14:textId="77777777">
      <w:pPr>
        <w:rPr>
          <w:bCs/>
        </w:rPr>
      </w:pPr>
    </w:p>
    <w:p w:rsidR="009F5522" w:rsidP="007D4F9F" w14:paraId="32C7811E" w14:textId="77777777">
      <w:pPr>
        <w:rPr>
          <w:rStyle w:val="Strong"/>
          <w:b w:val="0"/>
          <w:i/>
        </w:rPr>
      </w:pPr>
    </w:p>
    <w:p w:rsidR="00414C80" w:rsidP="0029734C" w14:paraId="2AB12841" w14:textId="77777777">
      <w:bookmarkStart w:id="37" w:name="OLE_LINK1"/>
      <w:bookmarkStart w:id="38" w:name="OLE_LINK2"/>
      <w:r>
        <w:rPr>
          <w:b/>
          <w:bCs/>
          <w:color w:val="000000"/>
        </w:rPr>
        <w:t>Exhibit 1.  Estimate</w:t>
      </w:r>
      <w:r w:rsidR="00037998">
        <w:rPr>
          <w:b/>
          <w:bCs/>
          <w:color w:val="000000"/>
        </w:rPr>
        <w:t>d annualized burden hours</w:t>
      </w:r>
    </w:p>
    <w:tbl>
      <w:tblPr>
        <w:tblW w:w="0" w:type="auto"/>
        <w:tblInd w:w="108" w:type="dxa"/>
        <w:tblCellMar>
          <w:left w:w="0" w:type="dxa"/>
          <w:right w:w="0" w:type="dxa"/>
        </w:tblCellMar>
        <w:tblLook w:val="0000"/>
      </w:tblPr>
      <w:tblGrid>
        <w:gridCol w:w="3600"/>
        <w:gridCol w:w="1440"/>
        <w:gridCol w:w="1440"/>
        <w:gridCol w:w="1080"/>
        <w:gridCol w:w="900"/>
      </w:tblGrid>
      <w:tr w14:paraId="4F679BD8" w14:textId="77777777" w:rsidTr="004E16F6">
        <w:tblPrEx>
          <w:tblW w:w="0" w:type="auto"/>
          <w:tblInd w:w="108" w:type="dxa"/>
          <w:tblCellMar>
            <w:left w:w="0" w:type="dxa"/>
            <w:right w:w="0" w:type="dxa"/>
          </w:tblCellMar>
          <w:tblLook w:val="0000"/>
        </w:tblPrEx>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P="009C4881" w14:paraId="6961FC9C" w14:textId="77777777">
            <w:pPr>
              <w:jc w:val="center"/>
            </w:pPr>
            <w:r>
              <w:rPr>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P="009C4881" w14:paraId="6F24D2F2" w14:textId="77777777">
            <w:pPr>
              <w:jc w:val="center"/>
            </w:pPr>
            <w:r>
              <w:rPr>
                <w:color w:val="000000"/>
                <w:sz w:val="20"/>
                <w:szCs w:val="20"/>
              </w:rPr>
              <w:t>Number of r</w:t>
            </w:r>
            <w:r>
              <w:rPr>
                <w:color w:val="000000"/>
                <w:sz w:val="20"/>
                <w:szCs w:val="20"/>
              </w:rPr>
              <w:t>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Pr="00E97584" w:rsidP="009C4881" w14:paraId="72BD8BCA" w14:textId="77777777">
            <w:pPr>
              <w:jc w:val="center"/>
              <w:rPr>
                <w:sz w:val="20"/>
                <w:szCs w:val="20"/>
              </w:rPr>
            </w:pPr>
            <w:r w:rsidRPr="00E97584">
              <w:rPr>
                <w:sz w:val="20"/>
                <w:szCs w:val="20"/>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E97584" w:rsidP="009C4881" w14:paraId="6CA8CA94" w14:textId="77777777">
            <w:pPr>
              <w:jc w:val="center"/>
            </w:pPr>
            <w:r>
              <w:rPr>
                <w:color w:val="000000"/>
                <w:sz w:val="20"/>
                <w:szCs w:val="20"/>
              </w:rPr>
              <w:t>Hours per response</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P="009C4881" w14:paraId="227075E5" w14:textId="77777777">
            <w:pPr>
              <w:jc w:val="center"/>
            </w:pPr>
            <w:r>
              <w:rPr>
                <w:color w:val="000000"/>
                <w:sz w:val="20"/>
                <w:szCs w:val="20"/>
              </w:rPr>
              <w:t>Total b</w:t>
            </w:r>
            <w:r>
              <w:rPr>
                <w:color w:val="000000"/>
                <w:sz w:val="20"/>
                <w:szCs w:val="20"/>
              </w:rPr>
              <w:t>urden hours</w:t>
            </w:r>
          </w:p>
        </w:tc>
      </w:tr>
      <w:tr w14:paraId="0F5F33AB" w14:textId="77777777" w:rsidTr="004E16F6">
        <w:tblPrEx>
          <w:tblW w:w="0" w:type="auto"/>
          <w:tblInd w:w="108" w:type="dxa"/>
          <w:tblCellMar>
            <w:left w:w="0" w:type="dxa"/>
            <w:right w:w="0" w:type="dxa"/>
          </w:tblCellMar>
          <w:tblLook w:val="0000"/>
        </w:tblPrEx>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01A11" w14:paraId="54D29C83" w14:textId="77777777">
            <w:r>
              <w:rPr>
                <w:sz w:val="23"/>
                <w:szCs w:val="23"/>
              </w:rPr>
              <w:t>Online Survey</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01A11" w14:paraId="2ECB2EC6" w14:textId="77777777">
            <w:pPr>
              <w:jc w:val="center"/>
            </w:pPr>
            <w:r>
              <w:rPr>
                <w:sz w:val="23"/>
                <w:szCs w:val="23"/>
              </w:rPr>
              <w:t>4,998</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01A11" w14:paraId="43CE2BF5" w14:textId="77777777">
            <w:pPr>
              <w:jc w:val="center"/>
            </w:pPr>
            <w:r w:rsidRPr="000D7401">
              <w:rPr>
                <w:sz w:val="23"/>
                <w:szCs w:val="23"/>
              </w:rPr>
              <w:t>1</w:t>
            </w:r>
          </w:p>
        </w:tc>
        <w:tc>
          <w:tcPr>
            <w:tcW w:w="1080" w:type="dxa"/>
            <w:tcBorders>
              <w:top w:val="nil"/>
              <w:left w:val="nil"/>
              <w:bottom w:val="single" w:sz="8" w:space="0" w:color="auto"/>
              <w:right w:val="single" w:sz="8" w:space="0" w:color="auto"/>
            </w:tcBorders>
            <w:vAlign w:val="center"/>
          </w:tcPr>
          <w:p w:rsidR="00C01A11" w:rsidP="00C01A11" w14:paraId="57794186" w14:textId="77777777">
            <w:pPr>
              <w:jc w:val="center"/>
            </w:pPr>
            <w:r>
              <w:rPr>
                <w:sz w:val="23"/>
                <w:szCs w:val="23"/>
              </w:rPr>
              <w:t>17/60</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01A11" w14:paraId="61D3A49E" w14:textId="77777777">
            <w:pPr>
              <w:jc w:val="center"/>
            </w:pPr>
            <w:r>
              <w:rPr>
                <w:sz w:val="23"/>
                <w:szCs w:val="23"/>
              </w:rPr>
              <w:t>1,</w:t>
            </w:r>
            <w:r w:rsidR="009F5522">
              <w:rPr>
                <w:sz w:val="23"/>
                <w:szCs w:val="23"/>
              </w:rPr>
              <w:t>416</w:t>
            </w:r>
          </w:p>
        </w:tc>
      </w:tr>
      <w:tr w14:paraId="715ED36C" w14:textId="77777777" w:rsidTr="00720003">
        <w:tblPrEx>
          <w:tblW w:w="0" w:type="auto"/>
          <w:tblInd w:w="108" w:type="dxa"/>
          <w:tblCellMar>
            <w:left w:w="0" w:type="dxa"/>
            <w:right w:w="0" w:type="dxa"/>
          </w:tblCellMar>
          <w:tblLook w:val="0000"/>
        </w:tblPrEx>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01A11" w14:paraId="524DDAAC" w14:textId="77777777">
            <w:r>
              <w:rPr>
                <w:b/>
                <w:bCs/>
                <w:color w:val="000000"/>
                <w:sz w:val="20"/>
                <w:szCs w:val="2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01A11" w14:paraId="0FCAD121" w14:textId="77777777">
            <w:pPr>
              <w:jc w:val="center"/>
            </w:pPr>
            <w:r>
              <w:rPr>
                <w:sz w:val="23"/>
                <w:szCs w:val="23"/>
              </w:rPr>
              <w:t>4,998</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01A11" w14:paraId="72C58DE4" w14:textId="77777777">
            <w:pPr>
              <w:jc w:val="center"/>
            </w:pPr>
            <w:r>
              <w:rPr>
                <w:sz w:val="23"/>
                <w:szCs w:val="23"/>
              </w:rPr>
              <w:t>na</w:t>
            </w:r>
          </w:p>
        </w:tc>
        <w:tc>
          <w:tcPr>
            <w:tcW w:w="1080" w:type="dxa"/>
            <w:tcBorders>
              <w:top w:val="nil"/>
              <w:left w:val="nil"/>
              <w:bottom w:val="single" w:sz="8" w:space="0" w:color="auto"/>
              <w:right w:val="single" w:sz="8" w:space="0" w:color="auto"/>
            </w:tcBorders>
            <w:vAlign w:val="center"/>
          </w:tcPr>
          <w:p w:rsidR="00C01A11" w:rsidP="00C01A11" w14:paraId="1FE158CB" w14:textId="77777777">
            <w:pPr>
              <w:jc w:val="center"/>
              <w:rPr>
                <w:b/>
                <w:bCs/>
                <w:color w:val="000000"/>
                <w:sz w:val="20"/>
                <w:szCs w:val="20"/>
              </w:rPr>
            </w:pPr>
            <w:r>
              <w:rPr>
                <w:sz w:val="23"/>
                <w:szCs w:val="23"/>
              </w:rPr>
              <w:t>na</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01A11" w14:paraId="23182C0E" w14:textId="77777777">
            <w:pPr>
              <w:jc w:val="center"/>
            </w:pPr>
            <w:r>
              <w:rPr>
                <w:sz w:val="23"/>
                <w:szCs w:val="23"/>
              </w:rPr>
              <w:t>1,</w:t>
            </w:r>
            <w:r w:rsidR="009F5522">
              <w:rPr>
                <w:sz w:val="23"/>
                <w:szCs w:val="23"/>
              </w:rPr>
              <w:t>416</w:t>
            </w:r>
          </w:p>
        </w:tc>
      </w:tr>
    </w:tbl>
    <w:bookmarkEnd w:id="37"/>
    <w:bookmarkEnd w:id="38"/>
    <w:p w:rsidR="00414C80" w:rsidP="00414C80" w14:paraId="5DE1DB3B" w14:textId="77777777">
      <w:r>
        <w:t> </w:t>
      </w:r>
    </w:p>
    <w:p w:rsidR="00037998" w:rsidP="00414C80" w14:paraId="3CA45028" w14:textId="77777777"/>
    <w:p w:rsidR="00037998" w:rsidP="00C836D3" w14:paraId="06A3F3B0" w14:textId="77777777">
      <w:pPr>
        <w:keepNext/>
        <w:rPr>
          <w:b/>
        </w:rPr>
      </w:pPr>
      <w:r w:rsidRPr="00037998">
        <w:rPr>
          <w:b/>
        </w:rPr>
        <w:t>Exhibit 2.  Estimated annualized cost burden</w:t>
      </w:r>
    </w:p>
    <w:tbl>
      <w:tblPr>
        <w:tblW w:w="0" w:type="auto"/>
        <w:tblInd w:w="108" w:type="dxa"/>
        <w:tblCellMar>
          <w:left w:w="0" w:type="dxa"/>
          <w:right w:w="0" w:type="dxa"/>
        </w:tblCellMar>
        <w:tblLook w:val="0000"/>
      </w:tblPr>
      <w:tblGrid>
        <w:gridCol w:w="3497"/>
        <w:gridCol w:w="1430"/>
        <w:gridCol w:w="895"/>
        <w:gridCol w:w="1441"/>
        <w:gridCol w:w="1249"/>
      </w:tblGrid>
      <w:tr w14:paraId="05400097" w14:textId="77777777" w:rsidTr="004E16F6">
        <w:tblPrEx>
          <w:tblW w:w="0" w:type="auto"/>
          <w:tblInd w:w="108" w:type="dxa"/>
          <w:tblCellMar>
            <w:left w:w="0" w:type="dxa"/>
            <w:right w:w="0" w:type="dxa"/>
          </w:tblCellMar>
          <w:tblLook w:val="0000"/>
        </w:tblPrEx>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C60BD" w:rsidP="00C836D3" w14:paraId="5AC862A7" w14:textId="77777777">
            <w:pPr>
              <w:keepNext/>
              <w:jc w:val="center"/>
            </w:pPr>
            <w:r>
              <w:rPr>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P="00C836D3" w14:paraId="547D97F4" w14:textId="77777777">
            <w:pPr>
              <w:keepNext/>
              <w:jc w:val="center"/>
            </w:pPr>
            <w:r>
              <w:rPr>
                <w:color w:val="000000"/>
                <w:sz w:val="20"/>
                <w:szCs w:val="20"/>
              </w:rPr>
              <w:t>Number of r</w:t>
            </w:r>
            <w:r>
              <w:rPr>
                <w:color w:val="000000"/>
                <w:sz w:val="20"/>
                <w:szCs w:val="20"/>
              </w:rPr>
              <w:t>espondents</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P="00C836D3" w14:paraId="713B4C12" w14:textId="77777777">
            <w:pPr>
              <w:keepNext/>
              <w:jc w:val="center"/>
            </w:pPr>
            <w:r>
              <w:rPr>
                <w:color w:val="000000"/>
                <w:sz w:val="20"/>
                <w:szCs w:val="20"/>
              </w:rPr>
              <w:t>Total b</w:t>
            </w:r>
            <w:r>
              <w:rPr>
                <w:color w:val="000000"/>
                <w:sz w:val="20"/>
                <w:szCs w:val="20"/>
              </w:rPr>
              <w:t>urden hours</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P="00C836D3" w14:paraId="0AE245FA" w14:textId="77777777">
            <w:pPr>
              <w:keepNext/>
              <w:jc w:val="center"/>
            </w:pPr>
            <w:r>
              <w:rPr>
                <w:color w:val="000000"/>
                <w:sz w:val="20"/>
                <w:szCs w:val="20"/>
              </w:rPr>
              <w:t>Average hourly wage r</w:t>
            </w:r>
            <w:r>
              <w:rPr>
                <w:color w:val="000000"/>
                <w:sz w:val="20"/>
                <w:szCs w:val="20"/>
              </w:rPr>
              <w:t>ate*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P="00C836D3" w14:paraId="25A34FFA" w14:textId="77777777">
            <w:pPr>
              <w:keepNext/>
              <w:jc w:val="center"/>
            </w:pPr>
            <w:r>
              <w:rPr>
                <w:color w:val="000000"/>
                <w:sz w:val="20"/>
                <w:szCs w:val="20"/>
              </w:rPr>
              <w:t xml:space="preserve">Total  </w:t>
            </w:r>
            <w:r w:rsidR="00015AAF">
              <w:rPr>
                <w:color w:val="000000"/>
                <w:sz w:val="20"/>
                <w:szCs w:val="20"/>
              </w:rPr>
              <w:t>cost</w:t>
            </w:r>
            <w:r w:rsidR="00015AAF">
              <w:rPr>
                <w:color w:val="000000"/>
                <w:sz w:val="20"/>
                <w:szCs w:val="20"/>
              </w:rPr>
              <w:t xml:space="preserve"> b</w:t>
            </w:r>
            <w:r>
              <w:rPr>
                <w:color w:val="000000"/>
                <w:sz w:val="20"/>
                <w:szCs w:val="20"/>
              </w:rPr>
              <w:t>urden</w:t>
            </w:r>
          </w:p>
        </w:tc>
      </w:tr>
      <w:tr w14:paraId="0E86ED6C" w14:textId="77777777" w:rsidTr="004E16F6">
        <w:tblPrEx>
          <w:tblW w:w="0" w:type="auto"/>
          <w:tblInd w:w="108" w:type="dxa"/>
          <w:tblCellMar>
            <w:left w:w="0" w:type="dxa"/>
            <w:right w:w="0" w:type="dxa"/>
          </w:tblCellMar>
          <w:tblLook w:val="0000"/>
        </w:tblPrEx>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836D3" w14:paraId="0363615F" w14:textId="77777777">
            <w:pPr>
              <w:keepNext/>
            </w:pPr>
            <w:r>
              <w:rPr>
                <w:sz w:val="23"/>
                <w:szCs w:val="23"/>
              </w:rPr>
              <w:t>Online Survey</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836D3" w14:paraId="169B3C0D" w14:textId="77777777">
            <w:pPr>
              <w:keepNext/>
              <w:jc w:val="center"/>
            </w:pPr>
            <w:r>
              <w:rPr>
                <w:sz w:val="23"/>
                <w:szCs w:val="23"/>
              </w:rPr>
              <w:t>4,998</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836D3" w14:paraId="5C5B7D96" w14:textId="77777777">
            <w:pPr>
              <w:keepNext/>
              <w:jc w:val="center"/>
            </w:pPr>
            <w:r>
              <w:rPr>
                <w:sz w:val="23"/>
                <w:szCs w:val="23"/>
              </w:rPr>
              <w:t>1,</w:t>
            </w:r>
            <w:r w:rsidR="009F5522">
              <w:rPr>
                <w:sz w:val="23"/>
                <w:szCs w:val="23"/>
              </w:rPr>
              <w:t>416</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1A11" w:rsidRPr="009B3622" w:rsidP="00C836D3" w14:paraId="3CEDCC8B" w14:textId="77777777">
            <w:pPr>
              <w:keepNext/>
              <w:jc w:val="center"/>
              <w:rPr>
                <w:vertAlign w:val="superscript"/>
              </w:rPr>
            </w:pPr>
            <w:r>
              <w:t>$28.01</w:t>
            </w:r>
            <w:r>
              <w:rPr>
                <w:vertAlign w:val="superscript"/>
              </w:rPr>
              <w:t>a</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836D3" w14:paraId="09CCBD4D" w14:textId="77777777">
            <w:pPr>
              <w:keepNext/>
              <w:jc w:val="center"/>
            </w:pPr>
            <w:r w:rsidRPr="000D7401">
              <w:rPr>
                <w:sz w:val="23"/>
                <w:szCs w:val="23"/>
              </w:rPr>
              <w:t>$</w:t>
            </w:r>
            <w:r>
              <w:rPr>
                <w:sz w:val="23"/>
                <w:szCs w:val="23"/>
              </w:rPr>
              <w:t>39,</w:t>
            </w:r>
            <w:r w:rsidR="009F5522">
              <w:rPr>
                <w:sz w:val="23"/>
                <w:szCs w:val="23"/>
              </w:rPr>
              <w:t>662</w:t>
            </w:r>
          </w:p>
        </w:tc>
      </w:tr>
      <w:tr w14:paraId="4685C7EA" w14:textId="77777777" w:rsidTr="004E16F6">
        <w:tblPrEx>
          <w:tblW w:w="0" w:type="auto"/>
          <w:tblInd w:w="108" w:type="dxa"/>
          <w:tblCellMar>
            <w:left w:w="0" w:type="dxa"/>
            <w:right w:w="0" w:type="dxa"/>
          </w:tblCellMar>
          <w:tblLook w:val="0000"/>
        </w:tblPrEx>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836D3" w14:paraId="694EEF6B" w14:textId="77777777">
            <w:pPr>
              <w:keepNext/>
            </w:pPr>
            <w:r>
              <w:rPr>
                <w:b/>
                <w:bCs/>
                <w:color w:val="000000"/>
                <w:sz w:val="20"/>
                <w:szCs w:val="2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836D3" w14:paraId="1443DC00" w14:textId="77777777">
            <w:pPr>
              <w:keepNext/>
              <w:jc w:val="center"/>
            </w:pPr>
            <w:r>
              <w:rPr>
                <w:sz w:val="23"/>
                <w:szCs w:val="23"/>
              </w:rPr>
              <w:t>4,998</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836D3" w14:paraId="0A5BB6B5" w14:textId="77777777">
            <w:pPr>
              <w:keepNext/>
              <w:jc w:val="center"/>
            </w:pPr>
            <w:r>
              <w:rPr>
                <w:sz w:val="23"/>
                <w:szCs w:val="23"/>
              </w:rPr>
              <w:t>1,</w:t>
            </w:r>
            <w:r w:rsidR="009F5522">
              <w:rPr>
                <w:sz w:val="23"/>
                <w:szCs w:val="23"/>
              </w:rPr>
              <w:t>416</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836D3" w14:paraId="7B7CF4E6" w14:textId="77777777">
            <w:pPr>
              <w:keepNext/>
              <w:jc w:val="center"/>
            </w:pPr>
            <w:r>
              <w:t>na</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836D3" w14:paraId="03CC0FC6" w14:textId="77777777">
            <w:pPr>
              <w:keepNext/>
              <w:jc w:val="center"/>
            </w:pPr>
            <w:r w:rsidRPr="000D7401">
              <w:rPr>
                <w:sz w:val="23"/>
                <w:szCs w:val="23"/>
              </w:rPr>
              <w:t>$</w:t>
            </w:r>
            <w:r>
              <w:rPr>
                <w:sz w:val="23"/>
                <w:szCs w:val="23"/>
              </w:rPr>
              <w:t>39,</w:t>
            </w:r>
            <w:r w:rsidR="001B60C1">
              <w:rPr>
                <w:sz w:val="23"/>
                <w:szCs w:val="23"/>
              </w:rPr>
              <w:t>662</w:t>
            </w:r>
          </w:p>
        </w:tc>
      </w:tr>
    </w:tbl>
    <w:p w:rsidR="003C60BD" w:rsidP="009B3622" w14:paraId="15534390" w14:textId="77777777">
      <w:pPr>
        <w:tabs>
          <w:tab w:val="left" w:pos="180"/>
        </w:tabs>
        <w:ind w:left="180" w:hanging="180"/>
      </w:pPr>
      <w:r>
        <w:rPr>
          <w:color w:val="000000"/>
          <w:sz w:val="20"/>
          <w:szCs w:val="20"/>
        </w:rPr>
        <w:t>*</w:t>
      </w:r>
      <w:r w:rsidR="009B3622">
        <w:rPr>
          <w:color w:val="000000"/>
          <w:sz w:val="20"/>
          <w:szCs w:val="20"/>
        </w:rPr>
        <w:tab/>
      </w:r>
      <w:r w:rsidRPr="009F5522" w:rsidR="009F5522">
        <w:rPr>
          <w:bCs/>
          <w:color w:val="000000"/>
          <w:sz w:val="20"/>
          <w:szCs w:val="20"/>
        </w:rPr>
        <w:t>The May 2017 National Employment and Wage Estimates reported by the Bureau of Labor statistics indicate an average hourly wage of $28.01 across the 50 U.S. states and the District of Columbia.  The national average has been used to estimate the wages of survey respondents.  The Knowledge Panel consists of a broad cross-section of the U.S. adult population, and thus a national average should be a reasonable estimate of the wages of survey respondents.</w:t>
      </w:r>
      <w:r w:rsidR="00BC2428">
        <w:rPr>
          <w:bCs/>
          <w:color w:val="000000"/>
          <w:sz w:val="20"/>
          <w:szCs w:val="20"/>
        </w:rPr>
        <w:t xml:space="preserve"> </w:t>
      </w:r>
      <w:r>
        <w:rPr>
          <w:color w:val="000000"/>
          <w:sz w:val="20"/>
          <w:szCs w:val="20"/>
        </w:rPr>
        <w:t xml:space="preserve">National Compensation Survey: Occupational wages in the United States </w:t>
      </w:r>
      <w:r w:rsidR="00841047">
        <w:rPr>
          <w:color w:val="000000"/>
          <w:sz w:val="20"/>
          <w:szCs w:val="20"/>
        </w:rPr>
        <w:t xml:space="preserve">May </w:t>
      </w:r>
      <w:r w:rsidR="00C01A11">
        <w:rPr>
          <w:color w:val="000000"/>
          <w:sz w:val="20"/>
          <w:szCs w:val="20"/>
        </w:rPr>
        <w:t>2021</w:t>
      </w:r>
      <w:r>
        <w:rPr>
          <w:color w:val="000000"/>
          <w:sz w:val="20"/>
          <w:szCs w:val="20"/>
        </w:rPr>
        <w:t>, “U.S. Department of Labor, Bureau of Labor Statistics.”</w:t>
      </w:r>
    </w:p>
    <w:p w:rsidR="00C01A11" w:rsidRPr="009B3622" w:rsidP="00C01A11" w14:paraId="36539FD7" w14:textId="77777777">
      <w:pPr>
        <w:rPr>
          <w:b/>
        </w:rPr>
      </w:pPr>
      <w:r w:rsidRPr="009B3622">
        <w:rPr>
          <w:vertAlign w:val="superscript"/>
        </w:rPr>
        <w:t>a</w:t>
      </w:r>
      <w:r>
        <w:rPr>
          <w:b/>
        </w:rPr>
        <w:t xml:space="preserve"> </w:t>
      </w:r>
      <w:r w:rsidR="0099646C">
        <w:rPr>
          <w:b/>
        </w:rPr>
        <w:t xml:space="preserve"> </w:t>
      </w:r>
      <w:r>
        <w:rPr>
          <w:color w:val="000000"/>
          <w:sz w:val="20"/>
          <w:szCs w:val="20"/>
        </w:rPr>
        <w:t>Based</w:t>
      </w:r>
      <w:r>
        <w:rPr>
          <w:color w:val="000000"/>
          <w:sz w:val="20"/>
          <w:szCs w:val="20"/>
        </w:rPr>
        <w:t xml:space="preserve"> on the mean wages for </w:t>
      </w:r>
      <w:r>
        <w:rPr>
          <w:color w:val="000000"/>
          <w:sz w:val="20"/>
          <w:szCs w:val="20"/>
        </w:rPr>
        <w:t xml:space="preserve">all occupations, code 00-0000 </w:t>
      </w:r>
    </w:p>
    <w:p w:rsidR="009B633D" w:rsidRPr="00412C6F" w:rsidP="009B633D" w14:paraId="4127BB3F" w14:textId="77777777">
      <w:pPr>
        <w:pStyle w:val="Heading2"/>
        <w:rPr>
          <w:sz w:val="24"/>
        </w:rPr>
      </w:pPr>
      <w:bookmarkStart w:id="39" w:name="_Toc151782188"/>
      <w:bookmarkStart w:id="40" w:name="_Toc158526228"/>
      <w:r w:rsidRPr="00412C6F">
        <w:rPr>
          <w:sz w:val="24"/>
        </w:rPr>
        <w:t>13. Estimates of Annualized Respondent Capital and Maintenance Costs</w:t>
      </w:r>
      <w:bookmarkEnd w:id="39"/>
      <w:bookmarkEnd w:id="40"/>
    </w:p>
    <w:p w:rsidR="00E14FC3" w:rsidP="00C205C8" w14:paraId="2C4725F2" w14:textId="77777777">
      <w:pPr>
        <w:spacing w:before="120"/>
      </w:pPr>
      <w:r w:rsidRPr="006C45D0">
        <w:t xml:space="preserve">Capital and maintenance costs include the purchase of </w:t>
      </w:r>
      <w:r w:rsidRPr="006C45D0" w:rsidR="00C205C8">
        <w:t xml:space="preserve">equipment, </w:t>
      </w:r>
      <w:r w:rsidRPr="006C45D0">
        <w:t>computer</w:t>
      </w:r>
      <w:r w:rsidRPr="006C45D0" w:rsidR="00C205C8">
        <w:t xml:space="preserve">s or computer software or services, or storage facilities for records, </w:t>
      </w:r>
      <w:r w:rsidRPr="006C45D0" w:rsidR="00C205C8">
        <w:t>as a result of</w:t>
      </w:r>
      <w:r w:rsidRPr="006C45D0" w:rsidR="00C205C8">
        <w:t xml:space="preserve"> complying with this data collection.</w:t>
      </w:r>
      <w:r w:rsidRPr="00A65884" w:rsidR="00C205C8">
        <w:rPr>
          <w:i/>
        </w:rPr>
        <w:t xml:space="preserve">  </w:t>
      </w:r>
      <w:r w:rsidR="00C205C8">
        <w:t>T</w:t>
      </w:r>
      <w:r w:rsidR="0080612B">
        <w:t>here are no direct costs to respondents other than their time to participate in the study.</w:t>
      </w:r>
    </w:p>
    <w:p w:rsidR="009B633D" w:rsidRPr="00412C6F" w:rsidP="009B633D" w14:paraId="40878862" w14:textId="77777777">
      <w:pPr>
        <w:pStyle w:val="Heading2"/>
        <w:rPr>
          <w:sz w:val="24"/>
        </w:rPr>
      </w:pPr>
      <w:bookmarkStart w:id="41" w:name="_Toc58725299"/>
      <w:bookmarkStart w:id="42" w:name="_Toc151782189"/>
      <w:bookmarkStart w:id="43" w:name="_Toc158526229"/>
      <w:r w:rsidRPr="00412C6F">
        <w:rPr>
          <w:sz w:val="24"/>
        </w:rPr>
        <w:t xml:space="preserve">14. Estimates of </w:t>
      </w:r>
      <w:r w:rsidR="00DA79B5">
        <w:rPr>
          <w:sz w:val="24"/>
        </w:rPr>
        <w:t xml:space="preserve">Total and </w:t>
      </w:r>
      <w:r w:rsidRPr="00412C6F">
        <w:rPr>
          <w:sz w:val="24"/>
        </w:rPr>
        <w:t>Annualized Cost to the Government</w:t>
      </w:r>
      <w:bookmarkEnd w:id="41"/>
      <w:bookmarkEnd w:id="42"/>
      <w:bookmarkEnd w:id="43"/>
    </w:p>
    <w:p w:rsidR="001A0E5E" w:rsidP="00012FB9" w14:paraId="2A87FEC8" w14:textId="77777777">
      <w:pPr>
        <w:rPr>
          <w:b/>
          <w:bCs/>
          <w:color w:val="000000"/>
        </w:rPr>
      </w:pPr>
      <w:bookmarkStart w:id="44" w:name="_Toc151782190"/>
      <w:bookmarkStart w:id="45" w:name="_Toc158526230"/>
    </w:p>
    <w:p w:rsidR="00012FB9" w:rsidP="00012FB9" w14:paraId="3E45F6B4" w14:textId="77777777">
      <w:r>
        <w:rPr>
          <w:b/>
          <w:bCs/>
          <w:color w:val="000000"/>
        </w:rPr>
        <w:t>Exhibit 3</w:t>
      </w:r>
      <w:r w:rsidR="00DA79B5">
        <w:rPr>
          <w:b/>
          <w:bCs/>
          <w:color w:val="000000"/>
        </w:rPr>
        <w:t>a</w:t>
      </w:r>
      <w:r>
        <w:rPr>
          <w:b/>
          <w:bCs/>
          <w:color w:val="000000"/>
        </w:rPr>
        <w:t>.  Estimated</w:t>
      </w:r>
      <w:r w:rsidR="00FD1D9C">
        <w:rPr>
          <w:b/>
          <w:bCs/>
          <w:color w:val="000000"/>
        </w:rPr>
        <w:t xml:space="preserve"> Total and Annualized</w:t>
      </w:r>
      <w:r>
        <w:rPr>
          <w:b/>
          <w:bCs/>
          <w:color w:val="000000"/>
        </w:rPr>
        <w:t xml:space="preserve"> Cost</w:t>
      </w:r>
    </w:p>
    <w:tbl>
      <w:tblPr>
        <w:tblW w:w="0" w:type="auto"/>
        <w:tblInd w:w="108" w:type="dxa"/>
        <w:tblCellMar>
          <w:left w:w="0" w:type="dxa"/>
          <w:right w:w="0" w:type="dxa"/>
        </w:tblCellMar>
        <w:tblLook w:val="0000"/>
      </w:tblPr>
      <w:tblGrid>
        <w:gridCol w:w="3600"/>
        <w:gridCol w:w="1440"/>
        <w:gridCol w:w="1980"/>
      </w:tblGrid>
      <w:tr w14:paraId="356DFC0A" w14:textId="77777777" w:rsidTr="00350E4E">
        <w:tblPrEx>
          <w:tblW w:w="0" w:type="auto"/>
          <w:tblInd w:w="108" w:type="dxa"/>
          <w:tblCellMar>
            <w:left w:w="0" w:type="dxa"/>
            <w:right w:w="0" w:type="dxa"/>
          </w:tblCellMar>
          <w:tblLook w:val="0000"/>
        </w:tblPrEx>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012FB9" w:rsidRPr="00012FB9" w:rsidP="00012FB9" w14:paraId="1D162C23" w14:textId="77777777">
            <w:pPr>
              <w:rPr>
                <w:b/>
              </w:rPr>
            </w:pPr>
            <w:r w:rsidRPr="00012FB9">
              <w:rPr>
                <w:b/>
                <w:color w:val="000000"/>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12FB9" w:rsidRPr="00012FB9" w:rsidP="001A28C0" w14:paraId="76A7FEE6" w14:textId="77777777">
            <w:pPr>
              <w:jc w:val="center"/>
              <w:rPr>
                <w:b/>
              </w:rPr>
            </w:pPr>
            <w:r w:rsidRPr="00012FB9">
              <w:rPr>
                <w:b/>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12FB9" w:rsidRPr="00012FB9" w:rsidP="001A28C0" w14:paraId="25EAA2A3" w14:textId="77777777">
            <w:pPr>
              <w:jc w:val="center"/>
              <w:rPr>
                <w:b/>
              </w:rPr>
            </w:pPr>
            <w:r w:rsidRPr="00012FB9">
              <w:rPr>
                <w:b/>
              </w:rPr>
              <w:t>Annualized Cost</w:t>
            </w:r>
          </w:p>
        </w:tc>
      </w:tr>
      <w:tr w14:paraId="3CEA54D8" w14:textId="77777777" w:rsidTr="00350E4E">
        <w:tblPrEx>
          <w:tblW w:w="0" w:type="auto"/>
          <w:tblInd w:w="108" w:type="dxa"/>
          <w:tblCellMar>
            <w:left w:w="0" w:type="dxa"/>
            <w:right w:w="0" w:type="dxa"/>
          </w:tblCellMar>
          <w:tblLook w:val="0000"/>
        </w:tblPrEx>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01A11" w14:paraId="576AE7A5" w14:textId="77777777">
            <w:r>
              <w:t>Project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01A11" w14:paraId="3B4580E1" w14:textId="77777777">
            <w:pPr>
              <w:jc w:val="center"/>
            </w:pPr>
            <w:r w:rsidRPr="003D6E81">
              <w:t>$58,550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01A11" w14:paraId="746E0CB4" w14:textId="77777777">
            <w:pPr>
              <w:jc w:val="center"/>
            </w:pPr>
            <w:r w:rsidRPr="003D6E81">
              <w:t>$29,225</w:t>
            </w:r>
          </w:p>
        </w:tc>
      </w:tr>
      <w:tr w14:paraId="24183E4E" w14:textId="77777777" w:rsidTr="00350E4E">
        <w:tblPrEx>
          <w:tblW w:w="0" w:type="auto"/>
          <w:tblInd w:w="108" w:type="dxa"/>
          <w:tblCellMar>
            <w:left w:w="0" w:type="dxa"/>
            <w:right w:w="0" w:type="dxa"/>
          </w:tblCellMar>
          <w:tblLook w:val="0000"/>
        </w:tblPrEx>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01A11" w14:paraId="04C5BB43" w14:textId="77777777">
            <w:r>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01A11" w14:paraId="30ADB62F" w14:textId="77777777">
            <w:pPr>
              <w:jc w:val="center"/>
            </w:pPr>
            <w:r w:rsidRPr="003D6E81">
              <w:t>$120,280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01A11" w14:paraId="1332EF6F" w14:textId="77777777">
            <w:pPr>
              <w:jc w:val="center"/>
            </w:pPr>
            <w:r w:rsidRPr="003D6E81">
              <w:t>$60,140</w:t>
            </w:r>
          </w:p>
        </w:tc>
      </w:tr>
      <w:tr w14:paraId="76E98BF6" w14:textId="77777777" w:rsidTr="00350E4E">
        <w:tblPrEx>
          <w:tblW w:w="0" w:type="auto"/>
          <w:tblInd w:w="108" w:type="dxa"/>
          <w:tblCellMar>
            <w:left w:w="0" w:type="dxa"/>
            <w:right w:w="0" w:type="dxa"/>
          </w:tblCellMar>
          <w:tblLook w:val="0000"/>
        </w:tblPrEx>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01A11" w14:paraId="511B0D07" w14:textId="77777777">
            <w:r>
              <w:t>Data Processing and Analysis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01A11" w14:paraId="15CFA574" w14:textId="77777777">
            <w:pPr>
              <w:jc w:val="center"/>
            </w:pPr>
            <w:r w:rsidRPr="003D6E81">
              <w:t>$101,010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01A11" w14:paraId="5A0B19CC" w14:textId="77777777">
            <w:pPr>
              <w:jc w:val="center"/>
            </w:pPr>
            <w:r w:rsidRPr="003D6E81">
              <w:t>$50,505</w:t>
            </w:r>
          </w:p>
        </w:tc>
      </w:tr>
      <w:tr w14:paraId="445D4F17" w14:textId="77777777" w:rsidTr="00350E4E">
        <w:tblPrEx>
          <w:tblW w:w="0" w:type="auto"/>
          <w:tblInd w:w="108" w:type="dxa"/>
          <w:tblCellMar>
            <w:left w:w="0" w:type="dxa"/>
            <w:right w:w="0" w:type="dxa"/>
          </w:tblCellMar>
          <w:tblLook w:val="0000"/>
        </w:tblPrEx>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01A11" w14:paraId="78AB48EF" w14:textId="77777777">
            <w:r>
              <w:t>Publication of Results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01A11" w14:paraId="5E1A00AB" w14:textId="77777777">
            <w:pPr>
              <w:jc w:val="center"/>
            </w:pPr>
            <w:r w:rsidRPr="003D6E81">
              <w:t>$56,650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01A11" w14:paraId="2698861A" w14:textId="77777777">
            <w:pPr>
              <w:jc w:val="center"/>
            </w:pPr>
            <w:r w:rsidRPr="003D6E81">
              <w:t>$28,325</w:t>
            </w:r>
          </w:p>
        </w:tc>
      </w:tr>
      <w:tr w14:paraId="3DFFDC97" w14:textId="77777777" w:rsidTr="00350E4E">
        <w:tblPrEx>
          <w:tblW w:w="0" w:type="auto"/>
          <w:tblInd w:w="108" w:type="dxa"/>
          <w:tblCellMar>
            <w:left w:w="0" w:type="dxa"/>
            <w:right w:w="0" w:type="dxa"/>
          </w:tblCellMar>
          <w:tblLook w:val="0000"/>
        </w:tblPrEx>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01A11" w14:paraId="4AAFEF4F" w14:textId="77777777">
            <w:r>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01A11" w14:paraId="5A7C8E40" w14:textId="77777777">
            <w:pPr>
              <w:jc w:val="center"/>
            </w:pPr>
            <w:r w:rsidRPr="003D6E81">
              <w:t>$15,000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01A11" w14:paraId="776A244F" w14:textId="77777777">
            <w:pPr>
              <w:jc w:val="center"/>
            </w:pPr>
            <w:r w:rsidRPr="003D6E81">
              <w:t>$7,500</w:t>
            </w:r>
          </w:p>
        </w:tc>
      </w:tr>
      <w:tr w14:paraId="3C2556E3" w14:textId="77777777" w:rsidTr="00350E4E">
        <w:tblPrEx>
          <w:tblW w:w="0" w:type="auto"/>
          <w:tblInd w:w="108" w:type="dxa"/>
          <w:tblCellMar>
            <w:left w:w="0" w:type="dxa"/>
            <w:right w:w="0" w:type="dxa"/>
          </w:tblCellMar>
          <w:tblLook w:val="0000"/>
        </w:tblPrEx>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01A11" w:rsidRPr="006D1C5E" w:rsidP="00C01A11" w14:paraId="1BBE6A4B" w14:textId="77777777">
            <w:r w:rsidRPr="006D1C5E">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01A11" w14:paraId="73008620" w14:textId="77777777">
            <w:pPr>
              <w:jc w:val="center"/>
            </w:pPr>
            <w:r w:rsidRPr="003D6E81">
              <w:t>$351,490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01A11" w:rsidP="00C01A11" w14:paraId="76267361" w14:textId="77777777">
            <w:pPr>
              <w:jc w:val="center"/>
            </w:pPr>
            <w:r w:rsidRPr="003D6E81">
              <w:t>$175,745</w:t>
            </w:r>
          </w:p>
        </w:tc>
      </w:tr>
    </w:tbl>
    <w:p w:rsidR="00D20C47" w:rsidP="00D20C47" w14:paraId="7F8305AC" w14:textId="77777777">
      <w:pPr>
        <w:ind w:firstLine="90"/>
        <w:rPr>
          <w:b/>
        </w:rPr>
      </w:pPr>
    </w:p>
    <w:p w:rsidR="00D20C47" w:rsidRPr="00DA79B5" w:rsidP="00D20C47" w14:paraId="607D9510" w14:textId="77777777">
      <w:pPr>
        <w:ind w:firstLine="90"/>
        <w:rPr>
          <w:b/>
        </w:rPr>
      </w:pPr>
      <w:r w:rsidRPr="00DA79B5">
        <w:rPr>
          <w:b/>
        </w:rPr>
        <w:t>Exhibit 3b. Federal Government Personnel Cost</w:t>
      </w:r>
    </w:p>
    <w:tbl>
      <w:tblPr>
        <w:tblW w:w="4905" w:type="dxa"/>
        <w:tblLayout w:type="fixed"/>
        <w:tblCellMar>
          <w:left w:w="100" w:type="dxa"/>
          <w:right w:w="100" w:type="dxa"/>
        </w:tblCellMar>
        <w:tblLook w:val="04A0"/>
      </w:tblPr>
      <w:tblGrid>
        <w:gridCol w:w="2183"/>
        <w:gridCol w:w="1462"/>
        <w:gridCol w:w="1260"/>
      </w:tblGrid>
      <w:tr w14:paraId="54E78378" w14:textId="77777777" w:rsidTr="00FA1642">
        <w:tblPrEx>
          <w:tblW w:w="4905" w:type="dxa"/>
          <w:tblLayout w:type="fixed"/>
          <w:tblCellMar>
            <w:left w:w="100" w:type="dxa"/>
            <w:right w:w="100" w:type="dxa"/>
          </w:tblCellMar>
          <w:tblLook w:val="04A0"/>
        </w:tblPrEx>
        <w:trPr>
          <w:cantSplit/>
          <w:trHeight w:val="403"/>
        </w:trPr>
        <w:tc>
          <w:tcPr>
            <w:tcW w:w="2183" w:type="dxa"/>
            <w:tcBorders>
              <w:top w:val="single" w:sz="6" w:space="0" w:color="auto"/>
              <w:left w:val="single" w:sz="6" w:space="0" w:color="auto"/>
              <w:bottom w:val="single" w:sz="6" w:space="0" w:color="auto"/>
              <w:right w:val="nil"/>
            </w:tcBorders>
            <w:vAlign w:val="bottom"/>
          </w:tcPr>
          <w:p w:rsidR="00984AE9" w:rsidRPr="00DA79B5" w:rsidP="00A74E0A" w14:paraId="4CCC7123" w14:textId="77777777">
            <w:pPr>
              <w:jc w:val="center"/>
              <w:rPr>
                <w:b/>
                <w:bCs/>
              </w:rPr>
            </w:pPr>
            <w:r w:rsidRPr="00DA79B5">
              <w:rPr>
                <w:b/>
                <w:bCs/>
              </w:rPr>
              <w:t>Federal Personnel</w:t>
            </w:r>
          </w:p>
        </w:tc>
        <w:tc>
          <w:tcPr>
            <w:tcW w:w="1462" w:type="dxa"/>
            <w:tcBorders>
              <w:top w:val="single" w:sz="6" w:space="0" w:color="auto"/>
              <w:left w:val="single" w:sz="6" w:space="0" w:color="auto"/>
              <w:bottom w:val="single" w:sz="6" w:space="0" w:color="auto"/>
              <w:right w:val="single" w:sz="6" w:space="0" w:color="auto"/>
            </w:tcBorders>
            <w:vAlign w:val="bottom"/>
          </w:tcPr>
          <w:p w:rsidR="00984AE9" w:rsidRPr="00DA79B5" w:rsidP="00A74E0A" w14:paraId="5A1D1BE3" w14:textId="77777777">
            <w:pPr>
              <w:jc w:val="center"/>
              <w:rPr>
                <w:b/>
                <w:bCs/>
              </w:rPr>
            </w:pPr>
            <w:r>
              <w:rPr>
                <w:b/>
                <w:bCs/>
              </w:rPr>
              <w:t>%Time</w:t>
            </w:r>
          </w:p>
        </w:tc>
        <w:tc>
          <w:tcPr>
            <w:tcW w:w="1260" w:type="dxa"/>
            <w:tcBorders>
              <w:top w:val="single" w:sz="6" w:space="0" w:color="auto"/>
              <w:left w:val="single" w:sz="6" w:space="0" w:color="auto"/>
              <w:bottom w:val="single" w:sz="6" w:space="0" w:color="auto"/>
              <w:right w:val="single" w:sz="6" w:space="0" w:color="auto"/>
            </w:tcBorders>
            <w:vAlign w:val="bottom"/>
          </w:tcPr>
          <w:p w:rsidR="00984AE9" w:rsidRPr="00DA79B5" w:rsidP="00A74E0A" w14:paraId="29C3BAF1" w14:textId="77777777">
            <w:pPr>
              <w:jc w:val="center"/>
              <w:rPr>
                <w:b/>
                <w:bCs/>
              </w:rPr>
            </w:pPr>
            <w:r w:rsidRPr="00DA79B5">
              <w:rPr>
                <w:b/>
                <w:bCs/>
              </w:rPr>
              <w:t>Cost</w:t>
            </w:r>
          </w:p>
        </w:tc>
      </w:tr>
      <w:tr w14:paraId="4C803F30" w14:textId="77777777" w:rsidTr="00FA1642">
        <w:tblPrEx>
          <w:tblW w:w="4905" w:type="dxa"/>
          <w:tblLayout w:type="fixed"/>
          <w:tblCellMar>
            <w:left w:w="100" w:type="dxa"/>
            <w:right w:w="100" w:type="dxa"/>
          </w:tblCellMar>
          <w:tblLook w:val="04A0"/>
        </w:tblPrEx>
        <w:trPr>
          <w:cantSplit/>
          <w:trHeight w:val="403"/>
        </w:trPr>
        <w:tc>
          <w:tcPr>
            <w:tcW w:w="2183" w:type="dxa"/>
            <w:tcBorders>
              <w:top w:val="single" w:sz="6" w:space="0" w:color="auto"/>
              <w:left w:val="single" w:sz="6" w:space="0" w:color="auto"/>
              <w:bottom w:val="single" w:sz="6" w:space="0" w:color="auto"/>
              <w:right w:val="nil"/>
            </w:tcBorders>
          </w:tcPr>
          <w:p w:rsidR="00984AE9" w:rsidRPr="00DA79B5" w:rsidP="00A74E0A" w14:paraId="50AB7D37" w14:textId="77777777">
            <w:pPr>
              <w:jc w:val="center"/>
            </w:pPr>
            <w:r>
              <w:t>GS 14.5</w:t>
            </w:r>
          </w:p>
        </w:tc>
        <w:tc>
          <w:tcPr>
            <w:tcW w:w="1462" w:type="dxa"/>
            <w:tcBorders>
              <w:top w:val="single" w:sz="6" w:space="0" w:color="auto"/>
              <w:left w:val="single" w:sz="6" w:space="0" w:color="auto"/>
              <w:bottom w:val="single" w:sz="6" w:space="0" w:color="auto"/>
              <w:right w:val="single" w:sz="6" w:space="0" w:color="auto"/>
            </w:tcBorders>
            <w:vAlign w:val="bottom"/>
          </w:tcPr>
          <w:p w:rsidR="00984AE9" w:rsidRPr="00DA79B5" w:rsidP="00A74E0A" w14:paraId="5DEF9307" w14:textId="77777777">
            <w:pPr>
              <w:jc w:val="center"/>
            </w:pPr>
            <w:r>
              <w:t>3%</w:t>
            </w:r>
          </w:p>
        </w:tc>
        <w:tc>
          <w:tcPr>
            <w:tcW w:w="1260" w:type="dxa"/>
            <w:tcBorders>
              <w:top w:val="single" w:sz="6" w:space="0" w:color="auto"/>
              <w:left w:val="single" w:sz="6" w:space="0" w:color="auto"/>
              <w:bottom w:val="single" w:sz="6" w:space="0" w:color="auto"/>
              <w:right w:val="single" w:sz="6" w:space="0" w:color="auto"/>
            </w:tcBorders>
            <w:vAlign w:val="bottom"/>
          </w:tcPr>
          <w:p w:rsidR="00984AE9" w:rsidRPr="00DA79B5" w:rsidP="00A74E0A" w14:paraId="4AE84A89" w14:textId="77777777">
            <w:pPr>
              <w:jc w:val="center"/>
            </w:pPr>
            <w:r>
              <w:t>$4,500</w:t>
            </w:r>
          </w:p>
        </w:tc>
      </w:tr>
      <w:tr w14:paraId="0AB36208" w14:textId="77777777" w:rsidTr="00FA1642">
        <w:tblPrEx>
          <w:tblW w:w="4905" w:type="dxa"/>
          <w:tblLayout w:type="fixed"/>
          <w:tblCellMar>
            <w:left w:w="100" w:type="dxa"/>
            <w:right w:w="100" w:type="dxa"/>
          </w:tblCellMar>
          <w:tblLook w:val="04A0"/>
        </w:tblPrEx>
        <w:trPr>
          <w:cantSplit/>
          <w:trHeight w:val="403"/>
        </w:trPr>
        <w:tc>
          <w:tcPr>
            <w:tcW w:w="2183" w:type="dxa"/>
            <w:tcBorders>
              <w:top w:val="single" w:sz="6" w:space="0" w:color="auto"/>
              <w:left w:val="single" w:sz="6" w:space="0" w:color="auto"/>
              <w:bottom w:val="single" w:sz="6" w:space="0" w:color="auto"/>
              <w:right w:val="nil"/>
            </w:tcBorders>
          </w:tcPr>
          <w:p w:rsidR="00984AE9" w:rsidRPr="00DA79B5" w:rsidP="00A74E0A" w14:paraId="6F04F0F9" w14:textId="77777777">
            <w:pPr>
              <w:jc w:val="center"/>
            </w:pPr>
          </w:p>
        </w:tc>
        <w:tc>
          <w:tcPr>
            <w:tcW w:w="1462" w:type="dxa"/>
            <w:tcBorders>
              <w:top w:val="single" w:sz="6" w:space="0" w:color="auto"/>
              <w:left w:val="single" w:sz="6" w:space="0" w:color="auto"/>
              <w:bottom w:val="single" w:sz="6" w:space="0" w:color="auto"/>
              <w:right w:val="single" w:sz="6" w:space="0" w:color="auto"/>
            </w:tcBorders>
            <w:vAlign w:val="bottom"/>
          </w:tcPr>
          <w:p w:rsidR="00984AE9" w:rsidRPr="00DA79B5" w:rsidP="00A74E0A" w14:paraId="2B9D66D0" w14:textId="77777777">
            <w:pPr>
              <w:jc w:val="center"/>
            </w:pPr>
          </w:p>
        </w:tc>
        <w:tc>
          <w:tcPr>
            <w:tcW w:w="1260" w:type="dxa"/>
            <w:tcBorders>
              <w:top w:val="single" w:sz="6" w:space="0" w:color="auto"/>
              <w:left w:val="single" w:sz="6" w:space="0" w:color="auto"/>
              <w:bottom w:val="single" w:sz="6" w:space="0" w:color="auto"/>
              <w:right w:val="single" w:sz="6" w:space="0" w:color="auto"/>
            </w:tcBorders>
            <w:vAlign w:val="bottom"/>
          </w:tcPr>
          <w:p w:rsidR="00984AE9" w:rsidRPr="00DA79B5" w:rsidP="00A74E0A" w14:paraId="507DF1D5" w14:textId="77777777">
            <w:pPr>
              <w:jc w:val="center"/>
            </w:pPr>
          </w:p>
        </w:tc>
      </w:tr>
    </w:tbl>
    <w:p w:rsidR="004131BC" w:rsidRPr="000C6156" w:rsidP="004131BC" w14:paraId="1EC484BB" w14:textId="77777777">
      <w:pPr>
        <w:rPr>
          <w:rFonts w:ascii="Calibri" w:hAnsi="Calibri"/>
          <w:sz w:val="22"/>
          <w:szCs w:val="22"/>
        </w:rPr>
      </w:pPr>
      <w:hyperlink r:id="rId10" w:history="1">
        <w:r w:rsidRPr="008C0173" w:rsidR="00A74544">
          <w:rPr>
            <w:rStyle w:val="Hyperlink"/>
            <w:rFonts w:ascii="Calibri" w:hAnsi="Calibri"/>
            <w:sz w:val="22"/>
            <w:szCs w:val="22"/>
          </w:rPr>
          <w:t>http://www.opm.gov/policy-data-oversight/pay-leave/salaries-wages/salary-tables/pdf/2023/DCB.pdf</w:t>
        </w:r>
      </w:hyperlink>
    </w:p>
    <w:p w:rsidR="009B633D" w:rsidRPr="00412C6F" w:rsidP="009B633D" w14:paraId="7424B9C5" w14:textId="77777777">
      <w:pPr>
        <w:pStyle w:val="Heading2"/>
        <w:rPr>
          <w:sz w:val="24"/>
        </w:rPr>
      </w:pPr>
      <w:r w:rsidRPr="00412C6F">
        <w:rPr>
          <w:sz w:val="24"/>
        </w:rPr>
        <w:t>15. Changes in Hour Burden</w:t>
      </w:r>
      <w:bookmarkEnd w:id="44"/>
      <w:bookmarkEnd w:id="45"/>
    </w:p>
    <w:p w:rsidR="00B21214" w:rsidRPr="00B21214" w:rsidP="00B21214" w14:paraId="3FF7B17A" w14:textId="77777777">
      <w:pPr>
        <w:spacing w:before="100" w:beforeAutospacing="1" w:after="100" w:afterAutospacing="1"/>
        <w:rPr>
          <w:iCs/>
        </w:rPr>
      </w:pPr>
      <w:bookmarkStart w:id="46" w:name="_Toc151782191"/>
      <w:bookmarkStart w:id="47" w:name="_Toc158526231"/>
      <w:r w:rsidRPr="00B21214">
        <w:rPr>
          <w:iCs/>
        </w:rPr>
        <w:t>This is a new collection of information.</w:t>
      </w:r>
    </w:p>
    <w:p w:rsidR="009B633D" w:rsidRPr="00412C6F" w:rsidP="009B633D" w14:paraId="1C60795A" w14:textId="77777777">
      <w:pPr>
        <w:pStyle w:val="Heading2"/>
        <w:rPr>
          <w:sz w:val="24"/>
        </w:rPr>
      </w:pPr>
      <w:r w:rsidRPr="00412C6F">
        <w:rPr>
          <w:sz w:val="24"/>
        </w:rPr>
        <w:t>16. Time Schedule, Publication and Analysis Plans</w:t>
      </w:r>
      <w:bookmarkEnd w:id="46"/>
      <w:bookmarkEnd w:id="47"/>
    </w:p>
    <w:p w:rsidR="00B21214" w:rsidRPr="00FD4EE7" w:rsidP="00B21214" w14:paraId="3C1C37FB" w14:textId="77777777">
      <w:pPr>
        <w:tabs>
          <w:tab w:val="left" w:pos="540"/>
        </w:tabs>
      </w:pPr>
      <w:bookmarkStart w:id="48" w:name="_Toc151782192"/>
      <w:r w:rsidRPr="00FD4EE7">
        <w:t xml:space="preserve">AHRQ will not generate or publish population estimates from this field test.  AHRQ, through its contractor RAND, will publish methodological findings to further the purpose of CAHPS to advance the scientific understanding of the patient experience.  The </w:t>
      </w:r>
      <w:r w:rsidRPr="00FD4EE7">
        <w:t xml:space="preserve">methodological findings will be generated from the analysis of the data collected using the </w:t>
      </w:r>
      <w:r>
        <w:t>NIS</w:t>
      </w:r>
      <w:r w:rsidRPr="00FD4EE7">
        <w:t xml:space="preserve"> in comparison to the CG-CAHPS survey, and from the analysis of </w:t>
      </w:r>
      <w:r>
        <w:t>NIS</w:t>
      </w:r>
      <w:r w:rsidRPr="00FD4EE7">
        <w:t xml:space="preserve"> data comparing human-coded to machine-coded (i.e., NLP) data.  AHRQ will test for differences across subsamples corresponding to race/ethnicity, gender, </w:t>
      </w:r>
      <w:r w:rsidR="00C23D9A">
        <w:t xml:space="preserve">disability status, </w:t>
      </w:r>
      <w:r w:rsidRPr="00FD4EE7">
        <w:t xml:space="preserve">and language </w:t>
      </w:r>
      <w:r>
        <w:t>preference</w:t>
      </w:r>
      <w:r w:rsidRPr="00FD4EE7">
        <w:t xml:space="preserve">, as well as the prevalence and distribution of valence (positive versus negative comments) and themes contained in the narratives, identified through qualitative coding techniques, compared to those identified through NLP coding techniques. AHRQ will test the significance of differences in valence and themes by group or coding technique using between and within group t-tests and chi-square tests, as appropriate.  </w:t>
      </w:r>
    </w:p>
    <w:p w:rsidR="00B21214" w:rsidRPr="00FD4EE7" w:rsidP="00B21214" w14:paraId="219C5A33" w14:textId="77777777">
      <w:pPr>
        <w:tabs>
          <w:tab w:val="left" w:pos="540"/>
        </w:tabs>
      </w:pPr>
    </w:p>
    <w:p w:rsidR="00B21214" w:rsidRPr="00FD4EE7" w:rsidP="00B21214" w14:paraId="063D0AFB" w14:textId="77777777">
      <w:pPr>
        <w:tabs>
          <w:tab w:val="left" w:pos="540"/>
        </w:tabs>
      </w:pPr>
      <w:r w:rsidRPr="00FD4EE7">
        <w:t xml:space="preserve">For planning purposes, AHRQ anticipates data collection will begin as early as October 2023 and no later than December 2023.  </w:t>
      </w:r>
      <w:r>
        <w:t>The table below</w:t>
      </w:r>
      <w:r w:rsidRPr="00FD4EE7">
        <w:t xml:space="preserve"> provides an approximate timeline for survey tasks including tabulation of data following review and approval of this survey.</w:t>
      </w:r>
    </w:p>
    <w:p w:rsidR="00B21214" w:rsidP="009B633D" w14:paraId="6EDAF85A" w14:textId="77777777">
      <w:pPr>
        <w:spacing w:before="120"/>
        <w:rPr>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3594"/>
      </w:tblGrid>
      <w:tr w14:paraId="7600900D" w14:textId="77777777" w:rsidTr="0072000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59"/>
        </w:trPr>
        <w:tc>
          <w:tcPr>
            <w:tcW w:w="4428" w:type="dxa"/>
          </w:tcPr>
          <w:p w:rsidR="00B21214" w:rsidRPr="00FD4EE7" w:rsidP="00720003" w14:paraId="6176853C" w14:textId="77777777">
            <w:pPr>
              <w:pStyle w:val="Default"/>
              <w:rPr>
                <w:sz w:val="23"/>
                <w:szCs w:val="23"/>
              </w:rPr>
            </w:pPr>
            <w:r w:rsidRPr="00FD4EE7">
              <w:rPr>
                <w:b/>
                <w:bCs/>
                <w:sz w:val="23"/>
                <w:szCs w:val="23"/>
              </w:rPr>
              <w:t xml:space="preserve">Activity </w:t>
            </w:r>
          </w:p>
        </w:tc>
        <w:tc>
          <w:tcPr>
            <w:tcW w:w="3594" w:type="dxa"/>
          </w:tcPr>
          <w:p w:rsidR="00B21214" w:rsidRPr="00FD4EE7" w:rsidP="00720003" w14:paraId="1AE24868" w14:textId="77777777">
            <w:pPr>
              <w:pStyle w:val="Default"/>
              <w:rPr>
                <w:sz w:val="23"/>
                <w:szCs w:val="23"/>
              </w:rPr>
            </w:pPr>
            <w:r w:rsidRPr="00FD4EE7">
              <w:rPr>
                <w:b/>
                <w:bCs/>
                <w:sz w:val="23"/>
                <w:szCs w:val="23"/>
              </w:rPr>
              <w:t xml:space="preserve">Proposed Timing of Activity </w:t>
            </w:r>
          </w:p>
        </w:tc>
      </w:tr>
      <w:tr w14:paraId="3998A519" w14:textId="77777777" w:rsidTr="00720003">
        <w:tblPrEx>
          <w:tblW w:w="0" w:type="auto"/>
          <w:tblLayout w:type="fixed"/>
          <w:tblLook w:val="0000"/>
        </w:tblPrEx>
        <w:trPr>
          <w:trHeight w:val="159"/>
        </w:trPr>
        <w:tc>
          <w:tcPr>
            <w:tcW w:w="4428" w:type="dxa"/>
          </w:tcPr>
          <w:p w:rsidR="00B21214" w:rsidRPr="00FD4EE7" w:rsidP="00720003" w14:paraId="0EA32D80" w14:textId="77777777">
            <w:pPr>
              <w:pStyle w:val="Default"/>
              <w:rPr>
                <w:sz w:val="23"/>
                <w:szCs w:val="23"/>
              </w:rPr>
            </w:pPr>
            <w:r w:rsidRPr="00FD4EE7">
              <w:rPr>
                <w:sz w:val="23"/>
                <w:szCs w:val="23"/>
              </w:rPr>
              <w:t xml:space="preserve">Code and test </w:t>
            </w:r>
            <w:r w:rsidR="0009778B">
              <w:rPr>
                <w:sz w:val="23"/>
                <w:szCs w:val="23"/>
              </w:rPr>
              <w:t>Online S</w:t>
            </w:r>
            <w:r w:rsidRPr="00FD4EE7">
              <w:rPr>
                <w:sz w:val="23"/>
                <w:szCs w:val="23"/>
              </w:rPr>
              <w:t>urvey instrument</w:t>
            </w:r>
          </w:p>
        </w:tc>
        <w:tc>
          <w:tcPr>
            <w:tcW w:w="3594" w:type="dxa"/>
          </w:tcPr>
          <w:p w:rsidR="00B21214" w:rsidRPr="00FD4EE7" w:rsidP="00720003" w14:paraId="251534D5" w14:textId="77777777">
            <w:pPr>
              <w:pStyle w:val="Default"/>
              <w:rPr>
                <w:sz w:val="23"/>
                <w:szCs w:val="23"/>
              </w:rPr>
            </w:pPr>
            <w:r w:rsidRPr="00FD4EE7">
              <w:rPr>
                <w:sz w:val="23"/>
                <w:szCs w:val="23"/>
              </w:rPr>
              <w:t>Month 1</w:t>
            </w:r>
          </w:p>
        </w:tc>
      </w:tr>
      <w:tr w14:paraId="1E1F0E8B" w14:textId="77777777" w:rsidTr="00720003">
        <w:tblPrEx>
          <w:tblW w:w="0" w:type="auto"/>
          <w:tblLayout w:type="fixed"/>
          <w:tblLook w:val="0000"/>
        </w:tblPrEx>
        <w:trPr>
          <w:trHeight w:val="157"/>
        </w:trPr>
        <w:tc>
          <w:tcPr>
            <w:tcW w:w="4428" w:type="dxa"/>
          </w:tcPr>
          <w:p w:rsidR="00B21214" w:rsidRPr="00FD4EE7" w:rsidP="00720003" w14:paraId="30028221" w14:textId="77777777">
            <w:pPr>
              <w:pStyle w:val="Default"/>
              <w:rPr>
                <w:sz w:val="23"/>
                <w:szCs w:val="23"/>
              </w:rPr>
            </w:pPr>
            <w:r w:rsidRPr="00FD4EE7">
              <w:rPr>
                <w:sz w:val="23"/>
                <w:szCs w:val="23"/>
              </w:rPr>
              <w:t xml:space="preserve">Field </w:t>
            </w:r>
            <w:r w:rsidR="0009778B">
              <w:rPr>
                <w:sz w:val="23"/>
                <w:szCs w:val="23"/>
              </w:rPr>
              <w:t>Online S</w:t>
            </w:r>
            <w:r w:rsidRPr="00FD4EE7">
              <w:rPr>
                <w:sz w:val="23"/>
                <w:szCs w:val="23"/>
              </w:rPr>
              <w:t>urvey (</w:t>
            </w:r>
            <w:r w:rsidR="00481AF5">
              <w:rPr>
                <w:sz w:val="23"/>
                <w:szCs w:val="23"/>
              </w:rPr>
              <w:t>4,999</w:t>
            </w:r>
            <w:r w:rsidRPr="00FD4EE7">
              <w:rPr>
                <w:sz w:val="23"/>
                <w:szCs w:val="23"/>
              </w:rPr>
              <w:t xml:space="preserve"> participants)</w:t>
            </w:r>
          </w:p>
        </w:tc>
        <w:tc>
          <w:tcPr>
            <w:tcW w:w="3594" w:type="dxa"/>
          </w:tcPr>
          <w:p w:rsidR="00B21214" w:rsidRPr="00FD4EE7" w:rsidP="00720003" w14:paraId="6B4701DB" w14:textId="77777777">
            <w:pPr>
              <w:pStyle w:val="Default"/>
              <w:rPr>
                <w:sz w:val="23"/>
                <w:szCs w:val="23"/>
              </w:rPr>
            </w:pPr>
            <w:r w:rsidRPr="00FD4EE7">
              <w:rPr>
                <w:sz w:val="23"/>
                <w:szCs w:val="23"/>
              </w:rPr>
              <w:t>Month 2 to 5</w:t>
            </w:r>
          </w:p>
        </w:tc>
      </w:tr>
      <w:tr w14:paraId="5C22301C" w14:textId="77777777" w:rsidTr="00720003">
        <w:tblPrEx>
          <w:tblW w:w="0" w:type="auto"/>
          <w:tblLayout w:type="fixed"/>
          <w:tblLook w:val="0000"/>
        </w:tblPrEx>
        <w:trPr>
          <w:trHeight w:val="157"/>
        </w:trPr>
        <w:tc>
          <w:tcPr>
            <w:tcW w:w="4428" w:type="dxa"/>
          </w:tcPr>
          <w:p w:rsidR="00B21214" w:rsidRPr="00FD4EE7" w:rsidP="00720003" w14:paraId="287DB833" w14:textId="77777777">
            <w:pPr>
              <w:pStyle w:val="Default"/>
              <w:rPr>
                <w:sz w:val="23"/>
                <w:szCs w:val="23"/>
              </w:rPr>
            </w:pPr>
            <w:r w:rsidRPr="00FD4EE7">
              <w:rPr>
                <w:sz w:val="23"/>
                <w:szCs w:val="23"/>
              </w:rPr>
              <w:t>Update coding scheme and hand-code data</w:t>
            </w:r>
          </w:p>
        </w:tc>
        <w:tc>
          <w:tcPr>
            <w:tcW w:w="3594" w:type="dxa"/>
          </w:tcPr>
          <w:p w:rsidR="00B21214" w:rsidRPr="00FD4EE7" w:rsidP="00720003" w14:paraId="7A103DDD" w14:textId="77777777">
            <w:pPr>
              <w:pStyle w:val="Default"/>
              <w:rPr>
                <w:sz w:val="23"/>
                <w:szCs w:val="23"/>
              </w:rPr>
            </w:pPr>
            <w:r w:rsidRPr="00FD4EE7">
              <w:rPr>
                <w:sz w:val="23"/>
                <w:szCs w:val="23"/>
              </w:rPr>
              <w:t>Months 6 to 12</w:t>
            </w:r>
          </w:p>
        </w:tc>
      </w:tr>
      <w:tr w14:paraId="1BFDF3AC" w14:textId="77777777" w:rsidTr="00720003">
        <w:tblPrEx>
          <w:tblW w:w="0" w:type="auto"/>
          <w:tblLayout w:type="fixed"/>
          <w:tblLook w:val="0000"/>
        </w:tblPrEx>
        <w:trPr>
          <w:trHeight w:val="157"/>
        </w:trPr>
        <w:tc>
          <w:tcPr>
            <w:tcW w:w="4428" w:type="dxa"/>
          </w:tcPr>
          <w:p w:rsidR="00B21214" w:rsidRPr="00FD4EE7" w:rsidP="00720003" w14:paraId="269C8082" w14:textId="77777777">
            <w:pPr>
              <w:pStyle w:val="Default"/>
              <w:rPr>
                <w:sz w:val="23"/>
                <w:szCs w:val="23"/>
              </w:rPr>
            </w:pPr>
            <w:r w:rsidRPr="00FD4EE7">
              <w:rPr>
                <w:sz w:val="23"/>
                <w:szCs w:val="23"/>
              </w:rPr>
              <w:t>Use NLP to machine-code data</w:t>
            </w:r>
          </w:p>
        </w:tc>
        <w:tc>
          <w:tcPr>
            <w:tcW w:w="3594" w:type="dxa"/>
          </w:tcPr>
          <w:p w:rsidR="00B21214" w:rsidRPr="00FD4EE7" w:rsidP="00720003" w14:paraId="5CFAC900" w14:textId="77777777">
            <w:pPr>
              <w:pStyle w:val="Default"/>
              <w:rPr>
                <w:sz w:val="23"/>
                <w:szCs w:val="23"/>
              </w:rPr>
            </w:pPr>
            <w:r w:rsidRPr="00FD4EE7">
              <w:rPr>
                <w:sz w:val="23"/>
                <w:szCs w:val="23"/>
              </w:rPr>
              <w:t>Months 9 to 12</w:t>
            </w:r>
          </w:p>
        </w:tc>
      </w:tr>
      <w:tr w14:paraId="0C4EA63F" w14:textId="77777777" w:rsidTr="00720003">
        <w:tblPrEx>
          <w:tblW w:w="0" w:type="auto"/>
          <w:tblLayout w:type="fixed"/>
          <w:tblLook w:val="0000"/>
        </w:tblPrEx>
        <w:trPr>
          <w:trHeight w:val="293"/>
        </w:trPr>
        <w:tc>
          <w:tcPr>
            <w:tcW w:w="4428" w:type="dxa"/>
          </w:tcPr>
          <w:p w:rsidR="00B21214" w:rsidRPr="00FD4EE7" w:rsidP="00720003" w14:paraId="7879CBD2" w14:textId="77777777">
            <w:pPr>
              <w:pStyle w:val="Default"/>
              <w:rPr>
                <w:sz w:val="23"/>
                <w:szCs w:val="23"/>
              </w:rPr>
            </w:pPr>
            <w:r w:rsidRPr="00FD4EE7">
              <w:rPr>
                <w:sz w:val="23"/>
                <w:szCs w:val="23"/>
              </w:rPr>
              <w:t>Data analysis</w:t>
            </w:r>
          </w:p>
        </w:tc>
        <w:tc>
          <w:tcPr>
            <w:tcW w:w="3594" w:type="dxa"/>
          </w:tcPr>
          <w:p w:rsidR="00B21214" w:rsidRPr="007F133C" w:rsidP="00720003" w14:paraId="738D3C49" w14:textId="77777777">
            <w:pPr>
              <w:pStyle w:val="Default"/>
              <w:rPr>
                <w:sz w:val="23"/>
                <w:szCs w:val="23"/>
              </w:rPr>
            </w:pPr>
            <w:r w:rsidRPr="00FD4EE7">
              <w:rPr>
                <w:sz w:val="23"/>
                <w:szCs w:val="23"/>
              </w:rPr>
              <w:t>Months 12 to 1</w:t>
            </w:r>
            <w:r>
              <w:rPr>
                <w:sz w:val="23"/>
                <w:szCs w:val="23"/>
              </w:rPr>
              <w:t>8</w:t>
            </w:r>
          </w:p>
        </w:tc>
      </w:tr>
    </w:tbl>
    <w:p w:rsidR="009B633D" w:rsidRPr="00424E6E" w:rsidP="009B633D" w14:paraId="404C7DC0" w14:textId="77777777">
      <w:pPr>
        <w:pStyle w:val="Heading2"/>
        <w:rPr>
          <w:sz w:val="24"/>
        </w:rPr>
      </w:pPr>
      <w:bookmarkStart w:id="49" w:name="_Toc151782196"/>
      <w:bookmarkStart w:id="50" w:name="_Toc158526232"/>
      <w:bookmarkEnd w:id="48"/>
      <w:r w:rsidRPr="00424E6E">
        <w:rPr>
          <w:sz w:val="24"/>
        </w:rPr>
        <w:t>17. Exemption for Display of Expiration Date</w:t>
      </w:r>
      <w:bookmarkEnd w:id="49"/>
      <w:bookmarkEnd w:id="50"/>
    </w:p>
    <w:p w:rsidR="009B633D" w:rsidP="009B633D" w14:paraId="518117CC" w14:textId="77777777">
      <w:r w:rsidRPr="004F03D2">
        <w:t>AHRQ does not seek this exemption</w:t>
      </w:r>
      <w:r>
        <w:t>.</w:t>
      </w:r>
    </w:p>
    <w:p w:rsidR="00016560" w:rsidRPr="00016560" w:rsidP="00450538" w14:paraId="607AE046" w14:textId="77777777">
      <w:pPr>
        <w:pStyle w:val="NormalWeb"/>
        <w:rPr>
          <w:rFonts w:ascii="Arial" w:hAnsi="Arial" w:cs="Arial"/>
          <w:b/>
        </w:rPr>
      </w:pPr>
      <w:r>
        <w:rPr>
          <w:rFonts w:ascii="Arial" w:hAnsi="Arial" w:cs="Arial"/>
          <w:b/>
        </w:rPr>
        <w:t xml:space="preserve">List of </w:t>
      </w:r>
      <w:r w:rsidRPr="00016560">
        <w:rPr>
          <w:rFonts w:ascii="Arial" w:hAnsi="Arial" w:cs="Arial"/>
          <w:b/>
        </w:rPr>
        <w:t>Attachments:</w:t>
      </w:r>
    </w:p>
    <w:p w:rsidR="00B21214" w:rsidRPr="003D6E81" w:rsidP="00B21214" w14:paraId="64FABE3C" w14:textId="5F161A80">
      <w:pPr>
        <w:tabs>
          <w:tab w:val="left" w:pos="540"/>
        </w:tabs>
      </w:pPr>
      <w:r w:rsidRPr="003D6E81">
        <w:t xml:space="preserve">Attachment A </w:t>
      </w:r>
      <w:r w:rsidR="009E7B80">
        <w:t xml:space="preserve">-- </w:t>
      </w:r>
      <w:r w:rsidRPr="003D6E81">
        <w:t>CG-CAHPS NEP Invitation.docx</w:t>
      </w:r>
    </w:p>
    <w:p w:rsidR="00B21214" w:rsidRPr="003D6E81" w:rsidP="00B21214" w14:paraId="0260F7B7" w14:textId="29B56A80">
      <w:pPr>
        <w:tabs>
          <w:tab w:val="left" w:pos="540"/>
        </w:tabs>
      </w:pPr>
      <w:r w:rsidRPr="003D6E81">
        <w:t xml:space="preserve">Attachment B </w:t>
      </w:r>
      <w:r w:rsidR="009E7B80">
        <w:t xml:space="preserve">-- </w:t>
      </w:r>
      <w:r w:rsidR="0059186C">
        <w:t>Survey Instrument</w:t>
      </w:r>
      <w:r w:rsidRPr="003D6E81">
        <w:t>.docx</w:t>
      </w:r>
    </w:p>
    <w:p w:rsidR="00B21214" w:rsidP="00B21214" w14:paraId="5D0BDAE1" w14:textId="77777777">
      <w:pPr>
        <w:tabs>
          <w:tab w:val="left" w:pos="540"/>
        </w:tabs>
      </w:pPr>
      <w:r w:rsidRPr="003D6E81">
        <w:t xml:space="preserve">Attachment </w:t>
      </w:r>
      <w:r w:rsidR="0059186C">
        <w:t>C</w:t>
      </w:r>
      <w:r w:rsidRPr="003D6E81">
        <w:t xml:space="preserve"> </w:t>
      </w:r>
      <w:r>
        <w:t xml:space="preserve">-- </w:t>
      </w:r>
      <w:r w:rsidRPr="003D6E81">
        <w:t>Informed consent.docx</w:t>
      </w:r>
    </w:p>
    <w:p w:rsidR="00B21214" w:rsidP="00B21214" w14:paraId="2AD8DACF" w14:textId="302B9D28">
      <w:pPr>
        <w:tabs>
          <w:tab w:val="left" w:pos="540"/>
        </w:tabs>
      </w:pPr>
      <w:r>
        <w:t xml:space="preserve">Attachment </w:t>
      </w:r>
      <w:r w:rsidR="0059186C">
        <w:t>D</w:t>
      </w:r>
      <w:r w:rsidR="009E7B80">
        <w:t xml:space="preserve"> </w:t>
      </w:r>
      <w:r>
        <w:t>--</w:t>
      </w:r>
      <w:r w:rsidR="009E7B80">
        <w:t xml:space="preserve"> </w:t>
      </w:r>
      <w:r>
        <w:t>Ipsos Confidentiality Agreement.docx</w:t>
      </w:r>
    </w:p>
    <w:p w:rsidR="009E7B80" w:rsidP="00B21214" w14:paraId="41F9147C" w14:textId="36FAC6C3">
      <w:pPr>
        <w:tabs>
          <w:tab w:val="left" w:pos="540"/>
        </w:tabs>
      </w:pPr>
      <w:r>
        <w:t>Attachment E -- 60 Day Federal Register Notice</w:t>
      </w:r>
    </w:p>
    <w:p w:rsidR="00DA79B5" w:rsidRPr="00535B56" w:rsidP="00F77482" w14:paraId="5C4F0559" w14:textId="77777777">
      <w:pPr>
        <w:pStyle w:val="NormalWeb"/>
        <w:tabs>
          <w:tab w:val="left" w:pos="360"/>
        </w:tabs>
      </w:pPr>
    </w:p>
    <w:sectPr w:rsidSect="009B633D">
      <w:footerReference w:type="even" r:id="rId11"/>
      <w:footerReference w:type="default" r:id="rId12"/>
      <w:endnotePr>
        <w:numFmt w:val="decimal"/>
      </w:endnotePr>
      <w:pgSz w:w="12240" w:h="15840"/>
      <w:pgMar w:top="1440" w:right="1800" w:bottom="1260" w:left="1800" w:header="720" w:footer="720"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3643" w:rsidP="009B633D" w14:paraId="26E3892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73643" w14:paraId="02109A0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3643" w:rsidP="009B633D" w14:paraId="5DC3A7E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0951">
      <w:rPr>
        <w:rStyle w:val="PageNumber"/>
        <w:noProof/>
      </w:rPr>
      <w:t>- 12 -</w:t>
    </w:r>
    <w:r>
      <w:rPr>
        <w:rStyle w:val="PageNumber"/>
      </w:rPr>
      <w:fldChar w:fldCharType="end"/>
    </w:r>
  </w:p>
  <w:p w:rsidR="00673643" w14:paraId="360C4FA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4C64" w14:paraId="650AC8C8" w14:textId="77777777">
      <w:r>
        <w:separator/>
      </w:r>
    </w:p>
  </w:footnote>
  <w:footnote w:type="continuationSeparator" w:id="1">
    <w:p w:rsidR="005B4C64" w14:paraId="58F9004C" w14:textId="77777777">
      <w:r>
        <w:continuationSeparator/>
      </w:r>
    </w:p>
  </w:footnote>
  <w:footnote w:id="2">
    <w:p w:rsidR="005E676F" w:rsidP="005E676F" w14:paraId="1ABDEE33" w14:textId="77777777">
      <w:pPr>
        <w:pStyle w:val="FootnoteText"/>
      </w:pPr>
      <w:r>
        <w:rPr>
          <w:rStyle w:val="FootnoteReference"/>
        </w:rPr>
        <w:footnoteRef/>
      </w:r>
      <w:r w:rsidRPr="00A97F40" w:rsidR="00A97F40">
        <w:rPr>
          <w:vertAlign w:val="superscript"/>
        </w:rPr>
        <w:t>1</w:t>
      </w:r>
      <w:r>
        <w:t xml:space="preserve"> This item is currently undergoing field testing under a contract between RAND and CMS: National Implementation of Medicare Advantage and Prescription Drug Plan CAHPS Surveys. Centers for Medicare &amp; Medicaid Services contract with the RAND Corporation (GS-10F-0275P/75FCMC20F0101). Elliott MN (Project Director).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374F8"/>
    <w:multiLevelType w:val="hybridMultilevel"/>
    <w:tmpl w:val="1B525974"/>
    <w:lvl w:ilvl="0">
      <w:start w:val="1"/>
      <w:numFmt w:val="bullet"/>
      <w:lvlText w:val=""/>
      <w:lvlJc w:val="left"/>
      <w:pPr>
        <w:tabs>
          <w:tab w:val="num" w:pos="612"/>
        </w:tabs>
        <w:ind w:left="612" w:hanging="360"/>
      </w:pPr>
      <w:rPr>
        <w:rFonts w:ascii="Wingdings" w:hAnsi="Wingdings" w:hint="default"/>
      </w:rPr>
    </w:lvl>
    <w:lvl w:ilvl="1" w:tentative="1">
      <w:start w:val="1"/>
      <w:numFmt w:val="bullet"/>
      <w:lvlText w:val="o"/>
      <w:lvlJc w:val="left"/>
      <w:pPr>
        <w:tabs>
          <w:tab w:val="num" w:pos="1332"/>
        </w:tabs>
        <w:ind w:left="1332" w:hanging="360"/>
      </w:pPr>
      <w:rPr>
        <w:rFonts w:ascii="Courier New" w:hAnsi="Courier New" w:cs="Times New (W1)"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cs="Times New (W1)"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cs="Times New (W1)"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1">
    <w:nsid w:val="02B206E1"/>
    <w:multiLevelType w:val="hybridMultilevel"/>
    <w:tmpl w:val="26AA8D38"/>
    <w:lvl w:ilvl="0">
      <w:start w:val="1"/>
      <w:numFmt w:val="decimal"/>
      <w:lvlText w:val="%1."/>
      <w:lvlJc w:val="left"/>
      <w:pPr>
        <w:tabs>
          <w:tab w:val="num" w:pos="720"/>
        </w:tabs>
        <w:ind w:left="720" w:hanging="360"/>
      </w:pPr>
      <w:rPr>
        <w:rFonts w:hint="default"/>
        <w:sz w:val="16"/>
        <w:szCs w:val="16"/>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505E3B"/>
    <w:multiLevelType w:val="hybridMultilevel"/>
    <w:tmpl w:val="728854C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D1012"/>
    <w:multiLevelType w:val="hybridMultilevel"/>
    <w:tmpl w:val="F522BD5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8A10292"/>
    <w:multiLevelType w:val="hybridMultilevel"/>
    <w:tmpl w:val="B1FA664C"/>
    <w:lvl w:ilvl="0">
      <w:start w:val="1"/>
      <w:numFmt w:val="bullet"/>
      <w:lvlText w:val=""/>
      <w:lvlJc w:val="left"/>
      <w:pPr>
        <w:tabs>
          <w:tab w:val="num" w:pos="612"/>
        </w:tabs>
        <w:ind w:left="612" w:hanging="360"/>
      </w:pPr>
      <w:rPr>
        <w:rFonts w:ascii="Wingdings" w:hAnsi="Wingdings" w:hint="default"/>
      </w:rPr>
    </w:lvl>
    <w:lvl w:ilvl="1" w:tentative="1">
      <w:start w:val="1"/>
      <w:numFmt w:val="bullet"/>
      <w:lvlText w:val="o"/>
      <w:lvlJc w:val="left"/>
      <w:pPr>
        <w:tabs>
          <w:tab w:val="num" w:pos="1332"/>
        </w:tabs>
        <w:ind w:left="1332" w:hanging="360"/>
      </w:pPr>
      <w:rPr>
        <w:rFonts w:ascii="Courier New" w:hAnsi="Courier New" w:cs="Times New (W1)"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cs="Times New (W1)"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cs="Times New (W1)"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10">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A995858"/>
    <w:multiLevelType w:val="hybridMultilevel"/>
    <w:tmpl w:val="45E014A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6C79A8"/>
    <w:multiLevelType w:val="hybridMultilevel"/>
    <w:tmpl w:val="5D74BB30"/>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332"/>
        </w:tabs>
        <w:ind w:left="1332" w:hanging="360"/>
      </w:pPr>
      <w:rPr>
        <w:rFonts w:ascii="Courier New" w:hAnsi="Courier New" w:cs="Times New (W1)"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cs="Times New (W1)"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cs="Times New (W1)"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14">
    <w:nsid w:val="3FCB150C"/>
    <w:multiLevelType w:val="hybridMultilevel"/>
    <w:tmpl w:val="4F0871C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18">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972B6F"/>
    <w:multiLevelType w:val="hybridMultilevel"/>
    <w:tmpl w:val="3738AA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FA2574"/>
    <w:multiLevelType w:val="hybridMultilevel"/>
    <w:tmpl w:val="0A1E8A72"/>
    <w:lvl w:ilvl="0">
      <w:start w:val="1"/>
      <w:numFmt w:val="bullet"/>
      <w:lvlText w:val=""/>
      <w:lvlJc w:val="left"/>
      <w:pPr>
        <w:tabs>
          <w:tab w:val="num" w:pos="1080"/>
        </w:tabs>
        <w:ind w:left="1080" w:hanging="360"/>
      </w:pPr>
      <w:rPr>
        <w:rFonts w:ascii="Wingdings" w:hAnsi="Wingdings" w:hint="default"/>
        <w:color w:val="auto"/>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8E04CE2"/>
    <w:multiLevelType w:val="hybridMultilevel"/>
    <w:tmpl w:val="2AAEDC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29">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30">
    <w:nsid w:val="5A606CBB"/>
    <w:multiLevelType w:val="hybridMultilevel"/>
    <w:tmpl w:val="14D8E0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D73910"/>
    <w:multiLevelType w:val="hybridMultilevel"/>
    <w:tmpl w:val="8E9ED68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24A77AD"/>
    <w:multiLevelType w:val="hybridMultilevel"/>
    <w:tmpl w:val="EF94B6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26875F0"/>
    <w:multiLevelType w:val="hybridMultilevel"/>
    <w:tmpl w:val="42BCA0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6EE7FE3"/>
    <w:multiLevelType w:val="hybridMultilevel"/>
    <w:tmpl w:val="FD2E7EC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Times New (W1)"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Times New (W1)"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Times New (W1)"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nsid w:val="6C507C82"/>
    <w:multiLevelType w:val="hybridMultilevel"/>
    <w:tmpl w:val="CF964A98"/>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467CC2"/>
    <w:multiLevelType w:val="hybridMultilevel"/>
    <w:tmpl w:val="DD965748"/>
    <w:lvl w:ilvl="0">
      <w:start w:val="1"/>
      <w:numFmt w:val="bullet"/>
      <w:lvlText w:val=""/>
      <w:lvlJc w:val="left"/>
      <w:pPr>
        <w:tabs>
          <w:tab w:val="num" w:pos="1080"/>
        </w:tabs>
        <w:ind w:left="1080" w:hanging="360"/>
      </w:pPr>
      <w:rPr>
        <w:rFonts w:ascii="Wingdings" w:hAnsi="Wingdings" w:hint="default"/>
        <w:color w:val="auto"/>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1773900"/>
    <w:multiLevelType w:val="hybridMultilevel"/>
    <w:tmpl w:val="AB0C5916"/>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39D2F89"/>
    <w:multiLevelType w:val="hybridMultilevel"/>
    <w:tmpl w:val="C852842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7C8836DA"/>
    <w:multiLevelType w:val="hybridMultilevel"/>
    <w:tmpl w:val="1DC69BC0"/>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45">
    <w:nsid w:val="7DEF18BF"/>
    <w:multiLevelType w:val="hybridMultilevel"/>
    <w:tmpl w:val="0F70BD80"/>
    <w:lvl w:ilvl="0">
      <w:start w:val="1"/>
      <w:numFmt w:val="bullet"/>
      <w:lvlText w:val=""/>
      <w:lvlJc w:val="left"/>
      <w:pPr>
        <w:tabs>
          <w:tab w:val="num" w:pos="360"/>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Times New (W1)"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61345291">
    <w:abstractNumId w:val="10"/>
  </w:num>
  <w:num w:numId="2" w16cid:durableId="134874825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867439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17878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9810866">
    <w:abstractNumId w:val="22"/>
  </w:num>
  <w:num w:numId="6" w16cid:durableId="1579898801">
    <w:abstractNumId w:val="44"/>
  </w:num>
  <w:num w:numId="7" w16cid:durableId="1792940982">
    <w:abstractNumId w:val="35"/>
  </w:num>
  <w:num w:numId="8" w16cid:durableId="1275088444">
    <w:abstractNumId w:val="31"/>
  </w:num>
  <w:num w:numId="9" w16cid:durableId="583029401">
    <w:abstractNumId w:val="34"/>
  </w:num>
  <w:num w:numId="10" w16cid:durableId="199317375">
    <w:abstractNumId w:val="11"/>
  </w:num>
  <w:num w:numId="11" w16cid:durableId="1619097301">
    <w:abstractNumId w:val="30"/>
  </w:num>
  <w:num w:numId="12" w16cid:durableId="659118247">
    <w:abstractNumId w:val="43"/>
  </w:num>
  <w:num w:numId="13" w16cid:durableId="1184324400">
    <w:abstractNumId w:val="7"/>
  </w:num>
  <w:num w:numId="14" w16cid:durableId="360710505">
    <w:abstractNumId w:val="14"/>
  </w:num>
  <w:num w:numId="15" w16cid:durableId="1006252125">
    <w:abstractNumId w:val="28"/>
  </w:num>
  <w:num w:numId="16" w16cid:durableId="182670851">
    <w:abstractNumId w:val="42"/>
  </w:num>
  <w:num w:numId="17" w16cid:durableId="2130660730">
    <w:abstractNumId w:val="37"/>
  </w:num>
  <w:num w:numId="18" w16cid:durableId="19934807">
    <w:abstractNumId w:val="16"/>
  </w:num>
  <w:num w:numId="19" w16cid:durableId="2092844832">
    <w:abstractNumId w:val="26"/>
  </w:num>
  <w:num w:numId="20" w16cid:durableId="1229614859">
    <w:abstractNumId w:val="8"/>
  </w:num>
  <w:num w:numId="21" w16cid:durableId="1267277073">
    <w:abstractNumId w:val="40"/>
  </w:num>
  <w:num w:numId="22" w16cid:durableId="1410228623">
    <w:abstractNumId w:val="1"/>
  </w:num>
  <w:num w:numId="23" w16cid:durableId="1686125493">
    <w:abstractNumId w:val="36"/>
  </w:num>
  <w:num w:numId="24" w16cid:durableId="1544099520">
    <w:abstractNumId w:val="33"/>
  </w:num>
  <w:num w:numId="25" w16cid:durableId="64184610">
    <w:abstractNumId w:val="4"/>
  </w:num>
  <w:num w:numId="26" w16cid:durableId="391540567">
    <w:abstractNumId w:val="9"/>
  </w:num>
  <w:num w:numId="27" w16cid:durableId="825702765">
    <w:abstractNumId w:val="29"/>
  </w:num>
  <w:num w:numId="28" w16cid:durableId="1162430370">
    <w:abstractNumId w:val="0"/>
  </w:num>
  <w:num w:numId="29" w16cid:durableId="1373917842">
    <w:abstractNumId w:val="17"/>
  </w:num>
  <w:num w:numId="30" w16cid:durableId="66003642">
    <w:abstractNumId w:val="13"/>
  </w:num>
  <w:num w:numId="31" w16cid:durableId="1964725097">
    <w:abstractNumId w:val="41"/>
  </w:num>
  <w:num w:numId="32" w16cid:durableId="1032419227">
    <w:abstractNumId w:val="38"/>
  </w:num>
  <w:num w:numId="33" w16cid:durableId="1322655587">
    <w:abstractNumId w:val="45"/>
  </w:num>
  <w:num w:numId="34" w16cid:durableId="1199314430">
    <w:abstractNumId w:val="18"/>
  </w:num>
  <w:num w:numId="35" w16cid:durableId="1870682137">
    <w:abstractNumId w:val="25"/>
  </w:num>
  <w:num w:numId="36" w16cid:durableId="2002735235">
    <w:abstractNumId w:val="19"/>
  </w:num>
  <w:num w:numId="37" w16cid:durableId="2033729058">
    <w:abstractNumId w:val="32"/>
  </w:num>
  <w:num w:numId="38" w16cid:durableId="1758866937">
    <w:abstractNumId w:val="12"/>
  </w:num>
  <w:num w:numId="39" w16cid:durableId="1650745918">
    <w:abstractNumId w:val="3"/>
  </w:num>
  <w:num w:numId="40" w16cid:durableId="507867221">
    <w:abstractNumId w:val="24"/>
  </w:num>
  <w:num w:numId="41" w16cid:durableId="1196233765">
    <w:abstractNumId w:val="5"/>
  </w:num>
  <w:num w:numId="42" w16cid:durableId="228619434">
    <w:abstractNumId w:val="6"/>
  </w:num>
  <w:num w:numId="43" w16cid:durableId="1695885046">
    <w:abstractNumId w:val="20"/>
  </w:num>
  <w:num w:numId="44" w16cid:durableId="1445492573">
    <w:abstractNumId w:val="39"/>
  </w:num>
  <w:num w:numId="45" w16cid:durableId="1990740794">
    <w:abstractNumId w:val="27"/>
  </w:num>
  <w:num w:numId="46" w16cid:durableId="10406659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74"/>
    <w:rsid w:val="00011E85"/>
    <w:rsid w:val="00012921"/>
    <w:rsid w:val="00012FB9"/>
    <w:rsid w:val="00015AAF"/>
    <w:rsid w:val="00016560"/>
    <w:rsid w:val="00024FEE"/>
    <w:rsid w:val="00033301"/>
    <w:rsid w:val="00037998"/>
    <w:rsid w:val="00043473"/>
    <w:rsid w:val="00045959"/>
    <w:rsid w:val="00046359"/>
    <w:rsid w:val="000521FC"/>
    <w:rsid w:val="0006207D"/>
    <w:rsid w:val="00063605"/>
    <w:rsid w:val="00074B31"/>
    <w:rsid w:val="000769F7"/>
    <w:rsid w:val="000779A9"/>
    <w:rsid w:val="00082047"/>
    <w:rsid w:val="00083283"/>
    <w:rsid w:val="00094648"/>
    <w:rsid w:val="0009778B"/>
    <w:rsid w:val="000A016A"/>
    <w:rsid w:val="000A140E"/>
    <w:rsid w:val="000A3475"/>
    <w:rsid w:val="000B78CB"/>
    <w:rsid w:val="000C0E27"/>
    <w:rsid w:val="000C6156"/>
    <w:rsid w:val="000D429E"/>
    <w:rsid w:val="000D7401"/>
    <w:rsid w:val="000E01D1"/>
    <w:rsid w:val="000E4300"/>
    <w:rsid w:val="000E4841"/>
    <w:rsid w:val="000F1328"/>
    <w:rsid w:val="000F2B59"/>
    <w:rsid w:val="00112DF2"/>
    <w:rsid w:val="00120A0C"/>
    <w:rsid w:val="00124917"/>
    <w:rsid w:val="001301AA"/>
    <w:rsid w:val="00131443"/>
    <w:rsid w:val="00147790"/>
    <w:rsid w:val="00166A69"/>
    <w:rsid w:val="00172907"/>
    <w:rsid w:val="001868E0"/>
    <w:rsid w:val="00187A50"/>
    <w:rsid w:val="00190F1E"/>
    <w:rsid w:val="00197062"/>
    <w:rsid w:val="001A00B0"/>
    <w:rsid w:val="001A0E5E"/>
    <w:rsid w:val="001A28C0"/>
    <w:rsid w:val="001B1C61"/>
    <w:rsid w:val="001B60C1"/>
    <w:rsid w:val="001C59E4"/>
    <w:rsid w:val="001D0454"/>
    <w:rsid w:val="001E63C6"/>
    <w:rsid w:val="001F7657"/>
    <w:rsid w:val="00211E70"/>
    <w:rsid w:val="0022366A"/>
    <w:rsid w:val="00252B1D"/>
    <w:rsid w:val="0026424E"/>
    <w:rsid w:val="00272E29"/>
    <w:rsid w:val="00291B73"/>
    <w:rsid w:val="0029734C"/>
    <w:rsid w:val="002B382B"/>
    <w:rsid w:val="002B7635"/>
    <w:rsid w:val="002E54EF"/>
    <w:rsid w:val="002F4DE8"/>
    <w:rsid w:val="00325B9C"/>
    <w:rsid w:val="003270FA"/>
    <w:rsid w:val="00340D97"/>
    <w:rsid w:val="0034325D"/>
    <w:rsid w:val="00350E4E"/>
    <w:rsid w:val="00361F52"/>
    <w:rsid w:val="00365B7B"/>
    <w:rsid w:val="003660BA"/>
    <w:rsid w:val="0037254D"/>
    <w:rsid w:val="0037427A"/>
    <w:rsid w:val="00377301"/>
    <w:rsid w:val="0037771B"/>
    <w:rsid w:val="00377D80"/>
    <w:rsid w:val="0038217D"/>
    <w:rsid w:val="00382BDC"/>
    <w:rsid w:val="003A0672"/>
    <w:rsid w:val="003A56BD"/>
    <w:rsid w:val="003B2951"/>
    <w:rsid w:val="003B5859"/>
    <w:rsid w:val="003B6B41"/>
    <w:rsid w:val="003C60BD"/>
    <w:rsid w:val="003D21A7"/>
    <w:rsid w:val="003D3937"/>
    <w:rsid w:val="003D6E81"/>
    <w:rsid w:val="003D73D8"/>
    <w:rsid w:val="003E2801"/>
    <w:rsid w:val="003F5921"/>
    <w:rsid w:val="00412C6F"/>
    <w:rsid w:val="004131BC"/>
    <w:rsid w:val="00414C80"/>
    <w:rsid w:val="004155E1"/>
    <w:rsid w:val="00423E8F"/>
    <w:rsid w:val="00424E6E"/>
    <w:rsid w:val="00425974"/>
    <w:rsid w:val="00430DC0"/>
    <w:rsid w:val="0043596B"/>
    <w:rsid w:val="00444386"/>
    <w:rsid w:val="0044769A"/>
    <w:rsid w:val="00450538"/>
    <w:rsid w:val="00452268"/>
    <w:rsid w:val="00456179"/>
    <w:rsid w:val="00457486"/>
    <w:rsid w:val="00457FB1"/>
    <w:rsid w:val="004670C2"/>
    <w:rsid w:val="00467163"/>
    <w:rsid w:val="0047504D"/>
    <w:rsid w:val="00480523"/>
    <w:rsid w:val="004811AD"/>
    <w:rsid w:val="00481AF5"/>
    <w:rsid w:val="00492F5F"/>
    <w:rsid w:val="0049563E"/>
    <w:rsid w:val="00497ED9"/>
    <w:rsid w:val="004A2FE0"/>
    <w:rsid w:val="004A624D"/>
    <w:rsid w:val="004C3BA7"/>
    <w:rsid w:val="004C4A74"/>
    <w:rsid w:val="004E16F6"/>
    <w:rsid w:val="004E3A1B"/>
    <w:rsid w:val="004F03D2"/>
    <w:rsid w:val="004F0853"/>
    <w:rsid w:val="004F13C0"/>
    <w:rsid w:val="00501308"/>
    <w:rsid w:val="005104D3"/>
    <w:rsid w:val="00510909"/>
    <w:rsid w:val="00520CE0"/>
    <w:rsid w:val="00521E67"/>
    <w:rsid w:val="00522E12"/>
    <w:rsid w:val="0052528F"/>
    <w:rsid w:val="00527BBD"/>
    <w:rsid w:val="00531857"/>
    <w:rsid w:val="00535B56"/>
    <w:rsid w:val="00537AF2"/>
    <w:rsid w:val="00556066"/>
    <w:rsid w:val="0056238F"/>
    <w:rsid w:val="00572FCB"/>
    <w:rsid w:val="00581FD2"/>
    <w:rsid w:val="0059186C"/>
    <w:rsid w:val="0059189B"/>
    <w:rsid w:val="00593E67"/>
    <w:rsid w:val="00597288"/>
    <w:rsid w:val="005A2BA2"/>
    <w:rsid w:val="005B02AC"/>
    <w:rsid w:val="005B2955"/>
    <w:rsid w:val="005B3C01"/>
    <w:rsid w:val="005B4C64"/>
    <w:rsid w:val="005B62CF"/>
    <w:rsid w:val="005B6FAA"/>
    <w:rsid w:val="005B715B"/>
    <w:rsid w:val="005D66CD"/>
    <w:rsid w:val="005E49B8"/>
    <w:rsid w:val="005E676F"/>
    <w:rsid w:val="005F4B12"/>
    <w:rsid w:val="0060047D"/>
    <w:rsid w:val="006014DB"/>
    <w:rsid w:val="00604437"/>
    <w:rsid w:val="00606400"/>
    <w:rsid w:val="00613C05"/>
    <w:rsid w:val="00620B93"/>
    <w:rsid w:val="00625C1B"/>
    <w:rsid w:val="00626D1D"/>
    <w:rsid w:val="00631C81"/>
    <w:rsid w:val="00635119"/>
    <w:rsid w:val="00636A0C"/>
    <w:rsid w:val="00655A17"/>
    <w:rsid w:val="00673146"/>
    <w:rsid w:val="00673643"/>
    <w:rsid w:val="00677A0B"/>
    <w:rsid w:val="006A28E1"/>
    <w:rsid w:val="006A4D4E"/>
    <w:rsid w:val="006C45D0"/>
    <w:rsid w:val="006D1C5E"/>
    <w:rsid w:val="006E622B"/>
    <w:rsid w:val="006F06AF"/>
    <w:rsid w:val="006F7A99"/>
    <w:rsid w:val="0070072D"/>
    <w:rsid w:val="00703573"/>
    <w:rsid w:val="007109B1"/>
    <w:rsid w:val="00710C91"/>
    <w:rsid w:val="00720003"/>
    <w:rsid w:val="007208E0"/>
    <w:rsid w:val="00723075"/>
    <w:rsid w:val="00733323"/>
    <w:rsid w:val="00741F3D"/>
    <w:rsid w:val="00744D19"/>
    <w:rsid w:val="00747A7E"/>
    <w:rsid w:val="00747D2F"/>
    <w:rsid w:val="00752EA8"/>
    <w:rsid w:val="007544E4"/>
    <w:rsid w:val="00760B50"/>
    <w:rsid w:val="00765D1A"/>
    <w:rsid w:val="007700A7"/>
    <w:rsid w:val="007721F3"/>
    <w:rsid w:val="00776654"/>
    <w:rsid w:val="007A265C"/>
    <w:rsid w:val="007B0CF3"/>
    <w:rsid w:val="007B3A8E"/>
    <w:rsid w:val="007B4120"/>
    <w:rsid w:val="007C1ECB"/>
    <w:rsid w:val="007C4DD5"/>
    <w:rsid w:val="007D4F9F"/>
    <w:rsid w:val="007E4359"/>
    <w:rsid w:val="007E6088"/>
    <w:rsid w:val="007F133C"/>
    <w:rsid w:val="0080612B"/>
    <w:rsid w:val="00811735"/>
    <w:rsid w:val="00815B1A"/>
    <w:rsid w:val="00817DA0"/>
    <w:rsid w:val="00825DA9"/>
    <w:rsid w:val="0083145C"/>
    <w:rsid w:val="00833CF4"/>
    <w:rsid w:val="00841047"/>
    <w:rsid w:val="008450C0"/>
    <w:rsid w:val="008573ED"/>
    <w:rsid w:val="00861828"/>
    <w:rsid w:val="00861E61"/>
    <w:rsid w:val="00873F74"/>
    <w:rsid w:val="00880DFE"/>
    <w:rsid w:val="00887F65"/>
    <w:rsid w:val="00892655"/>
    <w:rsid w:val="008A30B9"/>
    <w:rsid w:val="008B31EA"/>
    <w:rsid w:val="008B593F"/>
    <w:rsid w:val="008C0173"/>
    <w:rsid w:val="008C580E"/>
    <w:rsid w:val="008D028E"/>
    <w:rsid w:val="008E2E16"/>
    <w:rsid w:val="008E4FC9"/>
    <w:rsid w:val="008E567E"/>
    <w:rsid w:val="008F0B8B"/>
    <w:rsid w:val="00904CC3"/>
    <w:rsid w:val="009206CC"/>
    <w:rsid w:val="009374DF"/>
    <w:rsid w:val="00944ABF"/>
    <w:rsid w:val="00946F19"/>
    <w:rsid w:val="00955553"/>
    <w:rsid w:val="00973996"/>
    <w:rsid w:val="009746A1"/>
    <w:rsid w:val="00983636"/>
    <w:rsid w:val="00984AE9"/>
    <w:rsid w:val="009943E2"/>
    <w:rsid w:val="009943E4"/>
    <w:rsid w:val="00994C16"/>
    <w:rsid w:val="0099646C"/>
    <w:rsid w:val="009A237A"/>
    <w:rsid w:val="009A49A7"/>
    <w:rsid w:val="009B3622"/>
    <w:rsid w:val="009B633D"/>
    <w:rsid w:val="009C30E0"/>
    <w:rsid w:val="009C4881"/>
    <w:rsid w:val="009D3DBB"/>
    <w:rsid w:val="009D73A3"/>
    <w:rsid w:val="009E7B80"/>
    <w:rsid w:val="009E7B9C"/>
    <w:rsid w:val="009F299E"/>
    <w:rsid w:val="009F43EA"/>
    <w:rsid w:val="009F5522"/>
    <w:rsid w:val="009F597D"/>
    <w:rsid w:val="009F62B6"/>
    <w:rsid w:val="00A13D8D"/>
    <w:rsid w:val="00A15757"/>
    <w:rsid w:val="00A15D49"/>
    <w:rsid w:val="00A22D80"/>
    <w:rsid w:val="00A30D9A"/>
    <w:rsid w:val="00A40D62"/>
    <w:rsid w:val="00A44855"/>
    <w:rsid w:val="00A4694A"/>
    <w:rsid w:val="00A64E80"/>
    <w:rsid w:val="00A65884"/>
    <w:rsid w:val="00A74544"/>
    <w:rsid w:val="00A74E0A"/>
    <w:rsid w:val="00A777E1"/>
    <w:rsid w:val="00A835E4"/>
    <w:rsid w:val="00A905D8"/>
    <w:rsid w:val="00A91273"/>
    <w:rsid w:val="00A94219"/>
    <w:rsid w:val="00A95A0D"/>
    <w:rsid w:val="00A97F40"/>
    <w:rsid w:val="00AA0B6B"/>
    <w:rsid w:val="00AA1DDC"/>
    <w:rsid w:val="00AA3F0B"/>
    <w:rsid w:val="00AA788A"/>
    <w:rsid w:val="00AB1EB8"/>
    <w:rsid w:val="00AD6516"/>
    <w:rsid w:val="00AE4702"/>
    <w:rsid w:val="00B21214"/>
    <w:rsid w:val="00B238AD"/>
    <w:rsid w:val="00B257FE"/>
    <w:rsid w:val="00B43BEA"/>
    <w:rsid w:val="00B52533"/>
    <w:rsid w:val="00B61FEB"/>
    <w:rsid w:val="00B645ED"/>
    <w:rsid w:val="00B720EC"/>
    <w:rsid w:val="00B762E0"/>
    <w:rsid w:val="00B825D0"/>
    <w:rsid w:val="00B83929"/>
    <w:rsid w:val="00B915F1"/>
    <w:rsid w:val="00B97F34"/>
    <w:rsid w:val="00BA04A1"/>
    <w:rsid w:val="00BA7DEC"/>
    <w:rsid w:val="00BB1C2F"/>
    <w:rsid w:val="00BB2479"/>
    <w:rsid w:val="00BB377C"/>
    <w:rsid w:val="00BB7136"/>
    <w:rsid w:val="00BC2428"/>
    <w:rsid w:val="00BC2E2E"/>
    <w:rsid w:val="00BC5A3A"/>
    <w:rsid w:val="00BD357C"/>
    <w:rsid w:val="00BD3D8F"/>
    <w:rsid w:val="00BD680C"/>
    <w:rsid w:val="00BE0430"/>
    <w:rsid w:val="00BE76EF"/>
    <w:rsid w:val="00BF735E"/>
    <w:rsid w:val="00C01A11"/>
    <w:rsid w:val="00C0644C"/>
    <w:rsid w:val="00C163C6"/>
    <w:rsid w:val="00C205C8"/>
    <w:rsid w:val="00C23D9A"/>
    <w:rsid w:val="00C37F21"/>
    <w:rsid w:val="00C4006D"/>
    <w:rsid w:val="00C465D1"/>
    <w:rsid w:val="00C46919"/>
    <w:rsid w:val="00C63632"/>
    <w:rsid w:val="00C65B05"/>
    <w:rsid w:val="00C73F08"/>
    <w:rsid w:val="00C77433"/>
    <w:rsid w:val="00C836D3"/>
    <w:rsid w:val="00C84911"/>
    <w:rsid w:val="00C929D4"/>
    <w:rsid w:val="00C933ED"/>
    <w:rsid w:val="00CA136B"/>
    <w:rsid w:val="00CA7470"/>
    <w:rsid w:val="00CC2FEA"/>
    <w:rsid w:val="00CD655B"/>
    <w:rsid w:val="00CF3861"/>
    <w:rsid w:val="00D0660C"/>
    <w:rsid w:val="00D10518"/>
    <w:rsid w:val="00D10814"/>
    <w:rsid w:val="00D11271"/>
    <w:rsid w:val="00D150A9"/>
    <w:rsid w:val="00D20C47"/>
    <w:rsid w:val="00D2521F"/>
    <w:rsid w:val="00D27D52"/>
    <w:rsid w:val="00D36B5A"/>
    <w:rsid w:val="00D4433D"/>
    <w:rsid w:val="00D44D4E"/>
    <w:rsid w:val="00D474B5"/>
    <w:rsid w:val="00D52F5B"/>
    <w:rsid w:val="00D543D5"/>
    <w:rsid w:val="00D66E74"/>
    <w:rsid w:val="00D71264"/>
    <w:rsid w:val="00D779B5"/>
    <w:rsid w:val="00DA097F"/>
    <w:rsid w:val="00DA3E7C"/>
    <w:rsid w:val="00DA73A3"/>
    <w:rsid w:val="00DA79B5"/>
    <w:rsid w:val="00DB3948"/>
    <w:rsid w:val="00DB49A0"/>
    <w:rsid w:val="00DB615E"/>
    <w:rsid w:val="00DC77C0"/>
    <w:rsid w:val="00DD0A49"/>
    <w:rsid w:val="00DE08D3"/>
    <w:rsid w:val="00DE2E04"/>
    <w:rsid w:val="00DF4F3C"/>
    <w:rsid w:val="00DF4F6F"/>
    <w:rsid w:val="00E04830"/>
    <w:rsid w:val="00E076A3"/>
    <w:rsid w:val="00E14FC3"/>
    <w:rsid w:val="00E2592B"/>
    <w:rsid w:val="00E329EE"/>
    <w:rsid w:val="00E43EBB"/>
    <w:rsid w:val="00E47851"/>
    <w:rsid w:val="00E52235"/>
    <w:rsid w:val="00E56716"/>
    <w:rsid w:val="00E706B3"/>
    <w:rsid w:val="00E7422B"/>
    <w:rsid w:val="00E771C3"/>
    <w:rsid w:val="00E77B1B"/>
    <w:rsid w:val="00E97584"/>
    <w:rsid w:val="00EA608F"/>
    <w:rsid w:val="00EB58F3"/>
    <w:rsid w:val="00EC00BD"/>
    <w:rsid w:val="00ED0EBB"/>
    <w:rsid w:val="00EE4455"/>
    <w:rsid w:val="00EE6777"/>
    <w:rsid w:val="00F00EF3"/>
    <w:rsid w:val="00F04055"/>
    <w:rsid w:val="00F122B9"/>
    <w:rsid w:val="00F21CD9"/>
    <w:rsid w:val="00F22750"/>
    <w:rsid w:val="00F30951"/>
    <w:rsid w:val="00F3207F"/>
    <w:rsid w:val="00F3541A"/>
    <w:rsid w:val="00F42F01"/>
    <w:rsid w:val="00F46275"/>
    <w:rsid w:val="00F5527F"/>
    <w:rsid w:val="00F5665F"/>
    <w:rsid w:val="00F60488"/>
    <w:rsid w:val="00F631B6"/>
    <w:rsid w:val="00F63BC0"/>
    <w:rsid w:val="00F640FB"/>
    <w:rsid w:val="00F666CA"/>
    <w:rsid w:val="00F70715"/>
    <w:rsid w:val="00F719B8"/>
    <w:rsid w:val="00F77482"/>
    <w:rsid w:val="00F94B00"/>
    <w:rsid w:val="00F97D53"/>
    <w:rsid w:val="00FA03AD"/>
    <w:rsid w:val="00FA1642"/>
    <w:rsid w:val="00FA2E89"/>
    <w:rsid w:val="00FA320C"/>
    <w:rsid w:val="00FB0826"/>
    <w:rsid w:val="00FB4BFF"/>
    <w:rsid w:val="00FB6500"/>
    <w:rsid w:val="00FB756D"/>
    <w:rsid w:val="00FC430C"/>
    <w:rsid w:val="00FC7332"/>
    <w:rsid w:val="00FD1D9C"/>
    <w:rsid w:val="00FD4EE7"/>
    <w:rsid w:val="00FE0D9B"/>
    <w:rsid w:val="00FE482D"/>
    <w:rsid w:val="00FE7243"/>
    <w:rsid w:val="00FF42BD"/>
    <w:rsid w:val="00FF7037"/>
  </w:rsids>
  <w:docVars>
    <w:docVar w:name="EN.InstantFormat" w:val="&lt;ENInstantFormat&gt;&lt;Enabled&gt;1&lt;/Enabled&gt;&lt;ScanUnformatted&gt;1&lt;/ScanUnformatted&gt;&lt;ScanChanges&gt;1&lt;/ScanChanges&gt;&lt;Suspended&gt;1&lt;/Suspended&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CC9A15"/>
  <w15:chartTrackingRefBased/>
  <w15:docId w15:val="{02C97341-70EA-435F-85D0-DBDF31E5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73F74"/>
    <w:pPr>
      <w:bidi/>
      <w:jc w:val="right"/>
    </w:pPr>
    <w:rPr>
      <w:sz w:val="20"/>
      <w:szCs w:val="20"/>
      <w:lang w:bidi="ar-QA"/>
    </w:rPr>
  </w:style>
  <w:style w:type="character" w:styleId="FootnoteReference">
    <w:name w:val="footnote reference"/>
    <w:uiPriority w:val="99"/>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customStyle="1" w:styleId="FootnoteTextChar">
    <w:name w:val="Footnote Text Char"/>
    <w:link w:val="FootnoteText"/>
    <w:uiPriority w:val="99"/>
    <w:semiHidden/>
    <w:rsid w:val="005E676F"/>
    <w:rPr>
      <w:lang w:bidi="ar-QA"/>
    </w:rPr>
  </w:style>
  <w:style w:type="paragraph" w:customStyle="1" w:styleId="Default">
    <w:name w:val="Default"/>
    <w:rsid w:val="00D36B5A"/>
    <w:pPr>
      <w:autoSpaceDE w:val="0"/>
      <w:autoSpaceDN w:val="0"/>
      <w:adjustRightInd w:val="0"/>
    </w:pPr>
    <w:rPr>
      <w:rFonts w:eastAsia="MS Mincho"/>
      <w:color w:val="000000"/>
      <w:sz w:val="24"/>
      <w:szCs w:val="24"/>
    </w:rPr>
  </w:style>
  <w:style w:type="paragraph" w:styleId="Revision">
    <w:name w:val="Revision"/>
    <w:hidden/>
    <w:uiPriority w:val="99"/>
    <w:semiHidden/>
    <w:rsid w:val="00D4433D"/>
    <w:rPr>
      <w:sz w:val="24"/>
      <w:szCs w:val="24"/>
    </w:rPr>
  </w:style>
  <w:style w:type="character" w:styleId="UnresolvedMention">
    <w:name w:val="Unresolved Mention"/>
    <w:uiPriority w:val="99"/>
    <w:semiHidden/>
    <w:unhideWhenUsed/>
    <w:rsid w:val="00A74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opm.gov/policy-data-oversight/pay-leave/salaries-wages/salary-tables/pdf/2023/DCB.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07C2C34BAD85468D4A97039B157FF3" ma:contentTypeVersion="2" ma:contentTypeDescription="Create a new document." ma:contentTypeScope="" ma:versionID="5ac0c57708982e4a06ef1d11465d6c52">
  <xsd:schema xmlns:xsd="http://www.w3.org/2001/XMLSchema" xmlns:xs="http://www.w3.org/2001/XMLSchema" xmlns:p="http://schemas.microsoft.com/office/2006/metadata/properties" xmlns:ns2="0dd2d7bb-602c-43cd-b1b0-0fae9544fac9" targetNamespace="http://schemas.microsoft.com/office/2006/metadata/properties" ma:root="true" ma:fieldsID="d52595cb357272d44d46371c761f4516" ns2:_="">
    <xsd:import namespace="0dd2d7bb-602c-43cd-b1b0-0fae9544fac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2d7bb-602c-43cd-b1b0-0fae9544f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F892B-6936-41A1-8730-BB0FDCD267ED}">
  <ds:schemaRefs>
    <ds:schemaRef ds:uri="http://schemas.microsoft.com/office/2006/metadata/longProperties"/>
  </ds:schemaRefs>
</ds:datastoreItem>
</file>

<file path=customXml/itemProps2.xml><?xml version="1.0" encoding="utf-8"?>
<ds:datastoreItem xmlns:ds="http://schemas.openxmlformats.org/officeDocument/2006/customXml" ds:itemID="{BD3C195E-F336-4DB7-99EF-4510716264AE}">
  <ds:schemaRefs>
    <ds:schemaRef ds:uri="http://schemas.microsoft.com/sharepoint/v3/contenttype/forms"/>
  </ds:schemaRefs>
</ds:datastoreItem>
</file>

<file path=customXml/itemProps3.xml><?xml version="1.0" encoding="utf-8"?>
<ds:datastoreItem xmlns:ds="http://schemas.openxmlformats.org/officeDocument/2006/customXml" ds:itemID="{C3F644E2-0E92-4625-99FF-54465CDAD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2d7bb-602c-43cd-b1b0-0fae9544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623562-9419-48BD-9FA2-C356ED87BF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2A23820-0FEC-4602-AD49-9DF6DC05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3102</Words>
  <Characters>18516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Roberts, Michelle (AHRQ/CFACT)</cp:lastModifiedBy>
  <cp:revision>2</cp:revision>
  <cp:lastPrinted>2011-07-06T18:06:00Z</cp:lastPrinted>
  <dcterms:created xsi:type="dcterms:W3CDTF">2023-09-19T20:10:00Z</dcterms:created>
  <dcterms:modified xsi:type="dcterms:W3CDTF">2023-09-19T20:10:00Z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
  </property>
  <property fmtid="{D5CDD505-2E9C-101B-9397-08002B2CF9AE}" pid="3" name="Code">
    <vt:lpwstr/>
  </property>
  <property fmtid="{D5CDD505-2E9C-101B-9397-08002B2CF9AE}" pid="4" name="ContentTypeId">
    <vt:lpwstr>0x0101008C07C2C34BAD85468D4A97039B157FF3</vt:lpwstr>
  </property>
  <property fmtid="{D5CDD505-2E9C-101B-9397-08002B2CF9AE}" pid="5" name="Description0">
    <vt:lpwstr/>
  </property>
  <property fmtid="{D5CDD505-2E9C-101B-9397-08002B2CF9AE}" pid="6" name="display_urn:schemas-microsoft-com:office:office#Author">
    <vt:lpwstr>Robinson, Ian T. (AHRQ/OMS) (CTR)</vt:lpwstr>
  </property>
  <property fmtid="{D5CDD505-2E9C-101B-9397-08002B2CF9AE}" pid="7" name="display_urn:schemas-microsoft-com:office:office#Editor">
    <vt:lpwstr>Robinson, Ian T. (AHRQ/OMS) (CTR)</vt:lpwstr>
  </property>
  <property fmtid="{D5CDD505-2E9C-101B-9397-08002B2CF9AE}" pid="8" name="Document Type">
    <vt:lpwstr>General</vt:lpwstr>
  </property>
  <property fmtid="{D5CDD505-2E9C-101B-9397-08002B2CF9AE}" pid="9" name="Order">
    <vt:lpwstr>2000.00000000000</vt:lpwstr>
  </property>
  <property fmtid="{D5CDD505-2E9C-101B-9397-08002B2CF9AE}" pid="10" name="Revision Date">
    <vt:lpwstr/>
  </property>
  <property fmtid="{D5CDD505-2E9C-101B-9397-08002B2CF9AE}" pid="11" name="SharedWithUsers">
    <vt:lpwstr/>
  </property>
  <property fmtid="{D5CDD505-2E9C-101B-9397-08002B2CF9AE}" pid="12" name="Title">
    <vt:lpwstr>OMB Clearance Application</vt:lpwstr>
  </property>
</Properties>
</file>