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D59" w:rsidRPr="00B85AF8" w:rsidP="00C843BA" w14:paraId="050A06C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B85AF8">
        <w:rPr>
          <w:bCs/>
          <w:sz w:val="24"/>
        </w:rPr>
        <w:t>Supporting Statement Part A</w:t>
      </w:r>
    </w:p>
    <w:p w:rsidR="00870D59" w:rsidRPr="00B85AF8" w:rsidP="00C843BA" w14:paraId="6CB1B5C2" w14:textId="77777777">
      <w:pPr>
        <w:tabs>
          <w:tab w:val="center" w:pos="4752"/>
          <w:tab w:val="left" w:pos="5040"/>
          <w:tab w:val="left" w:pos="5760"/>
          <w:tab w:val="left" w:pos="6480"/>
          <w:tab w:val="left" w:pos="7200"/>
          <w:tab w:val="left" w:pos="7920"/>
          <w:tab w:val="left" w:pos="8640"/>
          <w:tab w:val="left" w:pos="9360"/>
        </w:tabs>
        <w:jc w:val="center"/>
        <w:rPr>
          <w:sz w:val="24"/>
        </w:rPr>
      </w:pPr>
      <w:r w:rsidRPr="00B85AF8">
        <w:rPr>
          <w:sz w:val="24"/>
        </w:rPr>
        <w:t xml:space="preserve">Basic Health Program </w:t>
      </w:r>
      <w:r w:rsidRPr="00B85AF8" w:rsidR="002B34BF">
        <w:rPr>
          <w:sz w:val="24"/>
        </w:rPr>
        <w:t xml:space="preserve">Supporting </w:t>
      </w:r>
      <w:r w:rsidRPr="00B85AF8" w:rsidR="00C201D6">
        <w:rPr>
          <w:sz w:val="24"/>
        </w:rPr>
        <w:t xml:space="preserve">Regulations </w:t>
      </w:r>
    </w:p>
    <w:p w:rsidR="00870D59" w:rsidRPr="00B85AF8" w:rsidP="00C843BA" w14:paraId="7896D4A6" w14:textId="77777777">
      <w:pPr>
        <w:tabs>
          <w:tab w:val="center" w:pos="4752"/>
          <w:tab w:val="left" w:pos="5040"/>
          <w:tab w:val="left" w:pos="5760"/>
          <w:tab w:val="left" w:pos="6480"/>
          <w:tab w:val="left" w:pos="7200"/>
          <w:tab w:val="left" w:pos="7920"/>
          <w:tab w:val="left" w:pos="8640"/>
          <w:tab w:val="left" w:pos="9360"/>
        </w:tabs>
        <w:jc w:val="center"/>
        <w:rPr>
          <w:sz w:val="24"/>
        </w:rPr>
      </w:pPr>
      <w:r w:rsidRPr="00B85AF8">
        <w:rPr>
          <w:sz w:val="24"/>
        </w:rPr>
        <w:t xml:space="preserve">CMS-10510, </w:t>
      </w:r>
      <w:r w:rsidRPr="00B85AF8" w:rsidR="00E527C0">
        <w:rPr>
          <w:sz w:val="24"/>
        </w:rPr>
        <w:t>OMB</w:t>
      </w:r>
      <w:r w:rsidRPr="00B85AF8">
        <w:rPr>
          <w:sz w:val="24"/>
        </w:rPr>
        <w:t xml:space="preserve"> 0938-</w:t>
      </w:r>
      <w:r w:rsidRPr="00B85AF8" w:rsidR="00487312">
        <w:rPr>
          <w:sz w:val="24"/>
        </w:rPr>
        <w:t>1218</w:t>
      </w:r>
    </w:p>
    <w:p w:rsidR="008F1EB4" w:rsidRPr="00B85AF8" w14:paraId="4D68EA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4CED97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85AF8">
        <w:rPr>
          <w:b/>
          <w:bCs/>
          <w:sz w:val="24"/>
        </w:rPr>
        <w:t>Background</w:t>
      </w:r>
    </w:p>
    <w:p w:rsidR="008F1EB4" w:rsidRPr="00B85AF8" w14:paraId="51CC40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201D6" w:rsidRPr="00B85AF8" w:rsidP="00C201D6" w14:paraId="23D37B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Section 1331 of the Affordable Care Act (ACA) gives states the option of creating a Basic Health Program (BHP), a health benefits coverage program for low-income residents who would otherwise be eligible to purchase coverage through the </w:t>
      </w:r>
      <w:r w:rsidRPr="00B85AF8" w:rsidR="00363EE2">
        <w:rPr>
          <w:sz w:val="24"/>
        </w:rPr>
        <w:t>Exchange</w:t>
      </w:r>
      <w:r w:rsidRPr="00B85AF8">
        <w:rPr>
          <w:sz w:val="24"/>
        </w:rPr>
        <w:t>. The BHP gives states the ability to provide more affordable coverage for these low-income residents and improve continuity of care for people whose income fluctuates above and below Medicaid and Children's Health Insurance Program (CHIP) levels.</w:t>
      </w:r>
    </w:p>
    <w:p w:rsidR="00C201D6" w:rsidRPr="00B85AF8" w:rsidP="00C201D6" w14:paraId="03336B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25AD" w:rsidRPr="00B85AF8" w:rsidP="00C201D6" w14:paraId="669FAD9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Through the Basic Health Program, states can provide coverage to individuals who are citizens or lawfully present non-citizens, who do not qualify for Medicaid, CHIP, or other minimum essential coverage and have income between 133 percent and 200 percent of the federal poverty level (FPL). People who are lawfully present non-citizens who have income that does not exceed 133 percent of FPL but who are unable to qualify for Medicaid due to such non-citizen status, are also eligible to enroll.</w:t>
      </w:r>
      <w:r w:rsidRPr="00B85AF8" w:rsidR="004D6FB2">
        <w:rPr>
          <w:sz w:val="24"/>
        </w:rPr>
        <w:t xml:space="preserve"> </w:t>
      </w:r>
      <w:r w:rsidRPr="00B85AF8">
        <w:rPr>
          <w:sz w:val="24"/>
        </w:rPr>
        <w:t>In accordance with the</w:t>
      </w:r>
      <w:r w:rsidRPr="00B85AF8" w:rsidR="000119A1">
        <w:rPr>
          <w:sz w:val="24"/>
        </w:rPr>
        <w:t xml:space="preserve"> </w:t>
      </w:r>
      <w:r w:rsidRPr="00B85AF8">
        <w:rPr>
          <w:sz w:val="24"/>
        </w:rPr>
        <w:t>BHP F</w:t>
      </w:r>
      <w:r w:rsidRPr="00B85AF8" w:rsidR="000119A1">
        <w:rPr>
          <w:sz w:val="24"/>
        </w:rPr>
        <w:t>inal</w:t>
      </w:r>
      <w:r w:rsidRPr="00B85AF8">
        <w:rPr>
          <w:sz w:val="24"/>
        </w:rPr>
        <w:t xml:space="preserve"> Rule published on </w:t>
      </w:r>
      <w:r w:rsidRPr="00B85AF8" w:rsidR="000119A1">
        <w:rPr>
          <w:sz w:val="24"/>
        </w:rPr>
        <w:t>March 12, 2014 (79</w:t>
      </w:r>
      <w:r w:rsidRPr="00B85AF8">
        <w:rPr>
          <w:sz w:val="24"/>
        </w:rPr>
        <w:t xml:space="preserve"> FR </w:t>
      </w:r>
      <w:r w:rsidRPr="00B85AF8" w:rsidR="000119A1">
        <w:rPr>
          <w:sz w:val="24"/>
        </w:rPr>
        <w:t>14112</w:t>
      </w:r>
      <w:r w:rsidRPr="00B85AF8">
        <w:rPr>
          <w:sz w:val="24"/>
        </w:rPr>
        <w:t xml:space="preserve">), states </w:t>
      </w:r>
      <w:r w:rsidRPr="00B85AF8" w:rsidR="004D6FB2">
        <w:rPr>
          <w:sz w:val="24"/>
        </w:rPr>
        <w:t xml:space="preserve">could </w:t>
      </w:r>
      <w:r w:rsidRPr="00B85AF8">
        <w:rPr>
          <w:sz w:val="24"/>
        </w:rPr>
        <w:t>apply and be certified to operate a BHP</w:t>
      </w:r>
      <w:r w:rsidRPr="00B85AF8" w:rsidR="000119A1">
        <w:rPr>
          <w:sz w:val="24"/>
        </w:rPr>
        <w:t xml:space="preserve"> effective </w:t>
      </w:r>
      <w:r w:rsidRPr="00B85AF8">
        <w:rPr>
          <w:sz w:val="24"/>
        </w:rPr>
        <w:t>January 1, 2015.</w:t>
      </w:r>
      <w:r w:rsidRPr="00B85AF8" w:rsidR="004D6FB2">
        <w:rPr>
          <w:sz w:val="24"/>
        </w:rPr>
        <w:t xml:space="preserve"> Currently, two states have received approval from CMS to operate a BHP.</w:t>
      </w:r>
      <w:r w:rsidRPr="00B85AF8">
        <w:rPr>
          <w:sz w:val="24"/>
        </w:rPr>
        <w:t xml:space="preserve">  </w:t>
      </w:r>
    </w:p>
    <w:p w:rsidR="004E734F" w:rsidRPr="00B85AF8" w:rsidP="00490AC9" w14:paraId="16D4479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930CA" w:rsidRPr="00B85AF8" w:rsidP="00E930CA" w14:paraId="6B4ACCF7" w14:textId="72287DD7">
      <w:pPr>
        <w:rPr>
          <w:rFonts w:eastAsia="MS Mincho"/>
          <w:snapToGrid w:val="0"/>
          <w:sz w:val="24"/>
          <w:szCs w:val="20"/>
        </w:rPr>
      </w:pPr>
      <w:r w:rsidRPr="00B85AF8">
        <w:rPr>
          <w:sz w:val="24"/>
        </w:rPr>
        <w:t xml:space="preserve">This </w:t>
      </w:r>
      <w:r w:rsidRPr="00B85AF8" w:rsidR="00C04DA6">
        <w:rPr>
          <w:sz w:val="24"/>
        </w:rPr>
        <w:t xml:space="preserve">2023 </w:t>
      </w:r>
      <w:r w:rsidRPr="00B85AF8">
        <w:rPr>
          <w:sz w:val="24"/>
        </w:rPr>
        <w:t>information collection request relates to updates to BHP proposed in CMS-1784-P and includes a revision of prior State burden estimates related to the State’s Blueprint submission at</w:t>
      </w:r>
      <w:r w:rsidRPr="00B85AF8">
        <w:rPr>
          <w:rFonts w:eastAsia="MS Mincho"/>
          <w:snapToGrid w:val="0"/>
          <w:sz w:val="24"/>
          <w:szCs w:val="20"/>
        </w:rPr>
        <w:t xml:space="preserve"> § 600.125. Additionally, this request revises the operation of a BHP</w:t>
      </w:r>
      <w:r w:rsidRPr="00B85AF8">
        <w:rPr>
          <w:rFonts w:eastAsia="MS Mincho"/>
          <w:snapToGrid w:val="0"/>
          <w:sz w:val="24"/>
          <w:szCs w:val="20"/>
        </w:rPr>
        <w:t xml:space="preserve">. We </w:t>
      </w:r>
      <w:r w:rsidRPr="00B85AF8">
        <w:rPr>
          <w:snapToGrid w:val="0"/>
          <w:sz w:val="24"/>
        </w:rPr>
        <w:t>propose at § 600.145(a), a State must implement its BHP in accordance with (1) the approved and full certified State BHP Blueprint; or (2) the approved suspension application. We propose at § 600.145(f)(2) the State operating a BHP must perform eligibility and health services appeals as specified in § 600.335. We propose at § 600.330(f), BHP eligibility notices must be written in plain language.</w:t>
      </w:r>
    </w:p>
    <w:p w:rsidR="00E930CA" w:rsidRPr="00B85AF8" w:rsidP="00BF22FA" w14:paraId="2148D8F0" w14:textId="77777777">
      <w:pPr>
        <w:rPr>
          <w:rFonts w:eastAsia="MS Mincho"/>
          <w:snapToGrid w:val="0"/>
          <w:sz w:val="24"/>
          <w:szCs w:val="20"/>
        </w:rPr>
      </w:pPr>
    </w:p>
    <w:p w:rsidR="00BF22FA" w:rsidRPr="00B85AF8" w:rsidP="00BF22FA" w14:paraId="629CD7DD" w14:textId="171B8CA9">
      <w:pPr>
        <w:rPr>
          <w:snapToGrid w:val="0"/>
          <w:sz w:val="24"/>
          <w:u w:val="single"/>
        </w:rPr>
      </w:pPr>
      <w:r w:rsidRPr="00B85AF8">
        <w:rPr>
          <w:rFonts w:eastAsia="MS Mincho"/>
          <w:snapToGrid w:val="0"/>
          <w:sz w:val="24"/>
          <w:szCs w:val="20"/>
        </w:rPr>
        <w:t xml:space="preserve">Finally, this creates a new information collection request for </w:t>
      </w:r>
      <w:r w:rsidRPr="00B85AF8" w:rsidR="00E930CA">
        <w:rPr>
          <w:snapToGrid w:val="0"/>
          <w:sz w:val="24"/>
        </w:rPr>
        <w:t>s</w:t>
      </w:r>
      <w:r w:rsidRPr="00B85AF8">
        <w:rPr>
          <w:snapToGrid w:val="0"/>
          <w:sz w:val="24"/>
        </w:rPr>
        <w:t>uspension of a BHP</w:t>
      </w:r>
      <w:r w:rsidRPr="00B85AF8" w:rsidR="00E930CA">
        <w:rPr>
          <w:snapToGrid w:val="0"/>
          <w:sz w:val="24"/>
        </w:rPr>
        <w:t xml:space="preserve">. </w:t>
      </w:r>
      <w:r w:rsidRPr="00B85AF8">
        <w:rPr>
          <w:snapToGrid w:val="0"/>
          <w:sz w:val="24"/>
        </w:rPr>
        <w:t>We propose at §600.140(b) if a State decides to suspend its BHP or requests a suspension extension, a State must submit to the Secretary a suspension application or suspension extension application. The State must submit the annual report required by §600.170(a)(2) and annually remit to HHS any interest that has accrued on the balance of the BHP trust fund during the suspension period. We propose that the State must submit a transition plan to HHS that describes how the State will reinstate its BHP or terminate the program.</w:t>
      </w:r>
    </w:p>
    <w:p w:rsidR="00BF22FA" w:rsidP="00810868" w14:paraId="28B42E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73F9" w:rsidP="00810868" w14:paraId="350161DA" w14:textId="118342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973F9">
        <w:rPr>
          <w:sz w:val="24"/>
        </w:rPr>
        <w:t>Overall, the rule would add 604 hours.</w:t>
      </w:r>
    </w:p>
    <w:p w:rsidR="008973F9" w:rsidP="00810868" w14:paraId="3C4459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73F9" w:rsidP="00810868" w14:paraId="6361329D" w14:textId="4AB2F8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We are not revising any of our active (currently approved) collection of information instruments or instruction/guidance documents.</w:t>
      </w:r>
    </w:p>
    <w:p w:rsidR="008973F9" w:rsidRPr="00B85AF8" w:rsidP="00810868" w14:paraId="78F5D5F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734F" w:rsidRPr="00B85AF8" w:rsidP="00810868" w14:paraId="6327AE83" w14:textId="12F5AD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The changes are </w:t>
      </w:r>
      <w:r w:rsidRPr="00B85AF8" w:rsidR="00D76A03">
        <w:rPr>
          <w:sz w:val="24"/>
        </w:rPr>
        <w:t xml:space="preserve">discussed </w:t>
      </w:r>
      <w:r w:rsidRPr="00B85AF8" w:rsidR="002160A8">
        <w:rPr>
          <w:sz w:val="24"/>
        </w:rPr>
        <w:t xml:space="preserve">in </w:t>
      </w:r>
      <w:r w:rsidRPr="00B85AF8" w:rsidR="00D76A03">
        <w:rPr>
          <w:sz w:val="24"/>
        </w:rPr>
        <w:t>section 1</w:t>
      </w:r>
      <w:r w:rsidRPr="00B85AF8" w:rsidR="00E54003">
        <w:rPr>
          <w:sz w:val="24"/>
        </w:rPr>
        <w:t>5</w:t>
      </w:r>
      <w:r w:rsidRPr="00B85AF8" w:rsidR="00E1076E">
        <w:rPr>
          <w:sz w:val="24"/>
        </w:rPr>
        <w:t xml:space="preserve"> of this Supporting Statement</w:t>
      </w:r>
      <w:r w:rsidRPr="00B85AF8" w:rsidR="00D76A03">
        <w:rPr>
          <w:sz w:val="24"/>
        </w:rPr>
        <w:t>.</w:t>
      </w:r>
    </w:p>
    <w:p w:rsidR="00CC1BE3" w:rsidRPr="00B85AF8" w14:paraId="74D42C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73984" w:rsidRPr="00B85AF8" w14:paraId="1DF28C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4492238A" w14:textId="21C8A0A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b/>
          <w:bCs/>
          <w:sz w:val="24"/>
        </w:rPr>
        <w:t>Justification</w:t>
      </w:r>
    </w:p>
    <w:p w:rsidR="008F1EB4" w:rsidRPr="00B85AF8" w14:paraId="356A47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494C19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B85AF8">
        <w:rPr>
          <w:sz w:val="24"/>
        </w:rPr>
        <w:t>1.</w:t>
      </w:r>
      <w:r w:rsidRPr="00B85AF8">
        <w:rPr>
          <w:sz w:val="24"/>
        </w:rPr>
        <w:tab/>
      </w:r>
      <w:r w:rsidRPr="00B85AF8">
        <w:rPr>
          <w:sz w:val="24"/>
          <w:u w:val="single"/>
        </w:rPr>
        <w:t>Need and Legal Basis</w:t>
      </w:r>
      <w:r w:rsidRPr="00B85AF8" w:rsidR="00F55D8A">
        <w:rPr>
          <w:sz w:val="24"/>
          <w:u w:val="single"/>
        </w:rPr>
        <w:t xml:space="preserve"> </w:t>
      </w:r>
    </w:p>
    <w:p w:rsidR="008F1EB4" w:rsidRPr="00B85AF8" w14:paraId="076CCEB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76FF" w:rsidRPr="00B85AF8" w:rsidP="00185870" w14:paraId="744255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The legal authority for this collection is Section 1331 of the ACA, which provides states the option to establish a BHP. All information collected by CMS is required to ensure compliance with federal regulations and/or to calculate quarterly federal payments to the states that operate a BHP. </w:t>
      </w:r>
    </w:p>
    <w:p w:rsidR="00F876FF" w:rsidRPr="00B85AF8" w:rsidP="00185870" w14:paraId="2FE97D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147F" w:rsidRPr="00B85AF8" w:rsidP="0069147F" w14:paraId="2B8B6E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Specifically, federal regulations at 42 CFR 600.115 and 600.120 require a state to submit a BHP Blueprint to CMS for certification prior to the state implementing a BHP. Without the submission and certification of a BHP Blueprint, a state cannot legally operate a BHP.</w:t>
      </w:r>
      <w:r w:rsidRPr="00B85AF8" w:rsidR="002712B9">
        <w:rPr>
          <w:sz w:val="24"/>
        </w:rPr>
        <w:t xml:space="preserve"> In addition, 42 CFR 600.125 requires the submission of a revised Blueprint, in the event that a state seeks to make significant changes that alter program operations; the BHP benefit package; or enrollment, disenrollment, and verification policies described in the Blueprint.</w:t>
      </w:r>
      <w:r w:rsidRPr="00B85AF8">
        <w:rPr>
          <w:sz w:val="24"/>
        </w:rPr>
        <w:t xml:space="preserve"> Additionally, 42 CFR 600.170 requires a state to submit a BHP annual report, and 42 CFR 600.200 requires HHS to complete an annual compliance review of states’ BHPs. This review may be based on the states’ annual reports. </w:t>
      </w:r>
    </w:p>
    <w:p w:rsidR="002253BA" w:rsidRPr="00B85AF8" w:rsidP="00F876FF" w14:paraId="1F24705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9477E" w:rsidRPr="00B85AF8" w:rsidP="00185870" w14:paraId="53F6F3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In accordance with Section 1331 of the ACA, </w:t>
      </w:r>
      <w:r w:rsidRPr="00B85AF8" w:rsidR="00D016D2">
        <w:rPr>
          <w:sz w:val="24"/>
        </w:rPr>
        <w:t>BHP</w:t>
      </w:r>
      <w:r w:rsidRPr="00B85AF8">
        <w:rPr>
          <w:sz w:val="24"/>
        </w:rPr>
        <w:t xml:space="preserve"> is federally funded by determining the amount of payments that the federal government would have made through PTCs and CSRs for people enrolled in BHP had they instead been enrolled in an Exchange.</w:t>
      </w:r>
      <w:r w:rsidRPr="00B85AF8" w:rsidR="002253BA">
        <w:rPr>
          <w:sz w:val="24"/>
        </w:rPr>
        <w:t xml:space="preserve"> </w:t>
      </w:r>
      <w:r w:rsidRPr="00B85AF8">
        <w:rPr>
          <w:sz w:val="24"/>
        </w:rPr>
        <w:t xml:space="preserve">In order to calculate these amounts for each state, CMS needs the reference premiums for the second lowest cost silver plans (SLCSPs) in each geographic area in a state, as SLCSPs are a basic unit in the calculation of PTCs and CSRs under the Exchanges.  Relatedly, the reference premiums for these SLCSPs are critical components in the BHP payment methodology in order to estimate what PTCs and CSRs would have been paid.  Similarly, CMS also needs to collect reference premiums for the lowest cost bronze plans to appropriately account for CSR calculations for American Indians and Alaskan Natives.  Reference premiums are foundational inputs into the BHP payment methodology.  </w:t>
      </w:r>
      <w:r w:rsidRPr="00B85AF8" w:rsidR="002253BA">
        <w:rPr>
          <w:sz w:val="24"/>
        </w:rPr>
        <w:t>In addition to the reference premiums, CMS also needs quarterly estimated and actual enrollment data from all states that operate a BHP. The enrollment data are used to calculate the states’ quarterly federal BHP payments.</w:t>
      </w:r>
      <w:r w:rsidRPr="00B85AF8">
        <w:rPr>
          <w:sz w:val="24"/>
        </w:rPr>
        <w:t xml:space="preserve"> </w:t>
      </w:r>
    </w:p>
    <w:p w:rsidR="002253BA" w:rsidRPr="00B85AF8" w:rsidP="00185870" w14:paraId="43F3E7C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253BA" w:rsidRPr="00B85AF8" w:rsidP="00185870" w14:paraId="7F0F6AC5" w14:textId="3F18DF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42 CFR 600.140 requires a state electing to terminate its BHP to submit a notice and transition plan to the Secretary. Without this notice and transition plan, a state would be out of compliance with federal regulations.</w:t>
      </w:r>
    </w:p>
    <w:p w:rsidR="00A81056" w:rsidRPr="00B85AF8" w:rsidP="00185870" w14:paraId="0D80119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052F717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2.</w:t>
      </w:r>
      <w:r w:rsidRPr="00B85AF8">
        <w:rPr>
          <w:sz w:val="24"/>
        </w:rPr>
        <w:tab/>
      </w:r>
      <w:r w:rsidRPr="00B85AF8">
        <w:rPr>
          <w:sz w:val="24"/>
          <w:u w:val="single"/>
        </w:rPr>
        <w:t>Information Users</w:t>
      </w:r>
    </w:p>
    <w:p w:rsidR="008F1EB4" w:rsidRPr="00B85AF8" w14:paraId="082006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60755" w:rsidRPr="00B85AF8" w:rsidP="00561F29" w14:paraId="4FB828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CMS will use the information collected in the Blueprint, Blueprint revisions, and annual report to monitor compliance with federal regulations. CMS will use the estimated enrollment data, actual enrollment data, and reference premium data as inputs to calculate quarterly federal payments to the states. </w:t>
      </w:r>
    </w:p>
    <w:p w:rsidR="00560755" w:rsidRPr="00B85AF8" w:rsidP="00561F29" w14:paraId="6701BF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60755" w:rsidRPr="00B85AF8" w:rsidP="00561F29" w14:paraId="4913BDD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In addition, information collected </w:t>
      </w:r>
      <w:r w:rsidRPr="00B85AF8" w:rsidR="003C4447">
        <w:rPr>
          <w:sz w:val="24"/>
        </w:rPr>
        <w:t xml:space="preserve">in the Blueprint and Blueprint revisions </w:t>
      </w:r>
      <w:r w:rsidRPr="00B85AF8">
        <w:rPr>
          <w:sz w:val="24"/>
        </w:rPr>
        <w:t xml:space="preserve">by CMS will be used by advocacy groups, beneficiaries, applicants, other governmental agencies, research organizations, </w:t>
      </w:r>
      <w:r w:rsidRPr="00B85AF8">
        <w:rPr>
          <w:sz w:val="24"/>
        </w:rPr>
        <w:t xml:space="preserve">and health care consultants. </w:t>
      </w:r>
      <w:r w:rsidRPr="00B85AF8" w:rsidR="00DF6B2C">
        <w:rPr>
          <w:sz w:val="24"/>
        </w:rPr>
        <w:t xml:space="preserve">CMS will post the states’ most recent Blueprints on Medicaid.gov. States may also make their Blueprints publicly available. </w:t>
      </w:r>
      <w:r w:rsidRPr="00B85AF8">
        <w:rPr>
          <w:sz w:val="24"/>
        </w:rPr>
        <w:t xml:space="preserve">States will use the information collected to assess performance and monitor program enrollment. </w:t>
      </w:r>
    </w:p>
    <w:p w:rsidR="00991D22" w:rsidRPr="00B85AF8" w:rsidP="00561F29" w14:paraId="1567B48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60755" w:rsidRPr="00B85AF8" w:rsidP="00561F29" w14:paraId="468598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CMS may publicly report high-level enrollment data, but will not make the states’ enrollment data submissions publicly available, as they contain confidential information. At this time, CMS does not intend to post BHP annual reports on Medicaid.gov, but may do so in the future.</w:t>
      </w:r>
    </w:p>
    <w:p w:rsidR="00EB7161" w:rsidRPr="00B85AF8" w:rsidP="00561F29" w14:paraId="0E43D0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5AA985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3.</w:t>
      </w:r>
      <w:r w:rsidRPr="00B85AF8">
        <w:rPr>
          <w:sz w:val="24"/>
        </w:rPr>
        <w:tab/>
      </w:r>
      <w:r w:rsidRPr="00B85AF8">
        <w:rPr>
          <w:sz w:val="24"/>
          <w:u w:val="single"/>
        </w:rPr>
        <w:t>Use of Information Technology</w:t>
      </w:r>
    </w:p>
    <w:p w:rsidR="008F1EB4" w:rsidRPr="00B85AF8" w14:paraId="347C9E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26105" w:rsidRPr="00B85AF8" w:rsidP="005618C5" w14:paraId="2BD550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This information collection is relatively small and CMS expects to collect it in a standardized format. CMS expects to collect this information as follows:</w:t>
      </w:r>
    </w:p>
    <w:p w:rsidR="00D26105" w:rsidRPr="00B85AF8" w:rsidP="005618C5" w14:paraId="317A2C60" w14:textId="77777777">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85AF8">
        <w:rPr>
          <w:sz w:val="24"/>
        </w:rPr>
        <w:t>BHP Blueprint and revised Blueprints: States will submit this infor</w:t>
      </w:r>
      <w:r w:rsidRPr="00B85AF8" w:rsidR="0012159E">
        <w:rPr>
          <w:sz w:val="24"/>
        </w:rPr>
        <w:t>mation in electronic format via email from the states to their BHP Project Officer.</w:t>
      </w:r>
    </w:p>
    <w:p w:rsidR="00D26105" w:rsidRPr="00B85AF8" w:rsidP="005618C5" w14:paraId="3705381E" w14:textId="77777777">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85AF8">
        <w:rPr>
          <w:sz w:val="24"/>
        </w:rPr>
        <w:t>BHP annual report:</w:t>
      </w:r>
      <w:r w:rsidRPr="00B85AF8" w:rsidR="0012159E">
        <w:rPr>
          <w:sz w:val="24"/>
        </w:rPr>
        <w:t xml:space="preserve"> States will submit this information in electronic format via email from the states to their BHP Project Officer.</w:t>
      </w:r>
    </w:p>
    <w:p w:rsidR="00D26105" w:rsidRPr="00B85AF8" w:rsidP="005618C5" w14:paraId="5E46972F" w14:textId="77777777">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85AF8">
        <w:rPr>
          <w:sz w:val="24"/>
        </w:rPr>
        <w:t>Estimated enrollment data:</w:t>
      </w:r>
      <w:r w:rsidRPr="00B85AF8" w:rsidR="0012159E">
        <w:rPr>
          <w:sz w:val="24"/>
        </w:rPr>
        <w:t xml:space="preserve"> States will submit this information in electronic format via email to the CMS Office of the Actuary. Note that no personally identifiable information is transmitted in the estimated enrollment data file. </w:t>
      </w:r>
    </w:p>
    <w:p w:rsidR="00D26105" w:rsidRPr="00B85AF8" w:rsidP="005618C5" w14:paraId="5522E06E" w14:textId="77777777">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85AF8">
        <w:rPr>
          <w:sz w:val="24"/>
        </w:rPr>
        <w:t xml:space="preserve">Actual enrollment data: States will submit actual enrollment data to </w:t>
      </w:r>
      <w:r w:rsidRPr="00B85AF8" w:rsidR="0096582B">
        <w:rPr>
          <w:sz w:val="24"/>
        </w:rPr>
        <w:t>the CMS Office of the Actuary</w:t>
      </w:r>
      <w:r w:rsidRPr="00B85AF8">
        <w:rPr>
          <w:sz w:val="24"/>
        </w:rPr>
        <w:t xml:space="preserve"> via a secure electronic file transfer.</w:t>
      </w:r>
    </w:p>
    <w:p w:rsidR="001F23D3" w:rsidRPr="00B85AF8" w:rsidP="005618C5" w14:paraId="3608CD8E" w14:textId="77777777">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85AF8">
        <w:rPr>
          <w:sz w:val="24"/>
        </w:rPr>
        <w:t>Reference premium data: States will submit reference premium data via email from the states to the CMS Office of the Actuary.</w:t>
      </w:r>
    </w:p>
    <w:p w:rsidR="00733FCB" w:rsidRPr="00B85AF8" w:rsidP="005618C5" w14:paraId="0AC28227" w14:textId="6DCB8FAA">
      <w:pPr>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85AF8">
        <w:rPr>
          <w:sz w:val="24"/>
        </w:rPr>
        <w:t xml:space="preserve">Termination </w:t>
      </w:r>
      <w:r w:rsidRPr="00B85AF8" w:rsidR="006057C4">
        <w:rPr>
          <w:sz w:val="24"/>
        </w:rPr>
        <w:t xml:space="preserve">or Suspension </w:t>
      </w:r>
      <w:r w:rsidRPr="00B85AF8">
        <w:rPr>
          <w:sz w:val="24"/>
        </w:rPr>
        <w:t xml:space="preserve">of a BHP: States will submit required notification of their intent to termination their BHP via email </w:t>
      </w:r>
      <w:r w:rsidRPr="00B85AF8" w:rsidR="00B83DF4">
        <w:rPr>
          <w:sz w:val="24"/>
        </w:rPr>
        <w:t xml:space="preserve">to their BHP Project Officer. </w:t>
      </w:r>
    </w:p>
    <w:p w:rsidR="00DF7BF2" w:rsidRPr="00B85AF8" w14:paraId="6307C3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14:paraId="3BD740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4.</w:t>
      </w:r>
      <w:r w:rsidRPr="00B85AF8">
        <w:rPr>
          <w:sz w:val="24"/>
        </w:rPr>
        <w:tab/>
      </w:r>
      <w:r w:rsidRPr="00B85AF8">
        <w:rPr>
          <w:sz w:val="24"/>
          <w:u w:val="single"/>
        </w:rPr>
        <w:t>Duplication of Efforts</w:t>
      </w:r>
    </w:p>
    <w:p w:rsidR="008F1EB4" w:rsidRPr="00B85AF8" w14:paraId="4BE0E6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52E3B" w:rsidRPr="00B85AF8" w:rsidP="005618C5" w14:paraId="0DE5A92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There is no duplication of this information.</w:t>
      </w:r>
    </w:p>
    <w:p w:rsidR="00752E3B" w:rsidRPr="00B85AF8" w14:paraId="3E964A3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14:paraId="26AA7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5.</w:t>
      </w:r>
      <w:r w:rsidRPr="00B85AF8">
        <w:rPr>
          <w:sz w:val="24"/>
        </w:rPr>
        <w:tab/>
      </w:r>
      <w:r w:rsidRPr="00B85AF8">
        <w:rPr>
          <w:sz w:val="24"/>
          <w:u w:val="single"/>
        </w:rPr>
        <w:t>Small Businesses</w:t>
      </w:r>
    </w:p>
    <w:p w:rsidR="008F1EB4" w:rsidRPr="00B85AF8" w14:paraId="7537A04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rsidP="005618C5" w14:paraId="720C04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This collection of information does not impact small businesses or other small entities.</w:t>
      </w:r>
    </w:p>
    <w:p w:rsidR="008F1EB4" w:rsidRPr="00B85AF8" w14:paraId="5214A9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7DC8527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6.</w:t>
      </w:r>
      <w:r w:rsidRPr="00B85AF8">
        <w:rPr>
          <w:sz w:val="24"/>
        </w:rPr>
        <w:tab/>
      </w:r>
      <w:r w:rsidRPr="00B85AF8">
        <w:rPr>
          <w:sz w:val="24"/>
          <w:u w:val="single"/>
        </w:rPr>
        <w:t>Less Frequent Collection</w:t>
      </w:r>
    </w:p>
    <w:p w:rsidR="008F1EB4" w:rsidRPr="00B85AF8" w14:paraId="0911CB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43522" w:rsidRPr="00B85AF8" w:rsidP="005618C5" w14:paraId="0AA851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initial Blueprint must be certified by CMS prior to the state operating a BHP. Blueprint revisions may be submitted by states to CMS on an as needed basis. Disclosure of the information requested of states within the Blueprint ensures compliance with federal regulations and serves the interests of BHP enrollees. There is no method to reduce the frequency that does not result in non-compliance with federal regulations.</w:t>
      </w:r>
    </w:p>
    <w:p w:rsidR="00C43522" w:rsidRPr="00B85AF8" w14:paraId="765D8E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43522" w:rsidRPr="00B85AF8" w:rsidP="005618C5" w14:paraId="7E31BF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Under federal regulations, the BHP annual report must be submitted by states to CMS within 60 days of the end of each operational year. The BHP annual report is reviewed by CMS to ensure states’ compliance with their Blueprint and with federal regulations. There is no method to reduce the frequency that does not result in non-compliance with federal regulations.</w:t>
      </w:r>
    </w:p>
    <w:p w:rsidR="00C43522" w:rsidRPr="00B85AF8" w14:paraId="55890E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91875" w:rsidRPr="00B85AF8" w:rsidP="005618C5" w14:paraId="05FAC8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Estimated and actual enrollment data must be submitted by states to CMS on a quarterly basis. The consequences</w:t>
      </w:r>
      <w:r w:rsidRPr="00B85AF8" w:rsidR="00A64819">
        <w:rPr>
          <w:sz w:val="24"/>
        </w:rPr>
        <w:t xml:space="preserve"> to the federal government or the state if the information is not collected or is collected less frequently will be an inability to properly transfer federal payments to the states. </w:t>
      </w:r>
      <w:r w:rsidRPr="00B85AF8">
        <w:rPr>
          <w:sz w:val="24"/>
        </w:rPr>
        <w:t>There is no method to reduce the frequency that does not result in non-compliance with federal regulations.</w:t>
      </w:r>
    </w:p>
    <w:p w:rsidR="00891875" w:rsidRPr="00B85AF8" w14:paraId="00E343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B09F9" w:rsidRPr="00B85AF8" w:rsidP="005618C5" w14:paraId="299AFC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For collection of the reference premiums, Section 1331(d)(3)(a)(</w:t>
      </w:r>
      <w:r w:rsidRPr="00B85AF8">
        <w:rPr>
          <w:sz w:val="24"/>
        </w:rPr>
        <w:t>i</w:t>
      </w:r>
      <w:r w:rsidRPr="00B85AF8">
        <w:rPr>
          <w:sz w:val="24"/>
        </w:rPr>
        <w:t xml:space="preserve">) </w:t>
      </w:r>
      <w:r w:rsidRPr="00B85AF8" w:rsidR="005E296E">
        <w:rPr>
          <w:sz w:val="24"/>
        </w:rPr>
        <w:t>of the A</w:t>
      </w:r>
      <w:r w:rsidRPr="00B85AF8" w:rsidR="00CF3EA4">
        <w:rPr>
          <w:sz w:val="24"/>
        </w:rPr>
        <w:t>CA</w:t>
      </w:r>
      <w:r w:rsidRPr="00B85AF8" w:rsidR="005E296E">
        <w:rPr>
          <w:sz w:val="24"/>
        </w:rPr>
        <w:t xml:space="preserve"> </w:t>
      </w:r>
      <w:r w:rsidRPr="00B85AF8">
        <w:rPr>
          <w:sz w:val="24"/>
        </w:rPr>
        <w:t>requires an annual determination of the amount that the Secretary would have paid equal to 95 percent of the PTCs and CSRs for BHP enrollees had they been enrolled in the Exchanges. The premiums for qualified health plans offered under the Exchanges are expected to change annually</w:t>
      </w:r>
      <w:r w:rsidRPr="00B85AF8" w:rsidR="00BD073A">
        <w:rPr>
          <w:sz w:val="24"/>
        </w:rPr>
        <w:t xml:space="preserve">. Therefore, </w:t>
      </w:r>
      <w:r w:rsidRPr="00B85AF8">
        <w:rPr>
          <w:sz w:val="24"/>
        </w:rPr>
        <w:t xml:space="preserve">to accurately calculate the BHP payment amounts </w:t>
      </w:r>
      <w:r w:rsidRPr="00B85AF8" w:rsidR="00BD073A">
        <w:rPr>
          <w:sz w:val="24"/>
        </w:rPr>
        <w:t xml:space="preserve">for a given year the </w:t>
      </w:r>
      <w:r w:rsidRPr="00B85AF8">
        <w:rPr>
          <w:sz w:val="24"/>
        </w:rPr>
        <w:t xml:space="preserve">reference premiums associated with the </w:t>
      </w:r>
      <w:r w:rsidRPr="00B85AF8" w:rsidR="00BD073A">
        <w:rPr>
          <w:sz w:val="24"/>
        </w:rPr>
        <w:t xml:space="preserve">second lowest cost silver plans and </w:t>
      </w:r>
      <w:r w:rsidRPr="00B85AF8">
        <w:rPr>
          <w:sz w:val="24"/>
        </w:rPr>
        <w:t xml:space="preserve">the lowest </w:t>
      </w:r>
      <w:r w:rsidRPr="00B85AF8" w:rsidR="00BD073A">
        <w:rPr>
          <w:sz w:val="24"/>
        </w:rPr>
        <w:t>cost bronze</w:t>
      </w:r>
      <w:r w:rsidRPr="00B85AF8">
        <w:rPr>
          <w:sz w:val="24"/>
        </w:rPr>
        <w:t xml:space="preserve"> plans </w:t>
      </w:r>
      <w:r w:rsidRPr="00B85AF8" w:rsidR="00BD073A">
        <w:rPr>
          <w:sz w:val="24"/>
        </w:rPr>
        <w:t>must be collected each year from SBEs.</w:t>
      </w:r>
      <w:r w:rsidRPr="00B85AF8">
        <w:rPr>
          <w:sz w:val="24"/>
        </w:rPr>
        <w:t xml:space="preserve"> </w:t>
      </w:r>
      <w:r w:rsidRPr="00B85AF8" w:rsidR="00BD073A">
        <w:rPr>
          <w:sz w:val="24"/>
        </w:rPr>
        <w:t>That is to say, the BHP payment rates and actual payment amounts would be inaccurate if these data were not collected on annual basis.</w:t>
      </w:r>
    </w:p>
    <w:p w:rsidR="00C43522" w:rsidRPr="00B85AF8" w14:paraId="39D1E4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43522" w:rsidRPr="00B85AF8" w:rsidP="005618C5" w14:paraId="442B286A" w14:textId="7D145A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Under federal regulations in 42 CFR 600.140, a state electing to terminate</w:t>
      </w:r>
      <w:r w:rsidR="001743C8">
        <w:rPr>
          <w:sz w:val="24"/>
        </w:rPr>
        <w:t xml:space="preserve"> or suspend</w:t>
      </w:r>
      <w:r w:rsidRPr="00B85AF8">
        <w:rPr>
          <w:sz w:val="24"/>
        </w:rPr>
        <w:t xml:space="preserve"> its BHP must submit a notice and transition plan to the Secretary.</w:t>
      </w:r>
      <w:r w:rsidRPr="00B85AF8" w:rsidR="00FF0B1D">
        <w:rPr>
          <w:sz w:val="24"/>
        </w:rPr>
        <w:t xml:space="preserve"> There is no method to reduce the frequency that does not result in non-compliance with federal regulations.</w:t>
      </w:r>
    </w:p>
    <w:p w:rsidR="008F1EB4" w:rsidRPr="00B85AF8" w14:paraId="46BA441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72D43C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7.</w:t>
      </w:r>
      <w:r w:rsidRPr="00B85AF8">
        <w:rPr>
          <w:sz w:val="24"/>
        </w:rPr>
        <w:tab/>
      </w:r>
      <w:r w:rsidRPr="00B85AF8">
        <w:rPr>
          <w:sz w:val="24"/>
          <w:u w:val="single"/>
        </w:rPr>
        <w:t>Special Circumstances</w:t>
      </w:r>
    </w:p>
    <w:p w:rsidR="008F1EB4" w:rsidRPr="00B85AF8" w14:paraId="531DAE1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2D4F" w:rsidRPr="00B85AF8" w:rsidP="005618C5" w14:paraId="34AC28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There are no special circumstances requiring this</w:t>
      </w:r>
      <w:r w:rsidRPr="00B85AF8" w:rsidR="008F1EB4">
        <w:rPr>
          <w:sz w:val="24"/>
        </w:rPr>
        <w:t xml:space="preserve"> information collection</w:t>
      </w:r>
      <w:r w:rsidRPr="00B85AF8">
        <w:rPr>
          <w:sz w:val="24"/>
        </w:rPr>
        <w:t xml:space="preserve"> to do </w:t>
      </w:r>
      <w:r w:rsidRPr="00B85AF8" w:rsidR="00030D0A">
        <w:rPr>
          <w:sz w:val="24"/>
        </w:rPr>
        <w:t xml:space="preserve">any of </w:t>
      </w:r>
      <w:r w:rsidRPr="00B85AF8">
        <w:rPr>
          <w:sz w:val="24"/>
        </w:rPr>
        <w:t>the following:</w:t>
      </w:r>
    </w:p>
    <w:p w:rsidR="00F82D4F" w:rsidRPr="00B85AF8" w:rsidP="00682E67" w14:paraId="4BA923FE"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H</w:t>
      </w:r>
      <w:r w:rsidRPr="00B85AF8" w:rsidR="00030D0A">
        <w:rPr>
          <w:sz w:val="24"/>
        </w:rPr>
        <w:t xml:space="preserve">ave respondents </w:t>
      </w:r>
      <w:r w:rsidRPr="00B85AF8" w:rsidR="008F1EB4">
        <w:rPr>
          <w:sz w:val="24"/>
        </w:rPr>
        <w:t>conduct</w:t>
      </w:r>
      <w:r w:rsidRPr="00B85AF8" w:rsidR="00030D0A">
        <w:rPr>
          <w:sz w:val="24"/>
        </w:rPr>
        <w:t xml:space="preserve"> this collection m</w:t>
      </w:r>
      <w:r w:rsidRPr="00B85AF8">
        <w:rPr>
          <w:sz w:val="24"/>
        </w:rPr>
        <w:t xml:space="preserve">ore often than quarterly; </w:t>
      </w:r>
    </w:p>
    <w:p w:rsidR="008F1EB4" w:rsidRPr="00B85AF8" w:rsidP="00682E67" w14:paraId="32D6A276"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H</w:t>
      </w:r>
      <w:r w:rsidRPr="00B85AF8" w:rsidR="00F82D4F">
        <w:rPr>
          <w:sz w:val="24"/>
        </w:rPr>
        <w:t xml:space="preserve">ave respondents submit more than the original electronic copy </w:t>
      </w:r>
      <w:r w:rsidRPr="00B85AF8" w:rsidR="00014F95">
        <w:rPr>
          <w:sz w:val="24"/>
        </w:rPr>
        <w:t>of any document;</w:t>
      </w:r>
    </w:p>
    <w:p w:rsidR="008F1EB4" w:rsidRPr="00B85AF8" w:rsidP="00682E67" w14:paraId="6F2364E0"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Requir</w:t>
      </w:r>
      <w:r w:rsidRPr="00B85AF8" w:rsidR="00F82D4F">
        <w:rPr>
          <w:sz w:val="24"/>
        </w:rPr>
        <w:t>e</w:t>
      </w:r>
      <w:r w:rsidRPr="00B85AF8">
        <w:rPr>
          <w:sz w:val="24"/>
        </w:rPr>
        <w:t xml:space="preserve"> respondents to retain records, other than health, medical, government contract,</w:t>
      </w:r>
      <w:r w:rsidRPr="00B85AF8" w:rsidR="00682E67">
        <w:rPr>
          <w:sz w:val="24"/>
        </w:rPr>
        <w:t xml:space="preserve"> </w:t>
      </w:r>
      <w:r w:rsidRPr="00B85AF8">
        <w:rPr>
          <w:sz w:val="24"/>
        </w:rPr>
        <w:t>grant-in-aid, or tax records for more than three years;</w:t>
      </w:r>
    </w:p>
    <w:p w:rsidR="008F1EB4" w:rsidRPr="00B85AF8" w:rsidP="00682E67" w14:paraId="3BE1E7AD"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B</w:t>
      </w:r>
      <w:r w:rsidRPr="00B85AF8" w:rsidR="00F82D4F">
        <w:rPr>
          <w:sz w:val="24"/>
        </w:rPr>
        <w:t>e c</w:t>
      </w:r>
      <w:r w:rsidRPr="00B85AF8">
        <w:rPr>
          <w:sz w:val="24"/>
        </w:rPr>
        <w:t>onnect</w:t>
      </w:r>
      <w:r w:rsidRPr="00B85AF8" w:rsidR="00F82D4F">
        <w:rPr>
          <w:sz w:val="24"/>
        </w:rPr>
        <w:t>ed</w:t>
      </w:r>
      <w:r w:rsidRPr="00B85AF8">
        <w:rPr>
          <w:sz w:val="24"/>
        </w:rPr>
        <w:t xml:space="preserve"> with </w:t>
      </w:r>
      <w:r w:rsidRPr="00B85AF8" w:rsidR="00F82D4F">
        <w:rPr>
          <w:sz w:val="24"/>
        </w:rPr>
        <w:t xml:space="preserve">any </w:t>
      </w:r>
      <w:r w:rsidRPr="00B85AF8">
        <w:rPr>
          <w:sz w:val="24"/>
        </w:rPr>
        <w:t>statistical survey</w:t>
      </w:r>
      <w:r w:rsidRPr="00B85AF8" w:rsidR="00F82D4F">
        <w:rPr>
          <w:sz w:val="24"/>
        </w:rPr>
        <w:t>, including one</w:t>
      </w:r>
      <w:r w:rsidRPr="00B85AF8">
        <w:rPr>
          <w:sz w:val="24"/>
        </w:rPr>
        <w:t xml:space="preserve"> that is not designed to produce valid and reliable results that can be generalized to the universe of study;</w:t>
      </w:r>
    </w:p>
    <w:p w:rsidR="008F1EB4" w:rsidRPr="00B85AF8" w:rsidP="00682E67" w14:paraId="6481ACE4"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Requir</w:t>
      </w:r>
      <w:r w:rsidRPr="00B85AF8" w:rsidR="00030D0A">
        <w:rPr>
          <w:sz w:val="24"/>
        </w:rPr>
        <w:t>e</w:t>
      </w:r>
      <w:r w:rsidRPr="00B85AF8">
        <w:rPr>
          <w:sz w:val="24"/>
        </w:rPr>
        <w:t xml:space="preserve"> the use of a statistical data classification that has not been reviewed and approved</w:t>
      </w:r>
      <w:r w:rsidRPr="00B85AF8" w:rsidR="00682E67">
        <w:rPr>
          <w:sz w:val="24"/>
        </w:rPr>
        <w:t xml:space="preserve"> </w:t>
      </w:r>
      <w:r w:rsidRPr="00B85AF8">
        <w:rPr>
          <w:sz w:val="24"/>
        </w:rPr>
        <w:t>by OMB;</w:t>
      </w:r>
    </w:p>
    <w:p w:rsidR="008F1EB4" w:rsidRPr="00B85AF8" w:rsidP="00682E67" w14:paraId="5DD286E2"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Include a pledge of confidentiality that is not supported by authority established in statue or</w:t>
      </w:r>
      <w:r w:rsidRPr="00B85AF8" w:rsidR="00682E67">
        <w:rPr>
          <w:sz w:val="24"/>
        </w:rPr>
        <w:t xml:space="preserve"> </w:t>
      </w:r>
      <w:r w:rsidRPr="00B85AF8">
        <w:rPr>
          <w:sz w:val="24"/>
        </w:rPr>
        <w:t>regulation that is not supported by disclosure and data security policies that are consistent</w:t>
      </w:r>
      <w:r w:rsidRPr="00B85AF8" w:rsidR="00682E67">
        <w:rPr>
          <w:sz w:val="24"/>
        </w:rPr>
        <w:t xml:space="preserve"> </w:t>
      </w:r>
      <w:r w:rsidRPr="00B85AF8">
        <w:rPr>
          <w:sz w:val="24"/>
        </w:rPr>
        <w:t xml:space="preserve">with the pledge, or which unnecessarily impedes sharing of data with other agencies for </w:t>
      </w:r>
      <w:r w:rsidRPr="00B85AF8" w:rsidR="00682E67">
        <w:rPr>
          <w:sz w:val="24"/>
        </w:rPr>
        <w:t xml:space="preserve"> </w:t>
      </w:r>
      <w:r w:rsidRPr="00B85AF8">
        <w:rPr>
          <w:sz w:val="24"/>
        </w:rPr>
        <w:t>compatible confidential use; or</w:t>
      </w:r>
    </w:p>
    <w:p w:rsidR="00F82D4F" w:rsidRPr="00B85AF8" w:rsidP="00682E67" w14:paraId="708D870E"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R</w:t>
      </w:r>
      <w:r w:rsidRPr="00B85AF8" w:rsidR="008F1EB4">
        <w:rPr>
          <w:sz w:val="24"/>
        </w:rPr>
        <w:t>equir</w:t>
      </w:r>
      <w:r w:rsidRPr="00B85AF8" w:rsidR="00030D0A">
        <w:rPr>
          <w:sz w:val="24"/>
        </w:rPr>
        <w:t>e</w:t>
      </w:r>
      <w:r w:rsidRPr="00B85AF8" w:rsidR="008F1EB4">
        <w:rPr>
          <w:sz w:val="24"/>
        </w:rPr>
        <w:t xml:space="preserve"> respondents to submit proprietary trade secret, or other confidential information</w:t>
      </w:r>
      <w:r w:rsidRPr="00B85AF8" w:rsidR="00030D0A">
        <w:rPr>
          <w:sz w:val="24"/>
        </w:rPr>
        <w:t>.</w:t>
      </w:r>
      <w:r w:rsidRPr="00B85AF8" w:rsidR="008F1EB4">
        <w:rPr>
          <w:sz w:val="24"/>
        </w:rPr>
        <w:t xml:space="preserve"> </w:t>
      </w:r>
    </w:p>
    <w:p w:rsidR="008F1EB4" w:rsidRPr="00B85AF8" w14:paraId="0083271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427E57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B85AF8">
        <w:rPr>
          <w:sz w:val="24"/>
        </w:rPr>
        <w:t>8.</w:t>
      </w:r>
      <w:r w:rsidRPr="00B85AF8">
        <w:rPr>
          <w:sz w:val="24"/>
        </w:rPr>
        <w:tab/>
      </w:r>
      <w:r w:rsidRPr="00B85AF8">
        <w:rPr>
          <w:sz w:val="24"/>
          <w:u w:val="single"/>
        </w:rPr>
        <w:t>Federal Register/Outside Consultation</w:t>
      </w:r>
      <w:r w:rsidRPr="00B85AF8" w:rsidR="009A13F8">
        <w:rPr>
          <w:sz w:val="24"/>
          <w:u w:val="single"/>
        </w:rPr>
        <w:t xml:space="preserve"> </w:t>
      </w:r>
    </w:p>
    <w:p w:rsidR="008F1EB4" w:rsidRPr="00B85AF8" w14:paraId="03F9FA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E66E6" w:rsidRPr="00B85AF8" w:rsidP="005618C5" w14:paraId="281C64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B85AF8">
        <w:rPr>
          <w:i/>
          <w:sz w:val="24"/>
        </w:rPr>
        <w:t>Federal Register</w:t>
      </w:r>
    </w:p>
    <w:p w:rsidR="000E66E6" w:rsidRPr="00B85AF8" w:rsidP="00187D5A" w14:paraId="6435A1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95D9B" w:rsidRPr="00B85AF8" w:rsidP="00301E48" w14:paraId="5B2B6835" w14:textId="13976E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Hlk130822439"/>
      <w:r w:rsidRPr="00B85AF8">
        <w:rPr>
          <w:sz w:val="24"/>
        </w:rPr>
        <w:t>Serving as the 60-day notice the CY 2024 PFS proposed rule (CMS-1784-P; RIN 0938-AV07) filed for public inspection on July 13, 2023 at the Office of the Federal Register and published in the Federal Register on August 7, 2023 (88 FR 52262). Comments must be received by 5 p.m. on September 11, 2023.</w:t>
      </w:r>
    </w:p>
    <w:bookmarkEnd w:id="0"/>
    <w:p w:rsidR="00301E48" w:rsidRPr="00B85AF8" w:rsidP="00187D5A" w14:paraId="6ED055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E66E6" w:rsidRPr="00B85AF8" w:rsidP="005618C5" w14:paraId="2B49B3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B85AF8">
        <w:rPr>
          <w:i/>
          <w:sz w:val="24"/>
        </w:rPr>
        <w:t>Outside Consultation</w:t>
      </w:r>
    </w:p>
    <w:p w:rsidR="000E66E6" w:rsidRPr="00B85AF8" w:rsidP="00187D5A" w14:paraId="456B1A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057C4" w:rsidRPr="00B85AF8" w:rsidP="002D3612" w14:paraId="368C983C" w14:textId="10ED5D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CMS has quarterly calls with Minnesota and New York to discuss any upcoming Blueprint revisions and any recent annual report and any challenges the states were facing with complying with federal requirements.</w:t>
      </w:r>
    </w:p>
    <w:p w:rsidR="00014F95" w:rsidRPr="00B85AF8" w:rsidP="00773519" w14:paraId="09E5F1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14:paraId="557C1F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9.</w:t>
      </w:r>
      <w:r w:rsidRPr="00B85AF8">
        <w:rPr>
          <w:sz w:val="24"/>
        </w:rPr>
        <w:tab/>
      </w:r>
      <w:r w:rsidRPr="00B85AF8">
        <w:rPr>
          <w:sz w:val="24"/>
          <w:u w:val="single"/>
        </w:rPr>
        <w:t>Payments/Gifts to Respondents</w:t>
      </w:r>
    </w:p>
    <w:p w:rsidR="008F1EB4" w:rsidRPr="00B85AF8" w14:paraId="15C69E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rsidP="005618C5" w14:paraId="7FAF27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No provision is being made for payment or gift to respondents, other than remuneration of contractors or grantees.</w:t>
      </w:r>
    </w:p>
    <w:p w:rsidR="008F1EB4" w:rsidRPr="00B85AF8" w14:paraId="7D92C1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0214B7F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10.</w:t>
      </w:r>
      <w:r w:rsidRPr="00B85AF8">
        <w:rPr>
          <w:sz w:val="24"/>
        </w:rPr>
        <w:tab/>
      </w:r>
      <w:r w:rsidRPr="00B85AF8">
        <w:rPr>
          <w:sz w:val="24"/>
          <w:u w:val="single"/>
        </w:rPr>
        <w:t>Confidentiality</w:t>
      </w:r>
    </w:p>
    <w:p w:rsidR="000F3AF4" w:rsidRPr="00B85AF8" w14:paraId="6FE342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rsidP="001E2429" w14:paraId="7C8C162E" w14:textId="77777777">
      <w:pPr>
        <w:widowControl/>
        <w:rPr>
          <w:sz w:val="24"/>
        </w:rPr>
      </w:pPr>
      <w:r w:rsidRPr="00B85AF8">
        <w:rPr>
          <w:sz w:val="24"/>
        </w:rPr>
        <w:t xml:space="preserve">Consistent with federal government and CMS policies, CMS will protect the </w:t>
      </w:r>
      <w:r w:rsidRPr="00B85AF8" w:rsidR="00DF6B2C">
        <w:rPr>
          <w:sz w:val="24"/>
        </w:rPr>
        <w:t>privacy</w:t>
      </w:r>
      <w:r w:rsidRPr="00B85AF8">
        <w:rPr>
          <w:sz w:val="24"/>
        </w:rPr>
        <w:t xml:space="preserve"> of</w:t>
      </w:r>
      <w:r w:rsidRPr="00B85AF8" w:rsidR="005F546B">
        <w:rPr>
          <w:sz w:val="24"/>
        </w:rPr>
        <w:t xml:space="preserve"> </w:t>
      </w:r>
      <w:r w:rsidRPr="00B85AF8">
        <w:rPr>
          <w:sz w:val="24"/>
        </w:rPr>
        <w:t xml:space="preserve">requested information. </w:t>
      </w:r>
      <w:r w:rsidRPr="00B85AF8" w:rsidR="00304E76">
        <w:rPr>
          <w:sz w:val="24"/>
        </w:rPr>
        <w:t xml:space="preserve">The collection of BHP Blueprints and </w:t>
      </w:r>
      <w:r w:rsidRPr="00B85AF8" w:rsidR="00014F95">
        <w:rPr>
          <w:sz w:val="24"/>
        </w:rPr>
        <w:t xml:space="preserve">Blueprint </w:t>
      </w:r>
      <w:r w:rsidRPr="00B85AF8" w:rsidR="00304E76">
        <w:rPr>
          <w:sz w:val="24"/>
        </w:rPr>
        <w:t xml:space="preserve">revisions, estimated enrollment data, </w:t>
      </w:r>
      <w:r w:rsidRPr="00B85AF8" w:rsidR="00014F95">
        <w:rPr>
          <w:sz w:val="24"/>
        </w:rPr>
        <w:t xml:space="preserve">the </w:t>
      </w:r>
      <w:r w:rsidRPr="00B85AF8" w:rsidR="00304E76">
        <w:rPr>
          <w:sz w:val="24"/>
        </w:rPr>
        <w:t xml:space="preserve">annual report, and reference premium data </w:t>
      </w:r>
      <w:r w:rsidRPr="00B85AF8" w:rsidR="00576FE4">
        <w:rPr>
          <w:sz w:val="24"/>
        </w:rPr>
        <w:t>does not include confidential information</w:t>
      </w:r>
      <w:r w:rsidRPr="00B85AF8" w:rsidR="00304E76">
        <w:rPr>
          <w:sz w:val="24"/>
        </w:rPr>
        <w:t>.</w:t>
      </w:r>
      <w:r w:rsidRPr="00B85AF8" w:rsidR="004D7CA6">
        <w:rPr>
          <w:sz w:val="24"/>
        </w:rPr>
        <w:t xml:space="preserve"> The collection of actual enrollment data does include confidential information. The data is transferred to CMS from the state via a secure electronic file transfer protocol. The data is maintained securely, is password protected, and access is limited to only select CMS employees and contractors.</w:t>
      </w:r>
      <w:r w:rsidRPr="00B85AF8" w:rsidR="00304E76">
        <w:rPr>
          <w:sz w:val="24"/>
        </w:rPr>
        <w:t xml:space="preserve"> </w:t>
      </w:r>
    </w:p>
    <w:p w:rsidR="00ED3D3A" w:rsidRPr="00B85AF8" w14:paraId="253BD2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rsidP="00320505" w14:paraId="030A58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In accordance with the requirements of the Privacy Act of 1974 (5 U.S.C. 552a), BHP is addressed in the system of records entitled, “Health Insurance Exchanges (HIX) Program” (No. 09-70-0560). See the </w:t>
      </w:r>
      <w:r w:rsidRPr="00B85AF8" w:rsidR="00320505">
        <w:rPr>
          <w:sz w:val="24"/>
        </w:rPr>
        <w:t xml:space="preserve">October 23, 2013 (78 FR 63211) </w:t>
      </w:r>
      <w:r w:rsidRPr="00B85AF8">
        <w:rPr>
          <w:sz w:val="24"/>
        </w:rPr>
        <w:t>SORN for details</w:t>
      </w:r>
      <w:r w:rsidRPr="00B85AF8" w:rsidR="00594497">
        <w:rPr>
          <w:sz w:val="24"/>
        </w:rPr>
        <w:t>.</w:t>
      </w:r>
    </w:p>
    <w:p w:rsidR="00320505" w:rsidRPr="00B85AF8" w:rsidP="00320505" w14:paraId="3F032C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77C797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11.</w:t>
      </w:r>
      <w:r w:rsidRPr="00B85AF8">
        <w:rPr>
          <w:sz w:val="24"/>
        </w:rPr>
        <w:tab/>
      </w:r>
      <w:r w:rsidRPr="00B85AF8">
        <w:rPr>
          <w:sz w:val="24"/>
          <w:u w:val="single"/>
        </w:rPr>
        <w:t>Sensitive Questions</w:t>
      </w:r>
    </w:p>
    <w:p w:rsidR="008F1EB4" w:rsidRPr="00B85AF8" w14:paraId="3F19B6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rsidP="005618C5" w14:paraId="587B35C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There are no questions in this information collection of a sensitive nature, such as sexual behavior and attitudes, religious beliefs, and other matters that we commonly considered private.  </w:t>
      </w:r>
    </w:p>
    <w:p w:rsidR="008F1EB4" w:rsidRPr="00B85AF8" w14:paraId="09CACE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446617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5AF8">
        <w:rPr>
          <w:sz w:val="24"/>
        </w:rPr>
        <w:t>12.</w:t>
      </w:r>
      <w:r w:rsidRPr="00B85AF8">
        <w:rPr>
          <w:sz w:val="24"/>
        </w:rPr>
        <w:tab/>
      </w:r>
      <w:r w:rsidRPr="00B85AF8">
        <w:rPr>
          <w:sz w:val="24"/>
          <w:u w:val="single"/>
        </w:rPr>
        <w:t>Burden Estimates</w:t>
      </w:r>
    </w:p>
    <w:p w:rsidR="005669C5" w:rsidRPr="00B85AF8" w:rsidP="00787A00" w14:paraId="1BA67D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003076B3" w:rsidRPr="00B85AF8" w:rsidP="001E4A29" w14:paraId="5D18EABD" w14:textId="77777777">
      <w:pPr>
        <w:rPr>
          <w:i/>
          <w:sz w:val="24"/>
        </w:rPr>
      </w:pPr>
      <w:r w:rsidRPr="00B85AF8">
        <w:rPr>
          <w:i/>
          <w:sz w:val="24"/>
        </w:rPr>
        <w:t>Wage Estimates</w:t>
      </w:r>
    </w:p>
    <w:p w:rsidR="003076B3" w:rsidRPr="00B85AF8" w:rsidP="00787A00" w14:paraId="1FF22E47" w14:textId="77777777">
      <w:pPr>
        <w:ind w:left="360"/>
        <w:rPr>
          <w:sz w:val="24"/>
          <w:u w:val="single"/>
        </w:rPr>
      </w:pPr>
    </w:p>
    <w:p w:rsidR="003076B3" w:rsidRPr="00B85AF8" w:rsidP="003076B3" w14:paraId="28E61690" w14:textId="1C75F478">
      <w:pPr>
        <w:rPr>
          <w:sz w:val="24"/>
        </w:rPr>
      </w:pPr>
      <w:r w:rsidRPr="00B85AF8">
        <w:rPr>
          <w:sz w:val="24"/>
        </w:rPr>
        <w:t>To derive average costs, we used data from the U.S. Bureau of Labor Statistics’ (BLS) May 202</w:t>
      </w:r>
      <w:r w:rsidRPr="00B85AF8" w:rsidR="00BE6A20">
        <w:rPr>
          <w:sz w:val="24"/>
        </w:rPr>
        <w:t>2</w:t>
      </w:r>
      <w:r w:rsidRPr="00B85AF8">
        <w:rPr>
          <w:sz w:val="24"/>
        </w:rPr>
        <w:t xml:space="preserve"> National Occupational Employment and Wage Estimates for our salary estimates (</w:t>
      </w:r>
      <w:hyperlink r:id="rId11" w:history="1">
        <w:r w:rsidRPr="00B85AF8">
          <w:rPr>
            <w:rStyle w:val="Hyperlink"/>
            <w:sz w:val="24"/>
          </w:rPr>
          <w:t>www.bls.gov/oes/current/oes_nat.htm</w:t>
        </w:r>
      </w:hyperlink>
      <w:r w:rsidRPr="00B85AF8">
        <w:rPr>
          <w:sz w:val="24"/>
        </w:rPr>
        <w:t>).  In this regard, the following table presents BLS’ mean hourly wage, our estimated cost of fringe benefits and o</w:t>
      </w:r>
      <w:r w:rsidRPr="00B85AF8" w:rsidR="00E95874">
        <w:rPr>
          <w:sz w:val="24"/>
        </w:rPr>
        <w:t>ther indirect costs</w:t>
      </w:r>
      <w:r w:rsidRPr="00B85AF8">
        <w:rPr>
          <w:sz w:val="24"/>
        </w:rPr>
        <w:t>, and our adjusted hourly wage.</w:t>
      </w:r>
    </w:p>
    <w:p w:rsidR="003076B3" w:rsidRPr="00B85AF8" w:rsidP="00787A00" w14:paraId="1DFC51B4" w14:textId="77777777">
      <w:pPr>
        <w:rPr>
          <w:sz w:val="24"/>
        </w:rPr>
      </w:pPr>
    </w:p>
    <w:p w:rsidR="003076B3" w:rsidRPr="00B85AF8" w:rsidP="00E95874" w14:paraId="73D7337D" w14:textId="77777777">
      <w:pPr>
        <w:jc w:val="center"/>
        <w:rPr>
          <w:sz w:val="24"/>
        </w:rPr>
      </w:pPr>
      <w:r w:rsidRPr="00B85AF8">
        <w:rPr>
          <w:sz w:val="24"/>
        </w:rPr>
        <w:t>National Occupational Employment and Wage Estimates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6"/>
        <w:gridCol w:w="1343"/>
        <w:gridCol w:w="1366"/>
        <w:gridCol w:w="1580"/>
        <w:gridCol w:w="1440"/>
      </w:tblGrid>
      <w:tr w14:paraId="7F81D251" w14:textId="77777777" w:rsidTr="00895161">
        <w:tblPrEx>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076" w:type="dxa"/>
            <w:shd w:val="clear" w:color="auto" w:fill="auto"/>
            <w:vAlign w:val="center"/>
            <w:hideMark/>
          </w:tcPr>
          <w:p w:rsidR="003076B3" w:rsidRPr="00B85AF8" w:rsidP="00787A00" w14:paraId="21DF3F18" w14:textId="77777777">
            <w:pPr>
              <w:keepNext/>
              <w:keepLines/>
              <w:widowControl/>
              <w:jc w:val="center"/>
              <w:rPr>
                <w:rFonts w:eastAsia="Calibri"/>
                <w:bCs/>
                <w:lang w:bidi="en-US"/>
              </w:rPr>
            </w:pPr>
            <w:r w:rsidRPr="00B85AF8">
              <w:rPr>
                <w:rFonts w:eastAsia="Calibri"/>
                <w:bCs/>
                <w:lang w:bidi="en-US"/>
              </w:rPr>
              <w:t>Occupation Title</w:t>
            </w:r>
          </w:p>
        </w:tc>
        <w:tc>
          <w:tcPr>
            <w:tcW w:w="1343" w:type="dxa"/>
            <w:shd w:val="clear" w:color="auto" w:fill="auto"/>
            <w:vAlign w:val="center"/>
            <w:hideMark/>
          </w:tcPr>
          <w:p w:rsidR="003076B3" w:rsidRPr="00B85AF8" w:rsidP="00787A00" w14:paraId="0C8438CA" w14:textId="77777777">
            <w:pPr>
              <w:keepNext/>
              <w:keepLines/>
              <w:widowControl/>
              <w:jc w:val="center"/>
              <w:rPr>
                <w:rFonts w:eastAsia="Calibri"/>
                <w:bCs/>
                <w:lang w:bidi="en-US"/>
              </w:rPr>
            </w:pPr>
            <w:r w:rsidRPr="00B85AF8">
              <w:rPr>
                <w:rFonts w:eastAsia="Calibri"/>
                <w:bCs/>
                <w:lang w:bidi="en-US"/>
              </w:rPr>
              <w:t>Occupation Code</w:t>
            </w:r>
          </w:p>
        </w:tc>
        <w:tc>
          <w:tcPr>
            <w:tcW w:w="1366" w:type="dxa"/>
            <w:shd w:val="clear" w:color="auto" w:fill="auto"/>
            <w:vAlign w:val="center"/>
            <w:hideMark/>
          </w:tcPr>
          <w:p w:rsidR="003076B3" w:rsidRPr="00B85AF8" w:rsidP="00787A00" w14:paraId="47835248" w14:textId="77777777">
            <w:pPr>
              <w:keepLines/>
              <w:widowControl/>
              <w:jc w:val="center"/>
              <w:rPr>
                <w:rFonts w:eastAsia="Calibri"/>
                <w:bCs/>
                <w:lang w:bidi="en-US"/>
              </w:rPr>
            </w:pPr>
            <w:r w:rsidRPr="00B85AF8">
              <w:rPr>
                <w:rFonts w:eastAsia="Calibri"/>
                <w:bCs/>
                <w:lang w:bidi="en-US"/>
              </w:rPr>
              <w:t xml:space="preserve">Mean Hourly Wage </w:t>
            </w:r>
          </w:p>
          <w:p w:rsidR="003076B3" w:rsidRPr="00B85AF8" w:rsidP="00787A00" w14:paraId="13F87724" w14:textId="77777777">
            <w:pPr>
              <w:keepLines/>
              <w:widowControl/>
              <w:jc w:val="center"/>
              <w:rPr>
                <w:rFonts w:eastAsia="Calibri"/>
                <w:bCs/>
                <w:lang w:bidi="en-US"/>
              </w:rPr>
            </w:pPr>
            <w:r w:rsidRPr="00B85AF8">
              <w:rPr>
                <w:rFonts w:eastAsia="Calibri"/>
                <w:bCs/>
                <w:lang w:bidi="en-US"/>
              </w:rPr>
              <w:t>($/</w:t>
            </w:r>
            <w:r w:rsidRPr="00B85AF8">
              <w:rPr>
                <w:rFonts w:eastAsia="Calibri"/>
                <w:bCs/>
                <w:lang w:bidi="en-US"/>
              </w:rPr>
              <w:t>hr</w:t>
            </w:r>
            <w:r w:rsidRPr="00B85AF8">
              <w:rPr>
                <w:rFonts w:eastAsia="Calibri"/>
                <w:bCs/>
                <w:lang w:bidi="en-US"/>
              </w:rPr>
              <w:t>)</w:t>
            </w:r>
          </w:p>
        </w:tc>
        <w:tc>
          <w:tcPr>
            <w:tcW w:w="1580" w:type="dxa"/>
            <w:shd w:val="clear" w:color="auto" w:fill="auto"/>
            <w:vAlign w:val="center"/>
            <w:hideMark/>
          </w:tcPr>
          <w:p w:rsidR="003076B3" w:rsidRPr="00B85AF8" w:rsidP="00787A00" w14:paraId="3DFF5188" w14:textId="74307250">
            <w:pPr>
              <w:keepNext/>
              <w:keepLines/>
              <w:widowControl/>
              <w:jc w:val="center"/>
              <w:rPr>
                <w:rFonts w:eastAsia="Calibri"/>
                <w:bCs/>
                <w:lang w:bidi="en-US"/>
              </w:rPr>
            </w:pPr>
            <w:r w:rsidRPr="00B85AF8">
              <w:rPr>
                <w:rFonts w:eastAsia="Calibri"/>
                <w:bCs/>
                <w:lang w:bidi="en-US"/>
              </w:rPr>
              <w:t>Fringe Benefits and O</w:t>
            </w:r>
            <w:r w:rsidRPr="00B85AF8" w:rsidR="00E95874">
              <w:rPr>
                <w:rFonts w:eastAsia="Calibri"/>
                <w:bCs/>
                <w:lang w:bidi="en-US"/>
              </w:rPr>
              <w:t>ther Indirect Costs</w:t>
            </w:r>
            <w:r w:rsidRPr="00B85AF8">
              <w:rPr>
                <w:rFonts w:eastAsia="Calibri"/>
                <w:bCs/>
                <w:lang w:bidi="en-US"/>
              </w:rPr>
              <w:t xml:space="preserve"> ($/</w:t>
            </w:r>
            <w:r w:rsidRPr="00B85AF8">
              <w:rPr>
                <w:rFonts w:eastAsia="Calibri"/>
                <w:bCs/>
                <w:lang w:bidi="en-US"/>
              </w:rPr>
              <w:t>hr</w:t>
            </w:r>
            <w:r w:rsidRPr="00B85AF8">
              <w:rPr>
                <w:rFonts w:eastAsia="Calibri"/>
                <w:bCs/>
                <w:lang w:bidi="en-US"/>
              </w:rPr>
              <w:t>)</w:t>
            </w:r>
          </w:p>
        </w:tc>
        <w:tc>
          <w:tcPr>
            <w:tcW w:w="1440" w:type="dxa"/>
            <w:shd w:val="clear" w:color="auto" w:fill="auto"/>
            <w:vAlign w:val="center"/>
            <w:hideMark/>
          </w:tcPr>
          <w:p w:rsidR="003076B3" w:rsidRPr="00B85AF8" w:rsidP="00787A00" w14:paraId="06E7A3C1" w14:textId="77777777">
            <w:pPr>
              <w:keepNext/>
              <w:keepLines/>
              <w:widowControl/>
              <w:jc w:val="center"/>
              <w:rPr>
                <w:rFonts w:eastAsia="Calibri"/>
                <w:bCs/>
                <w:lang w:bidi="en-US"/>
              </w:rPr>
            </w:pPr>
            <w:r w:rsidRPr="00B85AF8">
              <w:rPr>
                <w:rFonts w:eastAsia="Calibri"/>
                <w:bCs/>
                <w:lang w:bidi="en-US"/>
              </w:rPr>
              <w:t>Adjusted Hourly Wage ($/</w:t>
            </w:r>
            <w:r w:rsidRPr="00B85AF8">
              <w:rPr>
                <w:rFonts w:eastAsia="Calibri"/>
                <w:bCs/>
                <w:lang w:bidi="en-US"/>
              </w:rPr>
              <w:t>hr</w:t>
            </w:r>
            <w:r w:rsidRPr="00B85AF8">
              <w:rPr>
                <w:rFonts w:eastAsia="Calibri"/>
                <w:bCs/>
                <w:lang w:bidi="en-US"/>
              </w:rPr>
              <w:t>)</w:t>
            </w:r>
          </w:p>
        </w:tc>
      </w:tr>
      <w:tr w14:paraId="0D539B6E" w14:textId="77777777" w:rsidTr="00895161">
        <w:tblPrEx>
          <w:tblW w:w="9805" w:type="dxa"/>
          <w:jc w:val="center"/>
          <w:tblLayout w:type="fixed"/>
          <w:tblLook w:val="04A0"/>
        </w:tblPrEx>
        <w:trPr>
          <w:jc w:val="center"/>
        </w:trPr>
        <w:tc>
          <w:tcPr>
            <w:tcW w:w="4076" w:type="dxa"/>
            <w:shd w:val="clear" w:color="auto" w:fill="auto"/>
          </w:tcPr>
          <w:p w:rsidR="00732B3B" w:rsidRPr="00B85AF8" w:rsidP="00732B3B" w14:paraId="326E57E6" w14:textId="77777777">
            <w:pPr>
              <w:keepNext/>
              <w:keepLines/>
              <w:widowControl/>
              <w:rPr>
                <w:rFonts w:eastAsia="Calibri"/>
                <w:bCs/>
                <w:lang w:bidi="en-US"/>
              </w:rPr>
            </w:pPr>
            <w:r w:rsidRPr="00B85AF8">
              <w:rPr>
                <w:rFonts w:eastAsia="Calibri"/>
                <w:bCs/>
                <w:lang w:bidi="en-US"/>
              </w:rPr>
              <w:t>Business Operations Specialists</w:t>
            </w:r>
          </w:p>
        </w:tc>
        <w:tc>
          <w:tcPr>
            <w:tcW w:w="1343" w:type="dxa"/>
            <w:shd w:val="clear" w:color="auto" w:fill="auto"/>
            <w:vAlign w:val="center"/>
          </w:tcPr>
          <w:p w:rsidR="00732B3B" w:rsidRPr="00B85AF8" w:rsidP="00732B3B" w14:paraId="4E2EF0BD" w14:textId="77777777">
            <w:pPr>
              <w:keepNext/>
              <w:keepLines/>
              <w:widowControl/>
              <w:jc w:val="center"/>
              <w:rPr>
                <w:rFonts w:eastAsia="Calibri"/>
                <w:bCs/>
                <w:lang w:bidi="en-US"/>
              </w:rPr>
            </w:pPr>
            <w:r w:rsidRPr="00B85AF8">
              <w:rPr>
                <w:rFonts w:eastAsia="Calibri"/>
                <w:bCs/>
                <w:lang w:bidi="en-US"/>
              </w:rPr>
              <w:t>13-1000</w:t>
            </w:r>
          </w:p>
        </w:tc>
        <w:tc>
          <w:tcPr>
            <w:tcW w:w="1366" w:type="dxa"/>
            <w:shd w:val="clear" w:color="auto" w:fill="auto"/>
            <w:vAlign w:val="center"/>
          </w:tcPr>
          <w:p w:rsidR="00732B3B" w:rsidRPr="00B85AF8" w:rsidP="00732B3B" w14:paraId="79D668DC" w14:textId="0FE3918D">
            <w:pPr>
              <w:keepNext/>
              <w:keepLines/>
              <w:widowControl/>
              <w:jc w:val="center"/>
              <w:rPr>
                <w:rFonts w:eastAsia="Calibri"/>
                <w:bCs/>
                <w:lang w:bidi="en-US"/>
              </w:rPr>
            </w:pPr>
            <w:r w:rsidRPr="00B85AF8">
              <w:rPr>
                <w:rFonts w:eastAsia="Calibri"/>
                <w:bCs/>
                <w:lang w:bidi="en-US"/>
              </w:rPr>
              <w:t>40.04</w:t>
            </w:r>
          </w:p>
        </w:tc>
        <w:tc>
          <w:tcPr>
            <w:tcW w:w="1580" w:type="dxa"/>
            <w:shd w:val="clear" w:color="auto" w:fill="auto"/>
            <w:vAlign w:val="center"/>
          </w:tcPr>
          <w:p w:rsidR="00732B3B" w:rsidRPr="00B85AF8" w:rsidP="00732B3B" w14:paraId="3181B6D6" w14:textId="285385E5">
            <w:pPr>
              <w:keepNext/>
              <w:keepLines/>
              <w:widowControl/>
              <w:jc w:val="center"/>
              <w:rPr>
                <w:rFonts w:eastAsia="Calibri"/>
                <w:bCs/>
                <w:lang w:bidi="en-US"/>
              </w:rPr>
            </w:pPr>
            <w:r w:rsidRPr="00B85AF8">
              <w:rPr>
                <w:rFonts w:eastAsia="Calibri"/>
                <w:bCs/>
                <w:lang w:bidi="en-US"/>
              </w:rPr>
              <w:t>40.04</w:t>
            </w:r>
          </w:p>
        </w:tc>
        <w:tc>
          <w:tcPr>
            <w:tcW w:w="1440" w:type="dxa"/>
            <w:shd w:val="clear" w:color="auto" w:fill="auto"/>
            <w:vAlign w:val="center"/>
          </w:tcPr>
          <w:p w:rsidR="00732B3B" w:rsidRPr="00B85AF8" w:rsidP="00732B3B" w14:paraId="584FED68" w14:textId="27447A75">
            <w:pPr>
              <w:keepNext/>
              <w:keepLines/>
              <w:widowControl/>
              <w:jc w:val="center"/>
              <w:rPr>
                <w:rFonts w:eastAsia="Calibri"/>
                <w:bCs/>
                <w:lang w:bidi="en-US"/>
              </w:rPr>
            </w:pPr>
            <w:r w:rsidRPr="00B85AF8">
              <w:rPr>
                <w:rFonts w:eastAsia="Calibri"/>
                <w:bCs/>
                <w:lang w:bidi="en-US"/>
              </w:rPr>
              <w:t>80.08</w:t>
            </w:r>
          </w:p>
        </w:tc>
      </w:tr>
      <w:tr w14:paraId="33EFF68B" w14:textId="77777777" w:rsidTr="00895161">
        <w:tblPrEx>
          <w:tblW w:w="9805" w:type="dxa"/>
          <w:jc w:val="center"/>
          <w:tblLayout w:type="fixed"/>
          <w:tblLook w:val="04A0"/>
        </w:tblPrEx>
        <w:trPr>
          <w:jc w:val="center"/>
        </w:trPr>
        <w:tc>
          <w:tcPr>
            <w:tcW w:w="4076" w:type="dxa"/>
            <w:shd w:val="clear" w:color="auto" w:fill="auto"/>
          </w:tcPr>
          <w:p w:rsidR="001E2429" w:rsidRPr="00B85AF8" w:rsidP="001E2429" w14:paraId="5B7E8CF9" w14:textId="77777777">
            <w:pPr>
              <w:keepNext/>
              <w:keepLines/>
              <w:widowControl/>
              <w:rPr>
                <w:rFonts w:eastAsia="Calibri"/>
                <w:bCs/>
                <w:lang w:bidi="en-US"/>
              </w:rPr>
            </w:pPr>
            <w:r w:rsidRPr="00B85AF8">
              <w:rPr>
                <w:rFonts w:eastAsia="Calibri"/>
                <w:lang w:bidi="en-US"/>
              </w:rPr>
              <w:t>Financial Specialists</w:t>
            </w:r>
          </w:p>
        </w:tc>
        <w:tc>
          <w:tcPr>
            <w:tcW w:w="1343" w:type="dxa"/>
            <w:shd w:val="clear" w:color="auto" w:fill="auto"/>
            <w:vAlign w:val="center"/>
          </w:tcPr>
          <w:p w:rsidR="001E2429" w:rsidRPr="00B85AF8" w:rsidP="001E2429" w14:paraId="20F30746" w14:textId="77777777">
            <w:pPr>
              <w:keepNext/>
              <w:keepLines/>
              <w:widowControl/>
              <w:jc w:val="center"/>
              <w:rPr>
                <w:rFonts w:eastAsia="Calibri"/>
                <w:bCs/>
                <w:lang w:bidi="en-US"/>
              </w:rPr>
            </w:pPr>
            <w:r w:rsidRPr="00B85AF8">
              <w:rPr>
                <w:rFonts w:eastAsia="Calibri"/>
              </w:rPr>
              <w:t>13-2000</w:t>
            </w:r>
          </w:p>
        </w:tc>
        <w:tc>
          <w:tcPr>
            <w:tcW w:w="1366" w:type="dxa"/>
            <w:shd w:val="clear" w:color="auto" w:fill="auto"/>
            <w:vAlign w:val="center"/>
          </w:tcPr>
          <w:p w:rsidR="001E2429" w:rsidRPr="00B85AF8" w:rsidP="001E2429" w14:paraId="266AC19A" w14:textId="091AB34C">
            <w:pPr>
              <w:keepNext/>
              <w:keepLines/>
              <w:widowControl/>
              <w:jc w:val="center"/>
              <w:rPr>
                <w:rFonts w:eastAsia="Calibri"/>
                <w:bCs/>
                <w:lang w:bidi="en-US"/>
              </w:rPr>
            </w:pPr>
            <w:r w:rsidRPr="00B85AF8">
              <w:rPr>
                <w:rFonts w:eastAsia="Calibri"/>
                <w:color w:val="000000"/>
                <w:shd w:val="clear" w:color="auto" w:fill="FFFFFF"/>
              </w:rPr>
              <w:t>44.37</w:t>
            </w:r>
          </w:p>
        </w:tc>
        <w:tc>
          <w:tcPr>
            <w:tcW w:w="1580" w:type="dxa"/>
            <w:shd w:val="clear" w:color="auto" w:fill="auto"/>
            <w:vAlign w:val="center"/>
          </w:tcPr>
          <w:p w:rsidR="001E2429" w:rsidRPr="00B85AF8" w:rsidP="001E2429" w14:paraId="6891FB1F" w14:textId="605D2773">
            <w:pPr>
              <w:keepNext/>
              <w:keepLines/>
              <w:widowControl/>
              <w:jc w:val="center"/>
              <w:rPr>
                <w:rFonts w:eastAsia="Calibri"/>
                <w:bCs/>
                <w:lang w:bidi="en-US"/>
              </w:rPr>
            </w:pPr>
            <w:r w:rsidRPr="00B85AF8">
              <w:rPr>
                <w:rFonts w:eastAsia="Calibri"/>
                <w:color w:val="000000"/>
                <w:shd w:val="clear" w:color="auto" w:fill="FFFFFF"/>
              </w:rPr>
              <w:t>44.37</w:t>
            </w:r>
          </w:p>
        </w:tc>
        <w:tc>
          <w:tcPr>
            <w:tcW w:w="1440" w:type="dxa"/>
            <w:shd w:val="clear" w:color="auto" w:fill="auto"/>
            <w:vAlign w:val="center"/>
          </w:tcPr>
          <w:p w:rsidR="001E2429" w:rsidRPr="00B85AF8" w:rsidP="001E2429" w14:paraId="435BCDB8" w14:textId="70BF537F">
            <w:pPr>
              <w:keepNext/>
              <w:keepLines/>
              <w:widowControl/>
              <w:jc w:val="center"/>
              <w:rPr>
                <w:rFonts w:eastAsia="Calibri"/>
                <w:bCs/>
                <w:lang w:bidi="en-US"/>
              </w:rPr>
            </w:pPr>
            <w:r w:rsidRPr="00B85AF8">
              <w:rPr>
                <w:rFonts w:eastAsia="Calibri"/>
                <w:lang w:bidi="en-US"/>
              </w:rPr>
              <w:t>88.74</w:t>
            </w:r>
          </w:p>
        </w:tc>
      </w:tr>
      <w:tr w14:paraId="0C4CF2FB" w14:textId="77777777" w:rsidTr="00895161">
        <w:tblPrEx>
          <w:tblW w:w="9805" w:type="dxa"/>
          <w:jc w:val="center"/>
          <w:tblLayout w:type="fixed"/>
          <w:tblLook w:val="04A0"/>
        </w:tblPrEx>
        <w:trPr>
          <w:jc w:val="center"/>
        </w:trPr>
        <w:tc>
          <w:tcPr>
            <w:tcW w:w="4076" w:type="dxa"/>
            <w:shd w:val="clear" w:color="auto" w:fill="auto"/>
          </w:tcPr>
          <w:p w:rsidR="001E2429" w:rsidRPr="00B85AF8" w:rsidP="001E2429" w14:paraId="17D1FF27" w14:textId="77777777">
            <w:pPr>
              <w:keepNext/>
              <w:keepLines/>
              <w:widowControl/>
              <w:rPr>
                <w:rFonts w:eastAsia="Calibri"/>
                <w:lang w:bidi="en-US"/>
              </w:rPr>
            </w:pPr>
            <w:r w:rsidRPr="00B85AF8">
              <w:rPr>
                <w:rFonts w:eastAsia="Calibri"/>
                <w:lang w:bidi="en-US"/>
              </w:rPr>
              <w:t>General and Operations Managers</w:t>
            </w:r>
          </w:p>
        </w:tc>
        <w:tc>
          <w:tcPr>
            <w:tcW w:w="1343" w:type="dxa"/>
            <w:shd w:val="clear" w:color="auto" w:fill="auto"/>
            <w:vAlign w:val="center"/>
          </w:tcPr>
          <w:p w:rsidR="001E2429" w:rsidRPr="00B85AF8" w:rsidP="001E2429" w14:paraId="6E3627AC" w14:textId="77777777">
            <w:pPr>
              <w:keepNext/>
              <w:keepLines/>
              <w:widowControl/>
              <w:jc w:val="center"/>
              <w:rPr>
                <w:rFonts w:eastAsia="Calibri"/>
              </w:rPr>
            </w:pPr>
            <w:r w:rsidRPr="00B85AF8">
              <w:rPr>
                <w:rFonts w:eastAsia="Calibri"/>
              </w:rPr>
              <w:t>11-1021</w:t>
            </w:r>
          </w:p>
        </w:tc>
        <w:tc>
          <w:tcPr>
            <w:tcW w:w="1366" w:type="dxa"/>
            <w:shd w:val="clear" w:color="auto" w:fill="auto"/>
            <w:vAlign w:val="center"/>
          </w:tcPr>
          <w:p w:rsidR="001E2429" w:rsidRPr="00B85AF8" w:rsidP="001E2429" w14:paraId="2E9CEDA4" w14:textId="76F31E7A">
            <w:pPr>
              <w:keepNext/>
              <w:keepLines/>
              <w:widowControl/>
              <w:jc w:val="center"/>
              <w:rPr>
                <w:rFonts w:eastAsia="Calibri"/>
                <w:color w:val="000000"/>
                <w:shd w:val="clear" w:color="auto" w:fill="FFFFFF"/>
              </w:rPr>
            </w:pPr>
            <w:r w:rsidRPr="00B85AF8">
              <w:rPr>
                <w:rFonts w:eastAsia="Calibri"/>
                <w:color w:val="000000"/>
                <w:shd w:val="clear" w:color="auto" w:fill="FFFFFF"/>
              </w:rPr>
              <w:t>59.07</w:t>
            </w:r>
          </w:p>
        </w:tc>
        <w:tc>
          <w:tcPr>
            <w:tcW w:w="1580" w:type="dxa"/>
            <w:shd w:val="clear" w:color="auto" w:fill="auto"/>
            <w:vAlign w:val="center"/>
          </w:tcPr>
          <w:p w:rsidR="001E2429" w:rsidRPr="00B85AF8" w:rsidP="001E2429" w14:paraId="555585AB" w14:textId="67E52B86">
            <w:pPr>
              <w:keepNext/>
              <w:keepLines/>
              <w:widowControl/>
              <w:jc w:val="center"/>
              <w:rPr>
                <w:rFonts w:eastAsia="Calibri"/>
                <w:color w:val="000000"/>
                <w:shd w:val="clear" w:color="auto" w:fill="FFFFFF"/>
              </w:rPr>
            </w:pPr>
            <w:r w:rsidRPr="00B85AF8">
              <w:rPr>
                <w:rFonts w:eastAsia="Calibri"/>
                <w:color w:val="000000"/>
                <w:shd w:val="clear" w:color="auto" w:fill="FFFFFF"/>
              </w:rPr>
              <w:t>59.07</w:t>
            </w:r>
          </w:p>
        </w:tc>
        <w:tc>
          <w:tcPr>
            <w:tcW w:w="1440" w:type="dxa"/>
            <w:shd w:val="clear" w:color="auto" w:fill="auto"/>
            <w:vAlign w:val="center"/>
          </w:tcPr>
          <w:p w:rsidR="001E2429" w:rsidRPr="00B85AF8" w:rsidP="001E2429" w14:paraId="4CF5C9D6" w14:textId="5DC3A199">
            <w:pPr>
              <w:keepNext/>
              <w:keepLines/>
              <w:widowControl/>
              <w:jc w:val="center"/>
              <w:rPr>
                <w:rFonts w:eastAsia="Calibri"/>
                <w:lang w:bidi="en-US"/>
              </w:rPr>
            </w:pPr>
            <w:r w:rsidRPr="00B85AF8">
              <w:rPr>
                <w:rFonts w:eastAsia="Calibri"/>
                <w:lang w:bidi="en-US"/>
              </w:rPr>
              <w:t>118.14</w:t>
            </w:r>
          </w:p>
        </w:tc>
      </w:tr>
    </w:tbl>
    <w:p w:rsidR="003076B3" w:rsidRPr="00B85AF8" w:rsidP="00787A00" w14:paraId="7F1251A9" w14:textId="77777777">
      <w:pPr>
        <w:ind w:firstLine="720"/>
        <w:rPr>
          <w:sz w:val="24"/>
        </w:rPr>
      </w:pPr>
    </w:p>
    <w:p w:rsidR="003076B3" w:rsidRPr="00B85AF8" w:rsidP="00787A00" w14:paraId="7CD3AF5C" w14:textId="019E5549">
      <w:pPr>
        <w:rPr>
          <w:sz w:val="24"/>
        </w:rPr>
      </w:pPr>
      <w:r w:rsidRPr="00B85AF8">
        <w:rPr>
          <w:sz w:val="24"/>
        </w:rPr>
        <w:t xml:space="preserve">To derive our cost estimates, we </w:t>
      </w:r>
      <w:r w:rsidRPr="00B85AF8" w:rsidR="002D72B1">
        <w:rPr>
          <w:sz w:val="24"/>
        </w:rPr>
        <w:t xml:space="preserve">also </w:t>
      </w:r>
      <w:r w:rsidRPr="00B85AF8">
        <w:rPr>
          <w:sz w:val="24"/>
        </w:rPr>
        <w:t>adjusted BLS’ mean hourly wage by a factor of 100 percent.  This is necessarily a rough adjustment, both because fringe benefits and o</w:t>
      </w:r>
      <w:r w:rsidRPr="00B85AF8" w:rsidR="00543D79">
        <w:rPr>
          <w:sz w:val="24"/>
        </w:rPr>
        <w:t xml:space="preserve">ther indirect costs </w:t>
      </w:r>
      <w:r w:rsidRPr="00B85AF8">
        <w:rPr>
          <w:sz w:val="24"/>
        </w:rPr>
        <w:t>vary significantly from employer to employer, and because methods of estimating these costs vary widely from study to study.  Therefore, we believe that doubling the hourly wage to estimate total cost is a reasonably accurate and conservative estimation method.</w:t>
      </w:r>
    </w:p>
    <w:p w:rsidR="003076B3" w:rsidRPr="00B85AF8" w:rsidP="00787A00" w14:paraId="5FFB5D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003076B3" w:rsidRPr="00B85AF8" w:rsidP="00787A00" w14:paraId="492E771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B85AF8">
        <w:rPr>
          <w:i/>
          <w:sz w:val="24"/>
        </w:rPr>
        <w:t xml:space="preserve">Collection of Information Requirements </w:t>
      </w:r>
      <w:r w:rsidRPr="00B85AF8" w:rsidR="003973D8">
        <w:rPr>
          <w:i/>
          <w:sz w:val="24"/>
        </w:rPr>
        <w:t xml:space="preserve">(ICRs) </w:t>
      </w:r>
      <w:r w:rsidRPr="00B85AF8">
        <w:rPr>
          <w:i/>
          <w:sz w:val="24"/>
        </w:rPr>
        <w:t>and Associated Burden Estimates</w:t>
      </w:r>
    </w:p>
    <w:p w:rsidR="003076B3" w:rsidRPr="00B85AF8" w:rsidP="005669C5" w14:paraId="169BC1B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15038" w:rsidRPr="00B85AF8" w:rsidP="005669C5" w14:paraId="706355D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bookmarkStart w:id="1" w:name="_Hlk145669293"/>
      <w:r w:rsidRPr="00B85AF8">
        <w:rPr>
          <w:sz w:val="24"/>
          <w:u w:val="single"/>
        </w:rPr>
        <w:t>1. ICRs Regarding the BHP Blueprint</w:t>
      </w:r>
      <w:r w:rsidRPr="00B85AF8" w:rsidR="008040FA">
        <w:rPr>
          <w:sz w:val="24"/>
          <w:u w:val="single"/>
        </w:rPr>
        <w:t xml:space="preserve"> and Revisions to a Certified Blueprint</w:t>
      </w:r>
    </w:p>
    <w:p w:rsidR="008040FA" w:rsidRPr="00B85AF8" w:rsidP="005669C5" w14:paraId="2DE0A9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F8545D" w:rsidRPr="00B85AF8" w:rsidP="00F8545D" w14:paraId="078442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Section 600.110 requires the submission of a BHP Blueprint to the Secretary for certification of the state’s program. CMS has prepared a Blueprint template, which is available on the Basic Health Program page on Medicaid.gov. Section 600.115, specifies that the Blueprint must be signed by the state's governor or signed by an official delegated by the governor. The Blueprint must identify the agency and officials, by position or title, who are responsible for program administration, operations, and financial oversight. The Blueprint would also be required to identify the required characteristics for all BHP Trust Fund trustees. No revision with this iteration.</w:t>
      </w:r>
    </w:p>
    <w:p w:rsidR="00F8545D" w:rsidRPr="00B85AF8" w:rsidP="00F8545D" w14:paraId="77EA8D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7C3DEF4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600.305, the Blueprint would be required to be consistent with the standards used to determine BHP eligibility. The state may not impose conditions of eligibility other than those identified in this section. No revision with this iteration.</w:t>
      </w:r>
    </w:p>
    <w:p w:rsidR="00F8545D" w:rsidRPr="00B85AF8" w:rsidP="00F8545D" w14:paraId="6F11E7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1CE0E4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600.320 and 600.345, the Blueprint would be required to ensure that the state's enrollment, disenrollment, and verification policies are consistent with these sections. It must also include a plan to ensure coordination with and eliminate gaps in coverage for individuals transitioning between other insurance affordability programs. No revision with this iteration.</w:t>
      </w:r>
    </w:p>
    <w:p w:rsidR="00F8545D" w:rsidRPr="00B85AF8" w:rsidP="00F8545D" w14:paraId="7AB0BE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697F60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600.405, the Blueprint would be required to ensure that standard health plan coverage include (at a minimum) EHBs including any changes resulting from periodic reviews. While states have the option to allow benefits in addition to the EHBs, standard health plan coverage must be in compliance with 45 CFR 156.280 regarding abortion services. No revision with this iteration.</w:t>
      </w:r>
    </w:p>
    <w:p w:rsidR="00F8545D" w:rsidRPr="00B85AF8" w:rsidP="00F8545D" w14:paraId="569606B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548D0C7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In § 600.410, states would be required to assure that they comply with competitive contracting provisions in § 600.410(b), (c), and (d). This includes but is not limited to a justification for states unable to implement a competitive contracting process for benefit year 2015 as well as a description of the process it will use to enter into contracts for standard health plans. The state must also include a proposed timeline for implementing a competitive contracting process and provide assurance that the process includes specific negotiation criteria. No revisions with this </w:t>
      </w:r>
      <w:r w:rsidRPr="00B85AF8">
        <w:rPr>
          <w:sz w:val="24"/>
        </w:rPr>
        <w:t>iteration.</w:t>
      </w:r>
    </w:p>
    <w:p w:rsidR="00F8545D" w:rsidRPr="00B85AF8" w:rsidP="00F8545D" w14:paraId="422558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2DCC833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600.415, states would be required to enter into a contract (with an offeror) for the administration and provision of standard health plans. A standard set of contract requirements would be included in the Blueprint. No revisions with this iteration.</w:t>
      </w:r>
    </w:p>
    <w:p w:rsidR="00F8545D" w:rsidRPr="00B85AF8" w:rsidP="00F8545D" w14:paraId="19D1DD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2318EA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600.420, the Blueprint would be required to include a description of how the state will ensure (to the greatest extent possible) enrollee choice of standard health plans. States may also enter into a joint procurement with other states. States electing this option must address the Blueprint provisions in § 600.420(b)(2). No revisions with this iteration.</w:t>
      </w:r>
    </w:p>
    <w:p w:rsidR="00F8545D" w:rsidRPr="00B85AF8" w:rsidP="00F8545D" w14:paraId="0DD8AB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4C477DF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600.425, the Blueprint would be required to demonstrate how the state will ensure coordination with other insurance affordability programs. No revisions with this iteration.</w:t>
      </w:r>
    </w:p>
    <w:p w:rsidR="00F8545D" w:rsidRPr="00B85AF8" w:rsidP="00F8545D" w14:paraId="6DB7EC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440A3B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In § 600.505, the Blueprint would be required to describe: the amount of the premium imposed on enrollees; the group or groups that are subject to the applicable premium; the collection method and procedure for the payment of an enrollee's premium; the disenrollment procedures and consequences of nonpayment of premiums. The Blueprint must also ensure that the total premium liability for an enrollee does not exceed the monthly premium that the enrollee would have paid had he/she enrolled in the second lowest cost silver plan offered through an Exchange. No revisions with this iteration.</w:t>
      </w:r>
    </w:p>
    <w:p w:rsidR="00F8545D" w:rsidRPr="00B85AF8" w:rsidP="00F8545D" w14:paraId="57950A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0BBDB9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With regard to cost sharing imposed on enrollees, § 600.510 would require that the Blueprint identifies the group or groups of enrollees that may be subject to the cost sharing, and an assurance that the state has established a system to monitor and track the cost-sharing standards specified in § 600.520. No revisions with this iteration.</w:t>
      </w:r>
    </w:p>
    <w:p w:rsidR="00F8545D" w:rsidRPr="00B85AF8" w:rsidP="00F8545D" w14:paraId="088950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16DC8E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In § 600.525(a), the Blueprint would be required to assure that the state is in compliance with the disenrollment procedures described in 45 CFR 155.430. No revisions with this iteration. </w:t>
      </w:r>
    </w:p>
    <w:p w:rsidR="00F8545D" w:rsidRPr="00B85AF8" w:rsidP="00F8545D" w14:paraId="265282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4665AB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If a state has elected to implement a continuous enrollment policy, the state may also impose a lockout period after an enrollee has been disenrolled from the program. The Blueprint must define the length of the state's lockout period and assure that it will not continue to impose a premium lockout period after an enrollee's past due premiums have been paid and will not require the collection of past due premiums as a condition of eligibility for reenrollment once the state-defined lockout period has expired.</w:t>
      </w:r>
    </w:p>
    <w:p w:rsidR="00F8545D" w:rsidRPr="00B85AF8" w:rsidP="00F8545D" w14:paraId="4564405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32058B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In § 600.710, the Blueprint would be required to ensure that the state's fiscal policies and accountability standards are consistent with this section. In this regard, the Blueprint must ensure that the BHP administering agency will maintain an accounting system and support fiscal records to assure that the trust funds are maintained and expended in accordance with federal requirements. The Blueprint would also be required to assure that the administering agency will obtain an annual certification from the state's BHP trustees, or chief financial officer (or designee), certifying the state's trust fund financial statements for the fiscal year, that the trust funds are not being used as the non-federal share to meet matching or expenditure requirements of any federally-funded program, and that the trust fund is used in accordance with federal requirements. </w:t>
      </w:r>
      <w:r w:rsidRPr="00B85AF8">
        <w:rPr>
          <w:sz w:val="24"/>
        </w:rPr>
        <w:t>No revisions with this iteration.</w:t>
      </w:r>
    </w:p>
    <w:p w:rsidR="00F8545D" w:rsidRPr="00B85AF8" w:rsidP="00F8545D" w14:paraId="19BACA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2E096D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Blueprint would include an assurance that the administering agency will conduct an audit of trust fund expenditures, publish annual reports on the use of funds and audit findings (if applicable), establish and maintain trust fund restitution procedures, and retain records. The Blueprint must also be accompanied by a funding plan that describes the enrollment and cost projections for the first 12 months of operation and funding sources beyond the trust fund (if any). The plan must demonstrate that federal funds will only be used to reduce premiums and cost-sharing or to provide additional benefits.</w:t>
      </w:r>
    </w:p>
    <w:p w:rsidR="00F8545D" w:rsidRPr="00B85AF8" w:rsidP="00F8545D" w14:paraId="3ACBE5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3B364AD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Finally, the Blueprint would be required to describe how the state will ensure program integrity, including how the state will address potential issues of fraud, waste, and abuse and ensure consumer protections.</w:t>
      </w:r>
    </w:p>
    <w:p w:rsidR="00F8545D" w:rsidRPr="00B85AF8" w:rsidP="00F8545D" w14:paraId="2CE176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609DB44D" w14:textId="19592C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At this time, two states have completed this initial Blueprint. While a few states have expressed interest in pursuing the BHP in their state in the future, CMS currently estimates that one additional state will pursue this option in the future. We estimate that, on average, it will take a state 80 hours at $80.08/</w:t>
      </w:r>
      <w:r w:rsidRPr="00B85AF8">
        <w:rPr>
          <w:sz w:val="24"/>
        </w:rPr>
        <w:t>hr</w:t>
      </w:r>
      <w:r w:rsidRPr="00B85AF8">
        <w:rPr>
          <w:sz w:val="24"/>
        </w:rPr>
        <w:t xml:space="preserve"> for a Business Operations Specialist and 20 hours at $118.14/</w:t>
      </w:r>
      <w:r w:rsidRPr="00B85AF8">
        <w:rPr>
          <w:sz w:val="24"/>
        </w:rPr>
        <w:t>hr</w:t>
      </w:r>
      <w:r w:rsidRPr="00B85AF8">
        <w:rPr>
          <w:sz w:val="24"/>
        </w:rPr>
        <w:t xml:space="preserve"> for a General Manager to complete and submit the state’s Blueprint, for a total burden of 100 hours at a cost of $8,769 [(80 </w:t>
      </w:r>
      <w:r w:rsidRPr="00B85AF8">
        <w:rPr>
          <w:sz w:val="24"/>
        </w:rPr>
        <w:t>hr</w:t>
      </w:r>
      <w:r w:rsidRPr="00B85AF8">
        <w:rPr>
          <w:sz w:val="24"/>
        </w:rPr>
        <w:t xml:space="preserve"> x $80.08/</w:t>
      </w:r>
      <w:r w:rsidRPr="00B85AF8">
        <w:rPr>
          <w:sz w:val="24"/>
        </w:rPr>
        <w:t>hr</w:t>
      </w:r>
      <w:r w:rsidRPr="00B85AF8">
        <w:rPr>
          <w:sz w:val="24"/>
        </w:rPr>
        <w:t xml:space="preserve">) + (20 </w:t>
      </w:r>
      <w:r w:rsidRPr="00B85AF8">
        <w:rPr>
          <w:sz w:val="24"/>
        </w:rPr>
        <w:t>hr</w:t>
      </w:r>
      <w:r w:rsidRPr="00B85AF8">
        <w:rPr>
          <w:sz w:val="24"/>
        </w:rPr>
        <w:t xml:space="preserve"> x $118.14/</w:t>
      </w:r>
      <w:r w:rsidRPr="00B85AF8">
        <w:rPr>
          <w:sz w:val="24"/>
        </w:rPr>
        <w:t>hr</w:t>
      </w:r>
      <w:r w:rsidRPr="00B85AF8">
        <w:rPr>
          <w:sz w:val="24"/>
        </w:rPr>
        <w:t xml:space="preserve">)]. </w:t>
      </w:r>
      <w:r w:rsidRPr="00B85AF8" w:rsidR="008D5FD2">
        <w:rPr>
          <w:sz w:val="24"/>
        </w:rPr>
        <w:t xml:space="preserve">In this 2023 iteration </w:t>
      </w:r>
      <w:r w:rsidRPr="00B85AF8" w:rsidR="005E302A">
        <w:rPr>
          <w:sz w:val="24"/>
        </w:rPr>
        <w:t>we are o</w:t>
      </w:r>
      <w:r w:rsidRPr="00B85AF8" w:rsidR="003E7D29">
        <w:rPr>
          <w:sz w:val="24"/>
        </w:rPr>
        <w:t>nly u</w:t>
      </w:r>
      <w:r w:rsidRPr="00B85AF8">
        <w:rPr>
          <w:sz w:val="24"/>
        </w:rPr>
        <w:t xml:space="preserve">pdating </w:t>
      </w:r>
      <w:r w:rsidRPr="00B85AF8" w:rsidR="005E302A">
        <w:rPr>
          <w:sz w:val="24"/>
        </w:rPr>
        <w:t xml:space="preserve">our </w:t>
      </w:r>
      <w:r w:rsidRPr="00B85AF8" w:rsidR="003E7D29">
        <w:rPr>
          <w:sz w:val="24"/>
        </w:rPr>
        <w:t>wage and cost</w:t>
      </w:r>
      <w:r w:rsidRPr="00B85AF8" w:rsidR="005B1385">
        <w:rPr>
          <w:sz w:val="24"/>
        </w:rPr>
        <w:t xml:space="preserve"> estimates</w:t>
      </w:r>
      <w:r w:rsidRPr="00B85AF8" w:rsidR="003E7D29">
        <w:rPr>
          <w:sz w:val="24"/>
        </w:rPr>
        <w:t xml:space="preserve"> </w:t>
      </w:r>
      <w:r w:rsidRPr="00B85AF8">
        <w:rPr>
          <w:sz w:val="24"/>
        </w:rPr>
        <w:t>to reflect BLS</w:t>
      </w:r>
      <w:r w:rsidRPr="00B85AF8" w:rsidR="003E7D29">
        <w:rPr>
          <w:sz w:val="24"/>
        </w:rPr>
        <w:t>’ 2022</w:t>
      </w:r>
      <w:r w:rsidRPr="00B85AF8">
        <w:rPr>
          <w:sz w:val="24"/>
        </w:rPr>
        <w:t xml:space="preserve"> wage</w:t>
      </w:r>
      <w:r w:rsidRPr="00B85AF8" w:rsidR="003E7D29">
        <w:rPr>
          <w:sz w:val="24"/>
        </w:rPr>
        <w:t xml:space="preserve"> data</w:t>
      </w:r>
      <w:r w:rsidRPr="00B85AF8">
        <w:rPr>
          <w:sz w:val="24"/>
        </w:rPr>
        <w:t xml:space="preserve">. </w:t>
      </w:r>
      <w:r w:rsidRPr="00B85AF8" w:rsidR="0054444E">
        <w:rPr>
          <w:sz w:val="24"/>
        </w:rPr>
        <w:t>We are not setting out burden for the two states that have completed the initial Blueprint.</w:t>
      </w:r>
    </w:p>
    <w:p w:rsidR="00F8545D" w:rsidRPr="00B85AF8" w:rsidP="00F8545D" w14:paraId="1D1ACE4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28677D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Section 600.125 requires the submission of a revised Blueprint, in the event that a state seeks to make significant changes that alter program operations; the BHP benefit package; or enrollment, disenrollment, and verification policies described in the Blueprint. Section 600.115 requires the state to seek public comment on any significant revisions prior to the submission of those revisions to the Secretary for certification. The process of seeking public comment must include Federally recognized tribes. Revised Blueprints are submitted to CMS via email.</w:t>
      </w:r>
    </w:p>
    <w:p w:rsidR="00F8545D" w:rsidRPr="00B85AF8" w:rsidP="00F8545D" w14:paraId="253791C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5FE094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We propose at § 600.125(a)(1)-(3) that Blueprint revisions must be submitted to reflect: (1) changes in Federal laws, regulations, policy interpretations or court decisions that affect provisions in the certified Blueprint; (2) significant changes that alter core program operations or 1187 the BHP benefit package; or (3) changes to enrollment, disenrollment, and verification policies described in the certified Blueprint. We note that only § 600.125(a)(1) is a new requirement. The requirements under § 600.125(a)(2) and (3) are existing. We propose at § 600.125(b) that a State may submit revisions to its certified Blueprint at any time within the same quarter of the proposed effective date of revised Blueprint. We propose at § 600.125(c) that HHS must review the revised Blueprint within 90 calendar days or provide the State written notice of disapproval or additional information it needs to make a final determination. </w:t>
      </w:r>
    </w:p>
    <w:p w:rsidR="00F8545D" w:rsidRPr="00B85AF8" w:rsidP="00F8545D" w14:paraId="459E793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545D" w:rsidRPr="00B85AF8" w:rsidP="00F8545D" w14:paraId="6B9E2A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We estimate that, on average, a State operating a BHP will submit one revised Blueprint in response to § 600.125(a)(1) annually. Because only two States are currently certified to operate a BHP, we are providing the burden estimate for two States. We estimate that the proposal under § 600.125(a)(1) will increase State burden. We estimate that the proposals under § 600.125(b) and (c) will have no impact on State burden. We estimate that, on average, it will take a State 4 </w:t>
      </w:r>
      <w:r w:rsidRPr="00B85AF8">
        <w:rPr>
          <w:sz w:val="24"/>
        </w:rPr>
        <w:t>additional hours at $80.08/</w:t>
      </w:r>
      <w:r w:rsidRPr="00B85AF8">
        <w:rPr>
          <w:sz w:val="24"/>
        </w:rPr>
        <w:t>hr</w:t>
      </w:r>
      <w:r w:rsidRPr="00B85AF8">
        <w:rPr>
          <w:sz w:val="24"/>
        </w:rPr>
        <w:t xml:space="preserve"> for a Business Operations Specialist and 2 additional hours at $118.14/</w:t>
      </w:r>
      <w:r w:rsidRPr="00B85AF8">
        <w:rPr>
          <w:sz w:val="24"/>
        </w:rPr>
        <w:t>hr</w:t>
      </w:r>
      <w:r w:rsidRPr="00B85AF8">
        <w:rPr>
          <w:sz w:val="24"/>
        </w:rPr>
        <w:t xml:space="preserve"> for a General Manager to meet the new Blueprint requirements under § 600.125(a)(1). In aggregate, we estimate an increased burden of 12 hours (2 States x 6 </w:t>
      </w:r>
      <w:r w:rsidRPr="00B85AF8">
        <w:rPr>
          <w:sz w:val="24"/>
        </w:rPr>
        <w:t>hr</w:t>
      </w:r>
      <w:r w:rsidRPr="00B85AF8">
        <w:rPr>
          <w:sz w:val="24"/>
        </w:rPr>
        <w:t xml:space="preserve">/State) at a cost of $1,113 [2 States x ((4 </w:t>
      </w:r>
      <w:r w:rsidRPr="00B85AF8">
        <w:rPr>
          <w:sz w:val="24"/>
        </w:rPr>
        <w:t>hr</w:t>
      </w:r>
      <w:r w:rsidRPr="00B85AF8">
        <w:rPr>
          <w:sz w:val="24"/>
        </w:rPr>
        <w:t xml:space="preserve"> x $80.08/</w:t>
      </w:r>
      <w:r w:rsidRPr="00B85AF8">
        <w:rPr>
          <w:sz w:val="24"/>
        </w:rPr>
        <w:t>hr</w:t>
      </w:r>
      <w:r w:rsidRPr="00B85AF8">
        <w:rPr>
          <w:sz w:val="24"/>
        </w:rPr>
        <w:t xml:space="preserve">) + (2 </w:t>
      </w:r>
      <w:r w:rsidRPr="00B85AF8">
        <w:rPr>
          <w:sz w:val="24"/>
        </w:rPr>
        <w:t>hr</w:t>
      </w:r>
      <w:r w:rsidRPr="00B85AF8">
        <w:rPr>
          <w:sz w:val="24"/>
        </w:rPr>
        <w:t xml:space="preserve"> x $118.14/</w:t>
      </w:r>
      <w:r w:rsidRPr="00B85AF8">
        <w:rPr>
          <w:sz w:val="24"/>
        </w:rPr>
        <w:t>hr</w:t>
      </w:r>
      <w:r w:rsidRPr="00B85AF8">
        <w:rPr>
          <w:sz w:val="24"/>
        </w:rPr>
        <w:t>))]. We note that this cost will be incurred 100 percent by the State, as Federal BHP funds cannot be used for program administration.</w:t>
      </w:r>
    </w:p>
    <w:p w:rsidR="00F8545D" w:rsidRPr="00B85AF8" w:rsidP="00F8545D" w14:paraId="2DD218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F8545D" w:rsidRPr="00B85AF8" w:rsidP="00F8545D" w14:paraId="700FD8ED" w14:textId="466A85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As a result</w:t>
      </w:r>
      <w:r w:rsidR="008E09F6">
        <w:rPr>
          <w:sz w:val="24"/>
        </w:rPr>
        <w:t xml:space="preserve"> of the increased burden described above</w:t>
      </w:r>
      <w:r w:rsidRPr="00B85AF8">
        <w:rPr>
          <w:sz w:val="24"/>
        </w:rPr>
        <w:t>, we estimate that, on average, it will take a state a total of 44 hours at $80.08/</w:t>
      </w:r>
      <w:r w:rsidRPr="00B85AF8">
        <w:rPr>
          <w:sz w:val="24"/>
        </w:rPr>
        <w:t>hr</w:t>
      </w:r>
      <w:r w:rsidRPr="00B85AF8">
        <w:rPr>
          <w:sz w:val="24"/>
        </w:rPr>
        <w:t xml:space="preserve"> for a Business Operations Specialist and 6 hours at $118.14/</w:t>
      </w:r>
      <w:r w:rsidRPr="00B85AF8">
        <w:rPr>
          <w:sz w:val="24"/>
        </w:rPr>
        <w:t>hr</w:t>
      </w:r>
      <w:r w:rsidRPr="00B85AF8">
        <w:rPr>
          <w:sz w:val="24"/>
        </w:rPr>
        <w:t xml:space="preserve"> for a General Manager to complete and submit the state’s revised Blueprint, for a total burden of 2 respondents, 100 hours at a cost of $8,465 [2 States x ((44 </w:t>
      </w:r>
      <w:r w:rsidRPr="00B85AF8">
        <w:rPr>
          <w:sz w:val="24"/>
        </w:rPr>
        <w:t>hr</w:t>
      </w:r>
      <w:r w:rsidRPr="00B85AF8">
        <w:rPr>
          <w:sz w:val="24"/>
        </w:rPr>
        <w:t xml:space="preserve"> x $80.08/</w:t>
      </w:r>
      <w:r w:rsidRPr="00B85AF8">
        <w:rPr>
          <w:sz w:val="24"/>
        </w:rPr>
        <w:t>hr</w:t>
      </w:r>
      <w:r w:rsidRPr="00B85AF8">
        <w:rPr>
          <w:sz w:val="24"/>
        </w:rPr>
        <w:t xml:space="preserve">) + (6 </w:t>
      </w:r>
      <w:r w:rsidRPr="00B85AF8">
        <w:rPr>
          <w:sz w:val="24"/>
        </w:rPr>
        <w:t>hr</w:t>
      </w:r>
      <w:r w:rsidRPr="00B85AF8">
        <w:rPr>
          <w:sz w:val="24"/>
        </w:rPr>
        <w:t xml:space="preserve"> x $118.14/</w:t>
      </w:r>
      <w:r w:rsidRPr="00B85AF8">
        <w:rPr>
          <w:sz w:val="24"/>
        </w:rPr>
        <w:t>hr</w:t>
      </w:r>
      <w:r w:rsidRPr="00B85AF8">
        <w:rPr>
          <w:sz w:val="24"/>
        </w:rPr>
        <w:t>))].</w:t>
      </w:r>
    </w:p>
    <w:bookmarkEnd w:id="1"/>
    <w:p w:rsidR="008040FA" w:rsidRPr="00B85AF8" w:rsidP="005669C5" w14:paraId="6CE445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15038" w:rsidRPr="00B85AF8" w:rsidP="005669C5" w14:paraId="0C519F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5AF8">
        <w:rPr>
          <w:sz w:val="24"/>
          <w:u w:val="single"/>
        </w:rPr>
        <w:t>2. ICRs Regarding the BHP Annual Report (42 CFR 600.170)</w:t>
      </w:r>
    </w:p>
    <w:p w:rsidR="00D15038" w:rsidRPr="00B85AF8" w:rsidP="005669C5" w14:paraId="324F2E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15038" w:rsidRPr="00B85AF8" w:rsidP="00D15038" w14:paraId="22B60098" w14:textId="506366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Section 600.170 requires a state to submit an annual report within 60 days after the end of each operational year. The annual report must include any evidence of fraud, waste, or abuse on the part of participating providers, plans, or the state BHP agency known to the state. The annual report must also include a detailed, data-driven review of compliance with</w:t>
      </w:r>
      <w:r w:rsidRPr="00B85AF8" w:rsidR="00446825">
        <w:rPr>
          <w:sz w:val="24"/>
        </w:rPr>
        <w:t xml:space="preserve"> eligibility verification requirements, requirements to collect quality and performance measures from all participating standard health plans focusing on quality of care and improved health outcomes, and any other requirements specified by the Secretary at least 120 days prior to the due date of the annual report. </w:t>
      </w:r>
      <w:r w:rsidRPr="00B85AF8" w:rsidR="00AE023B">
        <w:rPr>
          <w:sz w:val="24"/>
        </w:rPr>
        <w:t xml:space="preserve">CMS will prepare the annual report template and email it to states operating a BHP a minimum of 120 days prior to the due date of the annual report. </w:t>
      </w:r>
      <w:r w:rsidRPr="00B85AF8" w:rsidR="00446825">
        <w:rPr>
          <w:sz w:val="24"/>
        </w:rPr>
        <w:t>The annual report is submitted via email to CMS.</w:t>
      </w:r>
      <w:r w:rsidRPr="00B85AF8" w:rsidR="00305EF7">
        <w:rPr>
          <w:sz w:val="24"/>
        </w:rPr>
        <w:t xml:space="preserve"> </w:t>
      </w:r>
      <w:r w:rsidRPr="00B85AF8" w:rsidR="0019677B">
        <w:rPr>
          <w:sz w:val="24"/>
        </w:rPr>
        <w:t>No revisions with this iteration.</w:t>
      </w:r>
    </w:p>
    <w:p w:rsidR="00446825" w:rsidRPr="00B85AF8" w:rsidP="00D15038" w14:paraId="3B4182A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46825" w:rsidRPr="00B85AF8" w:rsidP="008040FA" w14:paraId="5B3D82A0" w14:textId="7C14A3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Because only two states are currently certified to operate a BHP, we are providing the burden estimate for two states. We estimate that, on average, it will take a Business Operations Specialist </w:t>
      </w:r>
      <w:r w:rsidRPr="00B85AF8" w:rsidR="008040FA">
        <w:rPr>
          <w:sz w:val="24"/>
        </w:rPr>
        <w:t>4</w:t>
      </w:r>
      <w:r w:rsidRPr="00B85AF8">
        <w:rPr>
          <w:sz w:val="24"/>
        </w:rPr>
        <w:t>0 hours at</w:t>
      </w:r>
      <w:r w:rsidRPr="00B85AF8" w:rsidR="004C7033">
        <w:rPr>
          <w:sz w:val="24"/>
        </w:rPr>
        <w:t xml:space="preserve"> $</w:t>
      </w:r>
      <w:r w:rsidRPr="00B85AF8" w:rsidR="0019677B">
        <w:rPr>
          <w:sz w:val="24"/>
        </w:rPr>
        <w:t>80.08</w:t>
      </w:r>
      <w:r w:rsidRPr="00B85AF8">
        <w:rPr>
          <w:sz w:val="24"/>
        </w:rPr>
        <w:t>/</w:t>
      </w:r>
      <w:r w:rsidRPr="00B85AF8">
        <w:rPr>
          <w:sz w:val="24"/>
        </w:rPr>
        <w:t>hr</w:t>
      </w:r>
      <w:r w:rsidRPr="00B85AF8">
        <w:rPr>
          <w:sz w:val="24"/>
        </w:rPr>
        <w:t xml:space="preserve"> and 4 hours at $11</w:t>
      </w:r>
      <w:r w:rsidRPr="00B85AF8" w:rsidR="00305EF7">
        <w:rPr>
          <w:sz w:val="24"/>
        </w:rPr>
        <w:t>8</w:t>
      </w:r>
      <w:r w:rsidRPr="00B85AF8">
        <w:rPr>
          <w:sz w:val="24"/>
        </w:rPr>
        <w:t>.</w:t>
      </w:r>
      <w:r w:rsidRPr="00B85AF8" w:rsidR="0019677B">
        <w:rPr>
          <w:sz w:val="24"/>
        </w:rPr>
        <w:t>14</w:t>
      </w:r>
      <w:r w:rsidRPr="00B85AF8">
        <w:rPr>
          <w:sz w:val="24"/>
        </w:rPr>
        <w:t>/</w:t>
      </w:r>
      <w:r w:rsidRPr="00B85AF8">
        <w:rPr>
          <w:sz w:val="24"/>
        </w:rPr>
        <w:t>hr</w:t>
      </w:r>
      <w:r w:rsidRPr="00B85AF8">
        <w:rPr>
          <w:sz w:val="24"/>
        </w:rPr>
        <w:t xml:space="preserve"> for a General Manager to complete and submit the state’s annual report, for a total </w:t>
      </w:r>
      <w:r w:rsidRPr="00B85AF8" w:rsidR="00964DBA">
        <w:rPr>
          <w:sz w:val="24"/>
        </w:rPr>
        <w:t xml:space="preserve">annual </w:t>
      </w:r>
      <w:r w:rsidRPr="00B85AF8">
        <w:rPr>
          <w:sz w:val="24"/>
        </w:rPr>
        <w:t xml:space="preserve">burden of 88 hours </w:t>
      </w:r>
      <w:r w:rsidRPr="00B85AF8" w:rsidR="00343E1A">
        <w:rPr>
          <w:sz w:val="24"/>
        </w:rPr>
        <w:t xml:space="preserve">(44 </w:t>
      </w:r>
      <w:r w:rsidRPr="00B85AF8" w:rsidR="00343E1A">
        <w:rPr>
          <w:sz w:val="24"/>
        </w:rPr>
        <w:t>hr</w:t>
      </w:r>
      <w:r w:rsidRPr="00B85AF8" w:rsidR="00343E1A">
        <w:rPr>
          <w:sz w:val="24"/>
        </w:rPr>
        <w:t xml:space="preserve"> x 2 states) </w:t>
      </w:r>
      <w:r w:rsidRPr="00B85AF8">
        <w:rPr>
          <w:sz w:val="24"/>
        </w:rPr>
        <w:t>at a cost of $7,</w:t>
      </w:r>
      <w:r w:rsidRPr="00B85AF8" w:rsidR="009F4465">
        <w:rPr>
          <w:sz w:val="24"/>
        </w:rPr>
        <w:t>352</w:t>
      </w:r>
      <w:r w:rsidRPr="00B85AF8" w:rsidR="0019677B">
        <w:rPr>
          <w:sz w:val="24"/>
        </w:rPr>
        <w:t xml:space="preserve"> </w:t>
      </w:r>
      <w:r w:rsidRPr="00B85AF8">
        <w:rPr>
          <w:sz w:val="24"/>
        </w:rPr>
        <w:t xml:space="preserve">[2 states x ((40 </w:t>
      </w:r>
      <w:r w:rsidRPr="00B85AF8">
        <w:rPr>
          <w:sz w:val="24"/>
        </w:rPr>
        <w:t>hr</w:t>
      </w:r>
      <w:r w:rsidRPr="00B85AF8">
        <w:rPr>
          <w:sz w:val="24"/>
        </w:rPr>
        <w:t xml:space="preserve"> x $</w:t>
      </w:r>
      <w:r w:rsidRPr="00B85AF8" w:rsidR="0019677B">
        <w:rPr>
          <w:sz w:val="24"/>
        </w:rPr>
        <w:t>80.08</w:t>
      </w:r>
      <w:r w:rsidRPr="00B85AF8">
        <w:rPr>
          <w:sz w:val="24"/>
        </w:rPr>
        <w:t>/</w:t>
      </w:r>
      <w:r w:rsidRPr="00B85AF8">
        <w:rPr>
          <w:sz w:val="24"/>
        </w:rPr>
        <w:t>hr</w:t>
      </w:r>
      <w:r w:rsidRPr="00B85AF8">
        <w:rPr>
          <w:sz w:val="24"/>
        </w:rPr>
        <w:t xml:space="preserve">) + (4 </w:t>
      </w:r>
      <w:r w:rsidRPr="00B85AF8">
        <w:rPr>
          <w:sz w:val="24"/>
        </w:rPr>
        <w:t>hr</w:t>
      </w:r>
      <w:r w:rsidRPr="00B85AF8">
        <w:rPr>
          <w:sz w:val="24"/>
        </w:rPr>
        <w:t xml:space="preserve"> x $</w:t>
      </w:r>
      <w:r w:rsidRPr="00B85AF8" w:rsidR="0019677B">
        <w:rPr>
          <w:sz w:val="24"/>
        </w:rPr>
        <w:t>118.14</w:t>
      </w:r>
      <w:r w:rsidRPr="00B85AF8">
        <w:rPr>
          <w:sz w:val="24"/>
        </w:rPr>
        <w:t>/</w:t>
      </w:r>
      <w:r w:rsidRPr="00B85AF8">
        <w:rPr>
          <w:sz w:val="24"/>
        </w:rPr>
        <w:t>hr</w:t>
      </w:r>
      <w:r w:rsidRPr="00B85AF8">
        <w:rPr>
          <w:sz w:val="24"/>
        </w:rPr>
        <w:t>))].</w:t>
      </w:r>
      <w:r w:rsidRPr="00B85AF8" w:rsidR="00305EF7">
        <w:rPr>
          <w:sz w:val="24"/>
        </w:rPr>
        <w:t xml:space="preserve"> </w:t>
      </w:r>
      <w:r w:rsidRPr="00B85AF8" w:rsidR="001274AB">
        <w:rPr>
          <w:sz w:val="24"/>
        </w:rPr>
        <w:t>In this 2023 iteration we are o</w:t>
      </w:r>
      <w:r w:rsidRPr="00B85AF8" w:rsidR="0019677B">
        <w:rPr>
          <w:sz w:val="24"/>
        </w:rPr>
        <w:t xml:space="preserve">nly </w:t>
      </w:r>
      <w:r w:rsidRPr="00B85AF8" w:rsidR="00B03BB9">
        <w:rPr>
          <w:sz w:val="24"/>
        </w:rPr>
        <w:t xml:space="preserve">updating </w:t>
      </w:r>
      <w:r w:rsidRPr="00B85AF8" w:rsidR="001274AB">
        <w:rPr>
          <w:sz w:val="24"/>
        </w:rPr>
        <w:t xml:space="preserve">our </w:t>
      </w:r>
      <w:r w:rsidRPr="00B85AF8" w:rsidR="00B03BB9">
        <w:rPr>
          <w:sz w:val="24"/>
        </w:rPr>
        <w:t>wa</w:t>
      </w:r>
      <w:r w:rsidRPr="00B85AF8" w:rsidR="0019677B">
        <w:rPr>
          <w:sz w:val="24"/>
        </w:rPr>
        <w:t xml:space="preserve">ge </w:t>
      </w:r>
      <w:r w:rsidRPr="00B85AF8" w:rsidR="00AF674A">
        <w:rPr>
          <w:sz w:val="24"/>
        </w:rPr>
        <w:t xml:space="preserve">and cost </w:t>
      </w:r>
      <w:r w:rsidRPr="00B85AF8" w:rsidR="0019677B">
        <w:rPr>
          <w:sz w:val="24"/>
        </w:rPr>
        <w:t>estimates based on BLS</w:t>
      </w:r>
      <w:r w:rsidRPr="00B85AF8" w:rsidR="00B03BB9">
        <w:rPr>
          <w:sz w:val="24"/>
        </w:rPr>
        <w:t xml:space="preserve">’ 2022 </w:t>
      </w:r>
      <w:r w:rsidRPr="00B85AF8" w:rsidR="00AF674A">
        <w:rPr>
          <w:sz w:val="24"/>
        </w:rPr>
        <w:t>wage data</w:t>
      </w:r>
      <w:r w:rsidRPr="00B85AF8" w:rsidR="0019677B">
        <w:rPr>
          <w:sz w:val="24"/>
        </w:rPr>
        <w:t>.</w:t>
      </w:r>
    </w:p>
    <w:p w:rsidR="00D15038" w:rsidRPr="00B85AF8" w:rsidP="005669C5" w14:paraId="61C925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513A90" w:rsidRPr="00B85AF8" w:rsidP="00513A90" w14:paraId="7C9EE6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5AF8">
        <w:rPr>
          <w:sz w:val="24"/>
          <w:u w:val="single"/>
        </w:rPr>
        <w:t>3. ICRs Regarding the Submission of Estimated and Actual Quarterly Enrollment Data</w:t>
      </w:r>
    </w:p>
    <w:p w:rsidR="00513A90" w:rsidRPr="00B85AF8" w:rsidP="00513A90" w14:paraId="770045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513A90" w:rsidRPr="00B85AF8" w:rsidP="005618C5" w14:paraId="6068F7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A state that is approved to implement a BHP must provide CMS an estimate of the number of BHP enrollees it projects will enroll in the upcoming BHP program quarter, by applicable rate cell, prior to the first quarter and each subsequent quarter of program operations until after actual enrollment data is available. Enrollment data must be submitted by age range (if applicable), geographic area, coverage status, household size, and income range.</w:t>
      </w:r>
    </w:p>
    <w:p w:rsidR="00513A90" w:rsidRPr="00B85AF8" w:rsidP="00513A90" w14:paraId="35FD13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E722E2" w:rsidRPr="00B85AF8" w:rsidP="00513A90" w14:paraId="3A311222" w14:textId="7A71FC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We estimate that it would take a </w:t>
      </w:r>
      <w:r w:rsidRPr="00B85AF8" w:rsidR="006A0809">
        <w:rPr>
          <w:sz w:val="24"/>
        </w:rPr>
        <w:t>B</w:t>
      </w:r>
      <w:r w:rsidRPr="00B85AF8">
        <w:rPr>
          <w:sz w:val="24"/>
        </w:rPr>
        <w:t xml:space="preserve">usiness </w:t>
      </w:r>
      <w:r w:rsidRPr="00B85AF8" w:rsidR="006A0809">
        <w:rPr>
          <w:sz w:val="24"/>
        </w:rPr>
        <w:t>O</w:t>
      </w:r>
      <w:r w:rsidRPr="00B85AF8">
        <w:rPr>
          <w:sz w:val="24"/>
        </w:rPr>
        <w:t xml:space="preserve">perations </w:t>
      </w:r>
      <w:r w:rsidRPr="00B85AF8" w:rsidR="006A0809">
        <w:rPr>
          <w:sz w:val="24"/>
        </w:rPr>
        <w:t>S</w:t>
      </w:r>
      <w:r w:rsidRPr="00B85AF8">
        <w:rPr>
          <w:sz w:val="24"/>
        </w:rPr>
        <w:t>pecialist 10 hours at $</w:t>
      </w:r>
      <w:r w:rsidRPr="00B85AF8" w:rsidR="0019677B">
        <w:rPr>
          <w:sz w:val="24"/>
        </w:rPr>
        <w:t>80.08</w:t>
      </w:r>
      <w:r w:rsidRPr="00B85AF8">
        <w:rPr>
          <w:sz w:val="24"/>
        </w:rPr>
        <w:t>/</w:t>
      </w:r>
      <w:r w:rsidRPr="00B85AF8">
        <w:rPr>
          <w:sz w:val="24"/>
        </w:rPr>
        <w:t>hr</w:t>
      </w:r>
      <w:r w:rsidRPr="00B85AF8">
        <w:rPr>
          <w:sz w:val="24"/>
        </w:rPr>
        <w:t xml:space="preserve"> and a </w:t>
      </w:r>
      <w:r w:rsidRPr="00B85AF8" w:rsidR="006A0809">
        <w:rPr>
          <w:sz w:val="24"/>
        </w:rPr>
        <w:t>G</w:t>
      </w:r>
      <w:r w:rsidRPr="00B85AF8">
        <w:rPr>
          <w:sz w:val="24"/>
        </w:rPr>
        <w:t xml:space="preserve">eneral </w:t>
      </w:r>
      <w:r w:rsidRPr="00B85AF8" w:rsidR="006A0809">
        <w:rPr>
          <w:sz w:val="24"/>
        </w:rPr>
        <w:t>M</w:t>
      </w:r>
      <w:r w:rsidRPr="00B85AF8">
        <w:rPr>
          <w:sz w:val="24"/>
        </w:rPr>
        <w:t>anager 2 hours at $</w:t>
      </w:r>
      <w:r w:rsidRPr="00B85AF8" w:rsidR="002536FF">
        <w:rPr>
          <w:sz w:val="24"/>
        </w:rPr>
        <w:t>118.14</w:t>
      </w:r>
      <w:r w:rsidRPr="00B85AF8">
        <w:rPr>
          <w:sz w:val="24"/>
        </w:rPr>
        <w:t>/</w:t>
      </w:r>
      <w:r w:rsidRPr="00B85AF8">
        <w:rPr>
          <w:sz w:val="24"/>
        </w:rPr>
        <w:t>hr</w:t>
      </w:r>
      <w:r w:rsidRPr="00B85AF8">
        <w:rPr>
          <w:sz w:val="24"/>
        </w:rPr>
        <w:t xml:space="preserve"> to compile and submit the quarterly estimated enrollment data to CMS. For 2023, we estimate that two states will operate a BHP and will submit the required estimated enrollment data to CMS.  In aggregate, we estimate an annual burden of 96 hours (2 states x 12 </w:t>
      </w:r>
      <w:r w:rsidRPr="00B85AF8">
        <w:rPr>
          <w:sz w:val="24"/>
        </w:rPr>
        <w:t>hr</w:t>
      </w:r>
      <w:r w:rsidRPr="00B85AF8">
        <w:rPr>
          <w:sz w:val="24"/>
        </w:rPr>
        <w:t>/response x 4 responses/</w:t>
      </w:r>
      <w:r w:rsidRPr="00B85AF8">
        <w:rPr>
          <w:sz w:val="24"/>
        </w:rPr>
        <w:t>yr</w:t>
      </w:r>
      <w:r w:rsidRPr="00B85AF8">
        <w:rPr>
          <w:sz w:val="24"/>
        </w:rPr>
        <w:t>) at a cost of $</w:t>
      </w:r>
      <w:r w:rsidRPr="00B85AF8" w:rsidR="002536FF">
        <w:rPr>
          <w:sz w:val="24"/>
        </w:rPr>
        <w:t>8,</w:t>
      </w:r>
      <w:r w:rsidRPr="00B85AF8" w:rsidR="009F4465">
        <w:rPr>
          <w:sz w:val="24"/>
        </w:rPr>
        <w:t>297</w:t>
      </w:r>
      <w:r w:rsidRPr="00B85AF8">
        <w:rPr>
          <w:sz w:val="24"/>
        </w:rPr>
        <w:t xml:space="preserve"> [2 states </w:t>
      </w:r>
      <w:r w:rsidRPr="00B85AF8" w:rsidR="006A0809">
        <w:rPr>
          <w:sz w:val="24"/>
        </w:rPr>
        <w:t>x</w:t>
      </w:r>
      <w:r w:rsidRPr="00B85AF8">
        <w:rPr>
          <w:sz w:val="24"/>
        </w:rPr>
        <w:t xml:space="preserve"> 4 responses/</w:t>
      </w:r>
      <w:r w:rsidRPr="00B85AF8">
        <w:rPr>
          <w:sz w:val="24"/>
        </w:rPr>
        <w:t>yr</w:t>
      </w:r>
      <w:r w:rsidRPr="00B85AF8">
        <w:rPr>
          <w:sz w:val="24"/>
        </w:rPr>
        <w:t xml:space="preserve"> ((10 </w:t>
      </w:r>
      <w:r w:rsidRPr="00B85AF8">
        <w:rPr>
          <w:sz w:val="24"/>
        </w:rPr>
        <w:t>hr</w:t>
      </w:r>
      <w:r w:rsidRPr="00B85AF8">
        <w:rPr>
          <w:sz w:val="24"/>
        </w:rPr>
        <w:t xml:space="preserve"> x $</w:t>
      </w:r>
      <w:r w:rsidRPr="00B85AF8" w:rsidR="0019677B">
        <w:rPr>
          <w:sz w:val="24"/>
        </w:rPr>
        <w:t>80.08</w:t>
      </w:r>
      <w:r w:rsidRPr="00B85AF8">
        <w:rPr>
          <w:sz w:val="24"/>
        </w:rPr>
        <w:t>/</w:t>
      </w:r>
      <w:r w:rsidRPr="00B85AF8">
        <w:rPr>
          <w:sz w:val="24"/>
        </w:rPr>
        <w:t>hr</w:t>
      </w:r>
      <w:r w:rsidRPr="00B85AF8">
        <w:rPr>
          <w:sz w:val="24"/>
        </w:rPr>
        <w:t xml:space="preserve">) + (2 </w:t>
      </w:r>
      <w:r w:rsidRPr="00B85AF8">
        <w:rPr>
          <w:sz w:val="24"/>
        </w:rPr>
        <w:t>hr</w:t>
      </w:r>
      <w:r w:rsidRPr="00B85AF8">
        <w:rPr>
          <w:sz w:val="24"/>
        </w:rPr>
        <w:t xml:space="preserve"> x $11</w:t>
      </w:r>
      <w:r w:rsidRPr="00B85AF8" w:rsidR="0019677B">
        <w:rPr>
          <w:sz w:val="24"/>
        </w:rPr>
        <w:t>8.14</w:t>
      </w:r>
      <w:r w:rsidRPr="00B85AF8">
        <w:rPr>
          <w:sz w:val="24"/>
        </w:rPr>
        <w:t>/</w:t>
      </w:r>
      <w:r w:rsidRPr="00B85AF8">
        <w:rPr>
          <w:sz w:val="24"/>
        </w:rPr>
        <w:t>hr</w:t>
      </w:r>
      <w:r w:rsidRPr="00B85AF8">
        <w:rPr>
          <w:sz w:val="24"/>
        </w:rPr>
        <w:t>)).</w:t>
      </w:r>
      <w:r w:rsidRPr="00B85AF8" w:rsidR="002536FF">
        <w:rPr>
          <w:sz w:val="24"/>
        </w:rPr>
        <w:t xml:space="preserve"> </w:t>
      </w:r>
      <w:r w:rsidRPr="00B85AF8">
        <w:rPr>
          <w:sz w:val="24"/>
        </w:rPr>
        <w:t>In this 2023 iteration we are only updating our wage and cost estimates based on BLS’ 2022 wage data.</w:t>
      </w:r>
    </w:p>
    <w:p w:rsidR="00513A90" w:rsidRPr="00B85AF8" w:rsidP="005618C5" w14:paraId="2FAAFF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3A90" w:rsidRPr="00B85AF8" w:rsidP="005618C5" w14:paraId="4E06BF8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Following each BHP program quarter, a state operating a BHP must submit actual enrollment data to CMS. Actual enrollment data must be based on individuals enrolled for the quarter who the state found eligible and whose eligibility was verified using eligibility and verification requirements as agreed to by the state in its applicable BHP Blueprint for the quarter that enrollment data is submitted. Actual enrollment data must include a personal identifier, date of birth, county of residence, Indian status, family size, household income, number of persons in the household enrolled in BHP, family identifier, months of coverage, plan information, and any other data required by CMS to properly calculate the payment. </w:t>
      </w:r>
    </w:p>
    <w:p w:rsidR="00715BD8" w:rsidRPr="00B85AF8" w:rsidP="00513A90" w14:paraId="73EF88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144286" w:rsidRPr="00B85AF8" w:rsidP="00715BD8" w14:paraId="1BA3A681" w14:textId="10827D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We estimate that it would take a </w:t>
      </w:r>
      <w:r w:rsidRPr="00B85AF8" w:rsidR="006A0809">
        <w:rPr>
          <w:sz w:val="24"/>
        </w:rPr>
        <w:t>B</w:t>
      </w:r>
      <w:r w:rsidRPr="00B85AF8">
        <w:rPr>
          <w:sz w:val="24"/>
        </w:rPr>
        <w:t xml:space="preserve">usiness </w:t>
      </w:r>
      <w:r w:rsidRPr="00B85AF8" w:rsidR="006A0809">
        <w:rPr>
          <w:sz w:val="24"/>
        </w:rPr>
        <w:t>O</w:t>
      </w:r>
      <w:r w:rsidRPr="00B85AF8">
        <w:rPr>
          <w:sz w:val="24"/>
        </w:rPr>
        <w:t xml:space="preserve">perations </w:t>
      </w:r>
      <w:r w:rsidRPr="00B85AF8" w:rsidR="006A0809">
        <w:rPr>
          <w:sz w:val="24"/>
        </w:rPr>
        <w:t>S</w:t>
      </w:r>
      <w:r w:rsidRPr="00B85AF8">
        <w:rPr>
          <w:sz w:val="24"/>
        </w:rPr>
        <w:t>pecialist 100 hours at $</w:t>
      </w:r>
      <w:r w:rsidRPr="00B85AF8" w:rsidR="0019677B">
        <w:rPr>
          <w:sz w:val="24"/>
        </w:rPr>
        <w:t>80.08</w:t>
      </w:r>
      <w:r w:rsidRPr="00B85AF8">
        <w:rPr>
          <w:sz w:val="24"/>
        </w:rPr>
        <w:t>/</w:t>
      </w:r>
      <w:r w:rsidRPr="00B85AF8">
        <w:rPr>
          <w:sz w:val="24"/>
        </w:rPr>
        <w:t>hr</w:t>
      </w:r>
      <w:r w:rsidRPr="00B85AF8">
        <w:rPr>
          <w:sz w:val="24"/>
        </w:rPr>
        <w:t xml:space="preserve"> and a </w:t>
      </w:r>
      <w:r w:rsidRPr="00B85AF8" w:rsidR="006A0809">
        <w:rPr>
          <w:sz w:val="24"/>
        </w:rPr>
        <w:t>G</w:t>
      </w:r>
      <w:r w:rsidRPr="00B85AF8">
        <w:rPr>
          <w:sz w:val="24"/>
        </w:rPr>
        <w:t xml:space="preserve">eneral </w:t>
      </w:r>
      <w:r w:rsidRPr="00B85AF8" w:rsidR="006A0809">
        <w:rPr>
          <w:sz w:val="24"/>
        </w:rPr>
        <w:t>M</w:t>
      </w:r>
      <w:r w:rsidRPr="00B85AF8">
        <w:rPr>
          <w:sz w:val="24"/>
        </w:rPr>
        <w:t>anager 10 hours at $</w:t>
      </w:r>
      <w:r w:rsidRPr="00B85AF8" w:rsidR="0019677B">
        <w:rPr>
          <w:sz w:val="24"/>
        </w:rPr>
        <w:t>118.14</w:t>
      </w:r>
      <w:r w:rsidRPr="00B85AF8">
        <w:rPr>
          <w:sz w:val="24"/>
        </w:rPr>
        <w:t>/</w:t>
      </w:r>
      <w:r w:rsidRPr="00B85AF8">
        <w:rPr>
          <w:sz w:val="24"/>
        </w:rPr>
        <w:t>hr</w:t>
      </w:r>
      <w:r w:rsidRPr="00B85AF8">
        <w:rPr>
          <w:sz w:val="24"/>
        </w:rPr>
        <w:t xml:space="preserve"> to compile and submit the quarterly actual enrollment data to CMS. For 2023, we estimate that two states will operate a BHP and will submit the required actual enrollment data to CMS.  In aggregate, we estimate an annual burden of 880 hours (2 states x 110 </w:t>
      </w:r>
      <w:r w:rsidRPr="00B85AF8">
        <w:rPr>
          <w:sz w:val="24"/>
        </w:rPr>
        <w:t>hr</w:t>
      </w:r>
      <w:r w:rsidRPr="00B85AF8">
        <w:rPr>
          <w:sz w:val="24"/>
        </w:rPr>
        <w:t>/response x 4 responses/</w:t>
      </w:r>
      <w:r w:rsidRPr="00B85AF8">
        <w:rPr>
          <w:sz w:val="24"/>
        </w:rPr>
        <w:t>yr</w:t>
      </w:r>
      <w:r w:rsidRPr="00B85AF8">
        <w:rPr>
          <w:sz w:val="24"/>
        </w:rPr>
        <w:t>) at a cost of $7</w:t>
      </w:r>
      <w:r w:rsidRPr="00B85AF8" w:rsidR="002536FF">
        <w:rPr>
          <w:sz w:val="24"/>
        </w:rPr>
        <w:t>3,515</w:t>
      </w:r>
      <w:r w:rsidRPr="00B85AF8" w:rsidR="009F4465">
        <w:rPr>
          <w:sz w:val="24"/>
        </w:rPr>
        <w:t xml:space="preserve"> </w:t>
      </w:r>
      <w:r w:rsidRPr="00B85AF8">
        <w:rPr>
          <w:sz w:val="24"/>
        </w:rPr>
        <w:t xml:space="preserve"> [2 states X 4 responses/</w:t>
      </w:r>
      <w:r w:rsidRPr="00B85AF8">
        <w:rPr>
          <w:sz w:val="24"/>
        </w:rPr>
        <w:t>yr</w:t>
      </w:r>
      <w:r w:rsidRPr="00B85AF8">
        <w:rPr>
          <w:sz w:val="24"/>
        </w:rPr>
        <w:t xml:space="preserve"> ((100 </w:t>
      </w:r>
      <w:r w:rsidRPr="00B85AF8">
        <w:rPr>
          <w:sz w:val="24"/>
        </w:rPr>
        <w:t>hr</w:t>
      </w:r>
      <w:r w:rsidRPr="00B85AF8">
        <w:rPr>
          <w:sz w:val="24"/>
        </w:rPr>
        <w:t xml:space="preserve"> x $</w:t>
      </w:r>
      <w:r w:rsidRPr="00B85AF8" w:rsidR="002536FF">
        <w:rPr>
          <w:sz w:val="24"/>
        </w:rPr>
        <w:t>80.08</w:t>
      </w:r>
      <w:r w:rsidRPr="00B85AF8">
        <w:rPr>
          <w:sz w:val="24"/>
        </w:rPr>
        <w:t>/</w:t>
      </w:r>
      <w:r w:rsidRPr="00B85AF8">
        <w:rPr>
          <w:sz w:val="24"/>
        </w:rPr>
        <w:t>hr</w:t>
      </w:r>
      <w:r w:rsidRPr="00B85AF8">
        <w:rPr>
          <w:sz w:val="24"/>
        </w:rPr>
        <w:t xml:space="preserve">) + (10 </w:t>
      </w:r>
      <w:r w:rsidRPr="00B85AF8">
        <w:rPr>
          <w:sz w:val="24"/>
        </w:rPr>
        <w:t>hr</w:t>
      </w:r>
      <w:r w:rsidRPr="00B85AF8">
        <w:rPr>
          <w:sz w:val="24"/>
        </w:rPr>
        <w:t xml:space="preserve"> x $</w:t>
      </w:r>
      <w:r w:rsidRPr="00B85AF8" w:rsidR="002536FF">
        <w:rPr>
          <w:sz w:val="24"/>
        </w:rPr>
        <w:t>118.14</w:t>
      </w:r>
      <w:r w:rsidRPr="00B85AF8">
        <w:rPr>
          <w:sz w:val="24"/>
        </w:rPr>
        <w:t>/</w:t>
      </w:r>
      <w:r w:rsidRPr="00B85AF8">
        <w:rPr>
          <w:sz w:val="24"/>
        </w:rPr>
        <w:t>hr</w:t>
      </w:r>
      <w:r w:rsidRPr="00B85AF8">
        <w:rPr>
          <w:sz w:val="24"/>
        </w:rPr>
        <w:t>)).</w:t>
      </w:r>
      <w:r w:rsidRPr="00B85AF8" w:rsidR="002D034A">
        <w:rPr>
          <w:sz w:val="24"/>
        </w:rPr>
        <w:t xml:space="preserve"> </w:t>
      </w:r>
      <w:r w:rsidRPr="00B85AF8">
        <w:rPr>
          <w:sz w:val="24"/>
        </w:rPr>
        <w:t>In this 2023 iteration we are only updating our wage and cost estimates based on BLS’ 2022 wage data.</w:t>
      </w:r>
    </w:p>
    <w:p w:rsidR="00144286" w:rsidRPr="00B85AF8" w:rsidP="00715BD8" w14:paraId="7FEC10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15BD8" w:rsidRPr="00B85AF8" w:rsidP="00715BD8" w14:paraId="3A7125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85AF8">
        <w:rPr>
          <w:sz w:val="24"/>
          <w:u w:val="single"/>
        </w:rPr>
        <w:t>4. ICRs Regarding Submission of Qualified Health Plan Data</w:t>
      </w:r>
    </w:p>
    <w:p w:rsidR="00715BD8" w:rsidRPr="00B85AF8" w:rsidP="00715BD8" w14:paraId="21B812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15BD8" w:rsidRPr="00B85AF8" w:rsidP="00715BD8" w14:paraId="2D9AC27D" w14:textId="46D742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States operating an SBE in the individual market must provide certain data, including premiums for second lowest cost silver plans, by geographic area, for CMS to calculate the federal BHP payment rates in those states. States operating BHPs interested in obtaining the applicable program year federal BHP payment rates for its state must submit the data to CMS by October 15</w:t>
      </w:r>
      <w:r w:rsidRPr="00B85AF8" w:rsidR="00B91953">
        <w:rPr>
          <w:sz w:val="24"/>
          <w:vertAlign w:val="superscript"/>
        </w:rPr>
        <w:t>th</w:t>
      </w:r>
      <w:r w:rsidRPr="00B85AF8" w:rsidR="00B91953">
        <w:rPr>
          <w:sz w:val="24"/>
        </w:rPr>
        <w:t xml:space="preserve"> of the preceding year</w:t>
      </w:r>
      <w:r w:rsidRPr="00B85AF8">
        <w:rPr>
          <w:sz w:val="24"/>
        </w:rPr>
        <w:t xml:space="preserve">. </w:t>
      </w:r>
    </w:p>
    <w:p w:rsidR="00715BD8" w:rsidRPr="00B85AF8" w:rsidP="00715BD8" w14:paraId="25240FD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44286" w:rsidRPr="00B85AF8" w:rsidP="002536FF" w14:paraId="1470243D" w14:textId="106182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We estimate that it would take a </w:t>
      </w:r>
      <w:r w:rsidRPr="00B85AF8" w:rsidR="006A0809">
        <w:rPr>
          <w:sz w:val="24"/>
        </w:rPr>
        <w:t>B</w:t>
      </w:r>
      <w:r w:rsidRPr="00B85AF8">
        <w:rPr>
          <w:sz w:val="24"/>
        </w:rPr>
        <w:t xml:space="preserve">usiness </w:t>
      </w:r>
      <w:r w:rsidRPr="00B85AF8" w:rsidR="006A0809">
        <w:rPr>
          <w:sz w:val="24"/>
        </w:rPr>
        <w:t>O</w:t>
      </w:r>
      <w:r w:rsidRPr="00B85AF8">
        <w:rPr>
          <w:sz w:val="24"/>
        </w:rPr>
        <w:t xml:space="preserve">perations </w:t>
      </w:r>
      <w:r w:rsidRPr="00B85AF8" w:rsidR="006A0809">
        <w:rPr>
          <w:sz w:val="24"/>
        </w:rPr>
        <w:t>S</w:t>
      </w:r>
      <w:r w:rsidRPr="00B85AF8">
        <w:rPr>
          <w:sz w:val="24"/>
        </w:rPr>
        <w:t>pecialist 20 hours at $</w:t>
      </w:r>
      <w:r w:rsidRPr="00B85AF8" w:rsidR="002536FF">
        <w:rPr>
          <w:sz w:val="24"/>
        </w:rPr>
        <w:t>80.08</w:t>
      </w:r>
      <w:r w:rsidRPr="00B85AF8">
        <w:rPr>
          <w:sz w:val="24"/>
        </w:rPr>
        <w:t>/</w:t>
      </w:r>
      <w:r w:rsidRPr="00B85AF8">
        <w:rPr>
          <w:sz w:val="24"/>
        </w:rPr>
        <w:t>hr</w:t>
      </w:r>
      <w:r w:rsidRPr="00B85AF8">
        <w:rPr>
          <w:sz w:val="24"/>
        </w:rPr>
        <w:t xml:space="preserve"> and a </w:t>
      </w:r>
      <w:r w:rsidRPr="00B85AF8" w:rsidR="006A0809">
        <w:rPr>
          <w:sz w:val="24"/>
        </w:rPr>
        <w:t>G</w:t>
      </w:r>
      <w:r w:rsidRPr="00B85AF8">
        <w:rPr>
          <w:sz w:val="24"/>
        </w:rPr>
        <w:t xml:space="preserve">eneral </w:t>
      </w:r>
      <w:r w:rsidRPr="00B85AF8" w:rsidR="006A0809">
        <w:rPr>
          <w:sz w:val="24"/>
        </w:rPr>
        <w:t>M</w:t>
      </w:r>
      <w:r w:rsidRPr="00B85AF8">
        <w:rPr>
          <w:sz w:val="24"/>
        </w:rPr>
        <w:t>anager 2 hours at $11</w:t>
      </w:r>
      <w:r w:rsidRPr="00B85AF8" w:rsidR="002536FF">
        <w:rPr>
          <w:sz w:val="24"/>
        </w:rPr>
        <w:t>8.14</w:t>
      </w:r>
      <w:r w:rsidRPr="00B85AF8">
        <w:rPr>
          <w:sz w:val="24"/>
        </w:rPr>
        <w:t>/</w:t>
      </w:r>
      <w:r w:rsidRPr="00B85AF8">
        <w:rPr>
          <w:sz w:val="24"/>
        </w:rPr>
        <w:t>hr</w:t>
      </w:r>
      <w:r w:rsidRPr="00B85AF8">
        <w:rPr>
          <w:sz w:val="24"/>
        </w:rPr>
        <w:t xml:space="preserve"> to compile and submit the required data to CMS.  In aggregate, we estimate an annual burden of 44 hours (2 states x 22 </w:t>
      </w:r>
      <w:r w:rsidRPr="00B85AF8">
        <w:rPr>
          <w:sz w:val="24"/>
        </w:rPr>
        <w:t>hr</w:t>
      </w:r>
      <w:r w:rsidRPr="00B85AF8">
        <w:rPr>
          <w:sz w:val="24"/>
        </w:rPr>
        <w:t>/response) at a cost of $3,</w:t>
      </w:r>
      <w:r w:rsidRPr="00B85AF8" w:rsidR="00B91953">
        <w:rPr>
          <w:sz w:val="24"/>
        </w:rPr>
        <w:t>676</w:t>
      </w:r>
      <w:r w:rsidRPr="00B85AF8" w:rsidR="002536FF">
        <w:rPr>
          <w:sz w:val="24"/>
        </w:rPr>
        <w:t xml:space="preserve"> </w:t>
      </w:r>
      <w:r w:rsidRPr="00B85AF8">
        <w:rPr>
          <w:sz w:val="24"/>
        </w:rPr>
        <w:t xml:space="preserve">[2 states </w:t>
      </w:r>
      <w:r w:rsidRPr="00B85AF8" w:rsidR="00227850">
        <w:rPr>
          <w:sz w:val="24"/>
        </w:rPr>
        <w:t>x</w:t>
      </w:r>
      <w:r w:rsidRPr="00B85AF8">
        <w:rPr>
          <w:sz w:val="24"/>
        </w:rPr>
        <w:t xml:space="preserve"> ((20 </w:t>
      </w:r>
      <w:r w:rsidRPr="00B85AF8">
        <w:rPr>
          <w:sz w:val="24"/>
        </w:rPr>
        <w:t>hr</w:t>
      </w:r>
      <w:r w:rsidRPr="00B85AF8">
        <w:rPr>
          <w:sz w:val="24"/>
        </w:rPr>
        <w:t xml:space="preserve"> x $</w:t>
      </w:r>
      <w:r w:rsidRPr="00B85AF8" w:rsidR="002536FF">
        <w:rPr>
          <w:sz w:val="24"/>
        </w:rPr>
        <w:t>80.08</w:t>
      </w:r>
      <w:r w:rsidRPr="00B85AF8">
        <w:rPr>
          <w:sz w:val="24"/>
        </w:rPr>
        <w:t>/</w:t>
      </w:r>
      <w:r w:rsidRPr="00B85AF8">
        <w:rPr>
          <w:sz w:val="24"/>
        </w:rPr>
        <w:t>hr</w:t>
      </w:r>
      <w:r w:rsidRPr="00B85AF8">
        <w:rPr>
          <w:sz w:val="24"/>
        </w:rPr>
        <w:t xml:space="preserve">) + (2 </w:t>
      </w:r>
      <w:r w:rsidRPr="00B85AF8">
        <w:rPr>
          <w:sz w:val="24"/>
        </w:rPr>
        <w:t>hr</w:t>
      </w:r>
      <w:r w:rsidRPr="00B85AF8">
        <w:rPr>
          <w:sz w:val="24"/>
        </w:rPr>
        <w:t xml:space="preserve"> x $</w:t>
      </w:r>
      <w:r w:rsidRPr="00B85AF8" w:rsidR="002536FF">
        <w:rPr>
          <w:sz w:val="24"/>
        </w:rPr>
        <w:t>118.14</w:t>
      </w:r>
      <w:r w:rsidRPr="00B85AF8">
        <w:rPr>
          <w:sz w:val="24"/>
        </w:rPr>
        <w:t>/</w:t>
      </w:r>
      <w:r w:rsidRPr="00B85AF8">
        <w:rPr>
          <w:sz w:val="24"/>
        </w:rPr>
        <w:t>hr</w:t>
      </w:r>
      <w:r w:rsidRPr="00B85AF8">
        <w:rPr>
          <w:sz w:val="24"/>
        </w:rPr>
        <w:t>))].</w:t>
      </w:r>
      <w:r w:rsidRPr="00B85AF8" w:rsidR="002536FF">
        <w:rPr>
          <w:sz w:val="24"/>
        </w:rPr>
        <w:t xml:space="preserve"> </w:t>
      </w:r>
      <w:r w:rsidRPr="00B85AF8">
        <w:rPr>
          <w:sz w:val="24"/>
        </w:rPr>
        <w:t>In this 2023 iteration we are only updating our wage and cost estimates based on BLS’ 2022 wage data.</w:t>
      </w:r>
    </w:p>
    <w:p w:rsidR="00144286" w:rsidRPr="00B85AF8" w:rsidP="002536FF" w14:paraId="195D9DA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15038" w:rsidRPr="00B85AF8" w:rsidP="005618C5" w14:paraId="67EE09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contextualSpacing/>
        <w:rPr>
          <w:sz w:val="24"/>
          <w:u w:val="single"/>
        </w:rPr>
      </w:pPr>
      <w:r w:rsidRPr="00B85AF8">
        <w:rPr>
          <w:sz w:val="24"/>
          <w:u w:val="single"/>
        </w:rPr>
        <w:t>5. ICRs Regarding the Operation of a BHP</w:t>
      </w:r>
    </w:p>
    <w:p w:rsidR="00D15038" w:rsidRPr="00B85AF8" w:rsidP="005618C5" w14:paraId="31F11CC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contextualSpacing/>
        <w:rPr>
          <w:sz w:val="24"/>
        </w:rPr>
      </w:pPr>
    </w:p>
    <w:p w:rsidR="00B1769E" w:rsidRPr="00B85AF8" w:rsidP="00B1769E" w14:paraId="47FE598E" w14:textId="77777777">
      <w:pPr>
        <w:widowControl/>
        <w:autoSpaceDE/>
        <w:autoSpaceDN/>
        <w:adjustRightInd/>
        <w:spacing w:before="100" w:beforeAutospacing="1" w:after="100" w:afterAutospacing="1"/>
        <w:contextualSpacing/>
        <w:rPr>
          <w:sz w:val="24"/>
        </w:rPr>
      </w:pPr>
      <w:r w:rsidRPr="00B85AF8">
        <w:rPr>
          <w:sz w:val="24"/>
        </w:rPr>
        <w:t>The ongoing burden associated with the requirements under § 600.145 is the time and effort it would take each participating state to perform the recordkeeping and reporting portions of the core operating functions of a BHP including eligibility determinations and appeals as well as enrollment and disenrollment, health plan contracting, oversight and financial integrity, consumer assistance, and if necessary program termination or suspension.</w:t>
      </w:r>
    </w:p>
    <w:p w:rsidR="00B1769E" w:rsidRPr="00B85AF8" w:rsidP="00B1769E" w14:paraId="03BE6CC3" w14:textId="77777777">
      <w:pPr>
        <w:widowControl/>
        <w:autoSpaceDE/>
        <w:autoSpaceDN/>
        <w:adjustRightInd/>
        <w:spacing w:before="100" w:beforeAutospacing="1" w:after="100" w:afterAutospacing="1"/>
        <w:contextualSpacing/>
        <w:rPr>
          <w:sz w:val="24"/>
        </w:rPr>
      </w:pPr>
    </w:p>
    <w:p w:rsidR="00B1769E" w:rsidRPr="00B85AF8" w:rsidP="00B1769E" w14:paraId="3B5F35F4" w14:textId="77777777">
      <w:pPr>
        <w:widowControl/>
        <w:autoSpaceDE/>
        <w:autoSpaceDN/>
        <w:adjustRightInd/>
        <w:spacing w:before="100" w:beforeAutospacing="1" w:after="100" w:afterAutospacing="1"/>
        <w:contextualSpacing/>
        <w:rPr>
          <w:sz w:val="24"/>
        </w:rPr>
      </w:pPr>
      <w:r w:rsidRPr="00B85AF8">
        <w:rPr>
          <w:sz w:val="24"/>
        </w:rPr>
        <w:t xml:space="preserve">BHPs would function as part of a coordinated eligibility and enrollment structure over all insurance affordability programs. They need to maintain and transfer eligibility accounts with equal accuracy and efficiency as the Exchange, as well as maintain enrollment data reported monthly to HHS. As such, we are estimating equal burden to the Exchange for this function. We </w:t>
      </w:r>
      <w:r w:rsidRPr="00B85AF8">
        <w:rPr>
          <w:sz w:val="24"/>
        </w:rPr>
        <w:t xml:space="preserve">estimate that it will take 52 hours annually to ensure the collection of enrollment data. Additionally, we estimate it will take </w:t>
      </w:r>
      <w:r w:rsidRPr="004B6E36">
        <w:rPr>
          <w:sz w:val="24"/>
        </w:rPr>
        <w:t>12</w:t>
      </w:r>
      <w:r w:rsidRPr="00B85AF8">
        <w:rPr>
          <w:sz w:val="24"/>
        </w:rPr>
        <w:t xml:space="preserve"> hours to submit monthly enrollment data and 12 hours to reconcile data monthly.</w:t>
      </w:r>
    </w:p>
    <w:p w:rsidR="00B1769E" w:rsidRPr="00B85AF8" w:rsidP="00B1769E" w14:paraId="4EA5A58F" w14:textId="77777777">
      <w:pPr>
        <w:widowControl/>
        <w:autoSpaceDE/>
        <w:autoSpaceDN/>
        <w:adjustRightInd/>
        <w:spacing w:before="100" w:beforeAutospacing="1" w:after="100" w:afterAutospacing="1"/>
        <w:contextualSpacing/>
        <w:rPr>
          <w:sz w:val="24"/>
        </w:rPr>
      </w:pPr>
    </w:p>
    <w:p w:rsidR="00B1769E" w:rsidRPr="00B85AF8" w:rsidP="00B1769E" w14:paraId="43CD4993" w14:textId="77777777">
      <w:pPr>
        <w:widowControl/>
        <w:autoSpaceDE/>
        <w:autoSpaceDN/>
        <w:adjustRightInd/>
        <w:spacing w:before="100" w:beforeAutospacing="1" w:after="100" w:afterAutospacing="1"/>
        <w:contextualSpacing/>
        <w:rPr>
          <w:sz w:val="24"/>
        </w:rPr>
      </w:pPr>
      <w:r w:rsidRPr="00B85AF8">
        <w:rPr>
          <w:sz w:val="24"/>
        </w:rPr>
        <w:t xml:space="preserve">We propose at § 600.145(a) that a State must implement its BHP in accordance with: (1) the approved and full certified State BHP Blueprint; or (2) the approved suspension application (see ICR #7 below). </w:t>
      </w:r>
    </w:p>
    <w:p w:rsidR="00B1769E" w:rsidRPr="00B85AF8" w:rsidP="00B1769E" w14:paraId="358C5216" w14:textId="77777777">
      <w:pPr>
        <w:widowControl/>
        <w:autoSpaceDE/>
        <w:autoSpaceDN/>
        <w:adjustRightInd/>
        <w:spacing w:before="100" w:beforeAutospacing="1" w:after="100" w:afterAutospacing="1"/>
        <w:contextualSpacing/>
        <w:rPr>
          <w:sz w:val="24"/>
        </w:rPr>
      </w:pPr>
    </w:p>
    <w:p w:rsidR="00B1769E" w:rsidRPr="00B85AF8" w:rsidP="00B1769E" w14:paraId="6335ECFB" w14:textId="77777777">
      <w:pPr>
        <w:widowControl/>
        <w:autoSpaceDE/>
        <w:autoSpaceDN/>
        <w:adjustRightInd/>
        <w:spacing w:before="100" w:beforeAutospacing="1" w:after="100" w:afterAutospacing="1"/>
        <w:contextualSpacing/>
        <w:rPr>
          <w:sz w:val="24"/>
        </w:rPr>
      </w:pPr>
      <w:r w:rsidRPr="00B85AF8">
        <w:rPr>
          <w:sz w:val="24"/>
        </w:rPr>
        <w:t xml:space="preserve">We propose at § 600.145(f)(2) that the State operating a BHP must perform eligibility and health services appeals as specified in § 600.335. </w:t>
      </w:r>
    </w:p>
    <w:p w:rsidR="00B1769E" w:rsidRPr="00B85AF8" w:rsidP="00B1769E" w14:paraId="26D154F8" w14:textId="77777777">
      <w:pPr>
        <w:widowControl/>
        <w:autoSpaceDE/>
        <w:autoSpaceDN/>
        <w:adjustRightInd/>
        <w:spacing w:before="100" w:beforeAutospacing="1" w:after="100" w:afterAutospacing="1"/>
        <w:contextualSpacing/>
        <w:rPr>
          <w:sz w:val="24"/>
        </w:rPr>
      </w:pPr>
    </w:p>
    <w:p w:rsidR="00B1769E" w:rsidRPr="00B85AF8" w:rsidP="00B1769E" w14:paraId="47B56444" w14:textId="69A45CB2">
      <w:pPr>
        <w:widowControl/>
        <w:autoSpaceDE/>
        <w:autoSpaceDN/>
        <w:adjustRightInd/>
        <w:spacing w:before="100" w:beforeAutospacing="1" w:after="100" w:afterAutospacing="1"/>
        <w:contextualSpacing/>
        <w:rPr>
          <w:sz w:val="24"/>
        </w:rPr>
      </w:pPr>
      <w:r w:rsidRPr="00B85AF8">
        <w:rPr>
          <w:sz w:val="24"/>
        </w:rPr>
        <w:t>Because only two States are currently certified to operate a BHP, we are providing the burden estimate for two States. We estimate that it would take a business operations specialist 4 additional hours at $80.08/</w:t>
      </w:r>
      <w:r w:rsidRPr="00B85AF8">
        <w:rPr>
          <w:sz w:val="24"/>
        </w:rPr>
        <w:t>hr</w:t>
      </w:r>
      <w:r w:rsidRPr="00B85AF8">
        <w:rPr>
          <w:sz w:val="24"/>
        </w:rPr>
        <w:t xml:space="preserve"> to meet these new recordkeeping and reporting requirements for health services appeals. In aggregate, we estimate an increased burden of 8 hours (2 States x 4 </w:t>
      </w:r>
      <w:r w:rsidRPr="00B85AF8">
        <w:rPr>
          <w:sz w:val="24"/>
        </w:rPr>
        <w:t>hr</w:t>
      </w:r>
      <w:r w:rsidRPr="00B85AF8">
        <w:rPr>
          <w:sz w:val="24"/>
        </w:rPr>
        <w:t>/response) at a cost of $641 (</w:t>
      </w:r>
      <w:r w:rsidRPr="00B85AF8" w:rsidR="004A7533">
        <w:rPr>
          <w:sz w:val="24"/>
        </w:rPr>
        <w:t>8</w:t>
      </w:r>
      <w:r w:rsidRPr="00B85AF8">
        <w:rPr>
          <w:sz w:val="24"/>
        </w:rPr>
        <w:t xml:space="preserve"> </w:t>
      </w:r>
      <w:r w:rsidRPr="00B85AF8">
        <w:rPr>
          <w:sz w:val="24"/>
        </w:rPr>
        <w:t>hr</w:t>
      </w:r>
      <w:r w:rsidRPr="00B85AF8">
        <w:rPr>
          <w:sz w:val="24"/>
        </w:rPr>
        <w:t xml:space="preserve"> x $80.08/</w:t>
      </w:r>
      <w:r w:rsidRPr="00B85AF8">
        <w:rPr>
          <w:sz w:val="24"/>
        </w:rPr>
        <w:t>hr</w:t>
      </w:r>
      <w:r w:rsidRPr="00B85AF8">
        <w:rPr>
          <w:sz w:val="24"/>
        </w:rPr>
        <w:t xml:space="preserve">). We note that this cost will be incurred 100 percent by the State, as Federal BHP funds cannot be used for program administration. </w:t>
      </w:r>
    </w:p>
    <w:p w:rsidR="00B1769E" w:rsidRPr="00B85AF8" w:rsidP="00B1769E" w14:paraId="14D46B0F" w14:textId="77777777">
      <w:pPr>
        <w:widowControl/>
        <w:autoSpaceDE/>
        <w:autoSpaceDN/>
        <w:adjustRightInd/>
        <w:spacing w:before="100" w:beforeAutospacing="1" w:after="100" w:afterAutospacing="1"/>
        <w:contextualSpacing/>
        <w:rPr>
          <w:sz w:val="24"/>
        </w:rPr>
      </w:pPr>
    </w:p>
    <w:p w:rsidR="00B1769E" w:rsidRPr="00B85AF8" w:rsidP="00B1769E" w14:paraId="341BD692" w14:textId="77777777">
      <w:pPr>
        <w:widowControl/>
        <w:autoSpaceDE/>
        <w:autoSpaceDN/>
        <w:adjustRightInd/>
        <w:spacing w:before="100" w:beforeAutospacing="1" w:after="100" w:afterAutospacing="1"/>
        <w:contextualSpacing/>
        <w:rPr>
          <w:sz w:val="24"/>
        </w:rPr>
      </w:pPr>
      <w:r w:rsidRPr="00B85AF8">
        <w:rPr>
          <w:sz w:val="24"/>
        </w:rPr>
        <w:t>The BHP will issue notices to applicants and eligible individuals regarding eligibility status. These notices must be developed and processed in a coordinated fashion with other insurance affordability programs. The burden estimates here are only for added burden of customizing to the BHP. We estimate that it will take a state 16 hours annually to customize notices and processes for the BHP.</w:t>
      </w:r>
    </w:p>
    <w:p w:rsidR="00B1769E" w:rsidRPr="00B85AF8" w:rsidP="00B1769E" w14:paraId="2B037AC1" w14:textId="77777777">
      <w:pPr>
        <w:widowControl/>
        <w:autoSpaceDE/>
        <w:autoSpaceDN/>
        <w:adjustRightInd/>
        <w:spacing w:before="100" w:beforeAutospacing="1" w:after="100" w:afterAutospacing="1"/>
        <w:contextualSpacing/>
        <w:rPr>
          <w:sz w:val="24"/>
        </w:rPr>
      </w:pPr>
    </w:p>
    <w:p w:rsidR="00B1769E" w:rsidRPr="00B85AF8" w:rsidP="00B1769E" w14:paraId="3F88FE2D" w14:textId="77777777">
      <w:pPr>
        <w:widowControl/>
        <w:autoSpaceDE/>
        <w:autoSpaceDN/>
        <w:adjustRightInd/>
        <w:spacing w:before="100" w:beforeAutospacing="1" w:after="100" w:afterAutospacing="1"/>
        <w:contextualSpacing/>
        <w:rPr>
          <w:sz w:val="24"/>
        </w:rPr>
      </w:pPr>
      <w:r w:rsidRPr="00B85AF8">
        <w:rPr>
          <w:sz w:val="24"/>
        </w:rPr>
        <w:t>In this iteration, we propose at § 600.330(f), BHP eligibility notices must be written in plain language and be provided in a manner which ensures individuals with disabilities are provided with effective communication and takes steps to provide meaningful access to eligible individuals with limited English proficiency. These notices must be developed and processed in a coordinated fashion with other insurance affordability programs which have the same accessibility standards at 45 CFR 155.230(b). As such, we propose no additional burden for the BHP for the noticing requirement.</w:t>
      </w:r>
    </w:p>
    <w:p w:rsidR="00B1769E" w:rsidRPr="00B85AF8" w:rsidP="00B1769E" w14:paraId="058BE9CE" w14:textId="77777777">
      <w:pPr>
        <w:widowControl/>
        <w:autoSpaceDE/>
        <w:autoSpaceDN/>
        <w:adjustRightInd/>
        <w:spacing w:before="100" w:beforeAutospacing="1" w:after="100" w:afterAutospacing="1"/>
        <w:contextualSpacing/>
        <w:rPr>
          <w:sz w:val="24"/>
        </w:rPr>
      </w:pPr>
    </w:p>
    <w:p w:rsidR="00B1769E" w:rsidRPr="00B85AF8" w:rsidP="00B1769E" w14:paraId="63953510" w14:textId="765363A9">
      <w:pPr>
        <w:widowControl/>
        <w:autoSpaceDE/>
        <w:autoSpaceDN/>
        <w:adjustRightInd/>
        <w:spacing w:before="100" w:beforeAutospacing="1" w:after="100" w:afterAutospacing="1"/>
        <w:contextualSpacing/>
        <w:rPr>
          <w:sz w:val="24"/>
        </w:rPr>
      </w:pPr>
      <w:r w:rsidRPr="00B85AF8">
        <w:rPr>
          <w:sz w:val="24"/>
        </w:rPr>
        <w:t>Because only two states are currently certified to operate a BHP, we are providing the burden estimate for two states</w:t>
      </w:r>
      <w:r w:rsidR="004B6E36">
        <w:rPr>
          <w:sz w:val="24"/>
        </w:rPr>
        <w:t xml:space="preserve"> for eligibility and enrollment reporting requirements.</w:t>
      </w:r>
      <w:r w:rsidRPr="00B85AF8">
        <w:rPr>
          <w:sz w:val="24"/>
        </w:rPr>
        <w:t xml:space="preserve"> We estimate that it will take a business operations specialist 360 hours ((24 x 12) + 52 + 16) at $80.08/</w:t>
      </w:r>
      <w:r w:rsidRPr="00B85AF8">
        <w:rPr>
          <w:sz w:val="24"/>
        </w:rPr>
        <w:t>hr</w:t>
      </w:r>
      <w:r w:rsidRPr="00B85AF8">
        <w:rPr>
          <w:sz w:val="24"/>
        </w:rPr>
        <w:t xml:space="preserve"> to meet these reporting requirements for eligibility and enrollment functions</w:t>
      </w:r>
      <w:r w:rsidR="004B6E36">
        <w:rPr>
          <w:sz w:val="24"/>
        </w:rPr>
        <w:t xml:space="preserve"> as outlined in the paragraphs above</w:t>
      </w:r>
      <w:r w:rsidRPr="00B85AF8">
        <w:rPr>
          <w:sz w:val="24"/>
        </w:rPr>
        <w:t>. In aggregate, we estimate an annual burden of 720</w:t>
      </w:r>
      <w:r w:rsidRPr="00B85AF8" w:rsidR="00FE3D93">
        <w:rPr>
          <w:sz w:val="24"/>
        </w:rPr>
        <w:t xml:space="preserve"> </w:t>
      </w:r>
      <w:r w:rsidRPr="00B85AF8">
        <w:rPr>
          <w:sz w:val="24"/>
        </w:rPr>
        <w:t xml:space="preserve">hours (2 states x 360hr/response) at a cost of $7,658 [2 states x (356 </w:t>
      </w:r>
      <w:r w:rsidRPr="00B85AF8">
        <w:rPr>
          <w:sz w:val="24"/>
        </w:rPr>
        <w:t>hr</w:t>
      </w:r>
      <w:r w:rsidRPr="00B85AF8">
        <w:rPr>
          <w:sz w:val="24"/>
        </w:rPr>
        <w:t xml:space="preserve"> x $80.08/</w:t>
      </w:r>
      <w:r w:rsidRPr="00B85AF8">
        <w:rPr>
          <w:sz w:val="24"/>
        </w:rPr>
        <w:t>hr</w:t>
      </w:r>
      <w:r w:rsidRPr="00B85AF8">
        <w:rPr>
          <w:sz w:val="24"/>
        </w:rPr>
        <w:t>)].</w:t>
      </w:r>
    </w:p>
    <w:p w:rsidR="00B1769E" w:rsidRPr="00B85AF8" w:rsidP="00B1769E" w14:paraId="6E218D9D" w14:textId="77777777">
      <w:pPr>
        <w:widowControl/>
        <w:autoSpaceDE/>
        <w:autoSpaceDN/>
        <w:adjustRightInd/>
        <w:spacing w:before="100" w:beforeAutospacing="1" w:after="100" w:afterAutospacing="1"/>
        <w:contextualSpacing/>
        <w:rPr>
          <w:sz w:val="24"/>
        </w:rPr>
      </w:pPr>
    </w:p>
    <w:p w:rsidR="003E5F5F" w:rsidRPr="00B85AF8" w:rsidP="003E5F5F" w14:paraId="560DC7FC" w14:textId="6EC1B6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Part 600, subpart E, describes reporting requirements associated with the core function of standard health plan contracting and operations. Each state BHP must contract with standard health plan offerors and require participating standard health plans to provide transparency in covered benefits, cost-sharing and participating providers by reporting and making public such information annually. We estimate that it will take a state 120 hours to create and evaluate the request for proposals for participating standard health plans. Using the same estimates as the Exchange, we presume that it will take an additional 24 hours to collect the information necessary to ensure that </w:t>
      </w:r>
      <w:r w:rsidRPr="00B85AF8">
        <w:rPr>
          <w:sz w:val="24"/>
        </w:rPr>
        <w:t>coverage and transparency requirements are met for a total annual burden per state of 144 hours</w:t>
      </w:r>
      <w:r w:rsidRPr="00B85AF8" w:rsidR="003A3802">
        <w:rPr>
          <w:sz w:val="24"/>
        </w:rPr>
        <w:t xml:space="preserve"> (120 </w:t>
      </w:r>
      <w:r w:rsidRPr="00B85AF8" w:rsidR="003A3802">
        <w:rPr>
          <w:sz w:val="24"/>
        </w:rPr>
        <w:t>hr</w:t>
      </w:r>
      <w:r w:rsidRPr="00B85AF8" w:rsidR="003A3802">
        <w:rPr>
          <w:sz w:val="24"/>
        </w:rPr>
        <w:t xml:space="preserve"> + 2</w:t>
      </w:r>
      <w:r w:rsidRPr="00B85AF8" w:rsidR="0074175E">
        <w:rPr>
          <w:sz w:val="24"/>
        </w:rPr>
        <w:t>4</w:t>
      </w:r>
      <w:r w:rsidRPr="00B85AF8" w:rsidR="003A3802">
        <w:rPr>
          <w:sz w:val="24"/>
        </w:rPr>
        <w:t xml:space="preserve"> </w:t>
      </w:r>
      <w:r w:rsidRPr="00B85AF8" w:rsidR="003A3802">
        <w:rPr>
          <w:sz w:val="24"/>
        </w:rPr>
        <w:t>hr</w:t>
      </w:r>
      <w:r w:rsidRPr="00B85AF8" w:rsidR="003A3802">
        <w:rPr>
          <w:sz w:val="24"/>
        </w:rPr>
        <w:t>)</w:t>
      </w:r>
      <w:r w:rsidRPr="00B85AF8">
        <w:rPr>
          <w:sz w:val="24"/>
        </w:rPr>
        <w:t xml:space="preserve">. </w:t>
      </w:r>
      <w:r w:rsidRPr="00B85AF8" w:rsidR="008E7715">
        <w:rPr>
          <w:sz w:val="24"/>
        </w:rPr>
        <w:t>Of the 144 hours w</w:t>
      </w:r>
      <w:r w:rsidRPr="00B85AF8">
        <w:rPr>
          <w:sz w:val="24"/>
        </w:rPr>
        <w:t>e presume that it will take a Business Operations Specialist 130 hours (at $80.08/</w:t>
      </w:r>
      <w:r w:rsidRPr="00B85AF8">
        <w:rPr>
          <w:sz w:val="24"/>
        </w:rPr>
        <w:t>hr</w:t>
      </w:r>
      <w:r w:rsidRPr="00B85AF8">
        <w:rPr>
          <w:sz w:val="24"/>
        </w:rPr>
        <w:t>) and a General Manager 14 hours (at $118.14/</w:t>
      </w:r>
      <w:r w:rsidRPr="00B85AF8">
        <w:rPr>
          <w:sz w:val="24"/>
        </w:rPr>
        <w:t>hr</w:t>
      </w:r>
      <w:r w:rsidRPr="00B85AF8">
        <w:rPr>
          <w:sz w:val="24"/>
        </w:rPr>
        <w:t xml:space="preserve">) to complete the requirements. In aggregate, we estimate an annual burden of 288 </w:t>
      </w:r>
      <w:r w:rsidRPr="00B85AF8" w:rsidR="00002616">
        <w:rPr>
          <w:sz w:val="24"/>
        </w:rPr>
        <w:t xml:space="preserve">hours </w:t>
      </w:r>
      <w:r w:rsidRPr="00B85AF8">
        <w:rPr>
          <w:sz w:val="24"/>
        </w:rPr>
        <w:t xml:space="preserve">(2 states x 144 </w:t>
      </w:r>
      <w:r w:rsidRPr="00B85AF8">
        <w:rPr>
          <w:sz w:val="24"/>
        </w:rPr>
        <w:t>hr</w:t>
      </w:r>
      <w:r w:rsidRPr="00B85AF8">
        <w:rPr>
          <w:sz w:val="24"/>
        </w:rPr>
        <w:t xml:space="preserve">/response) at a cost of $24,129 [2 states x ((130 </w:t>
      </w:r>
      <w:r w:rsidRPr="00B85AF8">
        <w:rPr>
          <w:sz w:val="24"/>
        </w:rPr>
        <w:t>hr</w:t>
      </w:r>
      <w:r w:rsidRPr="00B85AF8">
        <w:rPr>
          <w:sz w:val="24"/>
        </w:rPr>
        <w:t xml:space="preserve"> x $80.08/</w:t>
      </w:r>
      <w:r w:rsidRPr="00B85AF8">
        <w:rPr>
          <w:sz w:val="24"/>
        </w:rPr>
        <w:t>hr</w:t>
      </w:r>
      <w:r w:rsidRPr="00B85AF8">
        <w:rPr>
          <w:sz w:val="24"/>
        </w:rPr>
        <w:t xml:space="preserve">) + (14 </w:t>
      </w:r>
      <w:r w:rsidRPr="00B85AF8">
        <w:rPr>
          <w:sz w:val="24"/>
        </w:rPr>
        <w:t>hr</w:t>
      </w:r>
      <w:r w:rsidRPr="00B85AF8">
        <w:rPr>
          <w:sz w:val="24"/>
        </w:rPr>
        <w:t xml:space="preserve"> x $118.14))]. </w:t>
      </w:r>
      <w:r w:rsidRPr="00B85AF8">
        <w:rPr>
          <w:sz w:val="24"/>
        </w:rPr>
        <w:t>In this 2023 iteration we are only updating our wage and cost estimates based on BLS’ 2022 wage data.</w:t>
      </w:r>
    </w:p>
    <w:p w:rsidR="003E5F5F" w:rsidRPr="00B85AF8" w:rsidP="00B1769E" w14:paraId="08ECF843" w14:textId="69BDFFD6">
      <w:pPr>
        <w:widowControl/>
        <w:autoSpaceDE/>
        <w:autoSpaceDN/>
        <w:adjustRightInd/>
        <w:spacing w:before="100" w:beforeAutospacing="1" w:after="100" w:afterAutospacing="1"/>
        <w:contextualSpacing/>
        <w:rPr>
          <w:sz w:val="24"/>
        </w:rPr>
      </w:pPr>
    </w:p>
    <w:p w:rsidR="00B1769E" w:rsidRPr="00B85AF8" w:rsidP="00B1769E" w14:paraId="4F4C6A27" w14:textId="77777777">
      <w:pPr>
        <w:widowControl/>
        <w:autoSpaceDE/>
        <w:autoSpaceDN/>
        <w:adjustRightInd/>
        <w:spacing w:before="100" w:beforeAutospacing="1" w:after="100" w:afterAutospacing="1"/>
        <w:contextualSpacing/>
        <w:rPr>
          <w:sz w:val="24"/>
        </w:rPr>
      </w:pPr>
      <w:r w:rsidRPr="00B85AF8">
        <w:rPr>
          <w:sz w:val="24"/>
        </w:rPr>
        <w:t xml:space="preserve">Oversight and financial integrity are core functions of the BHP that include annual reporting requirements to HHS on the operation of the trust fund, providing annual data necessary to acquire and reconcile federal funding and complete financial sections of the annual report in § 600.170. </w:t>
      </w:r>
    </w:p>
    <w:p w:rsidR="00B1769E" w:rsidRPr="00B85AF8" w:rsidP="00B1769E" w14:paraId="419149D0" w14:textId="77777777">
      <w:pPr>
        <w:widowControl/>
        <w:autoSpaceDE/>
        <w:autoSpaceDN/>
        <w:adjustRightInd/>
        <w:spacing w:before="100" w:beforeAutospacing="1" w:after="100" w:afterAutospacing="1"/>
        <w:contextualSpacing/>
        <w:rPr>
          <w:sz w:val="24"/>
        </w:rPr>
      </w:pPr>
    </w:p>
    <w:p w:rsidR="00B1769E" w:rsidRPr="00B85AF8" w:rsidP="00B1769E" w14:paraId="35C43AA1" w14:textId="4A272EEE">
      <w:pPr>
        <w:widowControl/>
        <w:autoSpaceDE/>
        <w:autoSpaceDN/>
        <w:adjustRightInd/>
        <w:spacing w:before="100" w:beforeAutospacing="1" w:after="100" w:afterAutospacing="1"/>
        <w:contextualSpacing/>
        <w:rPr>
          <w:sz w:val="24"/>
        </w:rPr>
      </w:pPr>
      <w:r w:rsidRPr="00B85AF8">
        <w:rPr>
          <w:sz w:val="24"/>
        </w:rPr>
        <w:t xml:space="preserve">We estimate that it will take a state operating a BHP 24 hours annually to complete these reporting requirements. </w:t>
      </w:r>
      <w:r w:rsidRPr="00B85AF8" w:rsidR="002567FC">
        <w:rPr>
          <w:sz w:val="24"/>
        </w:rPr>
        <w:t>Of the 24 hours, w</w:t>
      </w:r>
      <w:r w:rsidRPr="00B85AF8">
        <w:rPr>
          <w:sz w:val="24"/>
        </w:rPr>
        <w:t>e presume that it will take a Financial Specialist 20 hours (at $88.74/</w:t>
      </w:r>
      <w:r w:rsidRPr="00B85AF8">
        <w:rPr>
          <w:sz w:val="24"/>
        </w:rPr>
        <w:t>hr</w:t>
      </w:r>
      <w:r w:rsidRPr="00B85AF8">
        <w:rPr>
          <w:sz w:val="24"/>
        </w:rPr>
        <w:t>) and a General Manager 4 hours (at $118.14/</w:t>
      </w:r>
      <w:r w:rsidRPr="00B85AF8">
        <w:rPr>
          <w:sz w:val="24"/>
        </w:rPr>
        <w:t>hr</w:t>
      </w:r>
      <w:r w:rsidRPr="00B85AF8">
        <w:rPr>
          <w:sz w:val="24"/>
        </w:rPr>
        <w:t xml:space="preserve">) to complete these reporting requirements. In aggregate, we estimate an annual burden of 48 hours (2 states x 24 </w:t>
      </w:r>
      <w:r w:rsidRPr="00B85AF8">
        <w:rPr>
          <w:sz w:val="24"/>
        </w:rPr>
        <w:t>hr</w:t>
      </w:r>
      <w:r w:rsidRPr="00B85AF8">
        <w:rPr>
          <w:sz w:val="24"/>
        </w:rPr>
        <w:t xml:space="preserve">/response) at a cost of $4,495 [2 states x (20 </w:t>
      </w:r>
      <w:r w:rsidRPr="00B85AF8">
        <w:rPr>
          <w:sz w:val="24"/>
        </w:rPr>
        <w:t>hr</w:t>
      </w:r>
      <w:r w:rsidRPr="00B85AF8">
        <w:rPr>
          <w:sz w:val="24"/>
        </w:rPr>
        <w:t xml:space="preserve"> x $88.74/</w:t>
      </w:r>
      <w:r w:rsidRPr="00B85AF8">
        <w:rPr>
          <w:sz w:val="24"/>
        </w:rPr>
        <w:t>hr</w:t>
      </w:r>
      <w:r w:rsidRPr="00B85AF8">
        <w:rPr>
          <w:sz w:val="24"/>
        </w:rPr>
        <w:t xml:space="preserve">) + (4 </w:t>
      </w:r>
      <w:r w:rsidRPr="00B85AF8">
        <w:rPr>
          <w:sz w:val="24"/>
        </w:rPr>
        <w:t>hr</w:t>
      </w:r>
      <w:r w:rsidRPr="00B85AF8">
        <w:rPr>
          <w:sz w:val="24"/>
        </w:rPr>
        <w:t xml:space="preserve"> x $118.14)]. </w:t>
      </w:r>
      <w:r w:rsidRPr="00B85AF8" w:rsidR="00D4489A">
        <w:rPr>
          <w:sz w:val="24"/>
        </w:rPr>
        <w:t>In this 2023 iteration we are only updating our wage and cost estimates based on BLS’ 2022 wage data.</w:t>
      </w:r>
    </w:p>
    <w:p w:rsidR="00D4489A" w:rsidRPr="00B85AF8" w:rsidP="00B1769E" w14:paraId="6C6C871A" w14:textId="77777777">
      <w:pPr>
        <w:widowControl/>
        <w:autoSpaceDE/>
        <w:autoSpaceDN/>
        <w:adjustRightInd/>
        <w:spacing w:before="100" w:beforeAutospacing="1" w:after="100" w:afterAutospacing="1"/>
        <w:contextualSpacing/>
        <w:rPr>
          <w:sz w:val="24"/>
        </w:rPr>
      </w:pPr>
    </w:p>
    <w:p w:rsidR="00B1769E" w:rsidRPr="00B85AF8" w:rsidP="00B1769E" w14:paraId="4409FAA5" w14:textId="18710724">
      <w:pPr>
        <w:widowControl/>
        <w:autoSpaceDE/>
        <w:autoSpaceDN/>
        <w:adjustRightInd/>
        <w:spacing w:before="100" w:beforeAutospacing="1" w:after="100" w:afterAutospacing="1"/>
        <w:contextualSpacing/>
        <w:rPr>
          <w:sz w:val="24"/>
        </w:rPr>
      </w:pPr>
      <w:r w:rsidRPr="00B85AF8">
        <w:rPr>
          <w:sz w:val="24"/>
        </w:rPr>
        <w:t xml:space="preserve">Finally, BHPs are required in § 600.150 to ensure that there is enrollment assistance and information readily available to understand the program and any choices a consumer would have. Additionally, the state must publish enrollment choices, covered services and any options and limitations in a manner that meets accessibility and readability standards. We estimate that it will take a Business Operations Specialist 48 hours </w:t>
      </w:r>
      <w:r w:rsidRPr="00B85AF8" w:rsidR="00E34211">
        <w:rPr>
          <w:sz w:val="24"/>
        </w:rPr>
        <w:t>at $80.08/</w:t>
      </w:r>
      <w:r w:rsidRPr="00B85AF8" w:rsidR="00E34211">
        <w:rPr>
          <w:sz w:val="24"/>
        </w:rPr>
        <w:t>hr</w:t>
      </w:r>
      <w:r w:rsidRPr="00B85AF8" w:rsidR="00E34211">
        <w:rPr>
          <w:sz w:val="24"/>
        </w:rPr>
        <w:t xml:space="preserve"> </w:t>
      </w:r>
      <w:r w:rsidRPr="00B85AF8">
        <w:rPr>
          <w:sz w:val="24"/>
        </w:rPr>
        <w:t xml:space="preserve">annually to meet these requirements. In aggregate, we estimate an annual burden of 96 hours (2 states x 48 </w:t>
      </w:r>
      <w:r w:rsidRPr="00B85AF8">
        <w:rPr>
          <w:sz w:val="24"/>
        </w:rPr>
        <w:t>hr</w:t>
      </w:r>
      <w:r w:rsidRPr="00B85AF8">
        <w:rPr>
          <w:sz w:val="24"/>
        </w:rPr>
        <w:t xml:space="preserve">/response) at a cost of $7,688 [2 states x (48 </w:t>
      </w:r>
      <w:r w:rsidRPr="00B85AF8">
        <w:rPr>
          <w:sz w:val="24"/>
        </w:rPr>
        <w:t>hr</w:t>
      </w:r>
      <w:r w:rsidRPr="00B85AF8">
        <w:rPr>
          <w:sz w:val="24"/>
        </w:rPr>
        <w:t xml:space="preserve"> x $80.08/</w:t>
      </w:r>
      <w:r w:rsidRPr="00B85AF8">
        <w:rPr>
          <w:sz w:val="24"/>
        </w:rPr>
        <w:t>hr</w:t>
      </w:r>
      <w:r w:rsidRPr="00B85AF8">
        <w:rPr>
          <w:sz w:val="24"/>
        </w:rPr>
        <w:t xml:space="preserve">)]. </w:t>
      </w:r>
      <w:r w:rsidRPr="00B85AF8" w:rsidR="00F331C9">
        <w:rPr>
          <w:sz w:val="24"/>
        </w:rPr>
        <w:t>In this 2023 iteration we are only updating our wage and cost estimates based on BLS’ 2022 wage data.</w:t>
      </w:r>
    </w:p>
    <w:p w:rsidR="00B1769E" w:rsidRPr="00B85AF8" w:rsidP="00B1769E" w14:paraId="4DE162B5" w14:textId="77777777">
      <w:pPr>
        <w:widowControl/>
        <w:autoSpaceDE/>
        <w:autoSpaceDN/>
        <w:adjustRightInd/>
        <w:spacing w:before="100" w:beforeAutospacing="1" w:after="100" w:afterAutospacing="1"/>
        <w:contextualSpacing/>
        <w:rPr>
          <w:sz w:val="24"/>
        </w:rPr>
      </w:pPr>
    </w:p>
    <w:p w:rsidR="00B1769E" w:rsidRPr="00B85AF8" w:rsidP="00B1769E" w14:paraId="5A94A0A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total revised burden estimate for program operation is 1,152 hours at a cost of $93,969.</w:t>
      </w:r>
    </w:p>
    <w:p w:rsidR="00EB7814" w:rsidRPr="00B85AF8" w:rsidP="001432F6" w14:paraId="530E5944" w14:textId="77777777">
      <w:pPr>
        <w:widowControl/>
        <w:autoSpaceDE/>
        <w:autoSpaceDN/>
        <w:adjustRightInd/>
        <w:spacing w:before="100" w:beforeAutospacing="1" w:after="100" w:afterAutospacing="1"/>
        <w:contextualSpacing/>
        <w:rPr>
          <w:sz w:val="24"/>
        </w:rPr>
      </w:pPr>
    </w:p>
    <w:p w:rsidR="00D15038" w:rsidRPr="00B85AF8" w:rsidP="001432F6" w14:paraId="6883735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5AF8">
        <w:rPr>
          <w:sz w:val="24"/>
          <w:u w:val="single"/>
        </w:rPr>
        <w:t>6. ICRs Regarding the Termination of a BHP</w:t>
      </w:r>
      <w:r w:rsidRPr="00B85AF8" w:rsidR="008040FA">
        <w:rPr>
          <w:sz w:val="24"/>
          <w:u w:val="single"/>
        </w:rPr>
        <w:t xml:space="preserve"> (42 CFR 600.140)</w:t>
      </w:r>
    </w:p>
    <w:p w:rsidR="008040FA" w:rsidRPr="00B85AF8" w:rsidP="001432F6" w14:paraId="15EC07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490AC9" w:rsidRPr="00B85AF8" w:rsidP="001432F6" w14:paraId="1AD66326" w14:textId="77777777">
      <w:pPr>
        <w:widowControl/>
        <w:autoSpaceDE/>
        <w:autoSpaceDN/>
        <w:adjustRightInd/>
        <w:spacing w:before="100" w:beforeAutospacing="1" w:after="100" w:afterAutospacing="1"/>
        <w:contextualSpacing/>
        <w:rPr>
          <w:sz w:val="24"/>
        </w:rPr>
      </w:pPr>
      <w:r w:rsidRPr="00B85AF8">
        <w:rPr>
          <w:sz w:val="24"/>
        </w:rPr>
        <w:t>Section 600.140 requires a state electing to terminate its BHP to submit a notice and transition plan to the Secretary</w:t>
      </w:r>
      <w:r w:rsidRPr="00B85AF8" w:rsidR="00AE023B">
        <w:rPr>
          <w:sz w:val="24"/>
        </w:rPr>
        <w:t xml:space="preserve">. </w:t>
      </w:r>
      <w:r w:rsidRPr="00B85AF8">
        <w:rPr>
          <w:sz w:val="24"/>
        </w:rPr>
        <w:t xml:space="preserve">A state must submit written notice to all participating standard health plans and to all enrollees regarding their plans to terminate. Finally, the state would be required to perform eligibility account transfers on behalf of enrollees. Due to the requirement that a state use the single eligibility service for all insurance affordability programs, we do not believe this requirement to necessitate much effort. </w:t>
      </w:r>
    </w:p>
    <w:p w:rsidR="00AE023B" w:rsidRPr="00B85AF8" w:rsidP="001432F6" w14:paraId="2DA666D9" w14:textId="77777777">
      <w:pPr>
        <w:widowControl/>
        <w:autoSpaceDE/>
        <w:autoSpaceDN/>
        <w:adjustRightInd/>
        <w:spacing w:before="100" w:beforeAutospacing="1" w:after="100" w:afterAutospacing="1"/>
        <w:contextualSpacing/>
        <w:rPr>
          <w:sz w:val="24"/>
        </w:rPr>
      </w:pPr>
    </w:p>
    <w:p w:rsidR="00024E97" w:rsidRPr="00B85AF8" w:rsidP="001432F6" w14:paraId="63C45597" w14:textId="209091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CMS is unaware of any states planning to terminate their BHP. However, because two states are currently certified to operate a BHP, we are providing the burden estimate for two states. We estimate that, on average, it will take a Business Operations Specialist 20 hours at $</w:t>
      </w:r>
      <w:r w:rsidRPr="00B85AF8" w:rsidR="00572FC4">
        <w:rPr>
          <w:sz w:val="24"/>
        </w:rPr>
        <w:t>80.08</w:t>
      </w:r>
      <w:r w:rsidRPr="00B85AF8">
        <w:rPr>
          <w:sz w:val="24"/>
        </w:rPr>
        <w:t>/</w:t>
      </w:r>
      <w:r w:rsidRPr="00B85AF8">
        <w:rPr>
          <w:sz w:val="24"/>
        </w:rPr>
        <w:t>hr</w:t>
      </w:r>
      <w:r w:rsidRPr="00B85AF8">
        <w:rPr>
          <w:sz w:val="24"/>
        </w:rPr>
        <w:t xml:space="preserve"> and a General Manager 4 hours at $</w:t>
      </w:r>
      <w:r w:rsidRPr="00B85AF8" w:rsidR="00572FC4">
        <w:rPr>
          <w:sz w:val="24"/>
        </w:rPr>
        <w:t>118.14</w:t>
      </w:r>
      <w:r w:rsidRPr="00B85AF8">
        <w:rPr>
          <w:sz w:val="24"/>
        </w:rPr>
        <w:t>/</w:t>
      </w:r>
      <w:r w:rsidRPr="00B85AF8">
        <w:rPr>
          <w:sz w:val="24"/>
        </w:rPr>
        <w:t>hr</w:t>
      </w:r>
      <w:r w:rsidRPr="00B85AF8">
        <w:rPr>
          <w:sz w:val="24"/>
        </w:rPr>
        <w:t xml:space="preserve"> to submit a notice and transition plan to the Secretary. We estimate that, on average, it will take a Business Operations Specialist 32 hours to prepare and submit notification to all participating standard health plans and enrollees. We estimate that it would take a Business Operations Specialist 8 hours to perform eligibility account transfers on behalf of enrollees. </w:t>
      </w:r>
    </w:p>
    <w:p w:rsidR="00024E97" w:rsidRPr="00B85AF8" w:rsidP="001432F6" w14:paraId="7E147B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317C4" w:rsidRPr="00B85AF8" w:rsidP="002317C4" w14:paraId="2ED50061" w14:textId="7C482F17">
      <w:pPr>
        <w:widowControl/>
        <w:autoSpaceDE/>
        <w:autoSpaceDN/>
        <w:adjustRightInd/>
        <w:spacing w:before="100" w:beforeAutospacing="1" w:after="100" w:afterAutospacing="1"/>
        <w:contextualSpacing/>
        <w:rPr>
          <w:sz w:val="24"/>
        </w:rPr>
      </w:pPr>
      <w:r w:rsidRPr="00B85AF8">
        <w:rPr>
          <w:sz w:val="24"/>
        </w:rPr>
        <w:t>The total burden estimate for program termination is</w:t>
      </w:r>
      <w:r w:rsidRPr="00B85AF8" w:rsidR="00E6410C">
        <w:rPr>
          <w:sz w:val="24"/>
        </w:rPr>
        <w:t xml:space="preserve"> </w:t>
      </w:r>
      <w:r w:rsidRPr="00B85AF8">
        <w:rPr>
          <w:sz w:val="24"/>
        </w:rPr>
        <w:t xml:space="preserve">128 hours </w:t>
      </w:r>
      <w:r w:rsidRPr="00B85AF8" w:rsidR="00DF43CC">
        <w:rPr>
          <w:sz w:val="24"/>
        </w:rPr>
        <w:t xml:space="preserve">(2 states x [20 </w:t>
      </w:r>
      <w:r w:rsidRPr="00B85AF8" w:rsidR="00DF43CC">
        <w:rPr>
          <w:sz w:val="24"/>
        </w:rPr>
        <w:t>hr</w:t>
      </w:r>
      <w:r w:rsidRPr="00B85AF8" w:rsidR="00DF43CC">
        <w:rPr>
          <w:sz w:val="24"/>
        </w:rPr>
        <w:t xml:space="preserve"> + 4 </w:t>
      </w:r>
      <w:r w:rsidRPr="00B85AF8" w:rsidR="00DF43CC">
        <w:rPr>
          <w:sz w:val="24"/>
        </w:rPr>
        <w:t>hr</w:t>
      </w:r>
      <w:r w:rsidRPr="00B85AF8" w:rsidR="00DF43CC">
        <w:rPr>
          <w:sz w:val="24"/>
        </w:rPr>
        <w:t xml:space="preserve"> + 32 </w:t>
      </w:r>
      <w:r w:rsidRPr="00B85AF8" w:rsidR="00DF43CC">
        <w:rPr>
          <w:sz w:val="24"/>
        </w:rPr>
        <w:t>hr</w:t>
      </w:r>
      <w:r w:rsidRPr="00B85AF8" w:rsidR="00DF43CC">
        <w:rPr>
          <w:sz w:val="24"/>
        </w:rPr>
        <w:t xml:space="preserve"> + 8 </w:t>
      </w:r>
      <w:r w:rsidRPr="00B85AF8" w:rsidR="00DF43CC">
        <w:rPr>
          <w:sz w:val="24"/>
        </w:rPr>
        <w:t>hr</w:t>
      </w:r>
      <w:r w:rsidRPr="00B85AF8" w:rsidR="00DF43CC">
        <w:rPr>
          <w:sz w:val="24"/>
        </w:rPr>
        <w:t xml:space="preserve">]) </w:t>
      </w:r>
      <w:r w:rsidRPr="00B85AF8">
        <w:rPr>
          <w:sz w:val="24"/>
        </w:rPr>
        <w:t>at a cost of $10,</w:t>
      </w:r>
      <w:r w:rsidRPr="00B85AF8" w:rsidR="00B91953">
        <w:rPr>
          <w:sz w:val="24"/>
        </w:rPr>
        <w:t xml:space="preserve">555 </w:t>
      </w:r>
      <w:r w:rsidRPr="00B85AF8">
        <w:rPr>
          <w:sz w:val="24"/>
        </w:rPr>
        <w:t xml:space="preserve">[2 states x ((20 </w:t>
      </w:r>
      <w:r w:rsidRPr="00B85AF8">
        <w:rPr>
          <w:sz w:val="24"/>
        </w:rPr>
        <w:t>hr</w:t>
      </w:r>
      <w:r w:rsidRPr="00B85AF8">
        <w:rPr>
          <w:sz w:val="24"/>
        </w:rPr>
        <w:t xml:space="preserve"> x $</w:t>
      </w:r>
      <w:r w:rsidRPr="00B85AF8" w:rsidR="00572FC4">
        <w:rPr>
          <w:sz w:val="24"/>
        </w:rPr>
        <w:t>80.08</w:t>
      </w:r>
      <w:r w:rsidRPr="00B85AF8">
        <w:rPr>
          <w:sz w:val="24"/>
        </w:rPr>
        <w:t>/</w:t>
      </w:r>
      <w:r w:rsidRPr="00B85AF8">
        <w:rPr>
          <w:sz w:val="24"/>
        </w:rPr>
        <w:t>hr</w:t>
      </w:r>
      <w:r w:rsidRPr="00B85AF8">
        <w:rPr>
          <w:sz w:val="24"/>
        </w:rPr>
        <w:t xml:space="preserve">) + (4 </w:t>
      </w:r>
      <w:r w:rsidRPr="00B85AF8">
        <w:rPr>
          <w:sz w:val="24"/>
        </w:rPr>
        <w:t>hr</w:t>
      </w:r>
      <w:r w:rsidRPr="00B85AF8">
        <w:rPr>
          <w:sz w:val="24"/>
        </w:rPr>
        <w:t xml:space="preserve"> x $</w:t>
      </w:r>
      <w:r w:rsidRPr="00B85AF8" w:rsidR="00572FC4">
        <w:rPr>
          <w:sz w:val="24"/>
        </w:rPr>
        <w:t>118.14</w:t>
      </w:r>
      <w:r w:rsidRPr="00B85AF8">
        <w:rPr>
          <w:sz w:val="24"/>
        </w:rPr>
        <w:t>/</w:t>
      </w:r>
      <w:r w:rsidRPr="00B85AF8">
        <w:rPr>
          <w:sz w:val="24"/>
        </w:rPr>
        <w:t>hr</w:t>
      </w:r>
      <w:r w:rsidRPr="00B85AF8">
        <w:rPr>
          <w:sz w:val="24"/>
        </w:rPr>
        <w:t xml:space="preserve">)) + (32 </w:t>
      </w:r>
      <w:r w:rsidRPr="00B85AF8">
        <w:rPr>
          <w:sz w:val="24"/>
        </w:rPr>
        <w:t>hr</w:t>
      </w:r>
      <w:r w:rsidRPr="00B85AF8">
        <w:rPr>
          <w:sz w:val="24"/>
        </w:rPr>
        <w:t xml:space="preserve"> x $</w:t>
      </w:r>
      <w:r w:rsidRPr="00B85AF8" w:rsidR="00572FC4">
        <w:rPr>
          <w:sz w:val="24"/>
        </w:rPr>
        <w:t>80.08</w:t>
      </w:r>
      <w:r w:rsidRPr="00B85AF8">
        <w:rPr>
          <w:sz w:val="24"/>
        </w:rPr>
        <w:t>/</w:t>
      </w:r>
      <w:r w:rsidRPr="00B85AF8">
        <w:rPr>
          <w:sz w:val="24"/>
        </w:rPr>
        <w:t>hr</w:t>
      </w:r>
      <w:r w:rsidRPr="00B85AF8">
        <w:rPr>
          <w:sz w:val="24"/>
        </w:rPr>
        <w:t xml:space="preserve">) + (8 </w:t>
      </w:r>
      <w:r w:rsidRPr="00B85AF8">
        <w:rPr>
          <w:sz w:val="24"/>
        </w:rPr>
        <w:t>hr</w:t>
      </w:r>
      <w:r w:rsidRPr="00B85AF8">
        <w:rPr>
          <w:sz w:val="24"/>
        </w:rPr>
        <w:t xml:space="preserve"> x $</w:t>
      </w:r>
      <w:r w:rsidRPr="00B85AF8" w:rsidR="00572FC4">
        <w:rPr>
          <w:sz w:val="24"/>
        </w:rPr>
        <w:t>80.08</w:t>
      </w:r>
      <w:r w:rsidRPr="00B85AF8">
        <w:rPr>
          <w:sz w:val="24"/>
        </w:rPr>
        <w:t>/</w:t>
      </w:r>
      <w:r w:rsidRPr="00B85AF8">
        <w:rPr>
          <w:sz w:val="24"/>
        </w:rPr>
        <w:t>hr</w:t>
      </w:r>
      <w:r w:rsidRPr="00B85AF8">
        <w:rPr>
          <w:sz w:val="24"/>
        </w:rPr>
        <w:t>)].</w:t>
      </w:r>
      <w:r w:rsidRPr="00B85AF8" w:rsidR="00B91953">
        <w:rPr>
          <w:sz w:val="24"/>
        </w:rPr>
        <w:t xml:space="preserve"> </w:t>
      </w:r>
      <w:r w:rsidRPr="00B85AF8">
        <w:rPr>
          <w:sz w:val="24"/>
        </w:rPr>
        <w:t>In this 2023 iteration we are only updating our wage and cost estimates based on BLS’ 2022 wage data.</w:t>
      </w:r>
    </w:p>
    <w:p w:rsidR="00DE5FD9" w:rsidRPr="00B85AF8" w:rsidP="00F61E31" w14:paraId="64D829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14356" w:rsidRPr="00B85AF8" w:rsidP="00B0217B" w14:paraId="342A691F" w14:textId="547FFA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85AF8">
        <w:rPr>
          <w:sz w:val="24"/>
          <w:u w:val="single"/>
        </w:rPr>
        <w:t>7</w:t>
      </w:r>
      <w:r w:rsidRPr="00B85AF8">
        <w:rPr>
          <w:sz w:val="24"/>
          <w:u w:val="single"/>
        </w:rPr>
        <w:t xml:space="preserve">. ICRs Regarding Suspension of a BHP </w:t>
      </w:r>
    </w:p>
    <w:p w:rsidR="00A14356" w:rsidRPr="00B85AF8" w:rsidP="00B0217B" w14:paraId="564749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A14356" w:rsidRPr="00B85AF8" w:rsidP="00B0217B" w14:paraId="289F734F" w14:textId="5761B2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We propose at §600.140(b)(1) if a State decides to suspend its BHP or requests a suspension extension, a State must submit to the Secretary a suspension application or suspension extension application. We propose at § 600.140(b)(3) that a State must submit written notices to all BHP enrollees and participating standard health plan offers at least 90 days prior to the effective date of the suspension. We propose at § 600.140(b)(4) that the State must submit to HHS within 12 months of the suspension effective date the data required by § 600.610 needed to complete the financial reconciliation process with HHS. We propose at § 600.140(b)(5) that the State must submit the annual report required by § 600.170(a)(2). We propose at § 600.140(b)(6) that the State must annually remit to HHS any interest that has accrued on the balance of the BHP trust fund during the suspension period. We propose at § 600.140(b)(7) that the State must submit a transition plan to HHS that describes how the State will reinstate its BHP or terminate the program. </w:t>
      </w:r>
    </w:p>
    <w:p w:rsidR="00A14356" w:rsidRPr="00B85AF8" w:rsidP="00B0217B" w14:paraId="03E696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14356" w:rsidRPr="00B85AF8" w:rsidP="00B0217B" w14:paraId="1E8AEF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Two States are currently certified to operate a BHP; therefore, we are providing the burden estimate for two States. </w:t>
      </w:r>
    </w:p>
    <w:p w:rsidR="00A14356" w:rsidRPr="00B85AF8" w:rsidP="00B0217B" w14:paraId="29F93D4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85AF8" w:rsidRPr="00B85AF8" w:rsidP="00B0217B" w14:paraId="5273D7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We estimate that, on average, it would take a Business Operations Specialist 30 hours at $80.08/</w:t>
      </w:r>
      <w:r w:rsidRPr="00B85AF8">
        <w:rPr>
          <w:sz w:val="24"/>
        </w:rPr>
        <w:t>hr</w:t>
      </w:r>
      <w:r w:rsidRPr="00B85AF8">
        <w:rPr>
          <w:sz w:val="24"/>
        </w:rPr>
        <w:t xml:space="preserve"> and a General Manager 4 hours at $118.14/</w:t>
      </w:r>
      <w:r w:rsidRPr="00B85AF8">
        <w:rPr>
          <w:sz w:val="24"/>
        </w:rPr>
        <w:t>hr</w:t>
      </w:r>
      <w:r w:rsidRPr="00B85AF8">
        <w:rPr>
          <w:sz w:val="24"/>
        </w:rPr>
        <w:t xml:space="preserve"> to submit a suspension application to the Secretary. In aggregate, we estimate a one-time burden of 68 hours (2 States x 34 </w:t>
      </w:r>
      <w:r w:rsidRPr="00B85AF8">
        <w:rPr>
          <w:sz w:val="24"/>
        </w:rPr>
        <w:t>hr</w:t>
      </w:r>
      <w:r w:rsidRPr="00B85AF8">
        <w:rPr>
          <w:sz w:val="24"/>
        </w:rPr>
        <w:t xml:space="preserve">/response) at a cost of $5,780 [2 States x ((30 </w:t>
      </w:r>
      <w:r w:rsidRPr="00B85AF8">
        <w:rPr>
          <w:sz w:val="24"/>
        </w:rPr>
        <w:t>hr</w:t>
      </w:r>
      <w:r w:rsidRPr="00B85AF8">
        <w:rPr>
          <w:sz w:val="24"/>
        </w:rPr>
        <w:t xml:space="preserve"> x $80.08/</w:t>
      </w:r>
      <w:r w:rsidRPr="00B85AF8">
        <w:rPr>
          <w:sz w:val="24"/>
        </w:rPr>
        <w:t>hr</w:t>
      </w:r>
      <w:r w:rsidRPr="00B85AF8">
        <w:rPr>
          <w:sz w:val="24"/>
        </w:rPr>
        <w:t xml:space="preserve">) + (4 </w:t>
      </w:r>
      <w:r w:rsidRPr="00B85AF8">
        <w:rPr>
          <w:sz w:val="24"/>
        </w:rPr>
        <w:t>hr</w:t>
      </w:r>
      <w:r w:rsidRPr="00B85AF8">
        <w:rPr>
          <w:sz w:val="24"/>
        </w:rPr>
        <w:t xml:space="preserve"> x $118.14/</w:t>
      </w:r>
      <w:r w:rsidRPr="00B85AF8">
        <w:rPr>
          <w:sz w:val="24"/>
        </w:rPr>
        <w:t>hr</w:t>
      </w:r>
      <w:r w:rsidRPr="00B85AF8">
        <w:rPr>
          <w:sz w:val="24"/>
        </w:rPr>
        <w:t xml:space="preserve">))]. </w:t>
      </w:r>
    </w:p>
    <w:p w:rsidR="00B85AF8" w:rsidRPr="00B85AF8" w:rsidP="00B0217B" w14:paraId="7DB3BA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14356" w:rsidRPr="00B85AF8" w:rsidP="00B0217B" w14:paraId="490876C5" w14:textId="411FD8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We estimate that, on average, it would take a Business Operations Specialist 30 hours at $80.08/</w:t>
      </w:r>
      <w:r w:rsidRPr="00B85AF8">
        <w:rPr>
          <w:sz w:val="24"/>
        </w:rPr>
        <w:t>hr</w:t>
      </w:r>
      <w:r w:rsidRPr="00B85AF8">
        <w:rPr>
          <w:sz w:val="24"/>
        </w:rPr>
        <w:t xml:space="preserve"> and a General Manager 4 hours at $118.14/</w:t>
      </w:r>
      <w:r w:rsidRPr="00B85AF8">
        <w:rPr>
          <w:sz w:val="24"/>
        </w:rPr>
        <w:t>hr</w:t>
      </w:r>
      <w:r w:rsidRPr="00B85AF8">
        <w:rPr>
          <w:sz w:val="24"/>
        </w:rPr>
        <w:t xml:space="preserve"> to submit a suspension extension application to the Secretary. In aggregate, we estimate a one-time burden of 68 hours (2 States x 34 </w:t>
      </w:r>
      <w:r w:rsidRPr="00B85AF8">
        <w:rPr>
          <w:sz w:val="24"/>
        </w:rPr>
        <w:t>hr</w:t>
      </w:r>
      <w:r w:rsidRPr="00B85AF8">
        <w:rPr>
          <w:sz w:val="24"/>
        </w:rPr>
        <w:t xml:space="preserve">/response) at a cost of $5,780 [2 States x ((30 </w:t>
      </w:r>
      <w:r w:rsidRPr="00B85AF8">
        <w:rPr>
          <w:sz w:val="24"/>
        </w:rPr>
        <w:t>hr</w:t>
      </w:r>
      <w:r w:rsidRPr="00B85AF8">
        <w:rPr>
          <w:sz w:val="24"/>
        </w:rPr>
        <w:t xml:space="preserve"> x $80.08/</w:t>
      </w:r>
      <w:r w:rsidRPr="00B85AF8">
        <w:rPr>
          <w:sz w:val="24"/>
        </w:rPr>
        <w:t>hr</w:t>
      </w:r>
      <w:r w:rsidRPr="00B85AF8">
        <w:rPr>
          <w:sz w:val="24"/>
        </w:rPr>
        <w:t xml:space="preserve">) + (4 </w:t>
      </w:r>
      <w:r w:rsidRPr="00B85AF8">
        <w:rPr>
          <w:sz w:val="24"/>
        </w:rPr>
        <w:t>hr</w:t>
      </w:r>
      <w:r w:rsidRPr="00B85AF8">
        <w:rPr>
          <w:sz w:val="24"/>
        </w:rPr>
        <w:t xml:space="preserve"> x $118.14/</w:t>
      </w:r>
      <w:r w:rsidRPr="00B85AF8">
        <w:rPr>
          <w:sz w:val="24"/>
        </w:rPr>
        <w:t>hr</w:t>
      </w:r>
      <w:r w:rsidRPr="00B85AF8">
        <w:rPr>
          <w:sz w:val="24"/>
        </w:rPr>
        <w:t xml:space="preserve">))]. </w:t>
      </w:r>
    </w:p>
    <w:p w:rsidR="00A14356" w:rsidRPr="00B85AF8" w:rsidP="00B0217B" w14:paraId="0E0A92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14356" w:rsidRPr="00B85AF8" w:rsidP="00B0217B" w14:paraId="5B3016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001D">
        <w:rPr>
          <w:sz w:val="24"/>
        </w:rPr>
        <w:t>We estimate that, on average, it would take a Business Operations Specialist 32 hours at $80.08/</w:t>
      </w:r>
      <w:r w:rsidRPr="003B001D">
        <w:rPr>
          <w:sz w:val="24"/>
        </w:rPr>
        <w:t>hr</w:t>
      </w:r>
      <w:r w:rsidRPr="003B001D">
        <w:rPr>
          <w:sz w:val="24"/>
        </w:rPr>
        <w:t xml:space="preserve"> to prepare and submit notification to all participating standard health plans and enrollees. In aggregate, we estimate a one-time burden of 64 hours (2 States x 32 </w:t>
      </w:r>
      <w:r w:rsidRPr="003B001D">
        <w:rPr>
          <w:sz w:val="24"/>
        </w:rPr>
        <w:t>hr</w:t>
      </w:r>
      <w:r w:rsidRPr="003B001D">
        <w:rPr>
          <w:sz w:val="24"/>
        </w:rPr>
        <w:t xml:space="preserve">/response) at a cost of $5,125 [2 States x (32 </w:t>
      </w:r>
      <w:r w:rsidRPr="003B001D">
        <w:rPr>
          <w:sz w:val="24"/>
        </w:rPr>
        <w:t>hr</w:t>
      </w:r>
      <w:r w:rsidRPr="003B001D">
        <w:rPr>
          <w:sz w:val="24"/>
        </w:rPr>
        <w:t xml:space="preserve"> x $80.08/</w:t>
      </w:r>
      <w:r w:rsidRPr="003B001D">
        <w:rPr>
          <w:sz w:val="24"/>
        </w:rPr>
        <w:t>hr</w:t>
      </w:r>
      <w:r w:rsidRPr="003B001D">
        <w:rPr>
          <w:sz w:val="24"/>
        </w:rPr>
        <w:t xml:space="preserve">)]. </w:t>
      </w:r>
    </w:p>
    <w:p w:rsidR="00A14356" w:rsidRPr="00B85AF8" w:rsidP="00B0217B" w14:paraId="7F644B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14356" w:rsidRPr="00B85AF8" w:rsidP="00B0217B" w14:paraId="27AE6B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We estimate that it would take a Business Operations Specialist 25 hours at $80.08/</w:t>
      </w:r>
      <w:r w:rsidRPr="00B85AF8">
        <w:rPr>
          <w:sz w:val="24"/>
        </w:rPr>
        <w:t>hr</w:t>
      </w:r>
      <w:r w:rsidRPr="00B85AF8">
        <w:rPr>
          <w:sz w:val="24"/>
        </w:rPr>
        <w:t xml:space="preserve"> and a General Manager 4 hours at $118.14/</w:t>
      </w:r>
      <w:r w:rsidRPr="00B85AF8">
        <w:rPr>
          <w:sz w:val="24"/>
        </w:rPr>
        <w:t>hr</w:t>
      </w:r>
      <w:r w:rsidRPr="00B85AF8">
        <w:rPr>
          <w:sz w:val="24"/>
        </w:rPr>
        <w:t xml:space="preserve"> to compile and submit data required for quarterly financial reconciliation. In aggregate, we estimate an annual burden of 232 hours (2 States x 29 </w:t>
      </w:r>
      <w:r w:rsidRPr="00B85AF8">
        <w:rPr>
          <w:sz w:val="24"/>
        </w:rPr>
        <w:t>hr</w:t>
      </w:r>
      <w:r w:rsidRPr="00B85AF8">
        <w:rPr>
          <w:sz w:val="24"/>
        </w:rPr>
        <w:t>/response x 4 responses/</w:t>
      </w:r>
      <w:r w:rsidRPr="00B85AF8">
        <w:rPr>
          <w:sz w:val="24"/>
        </w:rPr>
        <w:t>yr</w:t>
      </w:r>
      <w:r w:rsidRPr="00B85AF8">
        <w:rPr>
          <w:sz w:val="24"/>
        </w:rPr>
        <w:t>) at a cost of $19,796 [2 States x 4 responses/</w:t>
      </w:r>
      <w:r w:rsidRPr="00B85AF8">
        <w:rPr>
          <w:sz w:val="24"/>
        </w:rPr>
        <w:t>yr</w:t>
      </w:r>
      <w:r w:rsidRPr="00B85AF8">
        <w:rPr>
          <w:sz w:val="24"/>
        </w:rPr>
        <w:t xml:space="preserve"> ((25 </w:t>
      </w:r>
      <w:r w:rsidRPr="00B85AF8">
        <w:rPr>
          <w:sz w:val="24"/>
        </w:rPr>
        <w:t>hr</w:t>
      </w:r>
      <w:r w:rsidRPr="00B85AF8">
        <w:rPr>
          <w:sz w:val="24"/>
        </w:rPr>
        <w:t xml:space="preserve"> x $80.08/</w:t>
      </w:r>
      <w:r w:rsidRPr="00B85AF8">
        <w:rPr>
          <w:sz w:val="24"/>
        </w:rPr>
        <w:t>hr</w:t>
      </w:r>
      <w:r w:rsidRPr="00B85AF8">
        <w:rPr>
          <w:sz w:val="24"/>
        </w:rPr>
        <w:t xml:space="preserve">) + (4 </w:t>
      </w:r>
      <w:r w:rsidRPr="00B85AF8">
        <w:rPr>
          <w:sz w:val="24"/>
        </w:rPr>
        <w:t>hr</w:t>
      </w:r>
      <w:r w:rsidRPr="00B85AF8">
        <w:rPr>
          <w:sz w:val="24"/>
        </w:rPr>
        <w:t xml:space="preserve"> x $118.14/</w:t>
      </w:r>
      <w:r w:rsidRPr="00B85AF8">
        <w:rPr>
          <w:sz w:val="24"/>
        </w:rPr>
        <w:t>hr</w:t>
      </w:r>
      <w:r w:rsidRPr="00B85AF8">
        <w:rPr>
          <w:sz w:val="24"/>
        </w:rPr>
        <w:t xml:space="preserve">)). </w:t>
      </w:r>
    </w:p>
    <w:p w:rsidR="00A14356" w:rsidRPr="00B85AF8" w:rsidP="00B0217B" w14:paraId="20751C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96222" w:rsidRPr="00B85AF8" w:rsidP="00B0217B" w14:paraId="00E289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We estimate that, on average, it would take a Financial Specialist 8 hours at $88.74/</w:t>
      </w:r>
      <w:r w:rsidRPr="00B85AF8">
        <w:rPr>
          <w:sz w:val="24"/>
        </w:rPr>
        <w:t>hr</w:t>
      </w:r>
      <w:r w:rsidRPr="00B85AF8">
        <w:rPr>
          <w:sz w:val="24"/>
        </w:rPr>
        <w:t xml:space="preserve"> to remit </w:t>
      </w:r>
      <w:r w:rsidRPr="00B85AF8">
        <w:rPr>
          <w:sz w:val="24"/>
        </w:rPr>
        <w:t xml:space="preserve">annually the interest accrued on the balance of the BHP trust fund while in suspension. In aggregate, we estimate an annual burden of 16 hours (2 States x 8 </w:t>
      </w:r>
      <w:r w:rsidRPr="00B85AF8">
        <w:rPr>
          <w:sz w:val="24"/>
        </w:rPr>
        <w:t>hr</w:t>
      </w:r>
      <w:r w:rsidRPr="00B85AF8">
        <w:rPr>
          <w:sz w:val="24"/>
        </w:rPr>
        <w:t xml:space="preserve">/response) at a cost of $1,420 [2 States x (8 </w:t>
      </w:r>
      <w:r w:rsidRPr="00B85AF8">
        <w:rPr>
          <w:sz w:val="24"/>
        </w:rPr>
        <w:t>hr</w:t>
      </w:r>
      <w:r w:rsidRPr="00B85AF8">
        <w:rPr>
          <w:sz w:val="24"/>
        </w:rPr>
        <w:t xml:space="preserve"> x $88.74/</w:t>
      </w:r>
      <w:r w:rsidRPr="00B85AF8">
        <w:rPr>
          <w:sz w:val="24"/>
        </w:rPr>
        <w:t>hr</w:t>
      </w:r>
      <w:r w:rsidRPr="00B85AF8">
        <w:rPr>
          <w:sz w:val="24"/>
        </w:rPr>
        <w:t xml:space="preserve">)]. </w:t>
      </w:r>
    </w:p>
    <w:p w:rsidR="00B96222" w:rsidRPr="00B85AF8" w:rsidP="00B0217B" w14:paraId="4F7D3D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96222" w:rsidRPr="00B85AF8" w:rsidP="00B0217B" w14:paraId="0E0A593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We estimate that it would take a Business Operations Specialist 20 hours at $80.08/</w:t>
      </w:r>
      <w:r w:rsidRPr="00B85AF8">
        <w:rPr>
          <w:sz w:val="24"/>
        </w:rPr>
        <w:t>hr</w:t>
      </w:r>
      <w:r w:rsidRPr="00B85AF8">
        <w:rPr>
          <w:sz w:val="24"/>
        </w:rPr>
        <w:t xml:space="preserve"> and a General Manager 4 hours at $118.14/</w:t>
      </w:r>
      <w:r w:rsidRPr="00B85AF8">
        <w:rPr>
          <w:sz w:val="24"/>
        </w:rPr>
        <w:t>hr</w:t>
      </w:r>
      <w:r w:rsidRPr="00B85AF8">
        <w:rPr>
          <w:sz w:val="24"/>
        </w:rPr>
        <w:t xml:space="preserve"> to submit a transition plan to reinstate its BHP or terminate the program. In aggregate, we estimate a one-time burden of 48 hours (2 States x 24 </w:t>
      </w:r>
      <w:r w:rsidRPr="00B85AF8">
        <w:rPr>
          <w:sz w:val="24"/>
        </w:rPr>
        <w:t>hr</w:t>
      </w:r>
      <w:r w:rsidRPr="00B85AF8">
        <w:rPr>
          <w:sz w:val="24"/>
        </w:rPr>
        <w:t xml:space="preserve">/response) at a cost of $4,148 [2 States x ((20 </w:t>
      </w:r>
      <w:r w:rsidRPr="00B85AF8">
        <w:rPr>
          <w:sz w:val="24"/>
        </w:rPr>
        <w:t>hr</w:t>
      </w:r>
      <w:r w:rsidRPr="00B85AF8">
        <w:rPr>
          <w:sz w:val="24"/>
        </w:rPr>
        <w:t xml:space="preserve"> x $80.08/</w:t>
      </w:r>
      <w:r w:rsidRPr="00B85AF8">
        <w:rPr>
          <w:sz w:val="24"/>
        </w:rPr>
        <w:t>hr</w:t>
      </w:r>
      <w:r w:rsidRPr="00B85AF8">
        <w:rPr>
          <w:sz w:val="24"/>
        </w:rPr>
        <w:t xml:space="preserve">) + (4 </w:t>
      </w:r>
      <w:r w:rsidRPr="00B85AF8">
        <w:rPr>
          <w:sz w:val="24"/>
        </w:rPr>
        <w:t>hr</w:t>
      </w:r>
      <w:r w:rsidRPr="00B85AF8">
        <w:rPr>
          <w:sz w:val="24"/>
        </w:rPr>
        <w:t xml:space="preserve"> x $118.14/</w:t>
      </w:r>
      <w:r w:rsidRPr="00B85AF8">
        <w:rPr>
          <w:sz w:val="24"/>
        </w:rPr>
        <w:t>hr</w:t>
      </w:r>
      <w:r w:rsidRPr="00B85AF8">
        <w:rPr>
          <w:sz w:val="24"/>
        </w:rPr>
        <w:t xml:space="preserve">))]. </w:t>
      </w:r>
    </w:p>
    <w:p w:rsidR="00B96222" w:rsidRPr="00B85AF8" w:rsidP="00B0217B" w14:paraId="6E0D94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10090" w:rsidRPr="00B85AF8" w:rsidP="00006D2E" w14:paraId="780EA08F" w14:textId="3BCEADD0">
      <w:pPr>
        <w:rPr>
          <w:sz w:val="24"/>
        </w:rPr>
      </w:pPr>
      <w:r w:rsidRPr="00B85AF8">
        <w:rPr>
          <w:sz w:val="24"/>
        </w:rPr>
        <w:t>We estimate that, on average, it will take a Business Operations Specialist 40 hours at $80.08/</w:t>
      </w:r>
      <w:r w:rsidRPr="00B85AF8">
        <w:rPr>
          <w:sz w:val="24"/>
        </w:rPr>
        <w:t>hr</w:t>
      </w:r>
      <w:r w:rsidRPr="00B85AF8">
        <w:rPr>
          <w:sz w:val="24"/>
        </w:rPr>
        <w:t xml:space="preserve"> and 4 hours at $118.14/</w:t>
      </w:r>
      <w:r w:rsidRPr="00B85AF8">
        <w:rPr>
          <w:sz w:val="24"/>
        </w:rPr>
        <w:t>hr</w:t>
      </w:r>
      <w:r w:rsidRPr="00B85AF8">
        <w:rPr>
          <w:sz w:val="24"/>
        </w:rPr>
        <w:t xml:space="preserve"> for a General Manager to complete and submit the State’s annual report, for a total annual burden of 88 hours at a cost of $7,352 [2 States x ((40 </w:t>
      </w:r>
      <w:r w:rsidRPr="00B85AF8">
        <w:rPr>
          <w:sz w:val="24"/>
        </w:rPr>
        <w:t>hr</w:t>
      </w:r>
      <w:r w:rsidRPr="00B85AF8">
        <w:rPr>
          <w:sz w:val="24"/>
        </w:rPr>
        <w:t xml:space="preserve"> x $80.08/</w:t>
      </w:r>
      <w:r w:rsidRPr="00B85AF8">
        <w:rPr>
          <w:sz w:val="24"/>
        </w:rPr>
        <w:t>hr</w:t>
      </w:r>
      <w:r w:rsidRPr="00B85AF8">
        <w:rPr>
          <w:sz w:val="24"/>
        </w:rPr>
        <w:t xml:space="preserve">) + (4 </w:t>
      </w:r>
      <w:r w:rsidRPr="00B85AF8">
        <w:rPr>
          <w:sz w:val="24"/>
        </w:rPr>
        <w:t>hr</w:t>
      </w:r>
      <w:r w:rsidRPr="00B85AF8">
        <w:rPr>
          <w:sz w:val="24"/>
        </w:rPr>
        <w:t xml:space="preserve"> x $118.14/</w:t>
      </w:r>
      <w:r w:rsidRPr="00B85AF8">
        <w:rPr>
          <w:sz w:val="24"/>
        </w:rPr>
        <w:t>hr</w:t>
      </w:r>
      <w:r w:rsidRPr="00B85AF8">
        <w:rPr>
          <w:sz w:val="24"/>
        </w:rPr>
        <w:t>))].We note that these costs will be incurred 100 percent by the State, as Federal BHP funds cannot be used for program administration.</w:t>
      </w:r>
    </w:p>
    <w:p w:rsidR="00E51A30" w:rsidRPr="00B85AF8" w:rsidP="00E73984" w14:paraId="0ED6339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rPr>
      </w:pPr>
    </w:p>
    <w:p w:rsidR="000B416B" w:rsidRPr="00B85AF8" w:rsidP="000B416B" w14:paraId="228579C5" w14:textId="2D1776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 xml:space="preserve">The total burden estimate for program </w:t>
      </w:r>
      <w:r w:rsidR="004B6E36">
        <w:rPr>
          <w:sz w:val="24"/>
        </w:rPr>
        <w:t>suspension</w:t>
      </w:r>
      <w:r w:rsidRPr="00B85AF8">
        <w:rPr>
          <w:sz w:val="24"/>
        </w:rPr>
        <w:t xml:space="preserve"> is 5</w:t>
      </w:r>
      <w:r w:rsidRPr="00B85AF8" w:rsidR="007D7EA9">
        <w:rPr>
          <w:sz w:val="24"/>
        </w:rPr>
        <w:t>84</w:t>
      </w:r>
      <w:r w:rsidRPr="00B85AF8">
        <w:rPr>
          <w:sz w:val="24"/>
        </w:rPr>
        <w:t xml:space="preserve"> hours at a cost of $</w:t>
      </w:r>
      <w:r w:rsidRPr="00B85AF8" w:rsidR="00D7484B">
        <w:rPr>
          <w:sz w:val="24"/>
        </w:rPr>
        <w:t>49,401</w:t>
      </w:r>
      <w:r w:rsidRPr="00B85AF8">
        <w:rPr>
          <w:sz w:val="24"/>
        </w:rPr>
        <w:t>.</w:t>
      </w:r>
    </w:p>
    <w:p w:rsidR="000B416B" w:rsidRPr="00B85AF8" w:rsidP="00E73984" w14:paraId="05F1A64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rPr>
      </w:pPr>
    </w:p>
    <w:p w:rsidR="00B94F3F" w:rsidP="00E73984" w14:paraId="484202FE" w14:textId="025D20E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rPr>
      </w:pPr>
      <w:r w:rsidRPr="00B85AF8">
        <w:rPr>
          <w:i/>
          <w:iCs/>
          <w:sz w:val="24"/>
        </w:rPr>
        <w:t>Summary of Requirements and Annual Burden Estimates</w:t>
      </w:r>
    </w:p>
    <w:p w:rsidR="007570B1" w:rsidRPr="00B85AF8" w:rsidP="00E73984" w14:paraId="1ADD8E2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rPr>
      </w:pPr>
    </w:p>
    <w:tbl>
      <w:tblPr>
        <w:tblpPr w:leftFromText="187" w:rightFromText="187" w:horzAnchor="margin" w:tblpYSpec="inside"/>
        <w:tblOverlap w:val="never"/>
        <w:tblW w:w="89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22"/>
        <w:gridCol w:w="1153"/>
        <w:gridCol w:w="1182"/>
        <w:gridCol w:w="1392"/>
        <w:gridCol w:w="957"/>
        <w:gridCol w:w="846"/>
        <w:gridCol w:w="2117"/>
      </w:tblGrid>
      <w:tr w14:paraId="16D56870" w14:textId="77777777" w:rsidTr="00B94F3F">
        <w:tblPrEx>
          <w:tblW w:w="89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322" w:type="dxa"/>
          </w:tcPr>
          <w:p w:rsidR="00B94F3F" w:rsidRPr="00B85AF8" w:rsidP="00B94F3F" w14:paraId="08A29C01" w14:textId="77777777">
            <w:pPr>
              <w:tabs>
                <w:tab w:val="left" w:pos="720"/>
              </w:tabs>
              <w:rPr>
                <w:color w:val="000000"/>
                <w:szCs w:val="20"/>
                <w:u w:val="single"/>
              </w:rPr>
            </w:pPr>
            <w:r w:rsidRPr="00B85AF8">
              <w:rPr>
                <w:szCs w:val="20"/>
              </w:rPr>
              <w:t>Section under Title 42 of the CFR</w:t>
            </w:r>
          </w:p>
        </w:tc>
        <w:tc>
          <w:tcPr>
            <w:tcW w:w="1153" w:type="dxa"/>
          </w:tcPr>
          <w:p w:rsidR="00B94F3F" w:rsidRPr="00B85AF8" w:rsidP="00B94F3F" w14:paraId="61479606" w14:textId="77777777">
            <w:pPr>
              <w:ind w:left="-123" w:right="-57"/>
              <w:jc w:val="center"/>
              <w:rPr>
                <w:color w:val="000000"/>
                <w:szCs w:val="20"/>
                <w:u w:val="single"/>
              </w:rPr>
            </w:pPr>
            <w:r w:rsidRPr="00B85AF8">
              <w:rPr>
                <w:szCs w:val="20"/>
              </w:rPr>
              <w:t># of Respondents</w:t>
            </w:r>
          </w:p>
        </w:tc>
        <w:tc>
          <w:tcPr>
            <w:tcW w:w="1182" w:type="dxa"/>
          </w:tcPr>
          <w:p w:rsidR="00B94F3F" w:rsidRPr="00B85AF8" w:rsidP="00B94F3F" w14:paraId="12533ED9" w14:textId="77777777">
            <w:pPr>
              <w:ind w:right="-48"/>
              <w:jc w:val="center"/>
              <w:rPr>
                <w:color w:val="000000"/>
                <w:szCs w:val="20"/>
                <w:u w:val="single"/>
              </w:rPr>
            </w:pPr>
            <w:r w:rsidRPr="00B85AF8">
              <w:rPr>
                <w:szCs w:val="20"/>
              </w:rPr>
              <w:t>Total Responses</w:t>
            </w:r>
          </w:p>
        </w:tc>
        <w:tc>
          <w:tcPr>
            <w:tcW w:w="1392" w:type="dxa"/>
          </w:tcPr>
          <w:p w:rsidR="00B94F3F" w:rsidRPr="00B85AF8" w:rsidP="00B94F3F" w14:paraId="1E9EB611" w14:textId="77777777">
            <w:pPr>
              <w:ind w:right="-36"/>
              <w:jc w:val="center"/>
              <w:rPr>
                <w:color w:val="000000"/>
                <w:szCs w:val="20"/>
                <w:u w:val="single"/>
              </w:rPr>
            </w:pPr>
            <w:r w:rsidRPr="00B85AF8">
              <w:rPr>
                <w:szCs w:val="20"/>
              </w:rPr>
              <w:t>Time per Response (</w:t>
            </w:r>
            <w:r w:rsidRPr="00B85AF8">
              <w:rPr>
                <w:szCs w:val="20"/>
              </w:rPr>
              <w:t>hr</w:t>
            </w:r>
            <w:r w:rsidRPr="00B85AF8">
              <w:rPr>
                <w:szCs w:val="20"/>
              </w:rPr>
              <w:t>)</w:t>
            </w:r>
          </w:p>
        </w:tc>
        <w:tc>
          <w:tcPr>
            <w:tcW w:w="957" w:type="dxa"/>
          </w:tcPr>
          <w:p w:rsidR="00B94F3F" w:rsidRPr="00B85AF8" w:rsidP="00B94F3F" w14:paraId="49BB7C99" w14:textId="5C0EE177">
            <w:pPr>
              <w:tabs>
                <w:tab w:val="left" w:pos="720"/>
              </w:tabs>
              <w:ind w:right="-122"/>
              <w:jc w:val="center"/>
              <w:rPr>
                <w:color w:val="000000"/>
                <w:szCs w:val="20"/>
                <w:u w:val="single"/>
              </w:rPr>
            </w:pPr>
            <w:r w:rsidRPr="00B85AF8">
              <w:rPr>
                <w:szCs w:val="20"/>
              </w:rPr>
              <w:t>Total Time (</w:t>
            </w:r>
            <w:r w:rsidRPr="00B85AF8">
              <w:rPr>
                <w:szCs w:val="20"/>
              </w:rPr>
              <w:t>hr</w:t>
            </w:r>
            <w:r w:rsidRPr="00B85AF8">
              <w:rPr>
                <w:szCs w:val="20"/>
              </w:rPr>
              <w:t>)</w:t>
            </w:r>
            <w:r w:rsidR="00B658D4">
              <w:rPr>
                <w:szCs w:val="20"/>
              </w:rPr>
              <w:t>*</w:t>
            </w:r>
          </w:p>
        </w:tc>
        <w:tc>
          <w:tcPr>
            <w:tcW w:w="846" w:type="dxa"/>
          </w:tcPr>
          <w:p w:rsidR="00B94F3F" w:rsidRPr="00B85AF8" w:rsidP="00B94F3F" w14:paraId="38A7CBEE" w14:textId="77777777">
            <w:pPr>
              <w:ind w:right="-73"/>
              <w:jc w:val="center"/>
              <w:rPr>
                <w:color w:val="000000"/>
                <w:szCs w:val="20"/>
                <w:u w:val="single"/>
              </w:rPr>
            </w:pPr>
            <w:r w:rsidRPr="00B85AF8">
              <w:rPr>
                <w:szCs w:val="20"/>
              </w:rPr>
              <w:t>Labor Cost ($/</w:t>
            </w:r>
            <w:r w:rsidRPr="00B85AF8">
              <w:rPr>
                <w:szCs w:val="20"/>
              </w:rPr>
              <w:t>hr</w:t>
            </w:r>
            <w:r w:rsidRPr="00B85AF8">
              <w:rPr>
                <w:szCs w:val="20"/>
              </w:rPr>
              <w:t>)</w:t>
            </w:r>
          </w:p>
        </w:tc>
        <w:tc>
          <w:tcPr>
            <w:tcW w:w="2117" w:type="dxa"/>
          </w:tcPr>
          <w:p w:rsidR="00B94F3F" w:rsidRPr="00B85AF8" w:rsidP="00B94F3F" w14:paraId="184734D7" w14:textId="77777777">
            <w:pPr>
              <w:jc w:val="center"/>
              <w:rPr>
                <w:szCs w:val="20"/>
              </w:rPr>
            </w:pPr>
            <w:r w:rsidRPr="00B85AF8">
              <w:rPr>
                <w:szCs w:val="20"/>
              </w:rPr>
              <w:t>Total</w:t>
            </w:r>
          </w:p>
          <w:p w:rsidR="00B94F3F" w:rsidRPr="00B85AF8" w:rsidP="00B94F3F" w14:paraId="7EC2EB9A" w14:textId="77777777">
            <w:pPr>
              <w:tabs>
                <w:tab w:val="left" w:pos="720"/>
              </w:tabs>
              <w:jc w:val="center"/>
              <w:rPr>
                <w:color w:val="000000"/>
                <w:szCs w:val="20"/>
                <w:u w:val="single"/>
              </w:rPr>
            </w:pPr>
            <w:r w:rsidRPr="00B85AF8">
              <w:rPr>
                <w:szCs w:val="20"/>
              </w:rPr>
              <w:t>Cost ($)</w:t>
            </w:r>
          </w:p>
        </w:tc>
      </w:tr>
      <w:tr w14:paraId="58084C1F" w14:textId="77777777" w:rsidTr="00B94F3F">
        <w:tblPrEx>
          <w:tblW w:w="8969" w:type="dxa"/>
          <w:tblLook w:val="04A0"/>
        </w:tblPrEx>
        <w:trPr>
          <w:trHeight w:hRule="exact" w:val="3983"/>
          <w:tblHeader/>
        </w:trPr>
        <w:tc>
          <w:tcPr>
            <w:tcW w:w="1322" w:type="dxa"/>
          </w:tcPr>
          <w:p w:rsidR="00B94F3F" w:rsidRPr="00B85AF8" w:rsidP="00B94F3F" w14:paraId="14143CF9" w14:textId="77777777">
            <w:pPr>
              <w:tabs>
                <w:tab w:val="left" w:pos="720"/>
              </w:tabs>
              <w:jc w:val="center"/>
              <w:rPr>
                <w:szCs w:val="20"/>
              </w:rPr>
            </w:pPr>
            <w:r w:rsidRPr="00B85AF8">
              <w:rPr>
                <w:szCs w:val="20"/>
              </w:rPr>
              <w:t>See ICR #1 (600.110, 600,115, 600.125, 600.305, 600.320, 600.345, 600.405, 600.410, 600.415, 600.420, 600.425, 600.505, 600.510, 600.525, 600.530 and 600.710</w:t>
            </w:r>
          </w:p>
        </w:tc>
        <w:tc>
          <w:tcPr>
            <w:tcW w:w="1153" w:type="dxa"/>
          </w:tcPr>
          <w:p w:rsidR="00B94F3F" w:rsidRPr="00B85AF8" w:rsidP="00B94F3F" w14:paraId="6773DD58" w14:textId="77777777">
            <w:pPr>
              <w:ind w:left="-123" w:right="-57"/>
              <w:jc w:val="center"/>
              <w:rPr>
                <w:szCs w:val="20"/>
              </w:rPr>
            </w:pPr>
            <w:r w:rsidRPr="00B85AF8">
              <w:rPr>
                <w:szCs w:val="20"/>
              </w:rPr>
              <w:t>1</w:t>
            </w:r>
          </w:p>
        </w:tc>
        <w:tc>
          <w:tcPr>
            <w:tcW w:w="1182" w:type="dxa"/>
          </w:tcPr>
          <w:p w:rsidR="00B94F3F" w:rsidRPr="00B85AF8" w:rsidP="00B94F3F" w14:paraId="62FF5E58" w14:textId="77777777">
            <w:pPr>
              <w:ind w:right="-48"/>
              <w:jc w:val="center"/>
              <w:rPr>
                <w:szCs w:val="20"/>
              </w:rPr>
            </w:pPr>
            <w:r w:rsidRPr="00B85AF8">
              <w:rPr>
                <w:szCs w:val="20"/>
              </w:rPr>
              <w:t>1</w:t>
            </w:r>
          </w:p>
        </w:tc>
        <w:tc>
          <w:tcPr>
            <w:tcW w:w="1392" w:type="dxa"/>
          </w:tcPr>
          <w:p w:rsidR="00B94F3F" w:rsidRPr="00B85AF8" w:rsidP="00B94F3F" w14:paraId="79D34CF4" w14:textId="77777777">
            <w:pPr>
              <w:ind w:right="-36"/>
              <w:jc w:val="center"/>
              <w:rPr>
                <w:szCs w:val="20"/>
              </w:rPr>
            </w:pPr>
            <w:r w:rsidRPr="00B85AF8">
              <w:rPr>
                <w:szCs w:val="20"/>
              </w:rPr>
              <w:t>100</w:t>
            </w:r>
          </w:p>
        </w:tc>
        <w:tc>
          <w:tcPr>
            <w:tcW w:w="957" w:type="dxa"/>
          </w:tcPr>
          <w:p w:rsidR="00B94F3F" w:rsidRPr="00B85AF8" w:rsidP="00B94F3F" w14:paraId="3A3C1790" w14:textId="7AE8CDA8">
            <w:pPr>
              <w:tabs>
                <w:tab w:val="left" w:pos="720"/>
              </w:tabs>
              <w:ind w:right="-122"/>
              <w:jc w:val="center"/>
              <w:rPr>
                <w:szCs w:val="20"/>
              </w:rPr>
            </w:pPr>
            <w:r w:rsidRPr="00B85AF8">
              <w:rPr>
                <w:szCs w:val="20"/>
              </w:rPr>
              <w:t>100</w:t>
            </w:r>
            <w:r w:rsidRPr="00B85AF8" w:rsidR="00C86C28">
              <w:rPr>
                <w:szCs w:val="20"/>
              </w:rPr>
              <w:t xml:space="preserve"> (R)</w:t>
            </w:r>
          </w:p>
        </w:tc>
        <w:tc>
          <w:tcPr>
            <w:tcW w:w="846" w:type="dxa"/>
          </w:tcPr>
          <w:p w:rsidR="00B94F3F" w:rsidRPr="00B85AF8" w:rsidP="00B94F3F" w14:paraId="2E60D0F2" w14:textId="77777777">
            <w:pPr>
              <w:ind w:right="-73"/>
              <w:jc w:val="center"/>
              <w:rPr>
                <w:szCs w:val="20"/>
              </w:rPr>
            </w:pPr>
            <w:r w:rsidRPr="00B85AF8">
              <w:rPr>
                <w:szCs w:val="20"/>
              </w:rPr>
              <w:t>Varies</w:t>
            </w:r>
          </w:p>
        </w:tc>
        <w:tc>
          <w:tcPr>
            <w:tcW w:w="2117" w:type="dxa"/>
          </w:tcPr>
          <w:p w:rsidR="00B94F3F" w:rsidRPr="00B85AF8" w:rsidP="00B94F3F" w14:paraId="533CA164" w14:textId="77777777">
            <w:pPr>
              <w:jc w:val="center"/>
              <w:rPr>
                <w:szCs w:val="20"/>
              </w:rPr>
            </w:pPr>
            <w:r w:rsidRPr="00B85AF8">
              <w:rPr>
                <w:rFonts w:eastAsia="MS Mincho"/>
                <w:szCs w:val="20"/>
              </w:rPr>
              <w:t>8,769</w:t>
            </w:r>
          </w:p>
        </w:tc>
      </w:tr>
      <w:tr w14:paraId="68187BFD" w14:textId="77777777" w:rsidTr="00B94F3F">
        <w:tblPrEx>
          <w:tblW w:w="8969" w:type="dxa"/>
          <w:tblLook w:val="04A0"/>
        </w:tblPrEx>
        <w:trPr>
          <w:tblHeader/>
        </w:trPr>
        <w:tc>
          <w:tcPr>
            <w:tcW w:w="1322" w:type="dxa"/>
          </w:tcPr>
          <w:p w:rsidR="00B94F3F" w:rsidRPr="00B85AF8" w:rsidP="00B94F3F" w14:paraId="515D3673" w14:textId="77777777">
            <w:pPr>
              <w:tabs>
                <w:tab w:val="left" w:pos="720"/>
              </w:tabs>
              <w:jc w:val="center"/>
              <w:rPr>
                <w:szCs w:val="20"/>
              </w:rPr>
            </w:pPr>
            <w:r w:rsidRPr="00B85AF8">
              <w:rPr>
                <w:szCs w:val="20"/>
              </w:rPr>
              <w:t>See ICR #1 (600.125 and 600.115)</w:t>
            </w:r>
          </w:p>
        </w:tc>
        <w:tc>
          <w:tcPr>
            <w:tcW w:w="1153" w:type="dxa"/>
          </w:tcPr>
          <w:p w:rsidR="00B94F3F" w:rsidRPr="00B85AF8" w:rsidP="00B94F3F" w14:paraId="7FFEB6E9" w14:textId="77777777">
            <w:pPr>
              <w:ind w:left="-123" w:right="-57"/>
              <w:jc w:val="center"/>
              <w:rPr>
                <w:szCs w:val="20"/>
              </w:rPr>
            </w:pPr>
            <w:r w:rsidRPr="00B85AF8">
              <w:rPr>
                <w:szCs w:val="20"/>
              </w:rPr>
              <w:t>2</w:t>
            </w:r>
          </w:p>
        </w:tc>
        <w:tc>
          <w:tcPr>
            <w:tcW w:w="1182" w:type="dxa"/>
          </w:tcPr>
          <w:p w:rsidR="00B94F3F" w:rsidRPr="00B85AF8" w:rsidP="00B94F3F" w14:paraId="69BC0061" w14:textId="77777777">
            <w:pPr>
              <w:ind w:right="-48"/>
              <w:jc w:val="center"/>
              <w:rPr>
                <w:szCs w:val="20"/>
              </w:rPr>
            </w:pPr>
            <w:r w:rsidRPr="00B85AF8">
              <w:rPr>
                <w:szCs w:val="20"/>
              </w:rPr>
              <w:t>2</w:t>
            </w:r>
          </w:p>
        </w:tc>
        <w:tc>
          <w:tcPr>
            <w:tcW w:w="1392" w:type="dxa"/>
          </w:tcPr>
          <w:p w:rsidR="00B94F3F" w:rsidRPr="00B85AF8" w:rsidP="00B94F3F" w14:paraId="6C676D44" w14:textId="77777777">
            <w:pPr>
              <w:ind w:right="-36"/>
              <w:jc w:val="center"/>
              <w:rPr>
                <w:szCs w:val="20"/>
              </w:rPr>
            </w:pPr>
            <w:r w:rsidRPr="00B85AF8">
              <w:rPr>
                <w:szCs w:val="20"/>
              </w:rPr>
              <w:t>50</w:t>
            </w:r>
          </w:p>
        </w:tc>
        <w:tc>
          <w:tcPr>
            <w:tcW w:w="957" w:type="dxa"/>
          </w:tcPr>
          <w:p w:rsidR="00B94F3F" w:rsidRPr="00B85AF8" w:rsidP="00B94F3F" w14:paraId="56D7B659" w14:textId="35500217">
            <w:pPr>
              <w:tabs>
                <w:tab w:val="left" w:pos="720"/>
              </w:tabs>
              <w:ind w:right="-122"/>
              <w:jc w:val="center"/>
              <w:rPr>
                <w:szCs w:val="20"/>
              </w:rPr>
            </w:pPr>
            <w:r w:rsidRPr="00B85AF8">
              <w:rPr>
                <w:szCs w:val="20"/>
              </w:rPr>
              <w:t>100</w:t>
            </w:r>
            <w:r w:rsidRPr="00B85AF8" w:rsidR="00527B31">
              <w:rPr>
                <w:szCs w:val="20"/>
              </w:rPr>
              <w:t xml:space="preserve"> (R)</w:t>
            </w:r>
          </w:p>
        </w:tc>
        <w:tc>
          <w:tcPr>
            <w:tcW w:w="846" w:type="dxa"/>
          </w:tcPr>
          <w:p w:rsidR="00B94F3F" w:rsidRPr="00B85AF8" w:rsidP="00B94F3F" w14:paraId="2C7B5CDC" w14:textId="77777777">
            <w:pPr>
              <w:ind w:right="-73"/>
              <w:jc w:val="center"/>
              <w:rPr>
                <w:szCs w:val="20"/>
              </w:rPr>
            </w:pPr>
            <w:r w:rsidRPr="00B85AF8">
              <w:rPr>
                <w:szCs w:val="20"/>
              </w:rPr>
              <w:t>Varies</w:t>
            </w:r>
          </w:p>
        </w:tc>
        <w:tc>
          <w:tcPr>
            <w:tcW w:w="2117" w:type="dxa"/>
          </w:tcPr>
          <w:p w:rsidR="00B94F3F" w:rsidRPr="00B85AF8" w:rsidP="00B94F3F" w14:paraId="13A62650" w14:textId="77777777">
            <w:pPr>
              <w:jc w:val="center"/>
              <w:rPr>
                <w:szCs w:val="20"/>
              </w:rPr>
            </w:pPr>
            <w:r w:rsidRPr="00B85AF8">
              <w:rPr>
                <w:szCs w:val="20"/>
              </w:rPr>
              <w:t>8,465</w:t>
            </w:r>
          </w:p>
        </w:tc>
      </w:tr>
      <w:tr w14:paraId="07DA4417" w14:textId="77777777" w:rsidTr="00B94F3F">
        <w:tblPrEx>
          <w:tblW w:w="8969" w:type="dxa"/>
          <w:tblLook w:val="04A0"/>
        </w:tblPrEx>
        <w:trPr>
          <w:tblHeader/>
        </w:trPr>
        <w:tc>
          <w:tcPr>
            <w:tcW w:w="1322" w:type="dxa"/>
          </w:tcPr>
          <w:p w:rsidR="00B94F3F" w:rsidRPr="00B85AF8" w:rsidP="00B94F3F" w14:paraId="0E598A35" w14:textId="77777777">
            <w:pPr>
              <w:tabs>
                <w:tab w:val="left" w:pos="720"/>
              </w:tabs>
              <w:jc w:val="center"/>
              <w:rPr>
                <w:szCs w:val="20"/>
              </w:rPr>
            </w:pPr>
            <w:r w:rsidRPr="00B85AF8">
              <w:rPr>
                <w:szCs w:val="20"/>
              </w:rPr>
              <w:t>See ICR #2 (600.170)</w:t>
            </w:r>
          </w:p>
        </w:tc>
        <w:tc>
          <w:tcPr>
            <w:tcW w:w="1153" w:type="dxa"/>
          </w:tcPr>
          <w:p w:rsidR="00B94F3F" w:rsidRPr="00B85AF8" w:rsidP="00B94F3F" w14:paraId="1C17B8F2" w14:textId="77777777">
            <w:pPr>
              <w:ind w:left="-123" w:right="-57"/>
              <w:jc w:val="center"/>
              <w:rPr>
                <w:szCs w:val="20"/>
              </w:rPr>
            </w:pPr>
            <w:r w:rsidRPr="00B85AF8">
              <w:rPr>
                <w:szCs w:val="20"/>
              </w:rPr>
              <w:t>2</w:t>
            </w:r>
          </w:p>
        </w:tc>
        <w:tc>
          <w:tcPr>
            <w:tcW w:w="1182" w:type="dxa"/>
          </w:tcPr>
          <w:p w:rsidR="00B94F3F" w:rsidRPr="00B85AF8" w:rsidP="00B94F3F" w14:paraId="551EDD67" w14:textId="77777777">
            <w:pPr>
              <w:ind w:right="-48"/>
              <w:jc w:val="center"/>
              <w:rPr>
                <w:szCs w:val="20"/>
              </w:rPr>
            </w:pPr>
            <w:r w:rsidRPr="00B85AF8">
              <w:rPr>
                <w:szCs w:val="20"/>
              </w:rPr>
              <w:t>2</w:t>
            </w:r>
          </w:p>
        </w:tc>
        <w:tc>
          <w:tcPr>
            <w:tcW w:w="1392" w:type="dxa"/>
          </w:tcPr>
          <w:p w:rsidR="00B94F3F" w:rsidRPr="00B85AF8" w:rsidP="00B94F3F" w14:paraId="1C2088D2" w14:textId="77777777">
            <w:pPr>
              <w:ind w:right="-36"/>
              <w:jc w:val="center"/>
              <w:rPr>
                <w:szCs w:val="20"/>
              </w:rPr>
            </w:pPr>
            <w:r w:rsidRPr="00B85AF8">
              <w:rPr>
                <w:szCs w:val="20"/>
              </w:rPr>
              <w:t>44</w:t>
            </w:r>
          </w:p>
        </w:tc>
        <w:tc>
          <w:tcPr>
            <w:tcW w:w="957" w:type="dxa"/>
          </w:tcPr>
          <w:p w:rsidR="00B94F3F" w:rsidRPr="00B85AF8" w:rsidP="00B94F3F" w14:paraId="272D8FF2" w14:textId="79BE7953">
            <w:pPr>
              <w:tabs>
                <w:tab w:val="left" w:pos="720"/>
              </w:tabs>
              <w:ind w:right="-122"/>
              <w:jc w:val="center"/>
              <w:rPr>
                <w:szCs w:val="20"/>
              </w:rPr>
            </w:pPr>
            <w:r w:rsidRPr="00B85AF8">
              <w:rPr>
                <w:szCs w:val="20"/>
              </w:rPr>
              <w:t>88</w:t>
            </w:r>
            <w:r w:rsidRPr="00B85AF8" w:rsidR="00062692">
              <w:rPr>
                <w:szCs w:val="20"/>
              </w:rPr>
              <w:t xml:space="preserve"> (R)</w:t>
            </w:r>
          </w:p>
        </w:tc>
        <w:tc>
          <w:tcPr>
            <w:tcW w:w="846" w:type="dxa"/>
          </w:tcPr>
          <w:p w:rsidR="00B94F3F" w:rsidRPr="00B85AF8" w:rsidP="00B94F3F" w14:paraId="19F7FE79" w14:textId="77777777">
            <w:pPr>
              <w:ind w:right="-73"/>
              <w:jc w:val="center"/>
              <w:rPr>
                <w:szCs w:val="20"/>
              </w:rPr>
            </w:pPr>
            <w:r w:rsidRPr="00B85AF8">
              <w:rPr>
                <w:szCs w:val="20"/>
              </w:rPr>
              <w:t>Varies</w:t>
            </w:r>
          </w:p>
        </w:tc>
        <w:tc>
          <w:tcPr>
            <w:tcW w:w="2117" w:type="dxa"/>
          </w:tcPr>
          <w:p w:rsidR="00B94F3F" w:rsidRPr="00B85AF8" w:rsidP="00B94F3F" w14:paraId="59EA2D57" w14:textId="77777777">
            <w:pPr>
              <w:jc w:val="center"/>
              <w:rPr>
                <w:szCs w:val="20"/>
              </w:rPr>
            </w:pPr>
            <w:r w:rsidRPr="00B85AF8">
              <w:rPr>
                <w:szCs w:val="20"/>
              </w:rPr>
              <w:t>7,352</w:t>
            </w:r>
          </w:p>
        </w:tc>
      </w:tr>
      <w:tr w14:paraId="79834197" w14:textId="77777777" w:rsidTr="00B94F3F">
        <w:tblPrEx>
          <w:tblW w:w="8969" w:type="dxa"/>
          <w:tblLook w:val="04A0"/>
        </w:tblPrEx>
        <w:trPr>
          <w:tblHeader/>
        </w:trPr>
        <w:tc>
          <w:tcPr>
            <w:tcW w:w="1322" w:type="dxa"/>
          </w:tcPr>
          <w:p w:rsidR="00B94F3F" w:rsidRPr="00B85AF8" w:rsidP="00B94F3F" w14:paraId="5B72E5E5" w14:textId="77777777">
            <w:pPr>
              <w:tabs>
                <w:tab w:val="left" w:pos="720"/>
              </w:tabs>
              <w:jc w:val="center"/>
              <w:rPr>
                <w:szCs w:val="20"/>
              </w:rPr>
            </w:pPr>
            <w:r w:rsidRPr="00B85AF8">
              <w:rPr>
                <w:szCs w:val="20"/>
              </w:rPr>
              <w:t>See ICR #3 (600.610)</w:t>
            </w:r>
          </w:p>
        </w:tc>
        <w:tc>
          <w:tcPr>
            <w:tcW w:w="1153" w:type="dxa"/>
          </w:tcPr>
          <w:p w:rsidR="00B94F3F" w:rsidRPr="00B85AF8" w:rsidP="00B94F3F" w14:paraId="61EA5D3A" w14:textId="77777777">
            <w:pPr>
              <w:ind w:left="-123" w:right="-57"/>
              <w:jc w:val="center"/>
              <w:rPr>
                <w:szCs w:val="20"/>
              </w:rPr>
            </w:pPr>
            <w:r w:rsidRPr="00B85AF8">
              <w:rPr>
                <w:szCs w:val="20"/>
              </w:rPr>
              <w:t>2</w:t>
            </w:r>
          </w:p>
        </w:tc>
        <w:tc>
          <w:tcPr>
            <w:tcW w:w="1182" w:type="dxa"/>
          </w:tcPr>
          <w:p w:rsidR="00B94F3F" w:rsidRPr="00B85AF8" w:rsidP="00B94F3F" w14:paraId="77076E81" w14:textId="77777777">
            <w:pPr>
              <w:ind w:right="-48"/>
              <w:jc w:val="center"/>
              <w:rPr>
                <w:szCs w:val="20"/>
              </w:rPr>
            </w:pPr>
            <w:r w:rsidRPr="00B85AF8">
              <w:rPr>
                <w:szCs w:val="20"/>
              </w:rPr>
              <w:t>8</w:t>
            </w:r>
          </w:p>
        </w:tc>
        <w:tc>
          <w:tcPr>
            <w:tcW w:w="1392" w:type="dxa"/>
          </w:tcPr>
          <w:p w:rsidR="00B94F3F" w:rsidRPr="00B85AF8" w:rsidP="00B94F3F" w14:paraId="73275567" w14:textId="77777777">
            <w:pPr>
              <w:ind w:right="-36"/>
              <w:jc w:val="center"/>
              <w:rPr>
                <w:szCs w:val="20"/>
              </w:rPr>
            </w:pPr>
            <w:r w:rsidRPr="00B85AF8">
              <w:rPr>
                <w:szCs w:val="20"/>
              </w:rPr>
              <w:t>12</w:t>
            </w:r>
          </w:p>
        </w:tc>
        <w:tc>
          <w:tcPr>
            <w:tcW w:w="957" w:type="dxa"/>
          </w:tcPr>
          <w:p w:rsidR="00B94F3F" w:rsidRPr="00B85AF8" w:rsidP="00B94F3F" w14:paraId="47044B13" w14:textId="550C17A0">
            <w:pPr>
              <w:tabs>
                <w:tab w:val="left" w:pos="720"/>
              </w:tabs>
              <w:ind w:right="-122"/>
              <w:jc w:val="center"/>
              <w:rPr>
                <w:szCs w:val="20"/>
              </w:rPr>
            </w:pPr>
            <w:r w:rsidRPr="00B85AF8">
              <w:rPr>
                <w:szCs w:val="20"/>
              </w:rPr>
              <w:t>96</w:t>
            </w:r>
            <w:r w:rsidRPr="00B85AF8" w:rsidR="00155063">
              <w:rPr>
                <w:szCs w:val="20"/>
              </w:rPr>
              <w:t xml:space="preserve"> (R)</w:t>
            </w:r>
          </w:p>
        </w:tc>
        <w:tc>
          <w:tcPr>
            <w:tcW w:w="846" w:type="dxa"/>
          </w:tcPr>
          <w:p w:rsidR="00B94F3F" w:rsidRPr="00B85AF8" w:rsidP="00B94F3F" w14:paraId="0AC0FF15" w14:textId="77777777">
            <w:pPr>
              <w:ind w:right="-73"/>
              <w:jc w:val="center"/>
              <w:rPr>
                <w:b/>
                <w:szCs w:val="20"/>
              </w:rPr>
            </w:pPr>
            <w:r w:rsidRPr="00B85AF8">
              <w:rPr>
                <w:szCs w:val="20"/>
              </w:rPr>
              <w:t>Varies</w:t>
            </w:r>
          </w:p>
        </w:tc>
        <w:tc>
          <w:tcPr>
            <w:tcW w:w="2117" w:type="dxa"/>
          </w:tcPr>
          <w:p w:rsidR="00B94F3F" w:rsidRPr="00B85AF8" w:rsidP="00B94F3F" w14:paraId="290680AD" w14:textId="77777777">
            <w:pPr>
              <w:jc w:val="center"/>
              <w:rPr>
                <w:szCs w:val="20"/>
              </w:rPr>
            </w:pPr>
            <w:r w:rsidRPr="00B85AF8">
              <w:rPr>
                <w:szCs w:val="20"/>
              </w:rPr>
              <w:t xml:space="preserve"> 8,297</w:t>
            </w:r>
          </w:p>
        </w:tc>
      </w:tr>
      <w:tr w14:paraId="7DEB2F2A" w14:textId="77777777" w:rsidTr="00B94F3F">
        <w:tblPrEx>
          <w:tblW w:w="8969" w:type="dxa"/>
          <w:tblLook w:val="04A0"/>
        </w:tblPrEx>
        <w:trPr>
          <w:tblHeader/>
        </w:trPr>
        <w:tc>
          <w:tcPr>
            <w:tcW w:w="1322" w:type="dxa"/>
          </w:tcPr>
          <w:p w:rsidR="00B94F3F" w:rsidRPr="00B85AF8" w:rsidP="00B94F3F" w14:paraId="3B782867" w14:textId="77777777">
            <w:pPr>
              <w:tabs>
                <w:tab w:val="left" w:pos="720"/>
              </w:tabs>
              <w:jc w:val="center"/>
              <w:rPr>
                <w:szCs w:val="20"/>
              </w:rPr>
            </w:pPr>
            <w:r w:rsidRPr="00B85AF8">
              <w:rPr>
                <w:szCs w:val="20"/>
              </w:rPr>
              <w:t>See ICR #3 (600.610)</w:t>
            </w:r>
          </w:p>
        </w:tc>
        <w:tc>
          <w:tcPr>
            <w:tcW w:w="1153" w:type="dxa"/>
          </w:tcPr>
          <w:p w:rsidR="00B94F3F" w:rsidRPr="00B85AF8" w:rsidP="00B94F3F" w14:paraId="0BB2DCA6" w14:textId="77777777">
            <w:pPr>
              <w:ind w:left="-123" w:right="-57"/>
              <w:jc w:val="center"/>
              <w:rPr>
                <w:szCs w:val="20"/>
              </w:rPr>
            </w:pPr>
            <w:r w:rsidRPr="00B85AF8">
              <w:rPr>
                <w:szCs w:val="20"/>
              </w:rPr>
              <w:t>2</w:t>
            </w:r>
          </w:p>
        </w:tc>
        <w:tc>
          <w:tcPr>
            <w:tcW w:w="1182" w:type="dxa"/>
          </w:tcPr>
          <w:p w:rsidR="00B94F3F" w:rsidRPr="00B85AF8" w:rsidP="00B94F3F" w14:paraId="67C78EFD" w14:textId="77777777">
            <w:pPr>
              <w:ind w:right="-48"/>
              <w:jc w:val="center"/>
              <w:rPr>
                <w:szCs w:val="20"/>
              </w:rPr>
            </w:pPr>
            <w:r w:rsidRPr="00B85AF8">
              <w:rPr>
                <w:szCs w:val="20"/>
              </w:rPr>
              <w:t>8</w:t>
            </w:r>
          </w:p>
        </w:tc>
        <w:tc>
          <w:tcPr>
            <w:tcW w:w="1392" w:type="dxa"/>
          </w:tcPr>
          <w:p w:rsidR="00B94F3F" w:rsidRPr="00B85AF8" w:rsidP="00B94F3F" w14:paraId="6DC57313" w14:textId="77777777">
            <w:pPr>
              <w:ind w:right="-36"/>
              <w:jc w:val="center"/>
              <w:rPr>
                <w:szCs w:val="20"/>
              </w:rPr>
            </w:pPr>
            <w:r w:rsidRPr="00B85AF8">
              <w:rPr>
                <w:szCs w:val="20"/>
              </w:rPr>
              <w:t>110</w:t>
            </w:r>
          </w:p>
        </w:tc>
        <w:tc>
          <w:tcPr>
            <w:tcW w:w="957" w:type="dxa"/>
          </w:tcPr>
          <w:p w:rsidR="00B94F3F" w:rsidRPr="00B85AF8" w:rsidP="00B94F3F" w14:paraId="4ADC80B6" w14:textId="4439DE3F">
            <w:pPr>
              <w:tabs>
                <w:tab w:val="left" w:pos="720"/>
              </w:tabs>
              <w:ind w:right="-122"/>
              <w:jc w:val="center"/>
              <w:rPr>
                <w:szCs w:val="20"/>
              </w:rPr>
            </w:pPr>
            <w:r w:rsidRPr="00B85AF8">
              <w:rPr>
                <w:szCs w:val="20"/>
              </w:rPr>
              <w:t>880</w:t>
            </w:r>
            <w:r w:rsidRPr="00B85AF8" w:rsidR="009A2056">
              <w:rPr>
                <w:szCs w:val="20"/>
              </w:rPr>
              <w:t xml:space="preserve"> (R)</w:t>
            </w:r>
          </w:p>
        </w:tc>
        <w:tc>
          <w:tcPr>
            <w:tcW w:w="846" w:type="dxa"/>
          </w:tcPr>
          <w:p w:rsidR="00B94F3F" w:rsidRPr="00B85AF8" w:rsidP="00B94F3F" w14:paraId="084293AC" w14:textId="77777777">
            <w:pPr>
              <w:ind w:right="-73"/>
              <w:jc w:val="center"/>
              <w:rPr>
                <w:b/>
                <w:szCs w:val="20"/>
              </w:rPr>
            </w:pPr>
            <w:r w:rsidRPr="00B85AF8">
              <w:rPr>
                <w:szCs w:val="20"/>
              </w:rPr>
              <w:t>Varies</w:t>
            </w:r>
          </w:p>
        </w:tc>
        <w:tc>
          <w:tcPr>
            <w:tcW w:w="2117" w:type="dxa"/>
          </w:tcPr>
          <w:p w:rsidR="00B94F3F" w:rsidRPr="00B85AF8" w:rsidP="00B94F3F" w14:paraId="7D27E0E2" w14:textId="77777777">
            <w:pPr>
              <w:jc w:val="center"/>
              <w:rPr>
                <w:szCs w:val="20"/>
              </w:rPr>
            </w:pPr>
            <w:r w:rsidRPr="00B85AF8">
              <w:rPr>
                <w:szCs w:val="20"/>
              </w:rPr>
              <w:t>73,515</w:t>
            </w:r>
          </w:p>
        </w:tc>
      </w:tr>
      <w:tr w14:paraId="46D02D99" w14:textId="77777777" w:rsidTr="00B94F3F">
        <w:tblPrEx>
          <w:tblW w:w="8969" w:type="dxa"/>
          <w:tblLook w:val="04A0"/>
        </w:tblPrEx>
        <w:trPr>
          <w:tblHeader/>
        </w:trPr>
        <w:tc>
          <w:tcPr>
            <w:tcW w:w="1322" w:type="dxa"/>
          </w:tcPr>
          <w:p w:rsidR="00B94F3F" w:rsidRPr="00B85AF8" w:rsidP="00B94F3F" w14:paraId="427D6235" w14:textId="77777777">
            <w:pPr>
              <w:tabs>
                <w:tab w:val="left" w:pos="720"/>
              </w:tabs>
              <w:jc w:val="center"/>
              <w:rPr>
                <w:szCs w:val="20"/>
              </w:rPr>
            </w:pPr>
            <w:r w:rsidRPr="00B85AF8">
              <w:rPr>
                <w:szCs w:val="20"/>
              </w:rPr>
              <w:t>See ICR #4 (600.610)</w:t>
            </w:r>
          </w:p>
        </w:tc>
        <w:tc>
          <w:tcPr>
            <w:tcW w:w="1153" w:type="dxa"/>
          </w:tcPr>
          <w:p w:rsidR="00B94F3F" w:rsidRPr="00B85AF8" w:rsidP="00B94F3F" w14:paraId="5F2D6025" w14:textId="77777777">
            <w:pPr>
              <w:ind w:left="-123" w:right="-57"/>
              <w:jc w:val="center"/>
              <w:rPr>
                <w:szCs w:val="20"/>
              </w:rPr>
            </w:pPr>
            <w:r w:rsidRPr="00B85AF8">
              <w:rPr>
                <w:szCs w:val="20"/>
              </w:rPr>
              <w:t>2</w:t>
            </w:r>
          </w:p>
        </w:tc>
        <w:tc>
          <w:tcPr>
            <w:tcW w:w="1182" w:type="dxa"/>
          </w:tcPr>
          <w:p w:rsidR="00B94F3F" w:rsidRPr="00B85AF8" w:rsidP="00B94F3F" w14:paraId="6ACE63EC" w14:textId="77777777">
            <w:pPr>
              <w:ind w:right="-48"/>
              <w:jc w:val="center"/>
              <w:rPr>
                <w:szCs w:val="20"/>
              </w:rPr>
            </w:pPr>
            <w:r w:rsidRPr="00B85AF8">
              <w:rPr>
                <w:szCs w:val="20"/>
              </w:rPr>
              <w:t>2</w:t>
            </w:r>
          </w:p>
        </w:tc>
        <w:tc>
          <w:tcPr>
            <w:tcW w:w="1392" w:type="dxa"/>
          </w:tcPr>
          <w:p w:rsidR="00B94F3F" w:rsidRPr="00B85AF8" w:rsidP="00B94F3F" w14:paraId="0ADC57F0" w14:textId="77777777">
            <w:pPr>
              <w:ind w:right="-36"/>
              <w:jc w:val="center"/>
              <w:rPr>
                <w:szCs w:val="20"/>
              </w:rPr>
            </w:pPr>
            <w:r w:rsidRPr="00B85AF8">
              <w:rPr>
                <w:szCs w:val="20"/>
              </w:rPr>
              <w:t>22</w:t>
            </w:r>
          </w:p>
        </w:tc>
        <w:tc>
          <w:tcPr>
            <w:tcW w:w="957" w:type="dxa"/>
          </w:tcPr>
          <w:p w:rsidR="00B94F3F" w:rsidRPr="00B85AF8" w:rsidP="00B94F3F" w14:paraId="422647C3" w14:textId="1E483C8A">
            <w:pPr>
              <w:tabs>
                <w:tab w:val="left" w:pos="720"/>
              </w:tabs>
              <w:ind w:right="-122"/>
              <w:jc w:val="center"/>
              <w:rPr>
                <w:szCs w:val="20"/>
              </w:rPr>
            </w:pPr>
            <w:r w:rsidRPr="00B85AF8">
              <w:rPr>
                <w:szCs w:val="20"/>
              </w:rPr>
              <w:t>44</w:t>
            </w:r>
            <w:r w:rsidRPr="00B85AF8" w:rsidR="00ED356B">
              <w:rPr>
                <w:szCs w:val="20"/>
              </w:rPr>
              <w:t xml:space="preserve"> (R)</w:t>
            </w:r>
          </w:p>
        </w:tc>
        <w:tc>
          <w:tcPr>
            <w:tcW w:w="846" w:type="dxa"/>
          </w:tcPr>
          <w:p w:rsidR="00B94F3F" w:rsidRPr="00B85AF8" w:rsidP="00B94F3F" w14:paraId="519BD8CF" w14:textId="77777777">
            <w:pPr>
              <w:ind w:right="-73"/>
              <w:jc w:val="center"/>
              <w:rPr>
                <w:b/>
                <w:szCs w:val="20"/>
              </w:rPr>
            </w:pPr>
            <w:r w:rsidRPr="00B85AF8">
              <w:rPr>
                <w:szCs w:val="20"/>
              </w:rPr>
              <w:t>Varies</w:t>
            </w:r>
          </w:p>
        </w:tc>
        <w:tc>
          <w:tcPr>
            <w:tcW w:w="2117" w:type="dxa"/>
          </w:tcPr>
          <w:p w:rsidR="00B94F3F" w:rsidRPr="00B85AF8" w:rsidP="00B94F3F" w14:paraId="62D9564A" w14:textId="77777777">
            <w:pPr>
              <w:jc w:val="center"/>
              <w:rPr>
                <w:szCs w:val="20"/>
              </w:rPr>
            </w:pPr>
            <w:r w:rsidRPr="00B85AF8">
              <w:rPr>
                <w:szCs w:val="20"/>
              </w:rPr>
              <w:t>3,676</w:t>
            </w:r>
          </w:p>
        </w:tc>
      </w:tr>
      <w:tr w14:paraId="5643C7CE" w14:textId="77777777" w:rsidTr="00B94F3F">
        <w:tblPrEx>
          <w:tblW w:w="8969" w:type="dxa"/>
          <w:tblLook w:val="04A0"/>
        </w:tblPrEx>
        <w:trPr>
          <w:tblHeader/>
        </w:trPr>
        <w:tc>
          <w:tcPr>
            <w:tcW w:w="1322" w:type="dxa"/>
          </w:tcPr>
          <w:p w:rsidR="00B94F3F" w:rsidRPr="00B85AF8" w:rsidP="00B94F3F" w14:paraId="3B7222D2" w14:textId="77777777">
            <w:pPr>
              <w:tabs>
                <w:tab w:val="left" w:pos="720"/>
              </w:tabs>
              <w:jc w:val="center"/>
              <w:rPr>
                <w:szCs w:val="20"/>
              </w:rPr>
            </w:pPr>
            <w:r w:rsidRPr="00B85AF8">
              <w:rPr>
                <w:szCs w:val="20"/>
              </w:rPr>
              <w:t xml:space="preserve">See ICR #5 (600.145, </w:t>
            </w:r>
            <w:r w:rsidRPr="00B85AF8">
              <w:rPr>
                <w:szCs w:val="20"/>
              </w:rPr>
              <w:t>600.150, 600.170, and Subpart E)</w:t>
            </w:r>
          </w:p>
        </w:tc>
        <w:tc>
          <w:tcPr>
            <w:tcW w:w="1153" w:type="dxa"/>
          </w:tcPr>
          <w:p w:rsidR="00B94F3F" w:rsidRPr="00B85AF8" w:rsidP="00B94F3F" w14:paraId="24AE9CC5" w14:textId="77777777">
            <w:pPr>
              <w:ind w:left="-123" w:right="-57"/>
              <w:jc w:val="center"/>
              <w:rPr>
                <w:szCs w:val="20"/>
              </w:rPr>
            </w:pPr>
            <w:r w:rsidRPr="00B85AF8">
              <w:rPr>
                <w:szCs w:val="20"/>
              </w:rPr>
              <w:t>2</w:t>
            </w:r>
          </w:p>
        </w:tc>
        <w:tc>
          <w:tcPr>
            <w:tcW w:w="1182" w:type="dxa"/>
          </w:tcPr>
          <w:p w:rsidR="00B94F3F" w:rsidRPr="00B85AF8" w:rsidP="00B94F3F" w14:paraId="59C0FA2C" w14:textId="77777777">
            <w:pPr>
              <w:ind w:right="-48"/>
              <w:jc w:val="center"/>
              <w:rPr>
                <w:szCs w:val="20"/>
              </w:rPr>
            </w:pPr>
            <w:r w:rsidRPr="00B85AF8">
              <w:rPr>
                <w:szCs w:val="20"/>
              </w:rPr>
              <w:t>2</w:t>
            </w:r>
          </w:p>
        </w:tc>
        <w:tc>
          <w:tcPr>
            <w:tcW w:w="1392" w:type="dxa"/>
          </w:tcPr>
          <w:p w:rsidR="00B94F3F" w:rsidRPr="00B85AF8" w:rsidP="00B94F3F" w14:paraId="5B4A4432" w14:textId="77777777">
            <w:pPr>
              <w:ind w:right="-36"/>
              <w:jc w:val="center"/>
              <w:rPr>
                <w:szCs w:val="20"/>
              </w:rPr>
            </w:pPr>
            <w:r w:rsidRPr="00B85AF8">
              <w:rPr>
                <w:szCs w:val="20"/>
              </w:rPr>
              <w:t>Varies</w:t>
            </w:r>
          </w:p>
        </w:tc>
        <w:tc>
          <w:tcPr>
            <w:tcW w:w="957" w:type="dxa"/>
          </w:tcPr>
          <w:p w:rsidR="00B94F3F" w:rsidRPr="00B85AF8" w:rsidP="00B94F3F" w14:paraId="4B2726AD" w14:textId="0739ED98">
            <w:pPr>
              <w:tabs>
                <w:tab w:val="left" w:pos="720"/>
              </w:tabs>
              <w:ind w:right="-122"/>
              <w:jc w:val="center"/>
              <w:rPr>
                <w:szCs w:val="20"/>
              </w:rPr>
            </w:pPr>
            <w:r w:rsidRPr="00B85AF8">
              <w:rPr>
                <w:szCs w:val="20"/>
              </w:rPr>
              <w:t>1,152</w:t>
            </w:r>
            <w:r w:rsidRPr="00B85AF8" w:rsidR="00F81D54">
              <w:rPr>
                <w:szCs w:val="20"/>
              </w:rPr>
              <w:t xml:space="preserve"> (R)</w:t>
            </w:r>
          </w:p>
        </w:tc>
        <w:tc>
          <w:tcPr>
            <w:tcW w:w="846" w:type="dxa"/>
          </w:tcPr>
          <w:p w:rsidR="00B94F3F" w:rsidRPr="00B85AF8" w:rsidP="00B94F3F" w14:paraId="3803A5FF" w14:textId="77777777">
            <w:pPr>
              <w:ind w:right="-73"/>
              <w:jc w:val="center"/>
              <w:rPr>
                <w:szCs w:val="20"/>
              </w:rPr>
            </w:pPr>
            <w:r w:rsidRPr="00B85AF8">
              <w:rPr>
                <w:szCs w:val="20"/>
              </w:rPr>
              <w:t>Varies</w:t>
            </w:r>
          </w:p>
        </w:tc>
        <w:tc>
          <w:tcPr>
            <w:tcW w:w="2117" w:type="dxa"/>
          </w:tcPr>
          <w:p w:rsidR="00B94F3F" w:rsidRPr="00B85AF8" w:rsidP="00B94F3F" w14:paraId="7F03F7BB" w14:textId="77777777">
            <w:pPr>
              <w:jc w:val="center"/>
              <w:rPr>
                <w:szCs w:val="20"/>
              </w:rPr>
            </w:pPr>
            <w:r w:rsidRPr="00B85AF8">
              <w:rPr>
                <w:szCs w:val="20"/>
              </w:rPr>
              <w:t>93,969</w:t>
            </w:r>
          </w:p>
        </w:tc>
      </w:tr>
      <w:tr w14:paraId="6F2AF2AF" w14:textId="77777777" w:rsidTr="00B94F3F">
        <w:tblPrEx>
          <w:tblW w:w="8969" w:type="dxa"/>
          <w:tblLook w:val="04A0"/>
        </w:tblPrEx>
        <w:trPr>
          <w:tblHeader/>
        </w:trPr>
        <w:tc>
          <w:tcPr>
            <w:tcW w:w="1322" w:type="dxa"/>
          </w:tcPr>
          <w:p w:rsidR="00B94F3F" w:rsidRPr="00B85AF8" w:rsidP="00B94F3F" w14:paraId="015501E1" w14:textId="77777777">
            <w:pPr>
              <w:tabs>
                <w:tab w:val="left" w:pos="720"/>
              </w:tabs>
              <w:jc w:val="center"/>
              <w:rPr>
                <w:szCs w:val="20"/>
              </w:rPr>
            </w:pPr>
            <w:r w:rsidRPr="00B85AF8">
              <w:rPr>
                <w:szCs w:val="20"/>
              </w:rPr>
              <w:t>See ICR #6 (600.140)</w:t>
            </w:r>
          </w:p>
        </w:tc>
        <w:tc>
          <w:tcPr>
            <w:tcW w:w="1153" w:type="dxa"/>
          </w:tcPr>
          <w:p w:rsidR="00B94F3F" w:rsidRPr="00B85AF8" w:rsidP="00B94F3F" w14:paraId="3535D8A0" w14:textId="77777777">
            <w:pPr>
              <w:ind w:left="-123" w:right="-57"/>
              <w:jc w:val="center"/>
              <w:rPr>
                <w:szCs w:val="20"/>
              </w:rPr>
            </w:pPr>
            <w:r w:rsidRPr="00B85AF8">
              <w:rPr>
                <w:szCs w:val="20"/>
              </w:rPr>
              <w:t>2</w:t>
            </w:r>
          </w:p>
        </w:tc>
        <w:tc>
          <w:tcPr>
            <w:tcW w:w="1182" w:type="dxa"/>
          </w:tcPr>
          <w:p w:rsidR="00B94F3F" w:rsidRPr="00B85AF8" w:rsidP="00B94F3F" w14:paraId="6DC43B54" w14:textId="77777777">
            <w:pPr>
              <w:ind w:right="-48"/>
              <w:jc w:val="center"/>
              <w:rPr>
                <w:szCs w:val="20"/>
              </w:rPr>
            </w:pPr>
            <w:r w:rsidRPr="00B85AF8">
              <w:rPr>
                <w:szCs w:val="20"/>
              </w:rPr>
              <w:t>2</w:t>
            </w:r>
          </w:p>
        </w:tc>
        <w:tc>
          <w:tcPr>
            <w:tcW w:w="1392" w:type="dxa"/>
          </w:tcPr>
          <w:p w:rsidR="00B94F3F" w:rsidRPr="00B85AF8" w:rsidP="00B94F3F" w14:paraId="1C24FC9E" w14:textId="77777777">
            <w:pPr>
              <w:ind w:right="-36"/>
              <w:jc w:val="center"/>
              <w:rPr>
                <w:szCs w:val="20"/>
              </w:rPr>
            </w:pPr>
            <w:r w:rsidRPr="00B85AF8">
              <w:rPr>
                <w:szCs w:val="20"/>
              </w:rPr>
              <w:t>64</w:t>
            </w:r>
          </w:p>
        </w:tc>
        <w:tc>
          <w:tcPr>
            <w:tcW w:w="957" w:type="dxa"/>
          </w:tcPr>
          <w:p w:rsidR="00B94F3F" w:rsidRPr="00B85AF8" w:rsidP="00B94F3F" w14:paraId="51FBF544" w14:textId="338BB43C">
            <w:pPr>
              <w:tabs>
                <w:tab w:val="left" w:pos="720"/>
              </w:tabs>
              <w:ind w:right="-122"/>
              <w:jc w:val="center"/>
              <w:rPr>
                <w:szCs w:val="20"/>
              </w:rPr>
            </w:pPr>
            <w:r w:rsidRPr="00B85AF8">
              <w:rPr>
                <w:szCs w:val="20"/>
              </w:rPr>
              <w:t>128</w:t>
            </w:r>
            <w:r w:rsidRPr="00B85AF8" w:rsidR="00DE2AED">
              <w:rPr>
                <w:szCs w:val="20"/>
              </w:rPr>
              <w:t xml:space="preserve"> (R)</w:t>
            </w:r>
          </w:p>
        </w:tc>
        <w:tc>
          <w:tcPr>
            <w:tcW w:w="846" w:type="dxa"/>
          </w:tcPr>
          <w:p w:rsidR="00B94F3F" w:rsidRPr="00B85AF8" w:rsidP="00B94F3F" w14:paraId="49FD1090" w14:textId="77777777">
            <w:pPr>
              <w:ind w:right="-73"/>
              <w:jc w:val="center"/>
              <w:rPr>
                <w:szCs w:val="20"/>
              </w:rPr>
            </w:pPr>
            <w:r w:rsidRPr="00B85AF8">
              <w:rPr>
                <w:szCs w:val="20"/>
              </w:rPr>
              <w:t>Varies</w:t>
            </w:r>
          </w:p>
        </w:tc>
        <w:tc>
          <w:tcPr>
            <w:tcW w:w="2117" w:type="dxa"/>
          </w:tcPr>
          <w:p w:rsidR="00B94F3F" w:rsidRPr="00B85AF8" w:rsidP="00B94F3F" w14:paraId="0C713C82" w14:textId="77777777">
            <w:pPr>
              <w:jc w:val="center"/>
              <w:rPr>
                <w:szCs w:val="20"/>
              </w:rPr>
            </w:pPr>
            <w:r w:rsidRPr="00B85AF8">
              <w:rPr>
                <w:szCs w:val="20"/>
              </w:rPr>
              <w:t>10,157</w:t>
            </w:r>
          </w:p>
        </w:tc>
      </w:tr>
      <w:tr w14:paraId="7E03ACCD" w14:textId="77777777" w:rsidTr="00B94F3F">
        <w:tblPrEx>
          <w:tblW w:w="8969" w:type="dxa"/>
          <w:tblLook w:val="04A0"/>
        </w:tblPrEx>
        <w:trPr>
          <w:trHeight w:val="1111"/>
          <w:tblHeader/>
        </w:trPr>
        <w:tc>
          <w:tcPr>
            <w:tcW w:w="1322" w:type="dxa"/>
          </w:tcPr>
          <w:p w:rsidR="00B94F3F" w:rsidRPr="00B85AF8" w:rsidP="00B94F3F" w14:paraId="5DAD0AE6" w14:textId="77777777">
            <w:pPr>
              <w:tabs>
                <w:tab w:val="left" w:pos="720"/>
              </w:tabs>
              <w:jc w:val="center"/>
              <w:rPr>
                <w:szCs w:val="20"/>
              </w:rPr>
            </w:pPr>
            <w:r w:rsidRPr="00B85AF8">
              <w:rPr>
                <w:szCs w:val="20"/>
              </w:rPr>
              <w:t>See ICR #7</w:t>
            </w:r>
          </w:p>
          <w:p w:rsidR="00B94F3F" w:rsidRPr="00B85AF8" w:rsidP="00A52F21" w14:paraId="475A1B4A" w14:textId="3C3548CD">
            <w:pPr>
              <w:tabs>
                <w:tab w:val="left" w:pos="720"/>
              </w:tabs>
              <w:jc w:val="center"/>
              <w:rPr>
                <w:szCs w:val="20"/>
              </w:rPr>
            </w:pPr>
            <w:r w:rsidRPr="00B85AF8">
              <w:rPr>
                <w:szCs w:val="20"/>
              </w:rPr>
              <w:t>(600.140(b) and 600.170(a)(2)</w:t>
            </w:r>
          </w:p>
        </w:tc>
        <w:tc>
          <w:tcPr>
            <w:tcW w:w="1153" w:type="dxa"/>
          </w:tcPr>
          <w:p w:rsidR="00B94F3F" w:rsidRPr="00B85AF8" w:rsidP="00B94F3F" w14:paraId="66D5CD0F" w14:textId="77777777">
            <w:pPr>
              <w:ind w:left="-123" w:right="-57"/>
              <w:jc w:val="center"/>
              <w:rPr>
                <w:szCs w:val="20"/>
              </w:rPr>
            </w:pPr>
            <w:r w:rsidRPr="00B85AF8">
              <w:rPr>
                <w:szCs w:val="20"/>
              </w:rPr>
              <w:t>2</w:t>
            </w:r>
          </w:p>
        </w:tc>
        <w:tc>
          <w:tcPr>
            <w:tcW w:w="1182" w:type="dxa"/>
          </w:tcPr>
          <w:p w:rsidR="00B94F3F" w:rsidRPr="00B85AF8" w:rsidP="00B94F3F" w14:paraId="332896DC" w14:textId="0D84E5F3">
            <w:pPr>
              <w:ind w:right="-48"/>
              <w:jc w:val="center"/>
              <w:rPr>
                <w:szCs w:val="20"/>
              </w:rPr>
            </w:pPr>
            <w:r>
              <w:rPr>
                <w:szCs w:val="20"/>
              </w:rPr>
              <w:t>20</w:t>
            </w:r>
          </w:p>
        </w:tc>
        <w:tc>
          <w:tcPr>
            <w:tcW w:w="1392" w:type="dxa"/>
          </w:tcPr>
          <w:p w:rsidR="00B94F3F" w:rsidRPr="00B85AF8" w:rsidP="00B94F3F" w14:paraId="37304AAB" w14:textId="77777777">
            <w:pPr>
              <w:ind w:right="-36"/>
              <w:jc w:val="center"/>
              <w:rPr>
                <w:szCs w:val="20"/>
              </w:rPr>
            </w:pPr>
            <w:r w:rsidRPr="00B85AF8">
              <w:rPr>
                <w:szCs w:val="20"/>
              </w:rPr>
              <w:t>Varies</w:t>
            </w:r>
          </w:p>
        </w:tc>
        <w:tc>
          <w:tcPr>
            <w:tcW w:w="957" w:type="dxa"/>
          </w:tcPr>
          <w:p w:rsidR="00B94F3F" w:rsidRPr="00B85AF8" w:rsidP="00B94F3F" w14:paraId="52AD464E" w14:textId="67A8C01E">
            <w:pPr>
              <w:tabs>
                <w:tab w:val="left" w:pos="720"/>
              </w:tabs>
              <w:ind w:right="-122"/>
              <w:jc w:val="center"/>
              <w:rPr>
                <w:szCs w:val="20"/>
              </w:rPr>
            </w:pPr>
            <w:r w:rsidRPr="00B85AF8">
              <w:rPr>
                <w:szCs w:val="20"/>
              </w:rPr>
              <w:t>584</w:t>
            </w:r>
            <w:r w:rsidRPr="00B85AF8" w:rsidR="00D7484B">
              <w:rPr>
                <w:szCs w:val="20"/>
              </w:rPr>
              <w:t xml:space="preserve"> (R)</w:t>
            </w:r>
          </w:p>
        </w:tc>
        <w:tc>
          <w:tcPr>
            <w:tcW w:w="846" w:type="dxa"/>
          </w:tcPr>
          <w:p w:rsidR="00B94F3F" w:rsidRPr="00B85AF8" w:rsidP="00B94F3F" w14:paraId="5C6F036A" w14:textId="77777777">
            <w:pPr>
              <w:ind w:right="-73"/>
              <w:jc w:val="center"/>
              <w:rPr>
                <w:szCs w:val="20"/>
              </w:rPr>
            </w:pPr>
            <w:r w:rsidRPr="00B85AF8">
              <w:rPr>
                <w:szCs w:val="20"/>
              </w:rPr>
              <w:t>Varies</w:t>
            </w:r>
          </w:p>
        </w:tc>
        <w:tc>
          <w:tcPr>
            <w:tcW w:w="2117" w:type="dxa"/>
          </w:tcPr>
          <w:p w:rsidR="00B94F3F" w:rsidRPr="00B85AF8" w:rsidP="00B94F3F" w14:paraId="29E2D49F" w14:textId="77777777">
            <w:pPr>
              <w:jc w:val="center"/>
              <w:rPr>
                <w:rFonts w:eastAsia="MS Mincho"/>
                <w:szCs w:val="20"/>
              </w:rPr>
            </w:pPr>
            <w:r w:rsidRPr="00B85AF8">
              <w:rPr>
                <w:rFonts w:eastAsia="MS Mincho"/>
                <w:szCs w:val="20"/>
              </w:rPr>
              <w:t>49,401</w:t>
            </w:r>
          </w:p>
        </w:tc>
      </w:tr>
      <w:tr w14:paraId="6FC592B8" w14:textId="77777777" w:rsidTr="00B94F3F">
        <w:tblPrEx>
          <w:tblW w:w="8969" w:type="dxa"/>
          <w:tblLook w:val="04A0"/>
        </w:tblPrEx>
        <w:trPr>
          <w:tblHeader/>
        </w:trPr>
        <w:tc>
          <w:tcPr>
            <w:tcW w:w="1322" w:type="dxa"/>
          </w:tcPr>
          <w:p w:rsidR="00B94F3F" w:rsidRPr="00B85AF8" w:rsidP="00B94F3F" w14:paraId="6E093AE4" w14:textId="77777777">
            <w:pPr>
              <w:tabs>
                <w:tab w:val="left" w:pos="720"/>
              </w:tabs>
              <w:jc w:val="center"/>
              <w:rPr>
                <w:szCs w:val="20"/>
              </w:rPr>
            </w:pPr>
            <w:r w:rsidRPr="00B85AF8">
              <w:rPr>
                <w:szCs w:val="20"/>
              </w:rPr>
              <w:t>TOTAL</w:t>
            </w:r>
          </w:p>
        </w:tc>
        <w:tc>
          <w:tcPr>
            <w:tcW w:w="1153" w:type="dxa"/>
          </w:tcPr>
          <w:p w:rsidR="00B94F3F" w:rsidRPr="00B85AF8" w:rsidP="00B94F3F" w14:paraId="732537EF" w14:textId="77777777">
            <w:pPr>
              <w:ind w:left="-123" w:right="-57"/>
              <w:jc w:val="center"/>
              <w:rPr>
                <w:szCs w:val="20"/>
              </w:rPr>
            </w:pPr>
            <w:r w:rsidRPr="00B85AF8">
              <w:rPr>
                <w:szCs w:val="20"/>
              </w:rPr>
              <w:t>2</w:t>
            </w:r>
          </w:p>
        </w:tc>
        <w:tc>
          <w:tcPr>
            <w:tcW w:w="1182" w:type="dxa"/>
          </w:tcPr>
          <w:p w:rsidR="00B94F3F" w:rsidRPr="00B85AF8" w:rsidP="00B94F3F" w14:paraId="75DFB672" w14:textId="5A9E6075">
            <w:pPr>
              <w:ind w:right="-48"/>
              <w:jc w:val="center"/>
              <w:rPr>
                <w:szCs w:val="20"/>
              </w:rPr>
            </w:pPr>
            <w:r w:rsidRPr="00B85AF8">
              <w:rPr>
                <w:szCs w:val="20"/>
              </w:rPr>
              <w:t>4</w:t>
            </w:r>
            <w:r w:rsidR="00100420">
              <w:rPr>
                <w:szCs w:val="20"/>
              </w:rPr>
              <w:t>7</w:t>
            </w:r>
          </w:p>
        </w:tc>
        <w:tc>
          <w:tcPr>
            <w:tcW w:w="1392" w:type="dxa"/>
          </w:tcPr>
          <w:p w:rsidR="00B94F3F" w:rsidRPr="00B85AF8" w:rsidP="00B94F3F" w14:paraId="22671F8A" w14:textId="77777777">
            <w:pPr>
              <w:ind w:right="-36"/>
              <w:jc w:val="center"/>
              <w:rPr>
                <w:szCs w:val="20"/>
              </w:rPr>
            </w:pPr>
            <w:r w:rsidRPr="00B85AF8">
              <w:rPr>
                <w:szCs w:val="20"/>
              </w:rPr>
              <w:t>Varies</w:t>
            </w:r>
          </w:p>
        </w:tc>
        <w:tc>
          <w:tcPr>
            <w:tcW w:w="957" w:type="dxa"/>
          </w:tcPr>
          <w:p w:rsidR="00B94F3F" w:rsidRPr="00B85AF8" w:rsidP="00B94F3F" w14:paraId="6931A8CD" w14:textId="77777777">
            <w:pPr>
              <w:tabs>
                <w:tab w:val="left" w:pos="720"/>
              </w:tabs>
              <w:ind w:right="-122"/>
              <w:jc w:val="center"/>
              <w:rPr>
                <w:szCs w:val="20"/>
              </w:rPr>
            </w:pPr>
            <w:r w:rsidRPr="00B85AF8">
              <w:rPr>
                <w:szCs w:val="20"/>
              </w:rPr>
              <w:t>3,172</w:t>
            </w:r>
          </w:p>
        </w:tc>
        <w:tc>
          <w:tcPr>
            <w:tcW w:w="846" w:type="dxa"/>
          </w:tcPr>
          <w:p w:rsidR="00B94F3F" w:rsidRPr="00B85AF8" w:rsidP="00B94F3F" w14:paraId="3125BF1A" w14:textId="77777777">
            <w:pPr>
              <w:ind w:right="-73"/>
              <w:jc w:val="center"/>
              <w:rPr>
                <w:szCs w:val="20"/>
              </w:rPr>
            </w:pPr>
            <w:r w:rsidRPr="00B85AF8">
              <w:rPr>
                <w:szCs w:val="20"/>
              </w:rPr>
              <w:t>Varies</w:t>
            </w:r>
          </w:p>
        </w:tc>
        <w:tc>
          <w:tcPr>
            <w:tcW w:w="2117" w:type="dxa"/>
          </w:tcPr>
          <w:p w:rsidR="00B94F3F" w:rsidRPr="00B85AF8" w:rsidP="007350C5" w14:paraId="6204DE00" w14:textId="6B5D49F5">
            <w:pPr>
              <w:jc w:val="center"/>
              <w:rPr>
                <w:rFonts w:eastAsia="MS Mincho"/>
                <w:szCs w:val="20"/>
              </w:rPr>
            </w:pPr>
            <w:r w:rsidRPr="00B85AF8">
              <w:rPr>
                <w:rFonts w:eastAsia="MS Mincho"/>
                <w:szCs w:val="20"/>
              </w:rPr>
              <w:t>$</w:t>
            </w:r>
            <w:r w:rsidRPr="00B85AF8">
              <w:rPr>
                <w:color w:val="000000"/>
                <w:szCs w:val="20"/>
              </w:rPr>
              <w:t xml:space="preserve">263,601 </w:t>
            </w:r>
          </w:p>
        </w:tc>
      </w:tr>
    </w:tbl>
    <w:p w:rsidR="00C41CB0" w:rsidRPr="00B658D4" w:rsidP="001432F6" w14:paraId="1086CACC" w14:textId="256D8B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18"/>
          <w:szCs w:val="18"/>
        </w:rPr>
      </w:pPr>
      <w:r w:rsidRPr="00B658D4">
        <w:rPr>
          <w:i/>
          <w:sz w:val="18"/>
          <w:szCs w:val="18"/>
        </w:rPr>
        <w:t>* Reporting</w:t>
      </w:r>
    </w:p>
    <w:p w:rsidR="00B658D4" w:rsidRPr="00B85AF8" w:rsidP="001432F6" w14:paraId="03E612D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rsidR="00336692" w:rsidRPr="00B85AF8" w:rsidP="001432F6" w14:paraId="04344973" w14:textId="2A4E75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B85AF8">
        <w:rPr>
          <w:i/>
          <w:sz w:val="24"/>
        </w:rPr>
        <w:t>Collection of Information Instrument and Instruction Materials</w:t>
      </w:r>
    </w:p>
    <w:p w:rsidR="00CD7E5B" w:rsidRPr="00B85AF8" w:rsidP="001432F6" w14:paraId="64F266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sz w:val="24"/>
        </w:rPr>
      </w:pPr>
    </w:p>
    <w:p w:rsidR="003E47B2" w:rsidRPr="00B85AF8" w:rsidP="00DF2623" w14:paraId="4265EA2D" w14:textId="606DF768">
      <w:pPr>
        <w:numPr>
          <w:ilvl w:val="0"/>
          <w:numId w:val="2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BHP Blueprint (</w:t>
      </w:r>
      <w:r w:rsidRPr="00B85AF8" w:rsidR="00EC5665">
        <w:rPr>
          <w:sz w:val="24"/>
        </w:rPr>
        <w:t>no change to the instrument and instruction materials</w:t>
      </w:r>
      <w:r w:rsidRPr="00B85AF8" w:rsidR="00C51588">
        <w:rPr>
          <w:sz w:val="24"/>
        </w:rPr>
        <w:t>, see ICR #</w:t>
      </w:r>
      <w:r w:rsidRPr="00B85AF8" w:rsidR="008F3D19">
        <w:rPr>
          <w:sz w:val="24"/>
        </w:rPr>
        <w:t>1</w:t>
      </w:r>
      <w:r w:rsidRPr="00B85AF8">
        <w:rPr>
          <w:sz w:val="24"/>
        </w:rPr>
        <w:t>)</w:t>
      </w:r>
    </w:p>
    <w:p w:rsidR="003E47B2" w:rsidRPr="00B85AF8" w:rsidP="00DF2623" w14:paraId="5AD59A43" w14:textId="60E4B03B">
      <w:pPr>
        <w:numPr>
          <w:ilvl w:val="0"/>
          <w:numId w:val="2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BHP Annual Report (</w:t>
      </w:r>
      <w:r w:rsidRPr="00B85AF8" w:rsidR="002060CE">
        <w:rPr>
          <w:sz w:val="24"/>
        </w:rPr>
        <w:t>no change to</w:t>
      </w:r>
      <w:r w:rsidRPr="00B85AF8" w:rsidR="00C51588">
        <w:rPr>
          <w:sz w:val="24"/>
        </w:rPr>
        <w:t xml:space="preserve"> ICR #</w:t>
      </w:r>
      <w:r w:rsidRPr="00B85AF8" w:rsidR="008F3D19">
        <w:rPr>
          <w:sz w:val="24"/>
        </w:rPr>
        <w:t>2</w:t>
      </w:r>
      <w:r w:rsidRPr="00B85AF8">
        <w:rPr>
          <w:sz w:val="24"/>
        </w:rPr>
        <w:t>)</w:t>
      </w:r>
    </w:p>
    <w:p w:rsidR="003E47B2" w:rsidRPr="00B85AF8" w:rsidP="00DF2623" w14:paraId="4F8BD4FB" w14:textId="636C4FB9">
      <w:pPr>
        <w:numPr>
          <w:ilvl w:val="0"/>
          <w:numId w:val="2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State Report for Health Insurance Exchange Premiums</w:t>
      </w:r>
      <w:r w:rsidRPr="00B85AF8" w:rsidR="00EB7161">
        <w:rPr>
          <w:sz w:val="24"/>
        </w:rPr>
        <w:t xml:space="preserve"> (</w:t>
      </w:r>
      <w:r w:rsidRPr="00B85AF8" w:rsidR="005A1260">
        <w:rPr>
          <w:sz w:val="24"/>
        </w:rPr>
        <w:t>no change</w:t>
      </w:r>
      <w:r w:rsidRPr="00B85AF8" w:rsidR="00C51588">
        <w:rPr>
          <w:sz w:val="24"/>
        </w:rPr>
        <w:t xml:space="preserve"> </w:t>
      </w:r>
      <w:r w:rsidRPr="00B85AF8" w:rsidR="005A1260">
        <w:rPr>
          <w:sz w:val="24"/>
        </w:rPr>
        <w:t xml:space="preserve">to </w:t>
      </w:r>
      <w:r w:rsidRPr="00B85AF8" w:rsidR="00C51588">
        <w:rPr>
          <w:sz w:val="24"/>
        </w:rPr>
        <w:t>ICR #</w:t>
      </w:r>
      <w:r w:rsidRPr="00B85AF8" w:rsidR="008F3D19">
        <w:rPr>
          <w:sz w:val="24"/>
        </w:rPr>
        <w:t>4</w:t>
      </w:r>
      <w:r w:rsidRPr="00B85AF8" w:rsidR="00EB7161">
        <w:rPr>
          <w:sz w:val="24"/>
        </w:rPr>
        <w:t>)</w:t>
      </w:r>
    </w:p>
    <w:p w:rsidR="005A284D" w:rsidRPr="00B85AF8" w:rsidP="00DF2623" w14:paraId="5A3F19CE" w14:textId="6C5A5980">
      <w:pPr>
        <w:numPr>
          <w:ilvl w:val="0"/>
          <w:numId w:val="2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Enrollment Data Guide (</w:t>
      </w:r>
      <w:r w:rsidRPr="00B85AF8" w:rsidR="005A1260">
        <w:rPr>
          <w:sz w:val="24"/>
        </w:rPr>
        <w:t>no change to</w:t>
      </w:r>
      <w:r w:rsidRPr="00B85AF8" w:rsidR="00C51588">
        <w:rPr>
          <w:sz w:val="24"/>
        </w:rPr>
        <w:t xml:space="preserve"> ICR #</w:t>
      </w:r>
      <w:r w:rsidRPr="00B85AF8" w:rsidR="00445308">
        <w:rPr>
          <w:sz w:val="24"/>
        </w:rPr>
        <w:t>3</w:t>
      </w:r>
      <w:r w:rsidRPr="00B85AF8">
        <w:rPr>
          <w:sz w:val="24"/>
        </w:rPr>
        <w:t>)</w:t>
      </w:r>
    </w:p>
    <w:p w:rsidR="005A284D" w:rsidRPr="00B85AF8" w:rsidP="00CE7467" w14:paraId="7A7A82E5" w14:textId="3978F1B2">
      <w:pPr>
        <w:numPr>
          <w:ilvl w:val="0"/>
          <w:numId w:val="2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Actual Enrollment Data Sample Spreadsheet (</w:t>
      </w:r>
      <w:r w:rsidRPr="00B85AF8" w:rsidR="005A1260">
        <w:rPr>
          <w:sz w:val="24"/>
        </w:rPr>
        <w:t>no change to</w:t>
      </w:r>
      <w:r w:rsidRPr="00B85AF8" w:rsidR="00E54003">
        <w:rPr>
          <w:sz w:val="24"/>
        </w:rPr>
        <w:t xml:space="preserve"> </w:t>
      </w:r>
      <w:r w:rsidRPr="00B85AF8" w:rsidR="00C51588">
        <w:rPr>
          <w:sz w:val="24"/>
        </w:rPr>
        <w:t>ICR #</w:t>
      </w:r>
      <w:r w:rsidRPr="00B85AF8" w:rsidR="00445308">
        <w:rPr>
          <w:sz w:val="24"/>
        </w:rPr>
        <w:t>3</w:t>
      </w:r>
      <w:r w:rsidRPr="00B85AF8">
        <w:rPr>
          <w:sz w:val="24"/>
        </w:rPr>
        <w:t>)</w:t>
      </w:r>
    </w:p>
    <w:p w:rsidR="00336692" w:rsidRPr="00B85AF8" w:rsidP="00CC1BE3" w14:paraId="1E615742" w14:textId="182A0183">
      <w:pPr>
        <w:pStyle w:val="ListParagraph"/>
        <w:numPr>
          <w:ilvl w:val="0"/>
          <w:numId w:val="26"/>
        </w:numPr>
        <w:rPr>
          <w:sz w:val="24"/>
        </w:rPr>
      </w:pPr>
      <w:r w:rsidRPr="00B85AF8">
        <w:rPr>
          <w:sz w:val="24"/>
        </w:rPr>
        <w:t xml:space="preserve">BHP </w:t>
      </w:r>
      <w:r w:rsidRPr="00B85AF8" w:rsidR="002060CE">
        <w:rPr>
          <w:sz w:val="24"/>
        </w:rPr>
        <w:t xml:space="preserve">Suspension </w:t>
      </w:r>
      <w:r w:rsidRPr="00B85AF8">
        <w:rPr>
          <w:sz w:val="24"/>
        </w:rPr>
        <w:t>Instrument</w:t>
      </w:r>
      <w:r w:rsidRPr="00B85AF8" w:rsidR="00EC5665">
        <w:rPr>
          <w:sz w:val="24"/>
        </w:rPr>
        <w:t xml:space="preserve"> </w:t>
      </w:r>
      <w:r w:rsidRPr="00B85AF8" w:rsidR="002060CE">
        <w:rPr>
          <w:sz w:val="24"/>
        </w:rPr>
        <w:t>(addition, see ICR #</w:t>
      </w:r>
      <w:r w:rsidRPr="00B85AF8" w:rsidR="00C41CB0">
        <w:rPr>
          <w:sz w:val="24"/>
        </w:rPr>
        <w:t>7</w:t>
      </w:r>
      <w:r w:rsidRPr="00B85AF8" w:rsidR="002060CE">
        <w:rPr>
          <w:sz w:val="24"/>
        </w:rPr>
        <w:t>)</w:t>
      </w:r>
      <w:r w:rsidRPr="00B85AF8" w:rsidR="00EC5665">
        <w:rPr>
          <w:sz w:val="24"/>
        </w:rPr>
        <w:t xml:space="preserve"> The </w:t>
      </w:r>
      <w:r w:rsidRPr="00B85AF8">
        <w:rPr>
          <w:sz w:val="24"/>
        </w:rPr>
        <w:t xml:space="preserve">instrument and instruction materials for a BHP </w:t>
      </w:r>
      <w:r w:rsidRPr="00B85AF8" w:rsidR="00EC5665">
        <w:rPr>
          <w:sz w:val="24"/>
        </w:rPr>
        <w:t xml:space="preserve">Suspension </w:t>
      </w:r>
      <w:r w:rsidRPr="00B85AF8">
        <w:rPr>
          <w:sz w:val="24"/>
        </w:rPr>
        <w:t>are still under development</w:t>
      </w:r>
      <w:r w:rsidRPr="00B85AF8" w:rsidR="008665D5">
        <w:rPr>
          <w:sz w:val="24"/>
        </w:rPr>
        <w:t xml:space="preserve">. </w:t>
      </w:r>
      <w:r w:rsidRPr="00B85AF8">
        <w:rPr>
          <w:sz w:val="24"/>
        </w:rPr>
        <w:t>BHP Suspension materials will be made available for public review and comment thr</w:t>
      </w:r>
      <w:r w:rsidRPr="00B85AF8" w:rsidR="008665D5">
        <w:rPr>
          <w:sz w:val="24"/>
        </w:rPr>
        <w:t>ough</w:t>
      </w:r>
      <w:r w:rsidRPr="00B85AF8">
        <w:rPr>
          <w:sz w:val="24"/>
        </w:rPr>
        <w:t xml:space="preserve"> the Federal Register </w:t>
      </w:r>
      <w:r w:rsidRPr="00B85AF8" w:rsidR="008665D5">
        <w:rPr>
          <w:sz w:val="24"/>
        </w:rPr>
        <w:t xml:space="preserve">in 2024. </w:t>
      </w:r>
    </w:p>
    <w:p w:rsidR="00CC1BE3" w:rsidRPr="00B85AF8" w:rsidP="00F70077" w14:paraId="2E24E4F0" w14:textId="77777777">
      <w:pPr>
        <w:pStyle w:val="ListParagraph"/>
      </w:pPr>
    </w:p>
    <w:p w:rsidR="008F1EB4" w:rsidRPr="00B85AF8" w14:paraId="175D365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13.</w:t>
      </w:r>
      <w:r w:rsidRPr="00B85AF8">
        <w:rPr>
          <w:sz w:val="24"/>
        </w:rPr>
        <w:tab/>
      </w:r>
      <w:r w:rsidRPr="00B85AF8">
        <w:rPr>
          <w:sz w:val="24"/>
          <w:u w:val="single"/>
        </w:rPr>
        <w:t>Capital Costs</w:t>
      </w:r>
    </w:p>
    <w:p w:rsidR="008F1EB4" w:rsidRPr="00B85AF8" w14:paraId="6DFAD7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96E9A" w:rsidRPr="00B85AF8" w:rsidP="005618C5" w14:paraId="4B1A50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There are no start-up costs associated with this information collection</w:t>
      </w:r>
      <w:r w:rsidRPr="00B85AF8" w:rsidR="002D3612">
        <w:rPr>
          <w:sz w:val="24"/>
        </w:rPr>
        <w:t xml:space="preserve"> or revision</w:t>
      </w:r>
      <w:r w:rsidRPr="00B85AF8">
        <w:rPr>
          <w:sz w:val="24"/>
        </w:rPr>
        <w:t>.</w:t>
      </w:r>
    </w:p>
    <w:p w:rsidR="00C865C4" w:rsidRPr="00B85AF8" w14:paraId="4B8622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14:paraId="73E5CA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B85AF8">
        <w:rPr>
          <w:sz w:val="24"/>
        </w:rPr>
        <w:t>14.</w:t>
      </w:r>
      <w:r w:rsidRPr="00B85AF8">
        <w:rPr>
          <w:sz w:val="24"/>
        </w:rPr>
        <w:tab/>
      </w:r>
      <w:r w:rsidRPr="00B85AF8">
        <w:rPr>
          <w:sz w:val="24"/>
          <w:u w:val="single"/>
        </w:rPr>
        <w:t>Cost to Federal Government</w:t>
      </w:r>
      <w:r w:rsidRPr="00B85AF8" w:rsidR="00A32C68">
        <w:rPr>
          <w:sz w:val="24"/>
          <w:u w:val="single"/>
        </w:rPr>
        <w:t xml:space="preserve"> </w:t>
      </w:r>
    </w:p>
    <w:p w:rsidR="00A565B0" w:rsidRPr="00B85AF8" w14:paraId="5194DB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247046" w:rsidRPr="00B85AF8" w:rsidP="005618C5" w14:paraId="56B28DE2" w14:textId="7DB922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federal government is incurring annualized cost to provide technical assistance to states on the information collected and to review the information collected. To calculate the annualized cost, a GS level was identified commensurate with the level of GS that normally handles these activities.  The hourly wage associated with each GS level was selected from the Office of Personal Management’s Federal Employment Hourly Rate Table, General Schedule,</w:t>
      </w:r>
      <w:r w:rsidRPr="00B85AF8" w:rsidR="00CB1E0E">
        <w:rPr>
          <w:sz w:val="24"/>
        </w:rPr>
        <w:t xml:space="preserve"> for the locality pay area of Washington-Baltimore-Arlington,</w:t>
      </w:r>
      <w:r w:rsidRPr="00B85AF8">
        <w:rPr>
          <w:sz w:val="24"/>
        </w:rPr>
        <w:t xml:space="preserve"> for </w:t>
      </w:r>
      <w:r w:rsidRPr="00B85AF8" w:rsidR="007C0B9C">
        <w:rPr>
          <w:sz w:val="24"/>
        </w:rPr>
        <w:t>2023</w:t>
      </w:r>
      <w:r w:rsidRPr="00B85AF8">
        <w:rPr>
          <w:sz w:val="24"/>
        </w:rPr>
        <w:t xml:space="preserve">.  Each hourly wage was adjusted to provide a 35 percent overhead rate.  </w:t>
      </w:r>
      <w:r w:rsidRPr="00B85AF8" w:rsidR="00440BAC">
        <w:rPr>
          <w:sz w:val="24"/>
        </w:rPr>
        <w:t xml:space="preserve">As presented in </w:t>
      </w:r>
      <w:r w:rsidRPr="00B85AF8" w:rsidR="00321370">
        <w:rPr>
          <w:sz w:val="24"/>
        </w:rPr>
        <w:t>the following t</w:t>
      </w:r>
      <w:r w:rsidRPr="00B85AF8">
        <w:rPr>
          <w:sz w:val="24"/>
        </w:rPr>
        <w:t xml:space="preserve">able </w:t>
      </w:r>
      <w:r w:rsidRPr="00B85AF8" w:rsidR="00440BAC">
        <w:rPr>
          <w:sz w:val="24"/>
        </w:rPr>
        <w:t xml:space="preserve">the total annualized cost to the federal government for this information collection is </w:t>
      </w:r>
      <w:r w:rsidRPr="00B85AF8" w:rsidR="00A7549A">
        <w:rPr>
          <w:sz w:val="24"/>
        </w:rPr>
        <w:t>$</w:t>
      </w:r>
      <w:r w:rsidRPr="00B85AF8" w:rsidR="00C04DA6">
        <w:rPr>
          <w:sz w:val="24"/>
        </w:rPr>
        <w:t>93,869.39</w:t>
      </w:r>
      <w:r w:rsidRPr="00B85AF8" w:rsidR="00A7549A">
        <w:rPr>
          <w:sz w:val="24"/>
        </w:rPr>
        <w:t>.</w:t>
      </w:r>
    </w:p>
    <w:p w:rsidR="007C5E27" w:rsidRPr="00B85AF8" w:rsidP="00CE7467" w14:paraId="2B305735" w14:textId="788E43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C5E27" w:rsidRPr="00B85AF8" w:rsidP="005618C5" w14:paraId="04C533E2" w14:textId="6B0702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revision does not create any new or additional costs for the federal government.</w:t>
      </w:r>
      <w:r w:rsidRPr="00B85AF8" w:rsidR="000E0F0D">
        <w:rPr>
          <w:sz w:val="24"/>
        </w:rPr>
        <w:t xml:space="preserve"> This is only updated to reflect 2023 wages.</w:t>
      </w:r>
    </w:p>
    <w:p w:rsidR="00247046" w:rsidRPr="00B85AF8" w:rsidP="00247046" w14:paraId="1AF9F4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1686"/>
        <w:gridCol w:w="1550"/>
        <w:gridCol w:w="1814"/>
        <w:gridCol w:w="2141"/>
      </w:tblGrid>
      <w:tr w14:paraId="38D40F02" w14:textId="77777777" w:rsidTr="005618C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54" w:type="dxa"/>
            <w:shd w:val="clear" w:color="auto" w:fill="auto"/>
          </w:tcPr>
          <w:p w:rsidR="00CB512E" w:rsidRPr="00B85AF8" w:rsidP="00910ADF" w14:paraId="0218B9AA" w14:textId="427D32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B512E" w:rsidRPr="00B85AF8" w:rsidP="00910ADF" w14:paraId="099770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Federal Activity</w:t>
            </w:r>
          </w:p>
        </w:tc>
        <w:tc>
          <w:tcPr>
            <w:tcW w:w="1728" w:type="dxa"/>
            <w:shd w:val="clear" w:color="auto" w:fill="auto"/>
          </w:tcPr>
          <w:p w:rsidR="00CB512E" w:rsidRPr="00B85AF8" w:rsidP="00910ADF" w14:paraId="11BFB1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 Hours per response</w:t>
            </w:r>
          </w:p>
        </w:tc>
        <w:tc>
          <w:tcPr>
            <w:tcW w:w="1580" w:type="dxa"/>
          </w:tcPr>
          <w:p w:rsidR="00CB512E" w:rsidRPr="00B85AF8" w:rsidP="00910ADF" w14:paraId="01F73E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Total number of instances, annually</w:t>
            </w:r>
          </w:p>
        </w:tc>
        <w:tc>
          <w:tcPr>
            <w:tcW w:w="1854" w:type="dxa"/>
            <w:shd w:val="clear" w:color="auto" w:fill="auto"/>
          </w:tcPr>
          <w:p w:rsidR="00CB512E" w:rsidRPr="00B85AF8" w:rsidP="00910ADF" w14:paraId="051E59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 xml:space="preserve">GS level-Step : </w:t>
            </w:r>
          </w:p>
          <w:p w:rsidR="00CB512E" w:rsidRPr="00B85AF8" w:rsidP="00910ADF" w14:paraId="785931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Hourly Wage x 35 % per Response</w:t>
            </w:r>
          </w:p>
        </w:tc>
        <w:tc>
          <w:tcPr>
            <w:tcW w:w="2196" w:type="dxa"/>
            <w:shd w:val="clear" w:color="auto" w:fill="auto"/>
          </w:tcPr>
          <w:p w:rsidR="00CB512E" w:rsidRPr="00B85AF8" w:rsidP="00910ADF" w14:paraId="10D0E4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Annualized Cost</w:t>
            </w:r>
          </w:p>
        </w:tc>
      </w:tr>
      <w:tr w14:paraId="65A83728" w14:textId="77777777" w:rsidTr="005618C5">
        <w:tblPrEx>
          <w:tblW w:w="0" w:type="auto"/>
          <w:tblInd w:w="108" w:type="dxa"/>
          <w:tblLook w:val="04A0"/>
        </w:tblPrEx>
        <w:tc>
          <w:tcPr>
            <w:tcW w:w="2254" w:type="dxa"/>
            <w:shd w:val="clear" w:color="auto" w:fill="auto"/>
          </w:tcPr>
          <w:p w:rsidR="00CB512E" w:rsidRPr="00B85AF8" w:rsidP="00910ADF" w14:paraId="3A5084D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Review initial Blueprint</w:t>
            </w:r>
          </w:p>
        </w:tc>
        <w:tc>
          <w:tcPr>
            <w:tcW w:w="1728" w:type="dxa"/>
            <w:shd w:val="clear" w:color="auto" w:fill="auto"/>
          </w:tcPr>
          <w:p w:rsidR="00CB512E" w:rsidRPr="00B85AF8" w:rsidP="00910ADF" w14:paraId="3E03E52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80</w:t>
            </w:r>
          </w:p>
        </w:tc>
        <w:tc>
          <w:tcPr>
            <w:tcW w:w="1580" w:type="dxa"/>
          </w:tcPr>
          <w:p w:rsidR="00CB512E" w:rsidRPr="00B85AF8" w:rsidP="00910ADF" w14:paraId="367B99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w:t>
            </w:r>
          </w:p>
        </w:tc>
        <w:tc>
          <w:tcPr>
            <w:tcW w:w="1854" w:type="dxa"/>
            <w:shd w:val="clear" w:color="auto" w:fill="auto"/>
          </w:tcPr>
          <w:p w:rsidR="006E2251" w:rsidRPr="00B85AF8" w:rsidP="00034594" w14:paraId="48A7B64C" w14:textId="40FFD2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w:t>
            </w:r>
            <w:r w:rsidRPr="00B85AF8" w:rsidR="006B4F15">
              <w:rPr>
                <w:szCs w:val="20"/>
              </w:rPr>
              <w:t xml:space="preserve"> </w:t>
            </w:r>
            <w:r w:rsidRPr="00B85AF8">
              <w:rPr>
                <w:szCs w:val="20"/>
              </w:rPr>
              <w:t>1</w:t>
            </w:r>
            <w:r w:rsidRPr="00B85AF8" w:rsidR="00CB1E0E">
              <w:rPr>
                <w:szCs w:val="20"/>
              </w:rPr>
              <w:t>4</w:t>
            </w:r>
            <w:r w:rsidRPr="00B85AF8">
              <w:rPr>
                <w:szCs w:val="20"/>
              </w:rPr>
              <w:t>-1:</w:t>
            </w:r>
            <w:r w:rsidRPr="00B85AF8" w:rsidR="00CB1E0E">
              <w:rPr>
                <w:szCs w:val="20"/>
              </w:rPr>
              <w:t xml:space="preserve"> </w:t>
            </w:r>
            <w:r w:rsidRPr="00B85AF8" w:rsidR="006B4F15">
              <w:rPr>
                <w:szCs w:val="20"/>
              </w:rPr>
              <w:t>$</w:t>
            </w:r>
            <w:r w:rsidRPr="00B85AF8">
              <w:rPr>
                <w:szCs w:val="20"/>
              </w:rPr>
              <w:t>85.63</w:t>
            </w:r>
          </w:p>
          <w:p w:rsidR="00CB512E" w:rsidRPr="00B85AF8" w:rsidP="00034594" w14:paraId="3EA9BB44" w14:textId="534993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w:t>
            </w:r>
            <w:r w:rsidRPr="00B85AF8">
              <w:rPr>
                <w:szCs w:val="20"/>
              </w:rPr>
              <w:t>hr</w:t>
            </w:r>
          </w:p>
        </w:tc>
        <w:tc>
          <w:tcPr>
            <w:tcW w:w="2196" w:type="dxa"/>
            <w:shd w:val="clear" w:color="auto" w:fill="auto"/>
          </w:tcPr>
          <w:p w:rsidR="00CB512E" w:rsidRPr="00B85AF8" w:rsidP="00910ADF" w14:paraId="1081FBDE" w14:textId="314A4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$6,</w:t>
            </w:r>
            <w:r w:rsidRPr="00B85AF8" w:rsidR="006E2251">
              <w:rPr>
                <w:szCs w:val="20"/>
              </w:rPr>
              <w:t>850.44</w:t>
            </w:r>
          </w:p>
        </w:tc>
      </w:tr>
      <w:tr w14:paraId="5816C4B2" w14:textId="77777777" w:rsidTr="005618C5">
        <w:tblPrEx>
          <w:tblW w:w="0" w:type="auto"/>
          <w:tblInd w:w="108" w:type="dxa"/>
          <w:tblLook w:val="04A0"/>
        </w:tblPrEx>
        <w:tc>
          <w:tcPr>
            <w:tcW w:w="2254" w:type="dxa"/>
            <w:shd w:val="clear" w:color="auto" w:fill="auto"/>
          </w:tcPr>
          <w:p w:rsidR="00CB512E" w:rsidRPr="00B85AF8" w:rsidP="00910ADF" w14:paraId="0158EC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 xml:space="preserve">Review Blueprint </w:t>
            </w:r>
            <w:r w:rsidRPr="00B85AF8">
              <w:rPr>
                <w:szCs w:val="20"/>
              </w:rPr>
              <w:t>revisions</w:t>
            </w:r>
          </w:p>
        </w:tc>
        <w:tc>
          <w:tcPr>
            <w:tcW w:w="1728" w:type="dxa"/>
            <w:shd w:val="clear" w:color="auto" w:fill="auto"/>
          </w:tcPr>
          <w:p w:rsidR="00CB512E" w:rsidRPr="00B85AF8" w:rsidP="00910ADF" w14:paraId="4B7A69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16</w:t>
            </w:r>
          </w:p>
        </w:tc>
        <w:tc>
          <w:tcPr>
            <w:tcW w:w="1580" w:type="dxa"/>
          </w:tcPr>
          <w:p w:rsidR="00CB512E" w:rsidRPr="00B85AF8" w:rsidP="00910ADF" w14:paraId="32320A9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2</w:t>
            </w:r>
          </w:p>
        </w:tc>
        <w:tc>
          <w:tcPr>
            <w:tcW w:w="1854" w:type="dxa"/>
            <w:shd w:val="clear" w:color="auto" w:fill="auto"/>
          </w:tcPr>
          <w:p w:rsidR="00CB512E" w:rsidRPr="00B85AF8" w:rsidP="00034594" w14:paraId="44CE3440" w14:textId="3AED09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w:t>
            </w:r>
            <w:r w:rsidRPr="00B85AF8" w:rsidR="006B4F15">
              <w:rPr>
                <w:szCs w:val="20"/>
              </w:rPr>
              <w:t xml:space="preserve"> </w:t>
            </w:r>
            <w:r w:rsidRPr="00B85AF8">
              <w:rPr>
                <w:szCs w:val="20"/>
              </w:rPr>
              <w:t xml:space="preserve">13-1: </w:t>
            </w:r>
            <w:r w:rsidRPr="00B85AF8" w:rsidR="00CB1E0E">
              <w:rPr>
                <w:szCs w:val="20"/>
              </w:rPr>
              <w:t xml:space="preserve"> </w:t>
            </w:r>
            <w:r w:rsidRPr="00B85AF8" w:rsidR="006B4F15">
              <w:rPr>
                <w:szCs w:val="20"/>
              </w:rPr>
              <w:t>$</w:t>
            </w:r>
            <w:r w:rsidRPr="00B85AF8" w:rsidR="006E2251">
              <w:rPr>
                <w:szCs w:val="20"/>
              </w:rPr>
              <w:t>72.45</w:t>
            </w:r>
            <w:r w:rsidRPr="00B85AF8" w:rsidR="002847DE">
              <w:rPr>
                <w:szCs w:val="20"/>
              </w:rPr>
              <w:t>/</w:t>
            </w:r>
            <w:r w:rsidRPr="00B85AF8" w:rsidR="002847DE">
              <w:rPr>
                <w:szCs w:val="20"/>
              </w:rPr>
              <w:t>hr</w:t>
            </w:r>
          </w:p>
        </w:tc>
        <w:tc>
          <w:tcPr>
            <w:tcW w:w="2196" w:type="dxa"/>
            <w:shd w:val="clear" w:color="auto" w:fill="auto"/>
          </w:tcPr>
          <w:p w:rsidR="00CB512E" w:rsidRPr="00B85AF8" w:rsidP="00910ADF" w14:paraId="35B767D2" w14:textId="32867D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$2,</w:t>
            </w:r>
            <w:r w:rsidRPr="00B85AF8" w:rsidR="006E2251">
              <w:rPr>
                <w:szCs w:val="20"/>
              </w:rPr>
              <w:t>318.54</w:t>
            </w:r>
          </w:p>
        </w:tc>
      </w:tr>
      <w:tr w14:paraId="63A3C079" w14:textId="77777777" w:rsidTr="005618C5">
        <w:tblPrEx>
          <w:tblW w:w="0" w:type="auto"/>
          <w:tblInd w:w="108" w:type="dxa"/>
          <w:tblLook w:val="04A0"/>
        </w:tblPrEx>
        <w:tc>
          <w:tcPr>
            <w:tcW w:w="2254" w:type="dxa"/>
            <w:shd w:val="clear" w:color="auto" w:fill="auto"/>
          </w:tcPr>
          <w:p w:rsidR="00CB512E" w:rsidRPr="00B85AF8" w:rsidP="00910ADF" w14:paraId="7C84BF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Review annual report</w:t>
            </w:r>
          </w:p>
        </w:tc>
        <w:tc>
          <w:tcPr>
            <w:tcW w:w="1728" w:type="dxa"/>
            <w:shd w:val="clear" w:color="auto" w:fill="auto"/>
          </w:tcPr>
          <w:p w:rsidR="00CB512E" w:rsidRPr="00B85AF8" w:rsidP="00910ADF" w14:paraId="0BB72F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16</w:t>
            </w:r>
          </w:p>
        </w:tc>
        <w:tc>
          <w:tcPr>
            <w:tcW w:w="1580" w:type="dxa"/>
          </w:tcPr>
          <w:p w:rsidR="00CB512E" w:rsidRPr="00B85AF8" w:rsidP="00910ADF" w14:paraId="0DAF59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2</w:t>
            </w:r>
          </w:p>
        </w:tc>
        <w:tc>
          <w:tcPr>
            <w:tcW w:w="1854" w:type="dxa"/>
            <w:shd w:val="clear" w:color="auto" w:fill="auto"/>
          </w:tcPr>
          <w:p w:rsidR="00CB512E" w:rsidRPr="00B85AF8" w:rsidP="00034594" w14:paraId="1B17B5A7" w14:textId="6C8217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 13-1:</w:t>
            </w:r>
            <w:r w:rsidRPr="00B85AF8" w:rsidR="00CB1E0E">
              <w:rPr>
                <w:szCs w:val="20"/>
              </w:rPr>
              <w:t xml:space="preserve"> </w:t>
            </w:r>
            <w:r w:rsidRPr="00B85AF8" w:rsidR="006B4F15">
              <w:rPr>
                <w:szCs w:val="20"/>
              </w:rPr>
              <w:t>$</w:t>
            </w:r>
            <w:r w:rsidRPr="00B85AF8" w:rsidR="006E2251">
              <w:rPr>
                <w:szCs w:val="20"/>
              </w:rPr>
              <w:t>72.45</w:t>
            </w:r>
            <w:r w:rsidRPr="00B85AF8" w:rsidR="002847DE">
              <w:rPr>
                <w:szCs w:val="20"/>
              </w:rPr>
              <w:t>/</w:t>
            </w:r>
            <w:r w:rsidRPr="00B85AF8" w:rsidR="002847DE">
              <w:rPr>
                <w:szCs w:val="20"/>
              </w:rPr>
              <w:t>hr</w:t>
            </w:r>
          </w:p>
        </w:tc>
        <w:tc>
          <w:tcPr>
            <w:tcW w:w="2196" w:type="dxa"/>
            <w:shd w:val="clear" w:color="auto" w:fill="auto"/>
          </w:tcPr>
          <w:p w:rsidR="00CB512E" w:rsidRPr="00B85AF8" w:rsidP="00910ADF" w14:paraId="77A081E2" w14:textId="55D597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$2,</w:t>
            </w:r>
            <w:r w:rsidRPr="00B85AF8" w:rsidR="006E2251">
              <w:rPr>
                <w:szCs w:val="20"/>
              </w:rPr>
              <w:t>318.54</w:t>
            </w:r>
          </w:p>
        </w:tc>
      </w:tr>
      <w:tr w14:paraId="0163E76A" w14:textId="77777777" w:rsidTr="005618C5">
        <w:tblPrEx>
          <w:tblW w:w="0" w:type="auto"/>
          <w:tblInd w:w="108" w:type="dxa"/>
          <w:tblLook w:val="04A0"/>
        </w:tblPrEx>
        <w:tc>
          <w:tcPr>
            <w:tcW w:w="2254" w:type="dxa"/>
            <w:shd w:val="clear" w:color="auto" w:fill="auto"/>
          </w:tcPr>
          <w:p w:rsidR="00CB512E" w:rsidRPr="00B85AF8" w:rsidP="00910ADF" w14:paraId="1C1BC8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Review reference premiums</w:t>
            </w:r>
          </w:p>
        </w:tc>
        <w:tc>
          <w:tcPr>
            <w:tcW w:w="1728" w:type="dxa"/>
            <w:shd w:val="clear" w:color="auto" w:fill="auto"/>
          </w:tcPr>
          <w:p w:rsidR="00CB512E" w:rsidRPr="00B85AF8" w:rsidP="00910ADF" w14:paraId="70D7BD9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8</w:t>
            </w:r>
          </w:p>
        </w:tc>
        <w:tc>
          <w:tcPr>
            <w:tcW w:w="1580" w:type="dxa"/>
          </w:tcPr>
          <w:p w:rsidR="00CB512E" w:rsidRPr="00B85AF8" w:rsidP="00910ADF" w14:paraId="1F90721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2</w:t>
            </w:r>
          </w:p>
        </w:tc>
        <w:tc>
          <w:tcPr>
            <w:tcW w:w="1854" w:type="dxa"/>
            <w:shd w:val="clear" w:color="auto" w:fill="auto"/>
          </w:tcPr>
          <w:p w:rsidR="00CB512E" w:rsidRPr="00B85AF8" w:rsidP="00910ADF" w14:paraId="0376A7EB" w14:textId="7E318E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 15-1</w:t>
            </w:r>
            <w:r w:rsidRPr="00B85AF8" w:rsidR="00CB1E0E">
              <w:rPr>
                <w:szCs w:val="20"/>
              </w:rPr>
              <w:t xml:space="preserve">: </w:t>
            </w:r>
            <w:r w:rsidRPr="00B85AF8" w:rsidR="006B4F15">
              <w:rPr>
                <w:szCs w:val="20"/>
              </w:rPr>
              <w:t>$</w:t>
            </w:r>
            <w:r w:rsidRPr="00B85AF8" w:rsidR="006E2251">
              <w:rPr>
                <w:szCs w:val="20"/>
              </w:rPr>
              <w:t>100.71</w:t>
            </w:r>
            <w:r w:rsidRPr="00B85AF8" w:rsidR="002847DE">
              <w:rPr>
                <w:szCs w:val="20"/>
              </w:rPr>
              <w:t>/</w:t>
            </w:r>
            <w:r w:rsidRPr="00B85AF8" w:rsidR="002847DE">
              <w:rPr>
                <w:szCs w:val="20"/>
              </w:rPr>
              <w:t>hr</w:t>
            </w:r>
          </w:p>
        </w:tc>
        <w:tc>
          <w:tcPr>
            <w:tcW w:w="2196" w:type="dxa"/>
            <w:shd w:val="clear" w:color="auto" w:fill="auto"/>
          </w:tcPr>
          <w:p w:rsidR="00CB512E" w:rsidRPr="00B85AF8" w:rsidP="00910ADF" w14:paraId="7A148CA1" w14:textId="4E47C6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w:t>
            </w:r>
            <w:r w:rsidRPr="00B85AF8" w:rsidR="006E2251">
              <w:rPr>
                <w:szCs w:val="20"/>
              </w:rPr>
              <w:t>611.36</w:t>
            </w:r>
          </w:p>
        </w:tc>
      </w:tr>
      <w:tr w14:paraId="1924DBCD" w14:textId="77777777" w:rsidTr="005618C5">
        <w:tblPrEx>
          <w:tblW w:w="0" w:type="auto"/>
          <w:tblInd w:w="108" w:type="dxa"/>
          <w:tblLook w:val="04A0"/>
        </w:tblPrEx>
        <w:tc>
          <w:tcPr>
            <w:tcW w:w="2254" w:type="dxa"/>
            <w:shd w:val="clear" w:color="auto" w:fill="auto"/>
          </w:tcPr>
          <w:p w:rsidR="00CB512E" w:rsidRPr="00B85AF8" w:rsidP="00910ADF" w14:paraId="70B188C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Review estimated enrollment data</w:t>
            </w:r>
          </w:p>
        </w:tc>
        <w:tc>
          <w:tcPr>
            <w:tcW w:w="1728" w:type="dxa"/>
            <w:shd w:val="clear" w:color="auto" w:fill="auto"/>
          </w:tcPr>
          <w:p w:rsidR="00CB512E" w:rsidRPr="00B85AF8" w:rsidP="00910ADF" w14:paraId="65D907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16</w:t>
            </w:r>
          </w:p>
        </w:tc>
        <w:tc>
          <w:tcPr>
            <w:tcW w:w="1580" w:type="dxa"/>
          </w:tcPr>
          <w:p w:rsidR="00CB512E" w:rsidRPr="00B85AF8" w:rsidP="00910ADF" w14:paraId="520BEEE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8</w:t>
            </w:r>
          </w:p>
        </w:tc>
        <w:tc>
          <w:tcPr>
            <w:tcW w:w="1854" w:type="dxa"/>
            <w:shd w:val="clear" w:color="auto" w:fill="auto"/>
          </w:tcPr>
          <w:p w:rsidR="00CB512E" w:rsidRPr="00B85AF8" w:rsidP="00910ADF" w14:paraId="2ED8E1B2" w14:textId="328A517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 15-1</w:t>
            </w:r>
            <w:r w:rsidRPr="00B85AF8" w:rsidR="006B4F15">
              <w:rPr>
                <w:szCs w:val="20"/>
              </w:rPr>
              <w:t>: $</w:t>
            </w:r>
            <w:r w:rsidRPr="00B85AF8" w:rsidR="006E2251">
              <w:rPr>
                <w:szCs w:val="20"/>
              </w:rPr>
              <w:t>100.71</w:t>
            </w:r>
            <w:r w:rsidRPr="00B85AF8" w:rsidR="002847DE">
              <w:rPr>
                <w:szCs w:val="20"/>
              </w:rPr>
              <w:t>/</w:t>
            </w:r>
            <w:r w:rsidRPr="00B85AF8" w:rsidR="002847DE">
              <w:rPr>
                <w:szCs w:val="20"/>
              </w:rPr>
              <w:t>hr</w:t>
            </w:r>
          </w:p>
        </w:tc>
        <w:tc>
          <w:tcPr>
            <w:tcW w:w="2196" w:type="dxa"/>
            <w:shd w:val="clear" w:color="auto" w:fill="auto"/>
          </w:tcPr>
          <w:p w:rsidR="00CB512E" w:rsidRPr="00B85AF8" w:rsidP="00910ADF" w14:paraId="515731F8" w14:textId="7F630C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w:t>
            </w:r>
            <w:r w:rsidRPr="00B85AF8" w:rsidR="006E2251">
              <w:rPr>
                <w:szCs w:val="20"/>
              </w:rPr>
              <w:t>2,890.88</w:t>
            </w:r>
          </w:p>
        </w:tc>
      </w:tr>
      <w:tr w14:paraId="411975FB" w14:textId="77777777" w:rsidTr="005618C5">
        <w:tblPrEx>
          <w:tblW w:w="0" w:type="auto"/>
          <w:tblInd w:w="108" w:type="dxa"/>
          <w:tblLook w:val="04A0"/>
        </w:tblPrEx>
        <w:tc>
          <w:tcPr>
            <w:tcW w:w="2254" w:type="dxa"/>
            <w:shd w:val="clear" w:color="auto" w:fill="auto"/>
          </w:tcPr>
          <w:p w:rsidR="00CB512E" w:rsidRPr="00B85AF8" w:rsidP="00910ADF" w14:paraId="3610FF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Review actual enrollment data</w:t>
            </w:r>
          </w:p>
        </w:tc>
        <w:tc>
          <w:tcPr>
            <w:tcW w:w="1728" w:type="dxa"/>
            <w:shd w:val="clear" w:color="auto" w:fill="auto"/>
          </w:tcPr>
          <w:p w:rsidR="00CB512E" w:rsidRPr="00B85AF8" w:rsidP="00910ADF" w14:paraId="453005A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80</w:t>
            </w:r>
          </w:p>
        </w:tc>
        <w:tc>
          <w:tcPr>
            <w:tcW w:w="1580" w:type="dxa"/>
          </w:tcPr>
          <w:p w:rsidR="00CB512E" w:rsidRPr="00B85AF8" w:rsidP="00910ADF" w14:paraId="5E5675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8</w:t>
            </w:r>
          </w:p>
        </w:tc>
        <w:tc>
          <w:tcPr>
            <w:tcW w:w="1854" w:type="dxa"/>
            <w:shd w:val="clear" w:color="auto" w:fill="auto"/>
          </w:tcPr>
          <w:p w:rsidR="00CB512E" w:rsidRPr="00B85AF8" w:rsidP="00910ADF" w14:paraId="35ED0753" w14:textId="15D625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w:t>
            </w:r>
            <w:r w:rsidRPr="00B85AF8" w:rsidR="009D2AC2">
              <w:rPr>
                <w:szCs w:val="20"/>
              </w:rPr>
              <w:t xml:space="preserve"> 15-1</w:t>
            </w:r>
            <w:r w:rsidRPr="00B85AF8" w:rsidR="006B4F15">
              <w:rPr>
                <w:szCs w:val="20"/>
              </w:rPr>
              <w:t>: $</w:t>
            </w:r>
            <w:r w:rsidRPr="00B85AF8" w:rsidR="006E2251">
              <w:rPr>
                <w:szCs w:val="20"/>
              </w:rPr>
              <w:t>100.71</w:t>
            </w:r>
            <w:r w:rsidRPr="00B85AF8" w:rsidR="002847DE">
              <w:rPr>
                <w:szCs w:val="20"/>
              </w:rPr>
              <w:t>/</w:t>
            </w:r>
            <w:r w:rsidRPr="00B85AF8" w:rsidR="002847DE">
              <w:rPr>
                <w:szCs w:val="20"/>
              </w:rPr>
              <w:t>hr</w:t>
            </w:r>
          </w:p>
        </w:tc>
        <w:tc>
          <w:tcPr>
            <w:tcW w:w="2196" w:type="dxa"/>
            <w:shd w:val="clear" w:color="auto" w:fill="auto"/>
          </w:tcPr>
          <w:p w:rsidR="00CB512E" w:rsidRPr="00B85AF8" w:rsidP="00910ADF" w14:paraId="613ECBB3" w14:textId="536ACB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$6</w:t>
            </w:r>
            <w:r w:rsidRPr="00B85AF8" w:rsidR="006E2251">
              <w:rPr>
                <w:szCs w:val="20"/>
              </w:rPr>
              <w:t>4,454.40</w:t>
            </w:r>
          </w:p>
        </w:tc>
      </w:tr>
      <w:tr w14:paraId="093A45C8" w14:textId="77777777" w:rsidTr="005618C5">
        <w:tblPrEx>
          <w:tblW w:w="0" w:type="auto"/>
          <w:tblInd w:w="108" w:type="dxa"/>
          <w:tblLook w:val="04A0"/>
        </w:tblPrEx>
        <w:tc>
          <w:tcPr>
            <w:tcW w:w="2254" w:type="dxa"/>
            <w:shd w:val="clear" w:color="auto" w:fill="auto"/>
          </w:tcPr>
          <w:p w:rsidR="00CB512E" w:rsidRPr="00B85AF8" w:rsidP="00910ADF" w14:paraId="08D003DD" w14:textId="2FA7D8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 xml:space="preserve">Review </w:t>
            </w:r>
            <w:r w:rsidRPr="00B85AF8" w:rsidR="00006D2E">
              <w:rPr>
                <w:szCs w:val="20"/>
              </w:rPr>
              <w:t xml:space="preserve">suspension or </w:t>
            </w:r>
            <w:r w:rsidRPr="00B85AF8">
              <w:rPr>
                <w:szCs w:val="20"/>
              </w:rPr>
              <w:t>termination notice and plan</w:t>
            </w:r>
          </w:p>
        </w:tc>
        <w:tc>
          <w:tcPr>
            <w:tcW w:w="1728" w:type="dxa"/>
            <w:shd w:val="clear" w:color="auto" w:fill="auto"/>
          </w:tcPr>
          <w:p w:rsidR="00CB512E" w:rsidRPr="00B85AF8" w:rsidP="00910ADF" w14:paraId="2F30FB6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40</w:t>
            </w:r>
          </w:p>
        </w:tc>
        <w:tc>
          <w:tcPr>
            <w:tcW w:w="1580" w:type="dxa"/>
          </w:tcPr>
          <w:p w:rsidR="00CB512E" w:rsidRPr="00B85AF8" w:rsidP="00910ADF" w14:paraId="052A125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1</w:t>
            </w:r>
          </w:p>
        </w:tc>
        <w:tc>
          <w:tcPr>
            <w:tcW w:w="1854" w:type="dxa"/>
            <w:shd w:val="clear" w:color="auto" w:fill="auto"/>
          </w:tcPr>
          <w:p w:rsidR="00CB512E" w:rsidRPr="00B85AF8" w:rsidP="00034594" w14:paraId="3A0D43C1" w14:textId="431BC7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GS 14-1: $</w:t>
            </w:r>
            <w:r w:rsidRPr="00B85AF8" w:rsidR="006E2251">
              <w:rPr>
                <w:szCs w:val="20"/>
              </w:rPr>
              <w:t>85.63</w:t>
            </w:r>
            <w:r w:rsidRPr="00B85AF8" w:rsidR="002847DE">
              <w:rPr>
                <w:szCs w:val="20"/>
              </w:rPr>
              <w:t>/</w:t>
            </w:r>
            <w:r w:rsidRPr="00B85AF8" w:rsidR="002847DE">
              <w:rPr>
                <w:szCs w:val="20"/>
              </w:rPr>
              <w:t>hr</w:t>
            </w:r>
          </w:p>
        </w:tc>
        <w:tc>
          <w:tcPr>
            <w:tcW w:w="2196" w:type="dxa"/>
            <w:shd w:val="clear" w:color="auto" w:fill="auto"/>
          </w:tcPr>
          <w:p w:rsidR="00CB512E" w:rsidRPr="00B85AF8" w:rsidP="00910ADF" w14:paraId="29ED21E6" w14:textId="1BD3DB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$3,</w:t>
            </w:r>
            <w:r w:rsidRPr="00B85AF8" w:rsidR="006E2251">
              <w:rPr>
                <w:szCs w:val="20"/>
              </w:rPr>
              <w:t>425.22</w:t>
            </w:r>
          </w:p>
        </w:tc>
      </w:tr>
      <w:tr w14:paraId="5E5D6E58" w14:textId="77777777" w:rsidTr="005618C5">
        <w:tblPrEx>
          <w:tblW w:w="0" w:type="auto"/>
          <w:tblInd w:w="108" w:type="dxa"/>
          <w:tblLook w:val="04A0"/>
        </w:tblPrEx>
        <w:tc>
          <w:tcPr>
            <w:tcW w:w="2254" w:type="dxa"/>
            <w:shd w:val="clear" w:color="auto" w:fill="auto"/>
          </w:tcPr>
          <w:p w:rsidR="00CB512E" w:rsidRPr="00B85AF8" w:rsidP="00910ADF" w14:paraId="1B93B9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Total</w:t>
            </w:r>
          </w:p>
        </w:tc>
        <w:tc>
          <w:tcPr>
            <w:tcW w:w="1728" w:type="dxa"/>
            <w:shd w:val="clear" w:color="auto" w:fill="auto"/>
          </w:tcPr>
          <w:p w:rsidR="00CB512E" w:rsidRPr="00B85AF8" w:rsidP="00910ADF" w14:paraId="0D3619C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Varies</w:t>
            </w:r>
          </w:p>
        </w:tc>
        <w:tc>
          <w:tcPr>
            <w:tcW w:w="1580" w:type="dxa"/>
          </w:tcPr>
          <w:p w:rsidR="00CB512E" w:rsidRPr="00B85AF8" w:rsidP="00910ADF" w14:paraId="6F86A4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24</w:t>
            </w:r>
          </w:p>
        </w:tc>
        <w:tc>
          <w:tcPr>
            <w:tcW w:w="1854" w:type="dxa"/>
            <w:shd w:val="clear" w:color="auto" w:fill="auto"/>
          </w:tcPr>
          <w:p w:rsidR="00CB512E" w:rsidRPr="00B85AF8" w:rsidP="00910ADF" w14:paraId="1B5832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Varies</w:t>
            </w:r>
          </w:p>
        </w:tc>
        <w:tc>
          <w:tcPr>
            <w:tcW w:w="2196" w:type="dxa"/>
            <w:shd w:val="clear" w:color="auto" w:fill="auto"/>
          </w:tcPr>
          <w:p w:rsidR="00CB512E" w:rsidRPr="00B85AF8" w:rsidP="00910ADF" w14:paraId="219EA645" w14:textId="298D06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B85AF8">
              <w:rPr>
                <w:szCs w:val="20"/>
              </w:rPr>
              <w:t>$</w:t>
            </w:r>
            <w:r w:rsidRPr="00B85AF8" w:rsidR="006E2251">
              <w:rPr>
                <w:szCs w:val="20"/>
              </w:rPr>
              <w:t>93,869.39</w:t>
            </w:r>
          </w:p>
        </w:tc>
      </w:tr>
    </w:tbl>
    <w:p w:rsidR="007C5E27" w:rsidRPr="00B85AF8" w:rsidP="00247046" w14:paraId="326481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E54003" w:rsidRPr="00B85AF8" w:rsidP="00E73984" w14:paraId="084D38B1" w14:textId="233576B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15.</w:t>
      </w:r>
      <w:r w:rsidRPr="00B85AF8">
        <w:rPr>
          <w:sz w:val="24"/>
        </w:rPr>
        <w:tab/>
      </w:r>
      <w:r w:rsidRPr="00B85AF8">
        <w:rPr>
          <w:sz w:val="24"/>
          <w:u w:val="single"/>
        </w:rPr>
        <w:t xml:space="preserve">Changes to </w:t>
      </w:r>
      <w:r w:rsidRPr="00B85AF8" w:rsidR="00E73984">
        <w:rPr>
          <w:sz w:val="24"/>
          <w:u w:val="single"/>
        </w:rPr>
        <w:t xml:space="preserve">Collection of Information </w:t>
      </w:r>
      <w:r w:rsidRPr="00B85AF8">
        <w:rPr>
          <w:sz w:val="24"/>
          <w:u w:val="single"/>
        </w:rPr>
        <w:t xml:space="preserve">Requirements and </w:t>
      </w:r>
      <w:r w:rsidRPr="00B85AF8" w:rsidR="00E73984">
        <w:rPr>
          <w:sz w:val="24"/>
          <w:u w:val="single"/>
        </w:rPr>
        <w:t>Burden</w:t>
      </w:r>
    </w:p>
    <w:p w:rsidR="00E54003" w:rsidRPr="00B85AF8" w:rsidP="00E54003" w14:paraId="1D745F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E54003" w:rsidRPr="00B85AF8" w:rsidP="00E54003" w14:paraId="7D2187F2" w14:textId="7FA7CF19">
      <w:pPr>
        <w:rPr>
          <w:rFonts w:eastAsia="MS Mincho"/>
          <w:snapToGrid w:val="0"/>
          <w:sz w:val="24"/>
          <w:szCs w:val="20"/>
        </w:rPr>
      </w:pPr>
      <w:r w:rsidRPr="00B85AF8">
        <w:rPr>
          <w:sz w:val="24"/>
        </w:rPr>
        <w:t>In this 2023 iteration, we propose changes that relate to updates to BHP proposed in CMS-1784-P and includes a revision of prior State burden estimates related to the State’s Blueprint submission at</w:t>
      </w:r>
      <w:r w:rsidRPr="00B85AF8">
        <w:rPr>
          <w:rFonts w:eastAsia="MS Mincho"/>
          <w:snapToGrid w:val="0"/>
          <w:sz w:val="24"/>
          <w:szCs w:val="20"/>
        </w:rPr>
        <w:t xml:space="preserve"> § 600.125. Additionally, this request revises the operation of a BHP. We </w:t>
      </w:r>
      <w:r w:rsidRPr="00B85AF8">
        <w:rPr>
          <w:snapToGrid w:val="0"/>
          <w:sz w:val="24"/>
        </w:rPr>
        <w:t>propose at §600.145(a), a State must implement its BHP in accordance with (1) the approved and full certified State BHP Blueprint; or (2) the approved suspension application. We propose at § 600.145(f)(2) the State operating a BHP must perform eligibility and health services appeals as specified in § 600.335. We propose at § 600.330(f), BHP eligibility notices must be written in plain language.</w:t>
      </w:r>
    </w:p>
    <w:p w:rsidR="00E54003" w:rsidRPr="00B85AF8" w:rsidP="00E54003" w14:paraId="0A694C93" w14:textId="77777777">
      <w:pPr>
        <w:rPr>
          <w:rFonts w:eastAsia="MS Mincho"/>
          <w:snapToGrid w:val="0"/>
          <w:sz w:val="24"/>
          <w:szCs w:val="20"/>
        </w:rPr>
      </w:pPr>
    </w:p>
    <w:p w:rsidR="00956E75" w:rsidRPr="00B85AF8" w:rsidP="00B439D9" w14:paraId="597CB952" w14:textId="7778D591">
      <w:pPr>
        <w:rPr>
          <w:sz w:val="24"/>
        </w:rPr>
      </w:pPr>
      <w:r w:rsidRPr="00B85AF8">
        <w:rPr>
          <w:rFonts w:eastAsia="MS Mincho"/>
          <w:snapToGrid w:val="0"/>
          <w:sz w:val="24"/>
          <w:szCs w:val="20"/>
        </w:rPr>
        <w:t xml:space="preserve">Finally, this creates a new information collection request for </w:t>
      </w:r>
      <w:r w:rsidRPr="00B85AF8">
        <w:rPr>
          <w:snapToGrid w:val="0"/>
          <w:sz w:val="24"/>
        </w:rPr>
        <w:t>suspension of a BHP. We propose at §600.140(b) if a State decides to suspend its BHP or requests a suspension extension, a State must submit to the Secretary a suspension application or suspension extension application. The State must submit the annual report required by §600.170(a)(2) and annually remit to HHS any interest that has accrued on the balance of the BHP trust fund during the suspension period. We propose that the State must submit a transition plan to HHS that describes how the State will reinstate its BHP or terminate the program.</w:t>
      </w:r>
    </w:p>
    <w:p w:rsidR="005A1260" w:rsidRPr="00B85AF8" w:rsidP="009C3601" w14:paraId="094489DA" w14:textId="77777777">
      <w:pPr>
        <w:rPr>
          <w:sz w:val="24"/>
        </w:rPr>
      </w:pPr>
    </w:p>
    <w:tbl>
      <w:tblPr>
        <w:tblStyle w:val="TableGrid"/>
        <w:tblW w:w="9759" w:type="dxa"/>
        <w:jc w:val="center"/>
        <w:tblLook w:val="04A0"/>
      </w:tblPr>
      <w:tblGrid>
        <w:gridCol w:w="1326"/>
        <w:gridCol w:w="1306"/>
        <w:gridCol w:w="1094"/>
        <w:gridCol w:w="1017"/>
        <w:gridCol w:w="672"/>
        <w:gridCol w:w="828"/>
        <w:gridCol w:w="1206"/>
        <w:gridCol w:w="1116"/>
        <w:gridCol w:w="1194"/>
      </w:tblGrid>
      <w:tr w14:paraId="41A0E538" w14:textId="77777777" w:rsidTr="0057310A">
        <w:tblPrEx>
          <w:tblW w:w="9759" w:type="dxa"/>
          <w:jc w:val="center"/>
          <w:tblLook w:val="04A0"/>
        </w:tblPrEx>
        <w:trPr>
          <w:jc w:val="center"/>
        </w:trPr>
        <w:tc>
          <w:tcPr>
            <w:tcW w:w="1326" w:type="dxa"/>
            <w:vAlign w:val="center"/>
          </w:tcPr>
          <w:p w:rsidR="005A1260" w:rsidRPr="00B85AF8" w:rsidP="0057310A" w14:paraId="494726FD" w14:textId="77777777">
            <w:pPr>
              <w:keepNext/>
              <w:jc w:val="center"/>
              <w:rPr>
                <w:rFonts w:eastAsia="MS Mincho"/>
                <w:b/>
                <w:bCs/>
                <w:sz w:val="24"/>
                <w:szCs w:val="20"/>
              </w:rPr>
            </w:pPr>
            <w:sdt>
              <w:sdtPr>
                <w:rPr>
                  <w:rFonts w:eastAsia="MS Mincho"/>
                  <w:b/>
                  <w:bCs/>
                  <w:color w:val="000000"/>
                  <w:szCs w:val="20"/>
                </w:rPr>
                <w:alias w:val=" "/>
                <w:tag w:val="NAV_SWIFT_88c5533b-9231-4f78-b7ae-c2bc39752b4a"/>
                <w:id w:val="-2007273504"/>
                <w:placeholder>
                  <w:docPart w:val="6564166C1FBA410A899A1A36B384E687"/>
                </w:placeholder>
                <w:showingPlcHdr/>
                <w:richText/>
                <w15:appearance w15:val="hidden"/>
              </w:sdtPr>
              <w:sdtContent/>
            </w:sdt>
            <w:r w:rsidRPr="00B85AF8">
              <w:rPr>
                <w:rFonts w:eastAsia="MS Mincho"/>
                <w:b/>
                <w:bCs/>
                <w:color w:val="000000"/>
                <w:szCs w:val="20"/>
              </w:rPr>
              <w:t>Regulation Section(s)/ ICR Provision</w:t>
            </w:r>
          </w:p>
        </w:tc>
        <w:tc>
          <w:tcPr>
            <w:tcW w:w="1306" w:type="dxa"/>
          </w:tcPr>
          <w:p w:rsidR="005A1260" w:rsidRPr="00B85AF8" w:rsidP="0057310A" w14:paraId="49AF92DF" w14:textId="77777777">
            <w:pPr>
              <w:keepNext/>
              <w:jc w:val="center"/>
              <w:rPr>
                <w:rFonts w:eastAsia="MS Mincho"/>
                <w:b/>
                <w:bCs/>
                <w:sz w:val="24"/>
                <w:szCs w:val="20"/>
              </w:rPr>
            </w:pPr>
            <w:sdt>
              <w:sdtPr>
                <w:rPr>
                  <w:rFonts w:eastAsia="MS Mincho"/>
                  <w:b/>
                  <w:bCs/>
                  <w:color w:val="000000"/>
                  <w:szCs w:val="20"/>
                </w:rPr>
                <w:alias w:val=" "/>
                <w:tag w:val="NAV_SWIFT_0f8ae18d-e332-4b5d-a2d5-c453f689195a"/>
                <w:id w:val="915830328"/>
                <w:placeholder>
                  <w:docPart w:val="E01774C55520434586C5E579E2022C7B"/>
                </w:placeholder>
                <w:showingPlcHdr/>
                <w:richText/>
                <w15:appearance w15:val="hidden"/>
              </w:sdtPr>
              <w:sdtContent/>
            </w:sdt>
            <w:r w:rsidRPr="00B85AF8">
              <w:rPr>
                <w:rFonts w:eastAsia="MS Mincho"/>
                <w:b/>
                <w:bCs/>
                <w:color w:val="000000"/>
                <w:szCs w:val="20"/>
              </w:rPr>
              <w:t>Number of Respondents</w:t>
            </w:r>
          </w:p>
        </w:tc>
        <w:tc>
          <w:tcPr>
            <w:tcW w:w="1094" w:type="dxa"/>
          </w:tcPr>
          <w:p w:rsidR="005A1260" w:rsidRPr="00B85AF8" w:rsidP="0057310A" w14:paraId="6FA2627B" w14:textId="77777777">
            <w:pPr>
              <w:keepNext/>
              <w:jc w:val="center"/>
              <w:rPr>
                <w:rFonts w:eastAsia="MS Mincho"/>
                <w:b/>
                <w:bCs/>
                <w:sz w:val="24"/>
                <w:szCs w:val="20"/>
              </w:rPr>
            </w:pPr>
            <w:r w:rsidRPr="00B85AF8">
              <w:rPr>
                <w:rFonts w:eastAsia="MS Mincho"/>
                <w:b/>
                <w:bCs/>
                <w:color w:val="000000"/>
                <w:szCs w:val="20"/>
              </w:rPr>
              <w:t>Total  Responses</w:t>
            </w:r>
          </w:p>
        </w:tc>
        <w:tc>
          <w:tcPr>
            <w:tcW w:w="1017" w:type="dxa"/>
          </w:tcPr>
          <w:p w:rsidR="005A1260" w:rsidRPr="00B85AF8" w:rsidP="0057310A" w14:paraId="43A8F0FC" w14:textId="4A3049C4">
            <w:pPr>
              <w:keepNext/>
              <w:jc w:val="center"/>
              <w:rPr>
                <w:rFonts w:eastAsia="MS Mincho"/>
                <w:b/>
                <w:bCs/>
                <w:sz w:val="24"/>
                <w:szCs w:val="20"/>
              </w:rPr>
            </w:pPr>
            <w:r w:rsidRPr="00B85AF8">
              <w:rPr>
                <w:rFonts w:eastAsia="MS Mincho"/>
                <w:b/>
                <w:bCs/>
                <w:color w:val="000000"/>
                <w:szCs w:val="20"/>
              </w:rPr>
              <w:t>Time per Response (</w:t>
            </w:r>
            <w:r w:rsidRPr="00B85AF8">
              <w:rPr>
                <w:rFonts w:eastAsia="MS Mincho"/>
                <w:b/>
                <w:bCs/>
                <w:color w:val="000000"/>
                <w:szCs w:val="20"/>
              </w:rPr>
              <w:t>hr</w:t>
            </w:r>
            <w:r w:rsidRPr="00B85AF8">
              <w:rPr>
                <w:rFonts w:eastAsia="MS Mincho"/>
                <w:b/>
                <w:bCs/>
                <w:color w:val="000000"/>
                <w:szCs w:val="20"/>
              </w:rPr>
              <w:t>)</w:t>
            </w:r>
          </w:p>
        </w:tc>
        <w:tc>
          <w:tcPr>
            <w:tcW w:w="672" w:type="dxa"/>
            <w:vAlign w:val="center"/>
          </w:tcPr>
          <w:p w:rsidR="005A1260" w:rsidRPr="00B85AF8" w:rsidP="0057310A" w14:paraId="4331C764" w14:textId="77777777">
            <w:pPr>
              <w:keepNext/>
              <w:jc w:val="center"/>
              <w:rPr>
                <w:rFonts w:eastAsia="MS Mincho"/>
                <w:b/>
                <w:bCs/>
                <w:sz w:val="24"/>
                <w:szCs w:val="20"/>
              </w:rPr>
            </w:pPr>
            <w:r w:rsidRPr="00B85AF8">
              <w:rPr>
                <w:rFonts w:eastAsia="MS Mincho"/>
                <w:b/>
                <w:bCs/>
                <w:color w:val="000000"/>
                <w:szCs w:val="20"/>
              </w:rPr>
              <w:t>Total Time (</w:t>
            </w:r>
            <w:r w:rsidRPr="00B85AF8">
              <w:rPr>
                <w:rFonts w:eastAsia="MS Mincho"/>
                <w:b/>
                <w:bCs/>
                <w:color w:val="000000"/>
                <w:szCs w:val="20"/>
              </w:rPr>
              <w:t>hr</w:t>
            </w:r>
            <w:r w:rsidRPr="00B85AF8">
              <w:rPr>
                <w:rFonts w:eastAsia="MS Mincho"/>
                <w:b/>
                <w:bCs/>
                <w:color w:val="000000"/>
                <w:szCs w:val="20"/>
              </w:rPr>
              <w:t>)</w:t>
            </w:r>
          </w:p>
        </w:tc>
        <w:tc>
          <w:tcPr>
            <w:tcW w:w="828" w:type="dxa"/>
            <w:vAlign w:val="center"/>
          </w:tcPr>
          <w:p w:rsidR="005A1260" w:rsidRPr="00B85AF8" w:rsidP="0057310A" w14:paraId="67BB2AFB" w14:textId="398AB547">
            <w:pPr>
              <w:keepNext/>
              <w:jc w:val="center"/>
              <w:rPr>
                <w:rFonts w:eastAsia="MS Mincho"/>
                <w:b/>
                <w:bCs/>
                <w:sz w:val="24"/>
                <w:szCs w:val="20"/>
              </w:rPr>
            </w:pPr>
            <w:r w:rsidRPr="00B85AF8">
              <w:rPr>
                <w:rFonts w:eastAsia="MS Mincho"/>
                <w:b/>
                <w:bCs/>
                <w:color w:val="000000"/>
                <w:szCs w:val="20"/>
              </w:rPr>
              <w:t>Labor Rate</w:t>
            </w:r>
            <w:r w:rsidRPr="00B85AF8">
              <w:rPr>
                <w:b/>
                <w:color w:val="000000" w:themeColor="text1"/>
                <w:szCs w:val="20"/>
              </w:rPr>
              <w:t xml:space="preserve"> ($/</w:t>
            </w:r>
            <w:r w:rsidRPr="00B85AF8">
              <w:rPr>
                <w:b/>
                <w:color w:val="000000" w:themeColor="text1"/>
                <w:szCs w:val="20"/>
              </w:rPr>
              <w:t>hr</w:t>
            </w:r>
            <w:r w:rsidRPr="00B85AF8">
              <w:rPr>
                <w:b/>
                <w:color w:val="000000" w:themeColor="text1"/>
                <w:szCs w:val="20"/>
              </w:rPr>
              <w:t>)</w:t>
            </w:r>
          </w:p>
        </w:tc>
        <w:tc>
          <w:tcPr>
            <w:tcW w:w="1206" w:type="dxa"/>
          </w:tcPr>
          <w:p w:rsidR="005A1260" w:rsidRPr="00B85AF8" w:rsidP="0057310A" w14:paraId="126CCF5B" w14:textId="77777777">
            <w:pPr>
              <w:keepNext/>
              <w:jc w:val="center"/>
              <w:rPr>
                <w:rFonts w:eastAsia="MS Mincho"/>
                <w:b/>
                <w:bCs/>
                <w:sz w:val="24"/>
                <w:szCs w:val="20"/>
              </w:rPr>
            </w:pPr>
            <w:r w:rsidRPr="00B85AF8">
              <w:rPr>
                <w:rFonts w:eastAsia="MS Mincho"/>
                <w:b/>
                <w:bCs/>
                <w:color w:val="000000"/>
                <w:szCs w:val="20"/>
              </w:rPr>
              <w:t>Total Labor Cost ($)</w:t>
            </w:r>
          </w:p>
        </w:tc>
        <w:tc>
          <w:tcPr>
            <w:tcW w:w="1116" w:type="dxa"/>
          </w:tcPr>
          <w:p w:rsidR="005A1260" w:rsidRPr="00B85AF8" w:rsidP="0057310A" w14:paraId="735B864F" w14:textId="77777777">
            <w:pPr>
              <w:keepNext/>
              <w:jc w:val="center"/>
              <w:rPr>
                <w:rFonts w:eastAsia="MS Mincho"/>
                <w:b/>
                <w:bCs/>
                <w:sz w:val="24"/>
                <w:szCs w:val="20"/>
              </w:rPr>
            </w:pPr>
            <w:r w:rsidRPr="00B85AF8">
              <w:rPr>
                <w:rFonts w:eastAsia="MS Mincho"/>
                <w:b/>
                <w:bCs/>
                <w:color w:val="000000"/>
                <w:szCs w:val="20"/>
              </w:rPr>
              <w:t>State Share ($)</w:t>
            </w:r>
          </w:p>
        </w:tc>
        <w:tc>
          <w:tcPr>
            <w:tcW w:w="1194" w:type="dxa"/>
          </w:tcPr>
          <w:p w:rsidR="005A1260" w:rsidRPr="00B85AF8" w:rsidP="0057310A" w14:paraId="193C8401" w14:textId="77777777">
            <w:pPr>
              <w:keepNext/>
              <w:jc w:val="center"/>
              <w:rPr>
                <w:rFonts w:eastAsia="MS Mincho"/>
                <w:b/>
                <w:bCs/>
                <w:sz w:val="24"/>
                <w:szCs w:val="20"/>
              </w:rPr>
            </w:pPr>
            <w:r w:rsidRPr="00B85AF8">
              <w:rPr>
                <w:rFonts w:eastAsia="MS Mincho"/>
                <w:b/>
                <w:bCs/>
                <w:color w:val="000000"/>
                <w:szCs w:val="20"/>
              </w:rPr>
              <w:t>Total Beneficiary Cost ($)</w:t>
            </w:r>
          </w:p>
        </w:tc>
      </w:tr>
      <w:tr w14:paraId="19979649" w14:textId="77777777" w:rsidTr="0057310A">
        <w:tblPrEx>
          <w:tblW w:w="9759" w:type="dxa"/>
          <w:jc w:val="center"/>
          <w:tblLook w:val="04A0"/>
        </w:tblPrEx>
        <w:trPr>
          <w:jc w:val="center"/>
        </w:trPr>
        <w:tc>
          <w:tcPr>
            <w:tcW w:w="1326" w:type="dxa"/>
          </w:tcPr>
          <w:p w:rsidR="005A1260" w:rsidRPr="00B85AF8" w:rsidP="0057310A" w14:paraId="54865A6D" w14:textId="77777777">
            <w:pPr>
              <w:keepNext/>
              <w:jc w:val="center"/>
              <w:rPr>
                <w:rFonts w:eastAsia="MS Mincho"/>
                <w:b/>
                <w:bCs/>
                <w:sz w:val="24"/>
                <w:szCs w:val="20"/>
              </w:rPr>
            </w:pPr>
            <w:r w:rsidRPr="00B85AF8">
              <w:rPr>
                <w:rFonts w:eastAsia="MS Mincho"/>
                <w:snapToGrid w:val="0"/>
                <w:sz w:val="18"/>
                <w:szCs w:val="18"/>
              </w:rPr>
              <w:t>600.125(a)(1)</w:t>
            </w:r>
          </w:p>
        </w:tc>
        <w:tc>
          <w:tcPr>
            <w:tcW w:w="1306" w:type="dxa"/>
          </w:tcPr>
          <w:p w:rsidR="005A1260" w:rsidRPr="00B85AF8" w:rsidP="0057310A" w14:paraId="4147F392" w14:textId="77777777">
            <w:pPr>
              <w:keepNext/>
              <w:jc w:val="center"/>
              <w:rPr>
                <w:rFonts w:eastAsia="MS Mincho"/>
                <w:b/>
                <w:bCs/>
                <w:sz w:val="24"/>
                <w:szCs w:val="20"/>
              </w:rPr>
            </w:pPr>
            <w:r w:rsidRPr="00B85AF8">
              <w:rPr>
                <w:rFonts w:eastAsia="MS Mincho"/>
                <w:snapToGrid w:val="0"/>
                <w:szCs w:val="20"/>
              </w:rPr>
              <w:t>2</w:t>
            </w:r>
          </w:p>
        </w:tc>
        <w:tc>
          <w:tcPr>
            <w:tcW w:w="1094" w:type="dxa"/>
          </w:tcPr>
          <w:p w:rsidR="005A1260" w:rsidRPr="00B85AF8" w:rsidP="0057310A" w14:paraId="0057F811" w14:textId="77777777">
            <w:pPr>
              <w:keepNext/>
              <w:jc w:val="center"/>
              <w:rPr>
                <w:rFonts w:eastAsia="MS Mincho"/>
                <w:b/>
                <w:bCs/>
                <w:sz w:val="24"/>
                <w:szCs w:val="20"/>
              </w:rPr>
            </w:pPr>
            <w:r w:rsidRPr="00B85AF8">
              <w:rPr>
                <w:rFonts w:eastAsia="MS Mincho"/>
                <w:snapToGrid w:val="0"/>
                <w:szCs w:val="20"/>
              </w:rPr>
              <w:t>2</w:t>
            </w:r>
          </w:p>
        </w:tc>
        <w:tc>
          <w:tcPr>
            <w:tcW w:w="1017" w:type="dxa"/>
          </w:tcPr>
          <w:p w:rsidR="005A1260" w:rsidRPr="00B85AF8" w:rsidP="0057310A" w14:paraId="49D4575A" w14:textId="77777777">
            <w:pPr>
              <w:keepNext/>
              <w:jc w:val="center"/>
              <w:rPr>
                <w:rFonts w:eastAsia="MS Mincho"/>
                <w:b/>
                <w:bCs/>
                <w:sz w:val="24"/>
                <w:szCs w:val="20"/>
              </w:rPr>
            </w:pPr>
            <w:r w:rsidRPr="00B85AF8">
              <w:rPr>
                <w:color w:val="000000" w:themeColor="text1"/>
                <w:szCs w:val="20"/>
                <w:lang w:bidi="en-US"/>
              </w:rPr>
              <w:t>6</w:t>
            </w:r>
          </w:p>
        </w:tc>
        <w:tc>
          <w:tcPr>
            <w:tcW w:w="672" w:type="dxa"/>
          </w:tcPr>
          <w:p w:rsidR="005A1260" w:rsidRPr="00B85AF8" w:rsidP="0057310A" w14:paraId="7227F3DB" w14:textId="77777777">
            <w:pPr>
              <w:keepNext/>
              <w:jc w:val="center"/>
              <w:rPr>
                <w:rFonts w:eastAsia="MS Mincho"/>
                <w:b/>
                <w:bCs/>
                <w:sz w:val="24"/>
                <w:szCs w:val="20"/>
              </w:rPr>
            </w:pPr>
            <w:r w:rsidRPr="00B85AF8">
              <w:rPr>
                <w:color w:val="000000" w:themeColor="text1"/>
                <w:szCs w:val="20"/>
                <w:lang w:bidi="en-US"/>
              </w:rPr>
              <w:t>12</w:t>
            </w:r>
          </w:p>
        </w:tc>
        <w:tc>
          <w:tcPr>
            <w:tcW w:w="828" w:type="dxa"/>
          </w:tcPr>
          <w:p w:rsidR="005A1260" w:rsidRPr="00B85AF8" w:rsidP="0057310A" w14:paraId="01C310D3" w14:textId="77777777">
            <w:pPr>
              <w:keepNext/>
              <w:jc w:val="center"/>
              <w:rPr>
                <w:rFonts w:eastAsia="MS Mincho"/>
                <w:b/>
                <w:bCs/>
                <w:sz w:val="24"/>
                <w:szCs w:val="20"/>
              </w:rPr>
            </w:pPr>
            <w:r w:rsidRPr="00B85AF8">
              <w:rPr>
                <w:rFonts w:eastAsia="MS Mincho"/>
                <w:snapToGrid w:val="0"/>
                <w:szCs w:val="20"/>
              </w:rPr>
              <w:t>Varies</w:t>
            </w:r>
          </w:p>
        </w:tc>
        <w:tc>
          <w:tcPr>
            <w:tcW w:w="1206" w:type="dxa"/>
          </w:tcPr>
          <w:p w:rsidR="005A1260" w:rsidRPr="00B85AF8" w:rsidP="0057310A" w14:paraId="3369104C" w14:textId="77777777">
            <w:pPr>
              <w:keepNext/>
              <w:jc w:val="center"/>
              <w:rPr>
                <w:rFonts w:eastAsia="MS Mincho"/>
                <w:b/>
                <w:bCs/>
                <w:sz w:val="24"/>
                <w:szCs w:val="20"/>
              </w:rPr>
            </w:pPr>
            <w:r w:rsidRPr="00B85AF8">
              <w:rPr>
                <w:rFonts w:eastAsia="MS Mincho"/>
                <w:snapToGrid w:val="0"/>
                <w:sz w:val="18"/>
                <w:szCs w:val="18"/>
              </w:rPr>
              <w:t>1,113</w:t>
            </w:r>
          </w:p>
        </w:tc>
        <w:tc>
          <w:tcPr>
            <w:tcW w:w="1116" w:type="dxa"/>
          </w:tcPr>
          <w:p w:rsidR="005A1260" w:rsidRPr="00B85AF8" w:rsidP="0057310A" w14:paraId="60A2FC71" w14:textId="77777777">
            <w:pPr>
              <w:keepNext/>
              <w:jc w:val="center"/>
              <w:rPr>
                <w:rFonts w:eastAsia="MS Mincho"/>
                <w:b/>
                <w:bCs/>
                <w:sz w:val="24"/>
                <w:szCs w:val="20"/>
              </w:rPr>
            </w:pPr>
            <w:r w:rsidRPr="00B85AF8">
              <w:rPr>
                <w:rFonts w:eastAsia="MS Mincho"/>
                <w:snapToGrid w:val="0"/>
                <w:sz w:val="18"/>
                <w:szCs w:val="18"/>
              </w:rPr>
              <w:t>1,113</w:t>
            </w:r>
          </w:p>
        </w:tc>
        <w:tc>
          <w:tcPr>
            <w:tcW w:w="1194" w:type="dxa"/>
          </w:tcPr>
          <w:p w:rsidR="005A1260" w:rsidRPr="00B85AF8" w:rsidP="0057310A" w14:paraId="67BB5ACF" w14:textId="77777777">
            <w:pPr>
              <w:keepNext/>
              <w:jc w:val="center"/>
              <w:rPr>
                <w:rFonts w:eastAsia="MS Mincho"/>
                <w:b/>
                <w:bCs/>
                <w:sz w:val="24"/>
                <w:szCs w:val="20"/>
              </w:rPr>
            </w:pPr>
            <w:r w:rsidRPr="00B85AF8">
              <w:rPr>
                <w:rFonts w:eastAsia="MS Mincho"/>
                <w:snapToGrid w:val="0"/>
                <w:szCs w:val="20"/>
              </w:rPr>
              <w:t>N/A</w:t>
            </w:r>
          </w:p>
        </w:tc>
      </w:tr>
      <w:tr w14:paraId="329FA402" w14:textId="77777777" w:rsidTr="0057310A">
        <w:tblPrEx>
          <w:tblW w:w="9759" w:type="dxa"/>
          <w:jc w:val="center"/>
          <w:tblLook w:val="04A0"/>
        </w:tblPrEx>
        <w:trPr>
          <w:jc w:val="center"/>
        </w:trPr>
        <w:tc>
          <w:tcPr>
            <w:tcW w:w="1326" w:type="dxa"/>
            <w:vAlign w:val="center"/>
          </w:tcPr>
          <w:p w:rsidR="005A1260" w:rsidRPr="00B85AF8" w:rsidP="0057310A" w14:paraId="676D3540" w14:textId="77777777">
            <w:pPr>
              <w:jc w:val="center"/>
              <w:rPr>
                <w:rFonts w:eastAsia="MS Mincho"/>
                <w:snapToGrid w:val="0"/>
                <w:sz w:val="18"/>
                <w:szCs w:val="18"/>
              </w:rPr>
            </w:pPr>
            <w:r w:rsidRPr="00B85AF8">
              <w:rPr>
                <w:rFonts w:eastAsia="MS Mincho"/>
                <w:snapToGrid w:val="0"/>
                <w:sz w:val="18"/>
                <w:szCs w:val="18"/>
              </w:rPr>
              <w:t>600.145(a) and 600.145(f)(2)</w:t>
            </w:r>
          </w:p>
          <w:p w:rsidR="005A1260" w:rsidRPr="00B85AF8" w:rsidP="0057310A" w14:paraId="63A0C412" w14:textId="77777777">
            <w:pPr>
              <w:keepNext/>
              <w:jc w:val="center"/>
              <w:rPr>
                <w:rFonts w:eastAsia="MS Mincho"/>
                <w:b/>
                <w:bCs/>
                <w:sz w:val="24"/>
                <w:szCs w:val="20"/>
              </w:rPr>
            </w:pPr>
          </w:p>
        </w:tc>
        <w:tc>
          <w:tcPr>
            <w:tcW w:w="1306" w:type="dxa"/>
            <w:vAlign w:val="center"/>
          </w:tcPr>
          <w:p w:rsidR="005A1260" w:rsidRPr="00B85AF8" w:rsidP="0057310A" w14:paraId="298ECEFE" w14:textId="77777777">
            <w:pPr>
              <w:keepNext/>
              <w:jc w:val="center"/>
              <w:rPr>
                <w:rFonts w:eastAsia="MS Mincho"/>
                <w:b/>
                <w:bCs/>
                <w:sz w:val="24"/>
                <w:szCs w:val="20"/>
              </w:rPr>
            </w:pPr>
            <w:r w:rsidRPr="00B85AF8">
              <w:rPr>
                <w:rFonts w:eastAsia="MS Mincho"/>
                <w:snapToGrid w:val="0"/>
                <w:szCs w:val="20"/>
              </w:rPr>
              <w:t>2</w:t>
            </w:r>
          </w:p>
        </w:tc>
        <w:tc>
          <w:tcPr>
            <w:tcW w:w="1094" w:type="dxa"/>
            <w:vAlign w:val="center"/>
          </w:tcPr>
          <w:p w:rsidR="005A1260" w:rsidRPr="00B85AF8" w:rsidP="0057310A" w14:paraId="66A7A1B1" w14:textId="77777777">
            <w:pPr>
              <w:keepNext/>
              <w:jc w:val="center"/>
              <w:rPr>
                <w:rFonts w:eastAsia="MS Mincho"/>
                <w:b/>
                <w:bCs/>
                <w:sz w:val="24"/>
                <w:szCs w:val="20"/>
              </w:rPr>
            </w:pPr>
            <w:r w:rsidRPr="00B85AF8">
              <w:rPr>
                <w:rFonts w:eastAsia="MS Mincho"/>
                <w:snapToGrid w:val="0"/>
                <w:szCs w:val="20"/>
              </w:rPr>
              <w:t>2</w:t>
            </w:r>
          </w:p>
        </w:tc>
        <w:tc>
          <w:tcPr>
            <w:tcW w:w="1017" w:type="dxa"/>
            <w:vAlign w:val="center"/>
          </w:tcPr>
          <w:p w:rsidR="005A1260" w:rsidRPr="00B85AF8" w:rsidP="0057310A" w14:paraId="47F2DEB7" w14:textId="77777777">
            <w:pPr>
              <w:keepNext/>
              <w:jc w:val="center"/>
              <w:rPr>
                <w:rFonts w:eastAsia="MS Mincho"/>
                <w:b/>
                <w:bCs/>
                <w:sz w:val="24"/>
                <w:szCs w:val="20"/>
              </w:rPr>
            </w:pPr>
            <w:r w:rsidRPr="00B85AF8">
              <w:rPr>
                <w:rFonts w:eastAsia="MS Mincho"/>
                <w:snapToGrid w:val="0"/>
                <w:szCs w:val="20"/>
              </w:rPr>
              <w:t>4</w:t>
            </w:r>
          </w:p>
        </w:tc>
        <w:tc>
          <w:tcPr>
            <w:tcW w:w="672" w:type="dxa"/>
            <w:vAlign w:val="center"/>
          </w:tcPr>
          <w:p w:rsidR="005A1260" w:rsidRPr="00B85AF8" w:rsidP="0057310A" w14:paraId="4B56DD09" w14:textId="77777777">
            <w:pPr>
              <w:keepNext/>
              <w:jc w:val="center"/>
              <w:rPr>
                <w:rFonts w:eastAsia="MS Mincho"/>
                <w:b/>
                <w:bCs/>
                <w:sz w:val="24"/>
                <w:szCs w:val="20"/>
              </w:rPr>
            </w:pPr>
            <w:r w:rsidRPr="00B85AF8">
              <w:rPr>
                <w:rFonts w:eastAsia="MS Mincho"/>
                <w:snapToGrid w:val="0"/>
                <w:color w:val="000000"/>
                <w:szCs w:val="20"/>
              </w:rPr>
              <w:t>8</w:t>
            </w:r>
          </w:p>
        </w:tc>
        <w:tc>
          <w:tcPr>
            <w:tcW w:w="828" w:type="dxa"/>
            <w:vAlign w:val="center"/>
          </w:tcPr>
          <w:p w:rsidR="005A1260" w:rsidRPr="00B85AF8" w:rsidP="0057310A" w14:paraId="5E6A71D8" w14:textId="77777777">
            <w:pPr>
              <w:keepNext/>
              <w:jc w:val="center"/>
              <w:rPr>
                <w:rFonts w:eastAsia="MS Mincho"/>
                <w:b/>
                <w:bCs/>
                <w:sz w:val="24"/>
                <w:szCs w:val="20"/>
              </w:rPr>
            </w:pPr>
            <w:r w:rsidRPr="00B85AF8">
              <w:rPr>
                <w:rFonts w:eastAsia="MS Mincho"/>
                <w:snapToGrid w:val="0"/>
                <w:szCs w:val="20"/>
              </w:rPr>
              <w:t>80.08</w:t>
            </w:r>
          </w:p>
        </w:tc>
        <w:tc>
          <w:tcPr>
            <w:tcW w:w="1206" w:type="dxa"/>
            <w:vAlign w:val="center"/>
          </w:tcPr>
          <w:p w:rsidR="005A1260" w:rsidRPr="00B85AF8" w:rsidP="0057310A" w14:paraId="349E4190" w14:textId="77777777">
            <w:pPr>
              <w:keepNext/>
              <w:jc w:val="center"/>
              <w:rPr>
                <w:rFonts w:eastAsia="MS Mincho"/>
                <w:b/>
                <w:bCs/>
                <w:sz w:val="24"/>
                <w:szCs w:val="20"/>
              </w:rPr>
            </w:pPr>
            <w:r w:rsidRPr="00B85AF8">
              <w:rPr>
                <w:rFonts w:eastAsia="MS Mincho"/>
                <w:snapToGrid w:val="0"/>
                <w:sz w:val="18"/>
                <w:szCs w:val="18"/>
              </w:rPr>
              <w:t>641</w:t>
            </w:r>
          </w:p>
        </w:tc>
        <w:tc>
          <w:tcPr>
            <w:tcW w:w="1116" w:type="dxa"/>
            <w:vAlign w:val="center"/>
          </w:tcPr>
          <w:p w:rsidR="005A1260" w:rsidRPr="00B85AF8" w:rsidP="0057310A" w14:paraId="3645FFD7" w14:textId="77777777">
            <w:pPr>
              <w:keepNext/>
              <w:jc w:val="center"/>
              <w:rPr>
                <w:rFonts w:eastAsia="MS Mincho"/>
                <w:b/>
                <w:bCs/>
                <w:sz w:val="24"/>
                <w:szCs w:val="20"/>
              </w:rPr>
            </w:pPr>
            <w:r w:rsidRPr="00B85AF8">
              <w:rPr>
                <w:rFonts w:eastAsia="MS Mincho"/>
                <w:snapToGrid w:val="0"/>
                <w:sz w:val="18"/>
                <w:szCs w:val="18"/>
              </w:rPr>
              <w:t>641</w:t>
            </w:r>
          </w:p>
        </w:tc>
        <w:tc>
          <w:tcPr>
            <w:tcW w:w="1194" w:type="dxa"/>
            <w:vAlign w:val="center"/>
          </w:tcPr>
          <w:p w:rsidR="005A1260" w:rsidRPr="00B85AF8" w:rsidP="0057310A" w14:paraId="36749C5E" w14:textId="77777777">
            <w:pPr>
              <w:keepNext/>
              <w:jc w:val="center"/>
              <w:rPr>
                <w:rFonts w:eastAsia="MS Mincho"/>
                <w:b/>
                <w:bCs/>
                <w:sz w:val="24"/>
                <w:szCs w:val="20"/>
              </w:rPr>
            </w:pPr>
            <w:r w:rsidRPr="00B85AF8">
              <w:rPr>
                <w:rFonts w:eastAsia="MS Mincho"/>
                <w:snapToGrid w:val="0"/>
                <w:szCs w:val="20"/>
              </w:rPr>
              <w:t>N/A</w:t>
            </w:r>
          </w:p>
        </w:tc>
      </w:tr>
      <w:tr w14:paraId="7CD9A056" w14:textId="77777777" w:rsidTr="0057310A">
        <w:tblPrEx>
          <w:tblW w:w="9759" w:type="dxa"/>
          <w:jc w:val="center"/>
          <w:tblLook w:val="04A0"/>
        </w:tblPrEx>
        <w:trPr>
          <w:jc w:val="center"/>
        </w:trPr>
        <w:tc>
          <w:tcPr>
            <w:tcW w:w="1326" w:type="dxa"/>
          </w:tcPr>
          <w:p w:rsidR="005A1260" w:rsidRPr="00B85AF8" w:rsidP="0057310A" w14:paraId="31639CBF" w14:textId="77777777">
            <w:pPr>
              <w:keepNext/>
              <w:jc w:val="center"/>
              <w:rPr>
                <w:rFonts w:eastAsia="MS Mincho"/>
                <w:b/>
                <w:bCs/>
                <w:sz w:val="24"/>
                <w:szCs w:val="20"/>
              </w:rPr>
            </w:pPr>
            <w:r w:rsidRPr="00B85AF8">
              <w:rPr>
                <w:rFonts w:eastAsia="MS Mincho"/>
                <w:snapToGrid w:val="0"/>
                <w:sz w:val="18"/>
                <w:szCs w:val="18"/>
              </w:rPr>
              <w:t>600.140(b)</w:t>
            </w:r>
            <w:r w:rsidRPr="00B85AF8">
              <w:rPr>
                <w:color w:val="000000" w:themeColor="text1"/>
                <w:sz w:val="18"/>
                <w:szCs w:val="18"/>
              </w:rPr>
              <w:t xml:space="preserve">(1) (suspension application) </w:t>
            </w:r>
          </w:p>
        </w:tc>
        <w:tc>
          <w:tcPr>
            <w:tcW w:w="1306" w:type="dxa"/>
          </w:tcPr>
          <w:p w:rsidR="005A1260" w:rsidRPr="00B85AF8" w:rsidP="0057310A" w14:paraId="558111D1" w14:textId="77777777">
            <w:pPr>
              <w:keepNext/>
              <w:jc w:val="center"/>
              <w:rPr>
                <w:rFonts w:eastAsia="MS Mincho"/>
                <w:b/>
                <w:bCs/>
                <w:sz w:val="24"/>
                <w:szCs w:val="20"/>
              </w:rPr>
            </w:pPr>
            <w:r w:rsidRPr="00B85AF8">
              <w:rPr>
                <w:rFonts w:eastAsia="MS Mincho"/>
                <w:snapToGrid w:val="0"/>
                <w:sz w:val="18"/>
                <w:szCs w:val="18"/>
              </w:rPr>
              <w:t>2</w:t>
            </w:r>
          </w:p>
        </w:tc>
        <w:tc>
          <w:tcPr>
            <w:tcW w:w="1094" w:type="dxa"/>
          </w:tcPr>
          <w:p w:rsidR="005A1260" w:rsidRPr="00B85AF8" w:rsidP="0057310A" w14:paraId="5395753D" w14:textId="77777777">
            <w:pPr>
              <w:keepNext/>
              <w:jc w:val="center"/>
              <w:rPr>
                <w:rFonts w:eastAsia="MS Mincho"/>
                <w:b/>
                <w:bCs/>
                <w:sz w:val="24"/>
                <w:szCs w:val="20"/>
              </w:rPr>
            </w:pPr>
            <w:r w:rsidRPr="00B85AF8">
              <w:rPr>
                <w:rFonts w:eastAsia="MS Mincho"/>
                <w:snapToGrid w:val="0"/>
                <w:sz w:val="18"/>
                <w:szCs w:val="18"/>
              </w:rPr>
              <w:t>2</w:t>
            </w:r>
          </w:p>
        </w:tc>
        <w:tc>
          <w:tcPr>
            <w:tcW w:w="1017" w:type="dxa"/>
          </w:tcPr>
          <w:p w:rsidR="005A1260" w:rsidRPr="00B85AF8" w:rsidP="0057310A" w14:paraId="27BF77BC" w14:textId="77777777">
            <w:pPr>
              <w:keepNext/>
              <w:jc w:val="center"/>
              <w:rPr>
                <w:rFonts w:eastAsia="MS Mincho"/>
                <w:b/>
                <w:bCs/>
                <w:sz w:val="24"/>
                <w:szCs w:val="20"/>
              </w:rPr>
            </w:pPr>
            <w:r w:rsidRPr="00B85AF8">
              <w:rPr>
                <w:rFonts w:eastAsia="MS Mincho"/>
                <w:snapToGrid w:val="0"/>
                <w:sz w:val="18"/>
                <w:szCs w:val="18"/>
              </w:rPr>
              <w:t>34</w:t>
            </w:r>
          </w:p>
        </w:tc>
        <w:tc>
          <w:tcPr>
            <w:tcW w:w="672" w:type="dxa"/>
          </w:tcPr>
          <w:p w:rsidR="005A1260" w:rsidRPr="00B85AF8" w:rsidP="0057310A" w14:paraId="77612137" w14:textId="77777777">
            <w:pPr>
              <w:keepNext/>
              <w:jc w:val="center"/>
              <w:rPr>
                <w:rFonts w:eastAsia="MS Mincho"/>
                <w:b/>
                <w:bCs/>
                <w:sz w:val="24"/>
                <w:szCs w:val="20"/>
              </w:rPr>
            </w:pPr>
            <w:r w:rsidRPr="00B85AF8">
              <w:rPr>
                <w:rFonts w:eastAsia="MS Mincho"/>
                <w:snapToGrid w:val="0"/>
                <w:color w:val="000000"/>
                <w:sz w:val="18"/>
                <w:szCs w:val="18"/>
              </w:rPr>
              <w:t>68</w:t>
            </w:r>
          </w:p>
        </w:tc>
        <w:tc>
          <w:tcPr>
            <w:tcW w:w="828" w:type="dxa"/>
          </w:tcPr>
          <w:p w:rsidR="005A1260" w:rsidRPr="00B85AF8" w:rsidP="0057310A" w14:paraId="6444247A" w14:textId="77777777">
            <w:pPr>
              <w:keepNext/>
              <w:jc w:val="center"/>
              <w:rPr>
                <w:rFonts w:eastAsia="MS Mincho"/>
                <w:b/>
                <w:bCs/>
                <w:sz w:val="24"/>
                <w:szCs w:val="20"/>
              </w:rPr>
            </w:pPr>
            <w:r w:rsidRPr="00B85AF8">
              <w:rPr>
                <w:rFonts w:eastAsia="MS Mincho"/>
                <w:snapToGrid w:val="0"/>
                <w:sz w:val="18"/>
                <w:szCs w:val="18"/>
              </w:rPr>
              <w:t>Varies</w:t>
            </w:r>
          </w:p>
        </w:tc>
        <w:tc>
          <w:tcPr>
            <w:tcW w:w="1206" w:type="dxa"/>
          </w:tcPr>
          <w:p w:rsidR="005A1260" w:rsidRPr="00B85AF8" w:rsidP="0057310A" w14:paraId="253852EF" w14:textId="77777777">
            <w:pPr>
              <w:keepNext/>
              <w:jc w:val="center"/>
              <w:rPr>
                <w:rFonts w:eastAsia="MS Mincho"/>
                <w:b/>
                <w:bCs/>
                <w:sz w:val="24"/>
                <w:szCs w:val="20"/>
              </w:rPr>
            </w:pPr>
            <w:r w:rsidRPr="00B85AF8">
              <w:rPr>
                <w:rFonts w:eastAsia="MS Mincho"/>
                <w:snapToGrid w:val="0"/>
                <w:sz w:val="18"/>
                <w:szCs w:val="18"/>
              </w:rPr>
              <w:t>5,780</w:t>
            </w:r>
          </w:p>
        </w:tc>
        <w:tc>
          <w:tcPr>
            <w:tcW w:w="1116" w:type="dxa"/>
          </w:tcPr>
          <w:p w:rsidR="005A1260" w:rsidRPr="00B85AF8" w:rsidP="0057310A" w14:paraId="7CD262E7" w14:textId="77777777">
            <w:pPr>
              <w:keepNext/>
              <w:jc w:val="center"/>
              <w:rPr>
                <w:rFonts w:eastAsia="MS Mincho"/>
                <w:b/>
                <w:bCs/>
                <w:sz w:val="24"/>
                <w:szCs w:val="20"/>
              </w:rPr>
            </w:pPr>
            <w:r w:rsidRPr="00B85AF8">
              <w:rPr>
                <w:rFonts w:eastAsia="MS Mincho"/>
                <w:snapToGrid w:val="0"/>
                <w:sz w:val="18"/>
                <w:szCs w:val="18"/>
              </w:rPr>
              <w:t>5,780</w:t>
            </w:r>
          </w:p>
        </w:tc>
        <w:tc>
          <w:tcPr>
            <w:tcW w:w="1194" w:type="dxa"/>
          </w:tcPr>
          <w:p w:rsidR="005A1260" w:rsidRPr="00B85AF8" w:rsidP="0057310A" w14:paraId="2E292E15" w14:textId="77777777">
            <w:pPr>
              <w:keepNext/>
              <w:jc w:val="center"/>
              <w:rPr>
                <w:rFonts w:eastAsia="MS Mincho"/>
                <w:b/>
                <w:bCs/>
                <w:sz w:val="24"/>
                <w:szCs w:val="20"/>
              </w:rPr>
            </w:pPr>
            <w:r w:rsidRPr="00B85AF8">
              <w:rPr>
                <w:rFonts w:eastAsia="MS Mincho"/>
                <w:snapToGrid w:val="0"/>
                <w:sz w:val="18"/>
                <w:szCs w:val="18"/>
              </w:rPr>
              <w:t>N/A</w:t>
            </w:r>
          </w:p>
        </w:tc>
      </w:tr>
      <w:tr w14:paraId="5A4B980B" w14:textId="77777777" w:rsidTr="0057310A">
        <w:tblPrEx>
          <w:tblW w:w="9759" w:type="dxa"/>
          <w:jc w:val="center"/>
          <w:tblLook w:val="04A0"/>
        </w:tblPrEx>
        <w:trPr>
          <w:jc w:val="center"/>
        </w:trPr>
        <w:tc>
          <w:tcPr>
            <w:tcW w:w="1326" w:type="dxa"/>
          </w:tcPr>
          <w:p w:rsidR="005A1260" w:rsidRPr="00B85AF8" w:rsidP="0057310A" w14:paraId="43E8F2BC" w14:textId="77777777">
            <w:pPr>
              <w:keepNext/>
              <w:jc w:val="center"/>
              <w:rPr>
                <w:rFonts w:eastAsia="MS Mincho"/>
                <w:snapToGrid w:val="0"/>
                <w:sz w:val="18"/>
                <w:szCs w:val="18"/>
              </w:rPr>
            </w:pPr>
            <w:r w:rsidRPr="00B85AF8">
              <w:rPr>
                <w:rFonts w:eastAsia="MS Mincho"/>
                <w:snapToGrid w:val="0"/>
                <w:sz w:val="18"/>
                <w:szCs w:val="18"/>
              </w:rPr>
              <w:t>600.140(b)(1) (extension application</w:t>
            </w:r>
          </w:p>
        </w:tc>
        <w:tc>
          <w:tcPr>
            <w:tcW w:w="1306" w:type="dxa"/>
          </w:tcPr>
          <w:p w:rsidR="005A1260" w:rsidRPr="00B85AF8" w:rsidP="0057310A" w14:paraId="5AB4FAED" w14:textId="77777777">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6C0B2DC3" w14:textId="77777777">
            <w:pPr>
              <w:keepNext/>
              <w:jc w:val="center"/>
              <w:rPr>
                <w:rFonts w:eastAsia="MS Mincho"/>
                <w:snapToGrid w:val="0"/>
                <w:sz w:val="18"/>
                <w:szCs w:val="18"/>
              </w:rPr>
            </w:pPr>
            <w:r w:rsidRPr="00B85AF8">
              <w:rPr>
                <w:rFonts w:eastAsia="MS Mincho"/>
                <w:snapToGrid w:val="0"/>
                <w:sz w:val="18"/>
                <w:szCs w:val="18"/>
              </w:rPr>
              <w:t>2</w:t>
            </w:r>
          </w:p>
        </w:tc>
        <w:tc>
          <w:tcPr>
            <w:tcW w:w="1017" w:type="dxa"/>
          </w:tcPr>
          <w:p w:rsidR="005A1260" w:rsidRPr="00B85AF8" w:rsidP="0057310A" w14:paraId="03E77F9D" w14:textId="77777777">
            <w:pPr>
              <w:keepNext/>
              <w:jc w:val="center"/>
              <w:rPr>
                <w:rFonts w:eastAsia="MS Mincho"/>
                <w:snapToGrid w:val="0"/>
                <w:sz w:val="18"/>
                <w:szCs w:val="18"/>
              </w:rPr>
            </w:pPr>
            <w:r w:rsidRPr="00B85AF8">
              <w:rPr>
                <w:rFonts w:eastAsia="MS Mincho"/>
                <w:snapToGrid w:val="0"/>
                <w:sz w:val="18"/>
                <w:szCs w:val="18"/>
              </w:rPr>
              <w:t>34</w:t>
            </w:r>
          </w:p>
        </w:tc>
        <w:tc>
          <w:tcPr>
            <w:tcW w:w="672" w:type="dxa"/>
          </w:tcPr>
          <w:p w:rsidR="005A1260" w:rsidRPr="00B85AF8" w:rsidP="0057310A" w14:paraId="6317618E" w14:textId="77777777">
            <w:pPr>
              <w:keepNext/>
              <w:jc w:val="center"/>
              <w:rPr>
                <w:rFonts w:eastAsia="MS Mincho"/>
                <w:snapToGrid w:val="0"/>
                <w:color w:val="000000"/>
                <w:sz w:val="18"/>
                <w:szCs w:val="18"/>
              </w:rPr>
            </w:pPr>
            <w:r w:rsidRPr="00B85AF8">
              <w:rPr>
                <w:rFonts w:eastAsia="MS Mincho"/>
                <w:snapToGrid w:val="0"/>
                <w:color w:val="000000"/>
                <w:sz w:val="18"/>
                <w:szCs w:val="18"/>
              </w:rPr>
              <w:t>68</w:t>
            </w:r>
          </w:p>
        </w:tc>
        <w:tc>
          <w:tcPr>
            <w:tcW w:w="828" w:type="dxa"/>
          </w:tcPr>
          <w:p w:rsidR="005A1260" w:rsidRPr="00B85AF8" w:rsidP="0057310A" w14:paraId="13067548" w14:textId="77777777">
            <w:pPr>
              <w:keepNext/>
              <w:jc w:val="center"/>
              <w:rPr>
                <w:rFonts w:eastAsia="MS Mincho"/>
                <w:snapToGrid w:val="0"/>
                <w:sz w:val="18"/>
                <w:szCs w:val="18"/>
              </w:rPr>
            </w:pPr>
            <w:r w:rsidRPr="00B85AF8">
              <w:rPr>
                <w:rFonts w:eastAsia="MS Mincho"/>
                <w:snapToGrid w:val="0"/>
                <w:sz w:val="18"/>
                <w:szCs w:val="18"/>
              </w:rPr>
              <w:t>Varies</w:t>
            </w:r>
          </w:p>
        </w:tc>
        <w:tc>
          <w:tcPr>
            <w:tcW w:w="1206" w:type="dxa"/>
          </w:tcPr>
          <w:p w:rsidR="005A1260" w:rsidRPr="00B85AF8" w:rsidP="0057310A" w14:paraId="79CE05D2" w14:textId="77777777">
            <w:pPr>
              <w:keepNext/>
              <w:jc w:val="center"/>
              <w:rPr>
                <w:rFonts w:eastAsia="MS Mincho"/>
                <w:snapToGrid w:val="0"/>
                <w:sz w:val="18"/>
                <w:szCs w:val="18"/>
              </w:rPr>
            </w:pPr>
            <w:r w:rsidRPr="00B85AF8">
              <w:rPr>
                <w:rFonts w:eastAsia="MS Mincho"/>
                <w:snapToGrid w:val="0"/>
                <w:sz w:val="18"/>
                <w:szCs w:val="18"/>
              </w:rPr>
              <w:t>5,780</w:t>
            </w:r>
          </w:p>
        </w:tc>
        <w:tc>
          <w:tcPr>
            <w:tcW w:w="1116" w:type="dxa"/>
          </w:tcPr>
          <w:p w:rsidR="005A1260" w:rsidRPr="00B85AF8" w:rsidP="0057310A" w14:paraId="6FC2521B" w14:textId="77777777">
            <w:pPr>
              <w:keepNext/>
              <w:jc w:val="center"/>
              <w:rPr>
                <w:rFonts w:eastAsia="MS Mincho"/>
                <w:snapToGrid w:val="0"/>
                <w:sz w:val="18"/>
                <w:szCs w:val="18"/>
              </w:rPr>
            </w:pPr>
            <w:r w:rsidRPr="00B85AF8">
              <w:rPr>
                <w:rFonts w:eastAsia="MS Mincho"/>
                <w:snapToGrid w:val="0"/>
                <w:sz w:val="18"/>
                <w:szCs w:val="18"/>
              </w:rPr>
              <w:t>5,780</w:t>
            </w:r>
          </w:p>
        </w:tc>
        <w:tc>
          <w:tcPr>
            <w:tcW w:w="1194" w:type="dxa"/>
          </w:tcPr>
          <w:p w:rsidR="005A1260" w:rsidRPr="00B85AF8" w:rsidP="0057310A" w14:paraId="0CD4C9BA" w14:textId="77777777">
            <w:pPr>
              <w:keepNext/>
              <w:jc w:val="center"/>
              <w:rPr>
                <w:rFonts w:eastAsia="MS Mincho"/>
                <w:snapToGrid w:val="0"/>
                <w:sz w:val="18"/>
                <w:szCs w:val="18"/>
              </w:rPr>
            </w:pPr>
            <w:r w:rsidRPr="00B85AF8">
              <w:rPr>
                <w:rFonts w:eastAsia="MS Mincho"/>
                <w:snapToGrid w:val="0"/>
                <w:sz w:val="18"/>
                <w:szCs w:val="18"/>
              </w:rPr>
              <w:t>N/A</w:t>
            </w:r>
          </w:p>
        </w:tc>
      </w:tr>
      <w:tr w14:paraId="02180BC3" w14:textId="77777777" w:rsidTr="0057310A">
        <w:tblPrEx>
          <w:tblW w:w="9759" w:type="dxa"/>
          <w:jc w:val="center"/>
          <w:tblLook w:val="04A0"/>
        </w:tblPrEx>
        <w:trPr>
          <w:jc w:val="center"/>
        </w:trPr>
        <w:tc>
          <w:tcPr>
            <w:tcW w:w="1326" w:type="dxa"/>
          </w:tcPr>
          <w:p w:rsidR="005A1260" w:rsidRPr="00B85AF8" w:rsidP="0057310A" w14:paraId="2114D609" w14:textId="77777777">
            <w:pPr>
              <w:keepNext/>
              <w:jc w:val="center"/>
              <w:rPr>
                <w:rFonts w:eastAsia="MS Mincho"/>
                <w:snapToGrid w:val="0"/>
                <w:sz w:val="18"/>
                <w:szCs w:val="18"/>
              </w:rPr>
            </w:pPr>
            <w:r w:rsidRPr="00B85AF8">
              <w:rPr>
                <w:rFonts w:eastAsia="MS Mincho"/>
                <w:snapToGrid w:val="0"/>
                <w:sz w:val="18"/>
                <w:szCs w:val="18"/>
              </w:rPr>
              <w:t>600.140(b)(3)</w:t>
            </w:r>
          </w:p>
        </w:tc>
        <w:tc>
          <w:tcPr>
            <w:tcW w:w="1306" w:type="dxa"/>
          </w:tcPr>
          <w:p w:rsidR="005A1260" w:rsidRPr="00B85AF8" w:rsidP="0057310A" w14:paraId="3763CA4C" w14:textId="77777777">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0A5493D7" w14:textId="77777777">
            <w:pPr>
              <w:keepNext/>
              <w:jc w:val="center"/>
              <w:rPr>
                <w:rFonts w:eastAsia="MS Mincho"/>
                <w:snapToGrid w:val="0"/>
                <w:sz w:val="18"/>
                <w:szCs w:val="18"/>
              </w:rPr>
            </w:pPr>
            <w:r w:rsidRPr="00B85AF8">
              <w:rPr>
                <w:rFonts w:eastAsia="MS Mincho"/>
                <w:snapToGrid w:val="0"/>
                <w:sz w:val="18"/>
                <w:szCs w:val="18"/>
              </w:rPr>
              <w:t>2</w:t>
            </w:r>
          </w:p>
        </w:tc>
        <w:tc>
          <w:tcPr>
            <w:tcW w:w="1017" w:type="dxa"/>
          </w:tcPr>
          <w:p w:rsidR="005A1260" w:rsidRPr="00B85AF8" w:rsidP="0057310A" w14:paraId="69B8447E" w14:textId="77777777">
            <w:pPr>
              <w:keepNext/>
              <w:jc w:val="center"/>
              <w:rPr>
                <w:rFonts w:eastAsia="MS Mincho"/>
                <w:snapToGrid w:val="0"/>
                <w:sz w:val="18"/>
                <w:szCs w:val="18"/>
              </w:rPr>
            </w:pPr>
            <w:r w:rsidRPr="00B85AF8">
              <w:rPr>
                <w:rFonts w:eastAsia="MS Mincho"/>
                <w:snapToGrid w:val="0"/>
                <w:sz w:val="18"/>
                <w:szCs w:val="18"/>
              </w:rPr>
              <w:t>32</w:t>
            </w:r>
          </w:p>
        </w:tc>
        <w:tc>
          <w:tcPr>
            <w:tcW w:w="672" w:type="dxa"/>
          </w:tcPr>
          <w:p w:rsidR="005A1260" w:rsidRPr="00B85AF8" w:rsidP="0057310A" w14:paraId="5D28881D" w14:textId="77777777">
            <w:pPr>
              <w:keepNext/>
              <w:jc w:val="center"/>
              <w:rPr>
                <w:rFonts w:eastAsia="MS Mincho"/>
                <w:snapToGrid w:val="0"/>
                <w:color w:val="000000"/>
                <w:sz w:val="18"/>
                <w:szCs w:val="18"/>
              </w:rPr>
            </w:pPr>
            <w:r w:rsidRPr="00B85AF8">
              <w:rPr>
                <w:rFonts w:eastAsia="MS Mincho"/>
                <w:snapToGrid w:val="0"/>
                <w:color w:val="000000"/>
                <w:sz w:val="18"/>
                <w:szCs w:val="18"/>
              </w:rPr>
              <w:t>64</w:t>
            </w:r>
          </w:p>
        </w:tc>
        <w:tc>
          <w:tcPr>
            <w:tcW w:w="828" w:type="dxa"/>
          </w:tcPr>
          <w:p w:rsidR="005A1260" w:rsidRPr="00B85AF8" w:rsidP="0057310A" w14:paraId="76FAA16A" w14:textId="77777777">
            <w:pPr>
              <w:keepNext/>
              <w:jc w:val="center"/>
              <w:rPr>
                <w:rFonts w:eastAsia="MS Mincho"/>
                <w:snapToGrid w:val="0"/>
                <w:sz w:val="18"/>
                <w:szCs w:val="18"/>
              </w:rPr>
            </w:pPr>
            <w:r w:rsidRPr="00B85AF8">
              <w:rPr>
                <w:snapToGrid w:val="0"/>
                <w:sz w:val="18"/>
                <w:szCs w:val="18"/>
              </w:rPr>
              <w:t>80.08</w:t>
            </w:r>
          </w:p>
        </w:tc>
        <w:tc>
          <w:tcPr>
            <w:tcW w:w="1206" w:type="dxa"/>
          </w:tcPr>
          <w:p w:rsidR="005A1260" w:rsidRPr="00B85AF8" w:rsidP="0057310A" w14:paraId="080F5A65" w14:textId="77777777">
            <w:pPr>
              <w:keepNext/>
              <w:jc w:val="center"/>
              <w:rPr>
                <w:rFonts w:eastAsia="MS Mincho"/>
                <w:snapToGrid w:val="0"/>
                <w:sz w:val="18"/>
                <w:szCs w:val="18"/>
              </w:rPr>
            </w:pPr>
            <w:r w:rsidRPr="00B85AF8">
              <w:rPr>
                <w:rFonts w:eastAsia="MS Mincho"/>
                <w:snapToGrid w:val="0"/>
                <w:sz w:val="18"/>
                <w:szCs w:val="18"/>
              </w:rPr>
              <w:t>5,125</w:t>
            </w:r>
          </w:p>
        </w:tc>
        <w:tc>
          <w:tcPr>
            <w:tcW w:w="1116" w:type="dxa"/>
          </w:tcPr>
          <w:p w:rsidR="005A1260" w:rsidRPr="00B85AF8" w:rsidP="0057310A" w14:paraId="500B83F8" w14:textId="77777777">
            <w:pPr>
              <w:keepNext/>
              <w:jc w:val="center"/>
              <w:rPr>
                <w:rFonts w:eastAsia="MS Mincho"/>
                <w:snapToGrid w:val="0"/>
                <w:sz w:val="18"/>
                <w:szCs w:val="18"/>
              </w:rPr>
            </w:pPr>
            <w:r w:rsidRPr="00B85AF8">
              <w:rPr>
                <w:rFonts w:eastAsia="MS Mincho"/>
                <w:snapToGrid w:val="0"/>
                <w:sz w:val="18"/>
                <w:szCs w:val="18"/>
              </w:rPr>
              <w:t>5,125</w:t>
            </w:r>
          </w:p>
        </w:tc>
        <w:tc>
          <w:tcPr>
            <w:tcW w:w="1194" w:type="dxa"/>
          </w:tcPr>
          <w:p w:rsidR="005A1260" w:rsidRPr="00B85AF8" w:rsidP="0057310A" w14:paraId="64D2B289" w14:textId="77777777">
            <w:pPr>
              <w:keepNext/>
              <w:jc w:val="center"/>
              <w:rPr>
                <w:rFonts w:eastAsia="MS Mincho"/>
                <w:snapToGrid w:val="0"/>
                <w:sz w:val="18"/>
                <w:szCs w:val="18"/>
              </w:rPr>
            </w:pPr>
            <w:r w:rsidRPr="00B85AF8">
              <w:rPr>
                <w:rFonts w:eastAsia="MS Mincho"/>
                <w:snapToGrid w:val="0"/>
                <w:sz w:val="18"/>
                <w:szCs w:val="18"/>
              </w:rPr>
              <w:t>N/A</w:t>
            </w:r>
          </w:p>
        </w:tc>
      </w:tr>
      <w:tr w14:paraId="4CF90A98" w14:textId="77777777" w:rsidTr="0057310A">
        <w:tblPrEx>
          <w:tblW w:w="9759" w:type="dxa"/>
          <w:jc w:val="center"/>
          <w:tblLook w:val="04A0"/>
        </w:tblPrEx>
        <w:trPr>
          <w:jc w:val="center"/>
        </w:trPr>
        <w:tc>
          <w:tcPr>
            <w:tcW w:w="1326" w:type="dxa"/>
          </w:tcPr>
          <w:p w:rsidR="005A1260" w:rsidRPr="00B85AF8" w:rsidP="0057310A" w14:paraId="6F87F115" w14:textId="77777777">
            <w:pPr>
              <w:keepNext/>
              <w:jc w:val="center"/>
              <w:rPr>
                <w:rFonts w:eastAsia="MS Mincho"/>
                <w:snapToGrid w:val="0"/>
                <w:sz w:val="18"/>
                <w:szCs w:val="18"/>
              </w:rPr>
            </w:pPr>
            <w:r w:rsidRPr="00B85AF8">
              <w:rPr>
                <w:rFonts w:eastAsia="MS Mincho"/>
                <w:snapToGrid w:val="0"/>
                <w:sz w:val="18"/>
                <w:szCs w:val="18"/>
              </w:rPr>
              <w:t>600.140(b)(4)</w:t>
            </w:r>
          </w:p>
        </w:tc>
        <w:tc>
          <w:tcPr>
            <w:tcW w:w="1306" w:type="dxa"/>
          </w:tcPr>
          <w:p w:rsidR="005A1260" w:rsidRPr="00B85AF8" w:rsidP="0057310A" w14:paraId="4D38AA24" w14:textId="77777777">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11E40D0F" w14:textId="2DDFD980">
            <w:pPr>
              <w:keepNext/>
              <w:jc w:val="center"/>
              <w:rPr>
                <w:rFonts w:eastAsia="MS Mincho"/>
                <w:snapToGrid w:val="0"/>
                <w:sz w:val="18"/>
                <w:szCs w:val="18"/>
              </w:rPr>
            </w:pPr>
            <w:r>
              <w:rPr>
                <w:rFonts w:eastAsia="MS Mincho"/>
                <w:snapToGrid w:val="0"/>
                <w:sz w:val="18"/>
                <w:szCs w:val="18"/>
              </w:rPr>
              <w:t>8</w:t>
            </w:r>
          </w:p>
        </w:tc>
        <w:tc>
          <w:tcPr>
            <w:tcW w:w="1017" w:type="dxa"/>
          </w:tcPr>
          <w:p w:rsidR="005A1260" w:rsidRPr="00B85AF8" w:rsidP="0057310A" w14:paraId="74D5B417" w14:textId="77777777">
            <w:pPr>
              <w:keepNext/>
              <w:jc w:val="center"/>
              <w:rPr>
                <w:rFonts w:eastAsia="MS Mincho"/>
                <w:snapToGrid w:val="0"/>
                <w:sz w:val="18"/>
                <w:szCs w:val="18"/>
              </w:rPr>
            </w:pPr>
            <w:r w:rsidRPr="00B85AF8">
              <w:rPr>
                <w:rFonts w:eastAsia="MS Mincho"/>
                <w:snapToGrid w:val="0"/>
                <w:sz w:val="18"/>
                <w:szCs w:val="18"/>
              </w:rPr>
              <w:t>29</w:t>
            </w:r>
          </w:p>
        </w:tc>
        <w:tc>
          <w:tcPr>
            <w:tcW w:w="672" w:type="dxa"/>
          </w:tcPr>
          <w:p w:rsidR="005A1260" w:rsidRPr="00B85AF8" w:rsidP="0057310A" w14:paraId="456AC6AC" w14:textId="77777777">
            <w:pPr>
              <w:keepNext/>
              <w:jc w:val="center"/>
              <w:rPr>
                <w:rFonts w:eastAsia="MS Mincho"/>
                <w:snapToGrid w:val="0"/>
                <w:color w:val="000000"/>
                <w:sz w:val="18"/>
                <w:szCs w:val="18"/>
              </w:rPr>
            </w:pPr>
            <w:r w:rsidRPr="00B85AF8">
              <w:rPr>
                <w:rFonts w:eastAsia="MS Mincho"/>
                <w:snapToGrid w:val="0"/>
                <w:color w:val="000000"/>
                <w:sz w:val="18"/>
                <w:szCs w:val="18"/>
              </w:rPr>
              <w:t>232</w:t>
            </w:r>
          </w:p>
        </w:tc>
        <w:tc>
          <w:tcPr>
            <w:tcW w:w="828" w:type="dxa"/>
          </w:tcPr>
          <w:p w:rsidR="005A1260" w:rsidRPr="00B85AF8" w:rsidP="0057310A" w14:paraId="2C54991D" w14:textId="77777777">
            <w:pPr>
              <w:keepNext/>
              <w:jc w:val="center"/>
              <w:rPr>
                <w:rFonts w:eastAsia="MS Mincho"/>
                <w:snapToGrid w:val="0"/>
                <w:sz w:val="18"/>
                <w:szCs w:val="18"/>
              </w:rPr>
            </w:pPr>
            <w:r w:rsidRPr="00B85AF8">
              <w:rPr>
                <w:rFonts w:eastAsia="MS Mincho"/>
                <w:snapToGrid w:val="0"/>
                <w:sz w:val="18"/>
                <w:szCs w:val="18"/>
              </w:rPr>
              <w:t>Varies</w:t>
            </w:r>
          </w:p>
        </w:tc>
        <w:tc>
          <w:tcPr>
            <w:tcW w:w="1206" w:type="dxa"/>
          </w:tcPr>
          <w:p w:rsidR="005A1260" w:rsidRPr="00B85AF8" w:rsidP="0057310A" w14:paraId="4482C534" w14:textId="77777777">
            <w:pPr>
              <w:keepNext/>
              <w:jc w:val="center"/>
              <w:rPr>
                <w:rFonts w:eastAsia="MS Mincho"/>
                <w:snapToGrid w:val="0"/>
                <w:sz w:val="18"/>
                <w:szCs w:val="18"/>
              </w:rPr>
            </w:pPr>
            <w:r w:rsidRPr="00B85AF8">
              <w:rPr>
                <w:sz w:val="18"/>
                <w:szCs w:val="18"/>
              </w:rPr>
              <w:t>19,796</w:t>
            </w:r>
          </w:p>
        </w:tc>
        <w:tc>
          <w:tcPr>
            <w:tcW w:w="1116" w:type="dxa"/>
          </w:tcPr>
          <w:p w:rsidR="005A1260" w:rsidRPr="00B85AF8" w:rsidP="0057310A" w14:paraId="67D4234C" w14:textId="77777777">
            <w:pPr>
              <w:keepNext/>
              <w:jc w:val="center"/>
              <w:rPr>
                <w:rFonts w:eastAsia="MS Mincho"/>
                <w:snapToGrid w:val="0"/>
                <w:sz w:val="18"/>
                <w:szCs w:val="18"/>
              </w:rPr>
            </w:pPr>
            <w:r w:rsidRPr="00B85AF8">
              <w:rPr>
                <w:sz w:val="18"/>
                <w:szCs w:val="18"/>
              </w:rPr>
              <w:t>19,796</w:t>
            </w:r>
          </w:p>
        </w:tc>
        <w:tc>
          <w:tcPr>
            <w:tcW w:w="1194" w:type="dxa"/>
          </w:tcPr>
          <w:p w:rsidR="005A1260" w:rsidRPr="00B85AF8" w:rsidP="0057310A" w14:paraId="505AF86B" w14:textId="77777777">
            <w:pPr>
              <w:keepNext/>
              <w:jc w:val="center"/>
              <w:rPr>
                <w:rFonts w:eastAsia="MS Mincho"/>
                <w:snapToGrid w:val="0"/>
                <w:sz w:val="18"/>
                <w:szCs w:val="18"/>
              </w:rPr>
            </w:pPr>
            <w:r w:rsidRPr="00B85AF8">
              <w:rPr>
                <w:rFonts w:eastAsia="MS Mincho"/>
                <w:snapToGrid w:val="0"/>
                <w:sz w:val="18"/>
                <w:szCs w:val="18"/>
              </w:rPr>
              <w:t>N/A</w:t>
            </w:r>
          </w:p>
        </w:tc>
      </w:tr>
      <w:tr w14:paraId="315296CA" w14:textId="77777777" w:rsidTr="0057310A">
        <w:tblPrEx>
          <w:tblW w:w="9759" w:type="dxa"/>
          <w:jc w:val="center"/>
          <w:tblLook w:val="04A0"/>
        </w:tblPrEx>
        <w:trPr>
          <w:jc w:val="center"/>
        </w:trPr>
        <w:tc>
          <w:tcPr>
            <w:tcW w:w="1326" w:type="dxa"/>
          </w:tcPr>
          <w:p w:rsidR="005A1260" w:rsidRPr="00B85AF8" w:rsidP="0057310A" w14:paraId="09184E60" w14:textId="77777777">
            <w:pPr>
              <w:keepNext/>
              <w:jc w:val="center"/>
              <w:rPr>
                <w:rFonts w:eastAsia="MS Mincho"/>
                <w:snapToGrid w:val="0"/>
                <w:sz w:val="18"/>
                <w:szCs w:val="18"/>
              </w:rPr>
            </w:pPr>
            <w:r w:rsidRPr="00B85AF8">
              <w:rPr>
                <w:rFonts w:eastAsia="MS Mincho"/>
                <w:snapToGrid w:val="0"/>
                <w:sz w:val="18"/>
                <w:szCs w:val="18"/>
              </w:rPr>
              <w:t>600.140(b)(5)</w:t>
            </w:r>
            <w:r w:rsidRPr="00B85AF8">
              <w:rPr>
                <w:color w:val="000000" w:themeColor="text1"/>
                <w:sz w:val="18"/>
                <w:szCs w:val="18"/>
              </w:rPr>
              <w:t xml:space="preserve"> and </w:t>
            </w:r>
            <w:r w:rsidRPr="00B85AF8">
              <w:rPr>
                <w:rFonts w:eastAsia="MS Mincho"/>
                <w:snapToGrid w:val="0"/>
                <w:sz w:val="18"/>
                <w:szCs w:val="18"/>
              </w:rPr>
              <w:t>600.170(a)(2)</w:t>
            </w:r>
          </w:p>
        </w:tc>
        <w:tc>
          <w:tcPr>
            <w:tcW w:w="1306" w:type="dxa"/>
          </w:tcPr>
          <w:p w:rsidR="005A1260" w:rsidRPr="00B85AF8" w:rsidP="0057310A" w14:paraId="04837499" w14:textId="77777777">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421CBC24" w14:textId="77777777">
            <w:pPr>
              <w:keepNext/>
              <w:jc w:val="center"/>
              <w:rPr>
                <w:rFonts w:eastAsia="MS Mincho"/>
                <w:snapToGrid w:val="0"/>
                <w:sz w:val="18"/>
                <w:szCs w:val="18"/>
              </w:rPr>
            </w:pPr>
            <w:r w:rsidRPr="00B85AF8">
              <w:rPr>
                <w:rFonts w:eastAsia="MS Mincho"/>
                <w:snapToGrid w:val="0"/>
                <w:sz w:val="18"/>
                <w:szCs w:val="18"/>
              </w:rPr>
              <w:t>2</w:t>
            </w:r>
          </w:p>
        </w:tc>
        <w:tc>
          <w:tcPr>
            <w:tcW w:w="1017" w:type="dxa"/>
          </w:tcPr>
          <w:p w:rsidR="005A1260" w:rsidRPr="00B85AF8" w:rsidP="0057310A" w14:paraId="636A9182" w14:textId="77777777">
            <w:pPr>
              <w:keepNext/>
              <w:jc w:val="center"/>
              <w:rPr>
                <w:rFonts w:eastAsia="MS Mincho"/>
                <w:snapToGrid w:val="0"/>
                <w:sz w:val="18"/>
                <w:szCs w:val="18"/>
              </w:rPr>
            </w:pPr>
            <w:r w:rsidRPr="00B85AF8">
              <w:rPr>
                <w:rFonts w:eastAsia="MS Mincho"/>
                <w:snapToGrid w:val="0"/>
                <w:sz w:val="18"/>
                <w:szCs w:val="18"/>
              </w:rPr>
              <w:t>44</w:t>
            </w:r>
          </w:p>
        </w:tc>
        <w:tc>
          <w:tcPr>
            <w:tcW w:w="672" w:type="dxa"/>
          </w:tcPr>
          <w:p w:rsidR="005A1260" w:rsidRPr="00B85AF8" w:rsidP="0057310A" w14:paraId="0A5D1FAA" w14:textId="77777777">
            <w:pPr>
              <w:keepNext/>
              <w:jc w:val="center"/>
              <w:rPr>
                <w:rFonts w:eastAsia="MS Mincho"/>
                <w:snapToGrid w:val="0"/>
                <w:color w:val="000000"/>
                <w:sz w:val="18"/>
                <w:szCs w:val="18"/>
              </w:rPr>
            </w:pPr>
            <w:r w:rsidRPr="00B85AF8">
              <w:rPr>
                <w:rFonts w:eastAsia="MS Mincho"/>
                <w:snapToGrid w:val="0"/>
                <w:color w:val="000000"/>
                <w:sz w:val="18"/>
                <w:szCs w:val="18"/>
              </w:rPr>
              <w:t>88</w:t>
            </w:r>
          </w:p>
        </w:tc>
        <w:tc>
          <w:tcPr>
            <w:tcW w:w="828" w:type="dxa"/>
          </w:tcPr>
          <w:p w:rsidR="005A1260" w:rsidRPr="00B85AF8" w:rsidP="0057310A" w14:paraId="319484C4" w14:textId="77777777">
            <w:pPr>
              <w:keepNext/>
              <w:jc w:val="center"/>
              <w:rPr>
                <w:rFonts w:eastAsia="MS Mincho"/>
                <w:snapToGrid w:val="0"/>
                <w:sz w:val="18"/>
                <w:szCs w:val="18"/>
              </w:rPr>
            </w:pPr>
            <w:r w:rsidRPr="00B85AF8">
              <w:rPr>
                <w:rFonts w:eastAsia="MS Mincho"/>
                <w:snapToGrid w:val="0"/>
                <w:sz w:val="18"/>
                <w:szCs w:val="18"/>
              </w:rPr>
              <w:t>Varies</w:t>
            </w:r>
          </w:p>
        </w:tc>
        <w:tc>
          <w:tcPr>
            <w:tcW w:w="1206" w:type="dxa"/>
          </w:tcPr>
          <w:p w:rsidR="005A1260" w:rsidRPr="00B85AF8" w:rsidP="0057310A" w14:paraId="29B61C09" w14:textId="77777777">
            <w:pPr>
              <w:keepNext/>
              <w:jc w:val="center"/>
              <w:rPr>
                <w:rFonts w:eastAsia="MS Mincho"/>
                <w:snapToGrid w:val="0"/>
                <w:sz w:val="18"/>
                <w:szCs w:val="18"/>
              </w:rPr>
            </w:pPr>
            <w:r w:rsidRPr="00B85AF8">
              <w:rPr>
                <w:snapToGrid w:val="0"/>
                <w:sz w:val="18"/>
                <w:szCs w:val="18"/>
              </w:rPr>
              <w:t>7,352</w:t>
            </w:r>
          </w:p>
        </w:tc>
        <w:tc>
          <w:tcPr>
            <w:tcW w:w="1116" w:type="dxa"/>
          </w:tcPr>
          <w:p w:rsidR="005A1260" w:rsidRPr="00B85AF8" w:rsidP="0057310A" w14:paraId="4A5E4E06" w14:textId="77777777">
            <w:pPr>
              <w:keepNext/>
              <w:jc w:val="center"/>
              <w:rPr>
                <w:rFonts w:eastAsia="MS Mincho"/>
                <w:snapToGrid w:val="0"/>
                <w:sz w:val="18"/>
                <w:szCs w:val="18"/>
              </w:rPr>
            </w:pPr>
            <w:r w:rsidRPr="00B85AF8">
              <w:rPr>
                <w:snapToGrid w:val="0"/>
                <w:sz w:val="18"/>
                <w:szCs w:val="18"/>
              </w:rPr>
              <w:t>7,352</w:t>
            </w:r>
          </w:p>
        </w:tc>
        <w:tc>
          <w:tcPr>
            <w:tcW w:w="1194" w:type="dxa"/>
          </w:tcPr>
          <w:p w:rsidR="005A1260" w:rsidRPr="00B85AF8" w:rsidP="0057310A" w14:paraId="1EE42455" w14:textId="77777777">
            <w:pPr>
              <w:keepNext/>
              <w:jc w:val="center"/>
              <w:rPr>
                <w:rFonts w:eastAsia="MS Mincho"/>
                <w:snapToGrid w:val="0"/>
                <w:sz w:val="18"/>
                <w:szCs w:val="18"/>
              </w:rPr>
            </w:pPr>
            <w:r w:rsidRPr="00B85AF8">
              <w:rPr>
                <w:rFonts w:eastAsia="MS Mincho"/>
                <w:snapToGrid w:val="0"/>
                <w:sz w:val="18"/>
                <w:szCs w:val="18"/>
              </w:rPr>
              <w:t>N/A</w:t>
            </w:r>
          </w:p>
        </w:tc>
      </w:tr>
      <w:tr w14:paraId="2FA6FCFB" w14:textId="77777777" w:rsidTr="0057310A">
        <w:tblPrEx>
          <w:tblW w:w="9759" w:type="dxa"/>
          <w:jc w:val="center"/>
          <w:tblLook w:val="04A0"/>
        </w:tblPrEx>
        <w:trPr>
          <w:jc w:val="center"/>
        </w:trPr>
        <w:tc>
          <w:tcPr>
            <w:tcW w:w="1326" w:type="dxa"/>
          </w:tcPr>
          <w:p w:rsidR="005A1260" w:rsidRPr="00B85AF8" w:rsidP="0057310A" w14:paraId="486F88EB" w14:textId="77777777">
            <w:pPr>
              <w:keepNext/>
              <w:jc w:val="center"/>
              <w:rPr>
                <w:rFonts w:eastAsia="MS Mincho"/>
                <w:snapToGrid w:val="0"/>
                <w:sz w:val="18"/>
                <w:szCs w:val="18"/>
              </w:rPr>
            </w:pPr>
            <w:r w:rsidRPr="00B85AF8">
              <w:rPr>
                <w:rFonts w:eastAsia="MS Mincho"/>
                <w:snapToGrid w:val="0"/>
                <w:sz w:val="18"/>
                <w:szCs w:val="18"/>
              </w:rPr>
              <w:t>600.140(b)(6)</w:t>
            </w:r>
          </w:p>
        </w:tc>
        <w:tc>
          <w:tcPr>
            <w:tcW w:w="1306" w:type="dxa"/>
          </w:tcPr>
          <w:p w:rsidR="005A1260" w:rsidRPr="00B85AF8" w:rsidP="0057310A" w14:paraId="79E4686C" w14:textId="77777777">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4A86FB42" w14:textId="77777777">
            <w:pPr>
              <w:keepNext/>
              <w:jc w:val="center"/>
              <w:rPr>
                <w:rFonts w:eastAsia="MS Mincho"/>
                <w:snapToGrid w:val="0"/>
                <w:sz w:val="18"/>
                <w:szCs w:val="18"/>
              </w:rPr>
            </w:pPr>
            <w:r w:rsidRPr="00B85AF8">
              <w:rPr>
                <w:rFonts w:eastAsia="MS Mincho"/>
                <w:snapToGrid w:val="0"/>
                <w:sz w:val="18"/>
                <w:szCs w:val="18"/>
              </w:rPr>
              <w:t>2</w:t>
            </w:r>
          </w:p>
        </w:tc>
        <w:tc>
          <w:tcPr>
            <w:tcW w:w="1017" w:type="dxa"/>
          </w:tcPr>
          <w:p w:rsidR="005A1260" w:rsidRPr="00B85AF8" w:rsidP="0057310A" w14:paraId="3761EEEA" w14:textId="77777777">
            <w:pPr>
              <w:keepNext/>
              <w:jc w:val="center"/>
              <w:rPr>
                <w:rFonts w:eastAsia="MS Mincho"/>
                <w:snapToGrid w:val="0"/>
                <w:sz w:val="18"/>
                <w:szCs w:val="18"/>
              </w:rPr>
            </w:pPr>
            <w:r w:rsidRPr="00B85AF8">
              <w:rPr>
                <w:rFonts w:eastAsia="MS Mincho"/>
                <w:snapToGrid w:val="0"/>
                <w:sz w:val="18"/>
                <w:szCs w:val="18"/>
              </w:rPr>
              <w:t>8</w:t>
            </w:r>
          </w:p>
        </w:tc>
        <w:tc>
          <w:tcPr>
            <w:tcW w:w="672" w:type="dxa"/>
          </w:tcPr>
          <w:p w:rsidR="005A1260" w:rsidRPr="00B85AF8" w:rsidP="0057310A" w14:paraId="43175BFA" w14:textId="77777777">
            <w:pPr>
              <w:keepNext/>
              <w:jc w:val="center"/>
              <w:rPr>
                <w:rFonts w:eastAsia="MS Mincho"/>
                <w:snapToGrid w:val="0"/>
                <w:color w:val="000000"/>
                <w:sz w:val="18"/>
                <w:szCs w:val="18"/>
              </w:rPr>
            </w:pPr>
            <w:r w:rsidRPr="00B85AF8">
              <w:rPr>
                <w:rFonts w:eastAsia="MS Mincho"/>
                <w:snapToGrid w:val="0"/>
                <w:color w:val="000000"/>
                <w:sz w:val="18"/>
                <w:szCs w:val="18"/>
              </w:rPr>
              <w:t>16</w:t>
            </w:r>
          </w:p>
        </w:tc>
        <w:tc>
          <w:tcPr>
            <w:tcW w:w="828" w:type="dxa"/>
          </w:tcPr>
          <w:p w:rsidR="005A1260" w:rsidRPr="00B85AF8" w:rsidP="0057310A" w14:paraId="72305EE8" w14:textId="77777777">
            <w:pPr>
              <w:keepNext/>
              <w:jc w:val="center"/>
              <w:rPr>
                <w:rFonts w:eastAsia="MS Mincho"/>
                <w:snapToGrid w:val="0"/>
                <w:sz w:val="18"/>
                <w:szCs w:val="18"/>
              </w:rPr>
            </w:pPr>
            <w:r w:rsidRPr="00B85AF8">
              <w:rPr>
                <w:snapToGrid w:val="0"/>
                <w:sz w:val="18"/>
                <w:szCs w:val="18"/>
              </w:rPr>
              <w:t>88.74</w:t>
            </w:r>
          </w:p>
        </w:tc>
        <w:tc>
          <w:tcPr>
            <w:tcW w:w="1206" w:type="dxa"/>
          </w:tcPr>
          <w:p w:rsidR="005A1260" w:rsidRPr="00B85AF8" w:rsidP="0057310A" w14:paraId="44B5E95C" w14:textId="77777777">
            <w:pPr>
              <w:keepNext/>
              <w:jc w:val="center"/>
              <w:rPr>
                <w:rFonts w:eastAsia="MS Mincho"/>
                <w:snapToGrid w:val="0"/>
                <w:sz w:val="18"/>
                <w:szCs w:val="18"/>
              </w:rPr>
            </w:pPr>
            <w:r w:rsidRPr="00B85AF8">
              <w:rPr>
                <w:sz w:val="18"/>
                <w:szCs w:val="18"/>
              </w:rPr>
              <w:t>1,420</w:t>
            </w:r>
          </w:p>
        </w:tc>
        <w:tc>
          <w:tcPr>
            <w:tcW w:w="1116" w:type="dxa"/>
          </w:tcPr>
          <w:p w:rsidR="005A1260" w:rsidRPr="00B85AF8" w:rsidP="0057310A" w14:paraId="11C64AA9" w14:textId="77777777">
            <w:pPr>
              <w:keepNext/>
              <w:jc w:val="center"/>
              <w:rPr>
                <w:rFonts w:eastAsia="MS Mincho"/>
                <w:snapToGrid w:val="0"/>
                <w:sz w:val="18"/>
                <w:szCs w:val="18"/>
              </w:rPr>
            </w:pPr>
            <w:r w:rsidRPr="00B85AF8">
              <w:rPr>
                <w:sz w:val="18"/>
                <w:szCs w:val="18"/>
              </w:rPr>
              <w:t>1,420</w:t>
            </w:r>
          </w:p>
        </w:tc>
        <w:tc>
          <w:tcPr>
            <w:tcW w:w="1194" w:type="dxa"/>
          </w:tcPr>
          <w:p w:rsidR="005A1260" w:rsidRPr="00B85AF8" w:rsidP="0057310A" w14:paraId="7F2AFFDF" w14:textId="77777777">
            <w:pPr>
              <w:keepNext/>
              <w:jc w:val="center"/>
              <w:rPr>
                <w:rFonts w:eastAsia="MS Mincho"/>
                <w:snapToGrid w:val="0"/>
                <w:sz w:val="18"/>
                <w:szCs w:val="18"/>
              </w:rPr>
            </w:pPr>
            <w:r w:rsidRPr="00B85AF8">
              <w:rPr>
                <w:rFonts w:eastAsia="MS Mincho"/>
                <w:snapToGrid w:val="0"/>
                <w:sz w:val="18"/>
                <w:szCs w:val="18"/>
              </w:rPr>
              <w:t>N/A</w:t>
            </w:r>
          </w:p>
        </w:tc>
      </w:tr>
      <w:tr w14:paraId="164E935A" w14:textId="77777777" w:rsidTr="0057310A">
        <w:tblPrEx>
          <w:tblW w:w="9759" w:type="dxa"/>
          <w:jc w:val="center"/>
          <w:tblLook w:val="04A0"/>
        </w:tblPrEx>
        <w:trPr>
          <w:jc w:val="center"/>
        </w:trPr>
        <w:tc>
          <w:tcPr>
            <w:tcW w:w="1326" w:type="dxa"/>
          </w:tcPr>
          <w:p w:rsidR="005A1260" w:rsidRPr="00B85AF8" w:rsidP="0057310A" w14:paraId="34440379" w14:textId="77777777">
            <w:pPr>
              <w:keepNext/>
              <w:jc w:val="center"/>
              <w:rPr>
                <w:rFonts w:eastAsia="MS Mincho"/>
                <w:snapToGrid w:val="0"/>
                <w:sz w:val="18"/>
                <w:szCs w:val="18"/>
              </w:rPr>
            </w:pPr>
            <w:r w:rsidRPr="00B85AF8">
              <w:rPr>
                <w:rFonts w:eastAsia="MS Mincho"/>
                <w:snapToGrid w:val="0"/>
                <w:sz w:val="18"/>
                <w:szCs w:val="18"/>
              </w:rPr>
              <w:t>600.140(b)(7)</w:t>
            </w:r>
          </w:p>
        </w:tc>
        <w:tc>
          <w:tcPr>
            <w:tcW w:w="1306" w:type="dxa"/>
          </w:tcPr>
          <w:p w:rsidR="005A1260" w:rsidRPr="00B85AF8" w:rsidP="0057310A" w14:paraId="30460E14" w14:textId="77777777">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0A96D5EF" w14:textId="77777777">
            <w:pPr>
              <w:keepNext/>
              <w:jc w:val="center"/>
              <w:rPr>
                <w:rFonts w:eastAsia="MS Mincho"/>
                <w:snapToGrid w:val="0"/>
                <w:sz w:val="18"/>
                <w:szCs w:val="18"/>
              </w:rPr>
            </w:pPr>
            <w:r w:rsidRPr="00B85AF8">
              <w:rPr>
                <w:rFonts w:eastAsia="MS Mincho"/>
                <w:snapToGrid w:val="0"/>
                <w:sz w:val="18"/>
                <w:szCs w:val="18"/>
              </w:rPr>
              <w:t>2</w:t>
            </w:r>
          </w:p>
        </w:tc>
        <w:tc>
          <w:tcPr>
            <w:tcW w:w="1017" w:type="dxa"/>
          </w:tcPr>
          <w:p w:rsidR="005A1260" w:rsidRPr="00B85AF8" w:rsidP="0057310A" w14:paraId="5799DBEF" w14:textId="77777777">
            <w:pPr>
              <w:keepNext/>
              <w:jc w:val="center"/>
              <w:rPr>
                <w:rFonts w:eastAsia="MS Mincho"/>
                <w:snapToGrid w:val="0"/>
                <w:sz w:val="18"/>
                <w:szCs w:val="18"/>
              </w:rPr>
            </w:pPr>
            <w:r w:rsidRPr="00B85AF8">
              <w:rPr>
                <w:rFonts w:eastAsia="MS Mincho"/>
                <w:snapToGrid w:val="0"/>
                <w:sz w:val="18"/>
                <w:szCs w:val="18"/>
              </w:rPr>
              <w:t>24</w:t>
            </w:r>
          </w:p>
        </w:tc>
        <w:tc>
          <w:tcPr>
            <w:tcW w:w="672" w:type="dxa"/>
          </w:tcPr>
          <w:p w:rsidR="005A1260" w:rsidRPr="00B85AF8" w:rsidP="0057310A" w14:paraId="44973CCF" w14:textId="77777777">
            <w:pPr>
              <w:keepNext/>
              <w:jc w:val="center"/>
              <w:rPr>
                <w:rFonts w:eastAsia="MS Mincho"/>
                <w:snapToGrid w:val="0"/>
                <w:color w:val="000000"/>
                <w:sz w:val="18"/>
                <w:szCs w:val="18"/>
              </w:rPr>
            </w:pPr>
            <w:r w:rsidRPr="00B85AF8">
              <w:rPr>
                <w:rFonts w:eastAsia="MS Mincho"/>
                <w:snapToGrid w:val="0"/>
                <w:color w:val="000000"/>
                <w:sz w:val="18"/>
                <w:szCs w:val="18"/>
              </w:rPr>
              <w:t>48</w:t>
            </w:r>
          </w:p>
        </w:tc>
        <w:tc>
          <w:tcPr>
            <w:tcW w:w="828" w:type="dxa"/>
          </w:tcPr>
          <w:p w:rsidR="005A1260" w:rsidRPr="00B85AF8" w:rsidP="0057310A" w14:paraId="7904BAFF" w14:textId="77777777">
            <w:pPr>
              <w:keepNext/>
              <w:jc w:val="center"/>
              <w:rPr>
                <w:rFonts w:eastAsia="MS Mincho"/>
                <w:snapToGrid w:val="0"/>
                <w:sz w:val="18"/>
                <w:szCs w:val="18"/>
              </w:rPr>
            </w:pPr>
            <w:r w:rsidRPr="00B85AF8">
              <w:rPr>
                <w:rFonts w:eastAsia="MS Mincho"/>
                <w:snapToGrid w:val="0"/>
                <w:sz w:val="18"/>
                <w:szCs w:val="18"/>
              </w:rPr>
              <w:t>Varies</w:t>
            </w:r>
          </w:p>
        </w:tc>
        <w:tc>
          <w:tcPr>
            <w:tcW w:w="1206" w:type="dxa"/>
          </w:tcPr>
          <w:p w:rsidR="005A1260" w:rsidRPr="00B85AF8" w:rsidP="0057310A" w14:paraId="4586B4C2" w14:textId="77777777">
            <w:pPr>
              <w:keepNext/>
              <w:jc w:val="center"/>
              <w:rPr>
                <w:rFonts w:eastAsia="MS Mincho"/>
                <w:snapToGrid w:val="0"/>
                <w:sz w:val="18"/>
                <w:szCs w:val="18"/>
              </w:rPr>
            </w:pPr>
            <w:r w:rsidRPr="00B85AF8">
              <w:rPr>
                <w:sz w:val="18"/>
                <w:szCs w:val="18"/>
              </w:rPr>
              <w:t>4,148</w:t>
            </w:r>
          </w:p>
        </w:tc>
        <w:tc>
          <w:tcPr>
            <w:tcW w:w="1116" w:type="dxa"/>
          </w:tcPr>
          <w:p w:rsidR="005A1260" w:rsidRPr="00B85AF8" w:rsidP="0057310A" w14:paraId="5BD15483" w14:textId="77777777">
            <w:pPr>
              <w:keepNext/>
              <w:jc w:val="center"/>
              <w:rPr>
                <w:rFonts w:eastAsia="MS Mincho"/>
                <w:snapToGrid w:val="0"/>
                <w:sz w:val="18"/>
                <w:szCs w:val="18"/>
              </w:rPr>
            </w:pPr>
            <w:r w:rsidRPr="00B85AF8">
              <w:rPr>
                <w:sz w:val="18"/>
                <w:szCs w:val="18"/>
              </w:rPr>
              <w:t>4,148</w:t>
            </w:r>
          </w:p>
        </w:tc>
        <w:tc>
          <w:tcPr>
            <w:tcW w:w="1194" w:type="dxa"/>
          </w:tcPr>
          <w:p w:rsidR="005A1260" w:rsidRPr="00B85AF8" w:rsidP="0057310A" w14:paraId="08A3FDDC" w14:textId="77777777">
            <w:pPr>
              <w:keepNext/>
              <w:jc w:val="center"/>
              <w:rPr>
                <w:rFonts w:eastAsia="MS Mincho"/>
                <w:snapToGrid w:val="0"/>
                <w:sz w:val="18"/>
                <w:szCs w:val="18"/>
              </w:rPr>
            </w:pPr>
            <w:r w:rsidRPr="00B85AF8">
              <w:rPr>
                <w:rFonts w:eastAsia="MS Mincho"/>
                <w:snapToGrid w:val="0"/>
                <w:sz w:val="18"/>
                <w:szCs w:val="18"/>
              </w:rPr>
              <w:t>N/A</w:t>
            </w:r>
          </w:p>
        </w:tc>
      </w:tr>
      <w:tr w14:paraId="7B7C1C95" w14:textId="77777777" w:rsidTr="0057310A">
        <w:tblPrEx>
          <w:tblW w:w="9759" w:type="dxa"/>
          <w:jc w:val="center"/>
          <w:tblLook w:val="04A0"/>
        </w:tblPrEx>
        <w:trPr>
          <w:jc w:val="center"/>
        </w:trPr>
        <w:tc>
          <w:tcPr>
            <w:tcW w:w="1326" w:type="dxa"/>
          </w:tcPr>
          <w:p w:rsidR="005A1260" w:rsidRPr="00B85AF8" w:rsidP="0057310A" w14:paraId="5F77A089" w14:textId="77777777">
            <w:pPr>
              <w:keepNext/>
              <w:jc w:val="center"/>
              <w:rPr>
                <w:rFonts w:eastAsia="MS Mincho"/>
                <w:snapToGrid w:val="0"/>
                <w:sz w:val="18"/>
                <w:szCs w:val="18"/>
              </w:rPr>
            </w:pPr>
            <w:r w:rsidRPr="00B85AF8">
              <w:rPr>
                <w:rFonts w:eastAsia="MS Mincho"/>
                <w:snapToGrid w:val="0"/>
                <w:sz w:val="18"/>
                <w:szCs w:val="18"/>
              </w:rPr>
              <w:t>Total</w:t>
            </w:r>
          </w:p>
        </w:tc>
        <w:tc>
          <w:tcPr>
            <w:tcW w:w="1306" w:type="dxa"/>
          </w:tcPr>
          <w:p w:rsidR="005A1260" w:rsidRPr="00B85AF8" w:rsidP="0057310A" w14:paraId="0B56947E" w14:textId="2067E201">
            <w:pPr>
              <w:keepNext/>
              <w:jc w:val="center"/>
              <w:rPr>
                <w:rFonts w:eastAsia="MS Mincho"/>
                <w:snapToGrid w:val="0"/>
                <w:sz w:val="18"/>
                <w:szCs w:val="18"/>
              </w:rPr>
            </w:pPr>
            <w:r w:rsidRPr="00B85AF8">
              <w:rPr>
                <w:rFonts w:eastAsia="MS Mincho"/>
                <w:snapToGrid w:val="0"/>
                <w:sz w:val="18"/>
                <w:szCs w:val="18"/>
              </w:rPr>
              <w:t>2</w:t>
            </w:r>
          </w:p>
        </w:tc>
        <w:tc>
          <w:tcPr>
            <w:tcW w:w="1094" w:type="dxa"/>
          </w:tcPr>
          <w:p w:rsidR="005A1260" w:rsidRPr="00B85AF8" w:rsidP="0057310A" w14:paraId="138B6EC2" w14:textId="0AF95380">
            <w:pPr>
              <w:keepNext/>
              <w:jc w:val="center"/>
              <w:rPr>
                <w:rFonts w:eastAsia="MS Mincho"/>
                <w:snapToGrid w:val="0"/>
                <w:sz w:val="18"/>
                <w:szCs w:val="18"/>
              </w:rPr>
            </w:pPr>
            <w:r w:rsidRPr="00B85AF8">
              <w:rPr>
                <w:rFonts w:eastAsia="MS Mincho"/>
                <w:snapToGrid w:val="0"/>
                <w:sz w:val="18"/>
                <w:szCs w:val="18"/>
              </w:rPr>
              <w:t>Varies</w:t>
            </w:r>
          </w:p>
        </w:tc>
        <w:tc>
          <w:tcPr>
            <w:tcW w:w="1017" w:type="dxa"/>
          </w:tcPr>
          <w:p w:rsidR="005A1260" w:rsidRPr="00B85AF8" w:rsidP="0057310A" w14:paraId="6724B8CE" w14:textId="77777777">
            <w:pPr>
              <w:keepNext/>
              <w:jc w:val="center"/>
              <w:rPr>
                <w:rFonts w:eastAsia="MS Mincho"/>
                <w:snapToGrid w:val="0"/>
                <w:sz w:val="18"/>
                <w:szCs w:val="18"/>
              </w:rPr>
            </w:pPr>
            <w:r w:rsidRPr="00B85AF8">
              <w:rPr>
                <w:rFonts w:eastAsia="MS Mincho"/>
                <w:snapToGrid w:val="0"/>
                <w:sz w:val="18"/>
                <w:szCs w:val="18"/>
              </w:rPr>
              <w:t>Varies</w:t>
            </w:r>
          </w:p>
        </w:tc>
        <w:tc>
          <w:tcPr>
            <w:tcW w:w="672" w:type="dxa"/>
          </w:tcPr>
          <w:p w:rsidR="005A1260" w:rsidRPr="00B85AF8" w:rsidP="0057310A" w14:paraId="06D296BF" w14:textId="34C93A19">
            <w:pPr>
              <w:keepNext/>
              <w:jc w:val="center"/>
              <w:rPr>
                <w:rFonts w:eastAsia="MS Mincho"/>
                <w:snapToGrid w:val="0"/>
                <w:color w:val="000000"/>
                <w:sz w:val="18"/>
                <w:szCs w:val="18"/>
              </w:rPr>
            </w:pPr>
            <w:r w:rsidRPr="00B85AF8">
              <w:rPr>
                <w:rFonts w:eastAsia="MS Mincho"/>
                <w:snapToGrid w:val="0"/>
                <w:color w:val="000000"/>
                <w:sz w:val="18"/>
                <w:szCs w:val="18"/>
              </w:rPr>
              <w:t>604</w:t>
            </w:r>
          </w:p>
        </w:tc>
        <w:tc>
          <w:tcPr>
            <w:tcW w:w="828" w:type="dxa"/>
          </w:tcPr>
          <w:p w:rsidR="005A1260" w:rsidRPr="00B85AF8" w:rsidP="0057310A" w14:paraId="57EDE40B" w14:textId="77777777">
            <w:pPr>
              <w:keepNext/>
              <w:jc w:val="center"/>
              <w:rPr>
                <w:rFonts w:eastAsia="MS Mincho"/>
                <w:snapToGrid w:val="0"/>
                <w:sz w:val="18"/>
                <w:szCs w:val="18"/>
              </w:rPr>
            </w:pPr>
            <w:r w:rsidRPr="00B85AF8">
              <w:rPr>
                <w:rFonts w:eastAsia="MS Mincho"/>
                <w:snapToGrid w:val="0"/>
                <w:sz w:val="18"/>
                <w:szCs w:val="18"/>
              </w:rPr>
              <w:t>Varies</w:t>
            </w:r>
          </w:p>
        </w:tc>
        <w:tc>
          <w:tcPr>
            <w:tcW w:w="1206" w:type="dxa"/>
          </w:tcPr>
          <w:p w:rsidR="005A1260" w:rsidRPr="00B85AF8" w:rsidP="0057310A" w14:paraId="5C525ED9" w14:textId="77777777">
            <w:pPr>
              <w:keepNext/>
              <w:jc w:val="center"/>
              <w:rPr>
                <w:rFonts w:eastAsia="MS Mincho"/>
                <w:snapToGrid w:val="0"/>
                <w:sz w:val="18"/>
                <w:szCs w:val="18"/>
              </w:rPr>
            </w:pPr>
            <w:r w:rsidRPr="00B85AF8">
              <w:rPr>
                <w:rFonts w:eastAsia="MS Mincho"/>
                <w:snapToGrid w:val="0"/>
                <w:sz w:val="18"/>
                <w:szCs w:val="18"/>
              </w:rPr>
              <w:t>51,155</w:t>
            </w:r>
          </w:p>
        </w:tc>
        <w:tc>
          <w:tcPr>
            <w:tcW w:w="1116" w:type="dxa"/>
          </w:tcPr>
          <w:p w:rsidR="005A1260" w:rsidRPr="00B85AF8" w:rsidP="0057310A" w14:paraId="5F0D9767" w14:textId="77777777">
            <w:pPr>
              <w:keepNext/>
              <w:jc w:val="center"/>
              <w:rPr>
                <w:rFonts w:eastAsia="MS Mincho"/>
                <w:snapToGrid w:val="0"/>
                <w:sz w:val="18"/>
                <w:szCs w:val="18"/>
              </w:rPr>
            </w:pPr>
            <w:r w:rsidRPr="00B85AF8">
              <w:rPr>
                <w:rFonts w:eastAsia="MS Mincho"/>
                <w:snapToGrid w:val="0"/>
                <w:sz w:val="18"/>
                <w:szCs w:val="18"/>
              </w:rPr>
              <w:t>51,155</w:t>
            </w:r>
          </w:p>
        </w:tc>
        <w:tc>
          <w:tcPr>
            <w:tcW w:w="1194" w:type="dxa"/>
          </w:tcPr>
          <w:p w:rsidR="005A1260" w:rsidRPr="00B85AF8" w:rsidP="0057310A" w14:paraId="27762BD4" w14:textId="6CCB052F">
            <w:pPr>
              <w:keepNext/>
              <w:jc w:val="center"/>
              <w:rPr>
                <w:rFonts w:eastAsia="MS Mincho"/>
                <w:snapToGrid w:val="0"/>
                <w:sz w:val="18"/>
                <w:szCs w:val="18"/>
              </w:rPr>
            </w:pPr>
            <w:r w:rsidRPr="00B85AF8">
              <w:rPr>
                <w:rFonts w:eastAsia="MS Mincho"/>
                <w:snapToGrid w:val="0"/>
                <w:sz w:val="18"/>
                <w:szCs w:val="18"/>
              </w:rPr>
              <w:t>N/A</w:t>
            </w:r>
          </w:p>
        </w:tc>
      </w:tr>
    </w:tbl>
    <w:p w:rsidR="00567F01" w:rsidRPr="00B85AF8" w:rsidP="00935496" w14:paraId="7457B04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14:paraId="5F01CA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16.</w:t>
      </w:r>
      <w:r w:rsidRPr="00B85AF8">
        <w:rPr>
          <w:sz w:val="24"/>
        </w:rPr>
        <w:tab/>
      </w:r>
      <w:r w:rsidRPr="00B85AF8">
        <w:rPr>
          <w:sz w:val="24"/>
          <w:u w:val="single"/>
        </w:rPr>
        <w:t>Publication/Tabulation Dates</w:t>
      </w:r>
      <w:r w:rsidRPr="00B85AF8" w:rsidR="00A32C68">
        <w:rPr>
          <w:sz w:val="24"/>
          <w:u w:val="single"/>
        </w:rPr>
        <w:t xml:space="preserve"> </w:t>
      </w:r>
    </w:p>
    <w:p w:rsidR="008F1EB4" w:rsidRPr="00B85AF8" w14:paraId="62BDC9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7E5B" w:rsidRPr="00B85AF8" w14:paraId="25F379C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information gathered from the BHP Blueprints and revised Blueprints will be posted on Medicaid.gov.</w:t>
      </w:r>
      <w:r w:rsidRPr="00B85AF8" w:rsidR="00781AA3">
        <w:rPr>
          <w:sz w:val="24"/>
        </w:rPr>
        <w:t xml:space="preserve"> CMS intends to post</w:t>
      </w:r>
      <w:r w:rsidRPr="00B85AF8" w:rsidR="003B77D8">
        <w:rPr>
          <w:sz w:val="24"/>
        </w:rPr>
        <w:t xml:space="preserve"> each state’s most recent revised Blueprint on Medicaid.gov, for transparency.</w:t>
      </w:r>
      <w:r w:rsidRPr="00B85AF8">
        <w:rPr>
          <w:sz w:val="24"/>
        </w:rPr>
        <w:t xml:space="preserve"> </w:t>
      </w:r>
      <w:r w:rsidRPr="00B85AF8" w:rsidR="00CA03CF">
        <w:rPr>
          <w:sz w:val="24"/>
        </w:rPr>
        <w:t xml:space="preserve">At this time, CMS does not intend to publish the BHP annual reports, estimated or actual enrollment data, and reference premium data. </w:t>
      </w:r>
      <w:r w:rsidRPr="00B85AF8" w:rsidR="00F876FF">
        <w:rPr>
          <w:sz w:val="24"/>
        </w:rPr>
        <w:t>CMS may choose to publish information regarding termination of a state’s BHP.</w:t>
      </w:r>
    </w:p>
    <w:p w:rsidR="00CC1BE3" w:rsidRPr="00B85AF8" w14:paraId="5A40404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14:paraId="351D71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17.</w:t>
      </w:r>
      <w:r w:rsidRPr="00B85AF8">
        <w:rPr>
          <w:sz w:val="24"/>
        </w:rPr>
        <w:tab/>
      </w:r>
      <w:r w:rsidRPr="00B85AF8">
        <w:rPr>
          <w:sz w:val="24"/>
          <w:u w:val="single"/>
        </w:rPr>
        <w:t>Expiration Date</w:t>
      </w:r>
    </w:p>
    <w:p w:rsidR="000F3AF4" w:rsidRPr="00B85AF8" w14:paraId="45A240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85AF8" w:rsidP="005618C5" w14:paraId="7C888F9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 expiration date will be displayed.</w:t>
      </w:r>
    </w:p>
    <w:p w:rsidR="008F1EB4" w:rsidRPr="00B85AF8" w14:paraId="1DFAD0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85AF8" w14:paraId="3A2E12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85AF8">
        <w:rPr>
          <w:sz w:val="24"/>
        </w:rPr>
        <w:t>18.</w:t>
      </w:r>
      <w:r w:rsidRPr="00B85AF8">
        <w:rPr>
          <w:sz w:val="24"/>
        </w:rPr>
        <w:tab/>
      </w:r>
      <w:r w:rsidRPr="00B85AF8">
        <w:rPr>
          <w:sz w:val="24"/>
          <w:u w:val="single"/>
        </w:rPr>
        <w:t>Certification Statement</w:t>
      </w:r>
    </w:p>
    <w:p w:rsidR="008F1EB4" w:rsidRPr="00B85AF8" w14:paraId="147D234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61E31" w:rsidRPr="00B85AF8" w:rsidP="00F61E31" w14:paraId="1FBEC1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85AF8">
        <w:rPr>
          <w:sz w:val="24"/>
        </w:rPr>
        <w:t>There are no exceptions to the certification statement identified in Item 19, "Certification for Paperwork Reduction Act Submissions," of OMB Form 83-I.</w:t>
      </w:r>
    </w:p>
    <w:p w:rsidR="00F61E31" w:rsidRPr="00B85AF8" w:rsidP="00F61E31" w14:paraId="740E036C" w14:textId="77777777">
      <w:pPr>
        <w:rPr>
          <w:sz w:val="24"/>
        </w:rPr>
      </w:pPr>
    </w:p>
    <w:p w:rsidR="00F61E31" w:rsidRPr="00B85AF8" w:rsidP="00F61E31" w14:paraId="58A64E3A" w14:textId="77777777">
      <w:pPr>
        <w:rPr>
          <w:b/>
          <w:sz w:val="24"/>
        </w:rPr>
      </w:pPr>
      <w:r w:rsidRPr="00B85AF8">
        <w:rPr>
          <w:b/>
          <w:w w:val="103"/>
          <w:sz w:val="24"/>
        </w:rPr>
        <w:t>B</w:t>
      </w:r>
      <w:r w:rsidRPr="00B85AF8">
        <w:rPr>
          <w:b/>
          <w:w w:val="104"/>
          <w:sz w:val="24"/>
        </w:rPr>
        <w:t>.</w:t>
      </w:r>
      <w:r w:rsidRPr="00B85AF8">
        <w:rPr>
          <w:b/>
          <w:sz w:val="24"/>
        </w:rPr>
        <w:tab/>
        <w:t xml:space="preserve">Collection of </w:t>
      </w:r>
      <w:r w:rsidRPr="00B85AF8">
        <w:rPr>
          <w:b/>
          <w:w w:val="108"/>
          <w:sz w:val="24"/>
        </w:rPr>
        <w:t xml:space="preserve">Information </w:t>
      </w:r>
      <w:r w:rsidRPr="00B85AF8">
        <w:rPr>
          <w:b/>
          <w:sz w:val="24"/>
        </w:rPr>
        <w:t xml:space="preserve">Employing Statistical </w:t>
      </w:r>
      <w:r w:rsidRPr="00B85AF8">
        <w:rPr>
          <w:b/>
          <w:w w:val="105"/>
          <w:sz w:val="24"/>
        </w:rPr>
        <w:t>Methods</w:t>
      </w:r>
    </w:p>
    <w:p w:rsidR="00F61E31" w:rsidRPr="00B85AF8" w:rsidP="00F61E31" w14:paraId="7F13FAFB" w14:textId="77777777">
      <w:pPr>
        <w:rPr>
          <w:sz w:val="24"/>
        </w:rPr>
      </w:pPr>
    </w:p>
    <w:p w:rsidR="00F61E31" w:rsidRPr="00BF32AA" w:rsidP="00F61E31" w14:paraId="3C906F50" w14:textId="77777777">
      <w:pPr>
        <w:rPr>
          <w:sz w:val="24"/>
        </w:rPr>
      </w:pPr>
      <w:r w:rsidRPr="00B85AF8">
        <w:rPr>
          <w:sz w:val="24"/>
        </w:rPr>
        <w:t>This collection does not employ any statistical methods.</w:t>
      </w:r>
    </w:p>
    <w:p w:rsidR="00F61E31" w:rsidP="008618E3" w14:paraId="0C0B1AEB" w14:textId="77777777">
      <w:pPr>
        <w:widowControl/>
        <w:spacing w:line="242" w:lineRule="auto"/>
        <w:rPr>
          <w:sz w:val="24"/>
        </w:rPr>
      </w:pPr>
    </w:p>
    <w:sectPr w:rsidSect="00B22178">
      <w:headerReference w:type="default" r:id="rId12"/>
      <w:footerReference w:type="default" r:id="rId13"/>
      <w:endnotePr>
        <w:numFmt w:val="decimal"/>
      </w:endnotePr>
      <w:type w:val="continuous"/>
      <w:pgSz w:w="12240" w:h="15840"/>
      <w:pgMar w:top="1440" w:right="1296"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5233482"/>
      <w:docPartObj>
        <w:docPartGallery w:val="Page Numbers (Bottom of Page)"/>
        <w:docPartUnique/>
      </w:docPartObj>
    </w:sdtPr>
    <w:sdtEndPr>
      <w:rPr>
        <w:noProof/>
      </w:rPr>
    </w:sdtEndPr>
    <w:sdtContent>
      <w:p w:rsidR="001235E7" w14:paraId="6825304F" w14:textId="78C5BF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F17" w14:paraId="38F9EE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47CA1"/>
    <w:multiLevelType w:val="hybridMultilevel"/>
    <w:tmpl w:val="11F8D708"/>
    <w:lvl w:ilvl="0">
      <w:start w:val="0"/>
      <w:numFmt w:val="bullet"/>
      <w:lvlText w:val="•"/>
      <w:lvlJc w:val="left"/>
      <w:pPr>
        <w:ind w:left="448" w:hanging="360"/>
      </w:pPr>
      <w:rPr>
        <w:rFonts w:ascii="Times New Roman" w:eastAsia="Times New Roman" w:hAnsi="Times New Roman" w:cs="Times New Roman" w:hint="default"/>
        <w:color w:val="383838"/>
        <w:w w:val="162"/>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1">
    <w:nsid w:val="024A7133"/>
    <w:multiLevelType w:val="hybridMultilevel"/>
    <w:tmpl w:val="B06A8260"/>
    <w:lvl w:ilvl="0">
      <w:start w:val="212"/>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
    <w:nsid w:val="04F56A2B"/>
    <w:multiLevelType w:val="hybridMultilevel"/>
    <w:tmpl w:val="986E5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458EF"/>
    <w:multiLevelType w:val="hybridMultilevel"/>
    <w:tmpl w:val="9BDCF49C"/>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FB30B6F"/>
    <w:multiLevelType w:val="hybridMultilevel"/>
    <w:tmpl w:val="9D706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8E46E9"/>
    <w:multiLevelType w:val="hybridMultilevel"/>
    <w:tmpl w:val="3B0CCC2E"/>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
    <w:nsid w:val="15354B58"/>
    <w:multiLevelType w:val="hybridMultilevel"/>
    <w:tmpl w:val="7BFCF504"/>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7">
    <w:nsid w:val="1BF40B8D"/>
    <w:multiLevelType w:val="hybridMultilevel"/>
    <w:tmpl w:val="CD8C1986"/>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724E0A"/>
    <w:multiLevelType w:val="hybridMultilevel"/>
    <w:tmpl w:val="55C4DA30"/>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9">
    <w:nsid w:val="236814F5"/>
    <w:multiLevelType w:val="hybridMultilevel"/>
    <w:tmpl w:val="3BB8898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26EE44CC"/>
    <w:multiLevelType w:val="hybridMultilevel"/>
    <w:tmpl w:val="A5D8ED4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11">
    <w:nsid w:val="2B3D07E6"/>
    <w:multiLevelType w:val="hybridMultilevel"/>
    <w:tmpl w:val="B83E9C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2CF7A76"/>
    <w:multiLevelType w:val="hybridMultilevel"/>
    <w:tmpl w:val="92AC4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D846A4"/>
    <w:multiLevelType w:val="hybridMultilevel"/>
    <w:tmpl w:val="8C1EC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3517A3"/>
    <w:multiLevelType w:val="hybridMultilevel"/>
    <w:tmpl w:val="263A0CB8"/>
    <w:lvl w:ilvl="0">
      <w:start w:val="16"/>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15">
    <w:nsid w:val="389C78C1"/>
    <w:multiLevelType w:val="hybridMultilevel"/>
    <w:tmpl w:val="6B1693C8"/>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16">
    <w:nsid w:val="3FD51820"/>
    <w:multiLevelType w:val="hybridMultilevel"/>
    <w:tmpl w:val="76F2C2F8"/>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17">
    <w:nsid w:val="44E003F5"/>
    <w:multiLevelType w:val="hybridMultilevel"/>
    <w:tmpl w:val="E312EBDC"/>
    <w:lvl w:ilvl="0">
      <w:start w:val="1"/>
      <w:numFmt w:val="bullet"/>
      <w:lvlText w:val=""/>
      <w:lvlJc w:val="left"/>
      <w:pPr>
        <w:ind w:left="1212" w:hanging="360"/>
      </w:pPr>
      <w:rPr>
        <w:rFonts w:ascii="Symbol" w:hAnsi="Symbol" w:hint="default"/>
      </w:rPr>
    </w:lvl>
    <w:lvl w:ilvl="1" w:tentative="1">
      <w:start w:val="1"/>
      <w:numFmt w:val="bullet"/>
      <w:lvlText w:val="o"/>
      <w:lvlJc w:val="left"/>
      <w:pPr>
        <w:ind w:left="1932" w:hanging="360"/>
      </w:pPr>
      <w:rPr>
        <w:rFonts w:ascii="Courier New" w:hAnsi="Courier New" w:cs="Courier New" w:hint="default"/>
      </w:rPr>
    </w:lvl>
    <w:lvl w:ilvl="2" w:tentative="1">
      <w:start w:val="1"/>
      <w:numFmt w:val="bullet"/>
      <w:lvlText w:val=""/>
      <w:lvlJc w:val="left"/>
      <w:pPr>
        <w:ind w:left="2652" w:hanging="360"/>
      </w:pPr>
      <w:rPr>
        <w:rFonts w:ascii="Wingdings" w:hAnsi="Wingdings" w:hint="default"/>
      </w:rPr>
    </w:lvl>
    <w:lvl w:ilvl="3" w:tentative="1">
      <w:start w:val="1"/>
      <w:numFmt w:val="bullet"/>
      <w:lvlText w:val=""/>
      <w:lvlJc w:val="left"/>
      <w:pPr>
        <w:ind w:left="3372" w:hanging="360"/>
      </w:pPr>
      <w:rPr>
        <w:rFonts w:ascii="Symbol" w:hAnsi="Symbol" w:hint="default"/>
      </w:rPr>
    </w:lvl>
    <w:lvl w:ilvl="4" w:tentative="1">
      <w:start w:val="1"/>
      <w:numFmt w:val="bullet"/>
      <w:lvlText w:val="o"/>
      <w:lvlJc w:val="left"/>
      <w:pPr>
        <w:ind w:left="4092" w:hanging="360"/>
      </w:pPr>
      <w:rPr>
        <w:rFonts w:ascii="Courier New" w:hAnsi="Courier New" w:cs="Courier New" w:hint="default"/>
      </w:rPr>
    </w:lvl>
    <w:lvl w:ilvl="5" w:tentative="1">
      <w:start w:val="1"/>
      <w:numFmt w:val="bullet"/>
      <w:lvlText w:val=""/>
      <w:lvlJc w:val="left"/>
      <w:pPr>
        <w:ind w:left="4812" w:hanging="360"/>
      </w:pPr>
      <w:rPr>
        <w:rFonts w:ascii="Wingdings" w:hAnsi="Wingdings" w:hint="default"/>
      </w:rPr>
    </w:lvl>
    <w:lvl w:ilvl="6" w:tentative="1">
      <w:start w:val="1"/>
      <w:numFmt w:val="bullet"/>
      <w:lvlText w:val=""/>
      <w:lvlJc w:val="left"/>
      <w:pPr>
        <w:ind w:left="5532" w:hanging="360"/>
      </w:pPr>
      <w:rPr>
        <w:rFonts w:ascii="Symbol" w:hAnsi="Symbol" w:hint="default"/>
      </w:rPr>
    </w:lvl>
    <w:lvl w:ilvl="7" w:tentative="1">
      <w:start w:val="1"/>
      <w:numFmt w:val="bullet"/>
      <w:lvlText w:val="o"/>
      <w:lvlJc w:val="left"/>
      <w:pPr>
        <w:ind w:left="6252" w:hanging="360"/>
      </w:pPr>
      <w:rPr>
        <w:rFonts w:ascii="Courier New" w:hAnsi="Courier New" w:cs="Courier New" w:hint="default"/>
      </w:rPr>
    </w:lvl>
    <w:lvl w:ilvl="8" w:tentative="1">
      <w:start w:val="1"/>
      <w:numFmt w:val="bullet"/>
      <w:lvlText w:val=""/>
      <w:lvlJc w:val="left"/>
      <w:pPr>
        <w:ind w:left="6972" w:hanging="360"/>
      </w:pPr>
      <w:rPr>
        <w:rFonts w:ascii="Wingdings" w:hAnsi="Wingdings" w:hint="default"/>
      </w:rPr>
    </w:lvl>
  </w:abstractNum>
  <w:abstractNum w:abstractNumId="18">
    <w:nsid w:val="45767753"/>
    <w:multiLevelType w:val="hybridMultilevel"/>
    <w:tmpl w:val="13E8040A"/>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4EE61F29"/>
    <w:multiLevelType w:val="hybridMultilevel"/>
    <w:tmpl w:val="598A56E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618E5A5E"/>
    <w:multiLevelType w:val="hybridMultilevel"/>
    <w:tmpl w:val="10ACDE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DB6961"/>
    <w:multiLevelType w:val="hybridMultilevel"/>
    <w:tmpl w:val="E7203DCA"/>
    <w:lvl w:ilvl="0">
      <w:start w:val="16"/>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2">
    <w:nsid w:val="6EFC77E8"/>
    <w:multiLevelType w:val="hybridMultilevel"/>
    <w:tmpl w:val="733A11D2"/>
    <w:lvl w:ilvl="0">
      <w:start w:val="0"/>
      <w:numFmt w:val="bullet"/>
      <w:lvlText w:val="•"/>
      <w:lvlJc w:val="left"/>
      <w:pPr>
        <w:ind w:left="404" w:hanging="360"/>
      </w:pPr>
      <w:rPr>
        <w:rFonts w:ascii="Times New Roman" w:eastAsia="Times New Roman" w:hAnsi="Times New Roman" w:cs="Times New Roman" w:hint="default"/>
        <w:color w:val="383838"/>
        <w:w w:val="162"/>
      </w:rPr>
    </w:lvl>
    <w:lvl w:ilvl="1" w:tentative="1">
      <w:start w:val="1"/>
      <w:numFmt w:val="bullet"/>
      <w:lvlText w:val="o"/>
      <w:lvlJc w:val="left"/>
      <w:pPr>
        <w:ind w:left="1124" w:hanging="360"/>
      </w:pPr>
      <w:rPr>
        <w:rFonts w:ascii="Courier New" w:hAnsi="Courier New" w:cs="Courier New" w:hint="default"/>
      </w:rPr>
    </w:lvl>
    <w:lvl w:ilvl="2" w:tentative="1">
      <w:start w:val="1"/>
      <w:numFmt w:val="bullet"/>
      <w:lvlText w:val=""/>
      <w:lvlJc w:val="left"/>
      <w:pPr>
        <w:ind w:left="1844" w:hanging="360"/>
      </w:pPr>
      <w:rPr>
        <w:rFonts w:ascii="Wingdings" w:hAnsi="Wingdings" w:hint="default"/>
      </w:rPr>
    </w:lvl>
    <w:lvl w:ilvl="3" w:tentative="1">
      <w:start w:val="1"/>
      <w:numFmt w:val="bullet"/>
      <w:lvlText w:val=""/>
      <w:lvlJc w:val="left"/>
      <w:pPr>
        <w:ind w:left="2564" w:hanging="360"/>
      </w:pPr>
      <w:rPr>
        <w:rFonts w:ascii="Symbol" w:hAnsi="Symbol" w:hint="default"/>
      </w:rPr>
    </w:lvl>
    <w:lvl w:ilvl="4" w:tentative="1">
      <w:start w:val="1"/>
      <w:numFmt w:val="bullet"/>
      <w:lvlText w:val="o"/>
      <w:lvlJc w:val="left"/>
      <w:pPr>
        <w:ind w:left="3284" w:hanging="360"/>
      </w:pPr>
      <w:rPr>
        <w:rFonts w:ascii="Courier New" w:hAnsi="Courier New" w:cs="Courier New" w:hint="default"/>
      </w:rPr>
    </w:lvl>
    <w:lvl w:ilvl="5" w:tentative="1">
      <w:start w:val="1"/>
      <w:numFmt w:val="bullet"/>
      <w:lvlText w:val=""/>
      <w:lvlJc w:val="left"/>
      <w:pPr>
        <w:ind w:left="4004" w:hanging="360"/>
      </w:pPr>
      <w:rPr>
        <w:rFonts w:ascii="Wingdings" w:hAnsi="Wingdings" w:hint="default"/>
      </w:rPr>
    </w:lvl>
    <w:lvl w:ilvl="6" w:tentative="1">
      <w:start w:val="1"/>
      <w:numFmt w:val="bullet"/>
      <w:lvlText w:val=""/>
      <w:lvlJc w:val="left"/>
      <w:pPr>
        <w:ind w:left="4724" w:hanging="360"/>
      </w:pPr>
      <w:rPr>
        <w:rFonts w:ascii="Symbol" w:hAnsi="Symbol" w:hint="default"/>
      </w:rPr>
    </w:lvl>
    <w:lvl w:ilvl="7" w:tentative="1">
      <w:start w:val="1"/>
      <w:numFmt w:val="bullet"/>
      <w:lvlText w:val="o"/>
      <w:lvlJc w:val="left"/>
      <w:pPr>
        <w:ind w:left="5444" w:hanging="360"/>
      </w:pPr>
      <w:rPr>
        <w:rFonts w:ascii="Courier New" w:hAnsi="Courier New" w:cs="Courier New" w:hint="default"/>
      </w:rPr>
    </w:lvl>
    <w:lvl w:ilvl="8" w:tentative="1">
      <w:start w:val="1"/>
      <w:numFmt w:val="bullet"/>
      <w:lvlText w:val=""/>
      <w:lvlJc w:val="left"/>
      <w:pPr>
        <w:ind w:left="6164" w:hanging="360"/>
      </w:pPr>
      <w:rPr>
        <w:rFonts w:ascii="Wingdings" w:hAnsi="Wingdings" w:hint="default"/>
      </w:rPr>
    </w:lvl>
  </w:abstractNum>
  <w:abstractNum w:abstractNumId="23">
    <w:nsid w:val="734C0E29"/>
    <w:multiLevelType w:val="hybridMultilevel"/>
    <w:tmpl w:val="15DE3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7182714"/>
    <w:multiLevelType w:val="hybridMultilevel"/>
    <w:tmpl w:val="B7F4BE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FE65E99"/>
    <w:multiLevelType w:val="hybridMultilevel"/>
    <w:tmpl w:val="70D076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70950594">
    <w:abstractNumId w:val="9"/>
  </w:num>
  <w:num w:numId="2" w16cid:durableId="1149135449">
    <w:abstractNumId w:val="3"/>
  </w:num>
  <w:num w:numId="3" w16cid:durableId="1182743892">
    <w:abstractNumId w:val="11"/>
  </w:num>
  <w:num w:numId="4" w16cid:durableId="1325011651">
    <w:abstractNumId w:val="21"/>
  </w:num>
  <w:num w:numId="5" w16cid:durableId="1766458857">
    <w:abstractNumId w:val="14"/>
  </w:num>
  <w:num w:numId="6" w16cid:durableId="2092970266">
    <w:abstractNumId w:val="7"/>
  </w:num>
  <w:num w:numId="7" w16cid:durableId="1118328462">
    <w:abstractNumId w:val="15"/>
  </w:num>
  <w:num w:numId="8" w16cid:durableId="1465738318">
    <w:abstractNumId w:val="19"/>
  </w:num>
  <w:num w:numId="9" w16cid:durableId="1895770994">
    <w:abstractNumId w:val="18"/>
  </w:num>
  <w:num w:numId="10" w16cid:durableId="1471247404">
    <w:abstractNumId w:val="5"/>
  </w:num>
  <w:num w:numId="11" w16cid:durableId="4941954">
    <w:abstractNumId w:val="1"/>
  </w:num>
  <w:num w:numId="12" w16cid:durableId="1959800474">
    <w:abstractNumId w:val="4"/>
  </w:num>
  <w:num w:numId="13" w16cid:durableId="1811894749">
    <w:abstractNumId w:val="12"/>
  </w:num>
  <w:num w:numId="14" w16cid:durableId="346368799">
    <w:abstractNumId w:val="16"/>
  </w:num>
  <w:num w:numId="15" w16cid:durableId="1753047376">
    <w:abstractNumId w:val="22"/>
  </w:num>
  <w:num w:numId="16" w16cid:durableId="2146576727">
    <w:abstractNumId w:val="0"/>
  </w:num>
  <w:num w:numId="17" w16cid:durableId="1340619916">
    <w:abstractNumId w:val="8"/>
  </w:num>
  <w:num w:numId="18" w16cid:durableId="889851656">
    <w:abstractNumId w:val="6"/>
  </w:num>
  <w:num w:numId="19" w16cid:durableId="1466894900">
    <w:abstractNumId w:val="13"/>
  </w:num>
  <w:num w:numId="20" w16cid:durableId="813521639">
    <w:abstractNumId w:val="2"/>
  </w:num>
  <w:num w:numId="21" w16cid:durableId="1019503001">
    <w:abstractNumId w:val="10"/>
  </w:num>
  <w:num w:numId="22" w16cid:durableId="2091341525">
    <w:abstractNumId w:val="24"/>
  </w:num>
  <w:num w:numId="23" w16cid:durableId="516239977">
    <w:abstractNumId w:val="25"/>
  </w:num>
  <w:num w:numId="24" w16cid:durableId="25567281">
    <w:abstractNumId w:val="17"/>
  </w:num>
  <w:num w:numId="25" w16cid:durableId="699086574">
    <w:abstractNumId w:val="20"/>
  </w:num>
  <w:num w:numId="26" w16cid:durableId="1834439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F4"/>
    <w:rsid w:val="00002616"/>
    <w:rsid w:val="00003CD2"/>
    <w:rsid w:val="00005DE5"/>
    <w:rsid w:val="00006D2E"/>
    <w:rsid w:val="000119A1"/>
    <w:rsid w:val="00014F95"/>
    <w:rsid w:val="00024E97"/>
    <w:rsid w:val="00030D0A"/>
    <w:rsid w:val="00032EF3"/>
    <w:rsid w:val="000340DD"/>
    <w:rsid w:val="00034594"/>
    <w:rsid w:val="00035585"/>
    <w:rsid w:val="00046B3F"/>
    <w:rsid w:val="0005292E"/>
    <w:rsid w:val="00052BFD"/>
    <w:rsid w:val="00055219"/>
    <w:rsid w:val="00055B94"/>
    <w:rsid w:val="00062692"/>
    <w:rsid w:val="000662C3"/>
    <w:rsid w:val="00066B83"/>
    <w:rsid w:val="000674CE"/>
    <w:rsid w:val="000711C7"/>
    <w:rsid w:val="00071BB0"/>
    <w:rsid w:val="00083083"/>
    <w:rsid w:val="0009355C"/>
    <w:rsid w:val="000948B3"/>
    <w:rsid w:val="00096E9A"/>
    <w:rsid w:val="000972FF"/>
    <w:rsid w:val="000A0775"/>
    <w:rsid w:val="000A65F5"/>
    <w:rsid w:val="000B416B"/>
    <w:rsid w:val="000B78D5"/>
    <w:rsid w:val="000D0768"/>
    <w:rsid w:val="000D146B"/>
    <w:rsid w:val="000D2C3B"/>
    <w:rsid w:val="000E0F0D"/>
    <w:rsid w:val="000E404A"/>
    <w:rsid w:val="000E4794"/>
    <w:rsid w:val="000E64A4"/>
    <w:rsid w:val="000E66E6"/>
    <w:rsid w:val="000F31A4"/>
    <w:rsid w:val="000F3AF4"/>
    <w:rsid w:val="00100420"/>
    <w:rsid w:val="00102DE2"/>
    <w:rsid w:val="00105C30"/>
    <w:rsid w:val="00112680"/>
    <w:rsid w:val="001167B2"/>
    <w:rsid w:val="00116C38"/>
    <w:rsid w:val="0012159E"/>
    <w:rsid w:val="00122638"/>
    <w:rsid w:val="00122FD3"/>
    <w:rsid w:val="001235E7"/>
    <w:rsid w:val="00125C5B"/>
    <w:rsid w:val="001274AB"/>
    <w:rsid w:val="00137CF0"/>
    <w:rsid w:val="001432F6"/>
    <w:rsid w:val="00144286"/>
    <w:rsid w:val="001452B0"/>
    <w:rsid w:val="00155063"/>
    <w:rsid w:val="00166ED4"/>
    <w:rsid w:val="0017054C"/>
    <w:rsid w:val="00170FB3"/>
    <w:rsid w:val="001743C8"/>
    <w:rsid w:val="00177FB2"/>
    <w:rsid w:val="00185870"/>
    <w:rsid w:val="00187D5A"/>
    <w:rsid w:val="00191AFE"/>
    <w:rsid w:val="00195CC7"/>
    <w:rsid w:val="0019677B"/>
    <w:rsid w:val="001A4407"/>
    <w:rsid w:val="001B47BE"/>
    <w:rsid w:val="001C7447"/>
    <w:rsid w:val="001D0F54"/>
    <w:rsid w:val="001D3A23"/>
    <w:rsid w:val="001E2429"/>
    <w:rsid w:val="001E4A29"/>
    <w:rsid w:val="001E4C36"/>
    <w:rsid w:val="001E4D38"/>
    <w:rsid w:val="001F02D0"/>
    <w:rsid w:val="001F23D3"/>
    <w:rsid w:val="00200A63"/>
    <w:rsid w:val="002013AD"/>
    <w:rsid w:val="00201D05"/>
    <w:rsid w:val="002037DC"/>
    <w:rsid w:val="002060CE"/>
    <w:rsid w:val="00212C7D"/>
    <w:rsid w:val="002160A8"/>
    <w:rsid w:val="0021714D"/>
    <w:rsid w:val="00220F22"/>
    <w:rsid w:val="00221FC1"/>
    <w:rsid w:val="00222843"/>
    <w:rsid w:val="002229EC"/>
    <w:rsid w:val="00223DE2"/>
    <w:rsid w:val="002253BA"/>
    <w:rsid w:val="00226E57"/>
    <w:rsid w:val="00227850"/>
    <w:rsid w:val="002306FD"/>
    <w:rsid w:val="00231072"/>
    <w:rsid w:val="002317C4"/>
    <w:rsid w:val="00234116"/>
    <w:rsid w:val="00247046"/>
    <w:rsid w:val="002536FF"/>
    <w:rsid w:val="00255B62"/>
    <w:rsid w:val="002567FC"/>
    <w:rsid w:val="00257DB3"/>
    <w:rsid w:val="00260622"/>
    <w:rsid w:val="00261FD4"/>
    <w:rsid w:val="002712B9"/>
    <w:rsid w:val="00275FF2"/>
    <w:rsid w:val="00282E40"/>
    <w:rsid w:val="002847DE"/>
    <w:rsid w:val="00284A58"/>
    <w:rsid w:val="00291533"/>
    <w:rsid w:val="002A6350"/>
    <w:rsid w:val="002B09F9"/>
    <w:rsid w:val="002B2BB6"/>
    <w:rsid w:val="002B34BF"/>
    <w:rsid w:val="002B3C3D"/>
    <w:rsid w:val="002B47B1"/>
    <w:rsid w:val="002C1E45"/>
    <w:rsid w:val="002C50DA"/>
    <w:rsid w:val="002C53ED"/>
    <w:rsid w:val="002C5C32"/>
    <w:rsid w:val="002D034A"/>
    <w:rsid w:val="002D3612"/>
    <w:rsid w:val="002D6D35"/>
    <w:rsid w:val="002D72B1"/>
    <w:rsid w:val="002E51ED"/>
    <w:rsid w:val="002E71C5"/>
    <w:rsid w:val="002F15EA"/>
    <w:rsid w:val="002F2223"/>
    <w:rsid w:val="002F5E78"/>
    <w:rsid w:val="002F7EDB"/>
    <w:rsid w:val="0030139D"/>
    <w:rsid w:val="00301E48"/>
    <w:rsid w:val="00304E76"/>
    <w:rsid w:val="00305EF7"/>
    <w:rsid w:val="003076B3"/>
    <w:rsid w:val="00320505"/>
    <w:rsid w:val="00321370"/>
    <w:rsid w:val="00322B42"/>
    <w:rsid w:val="00330D12"/>
    <w:rsid w:val="00331B7C"/>
    <w:rsid w:val="00331EAE"/>
    <w:rsid w:val="003332F3"/>
    <w:rsid w:val="00333A3C"/>
    <w:rsid w:val="00336692"/>
    <w:rsid w:val="00343E1A"/>
    <w:rsid w:val="0034506E"/>
    <w:rsid w:val="0036071C"/>
    <w:rsid w:val="00363EE2"/>
    <w:rsid w:val="00364C46"/>
    <w:rsid w:val="00364FED"/>
    <w:rsid w:val="00371035"/>
    <w:rsid w:val="00381CA0"/>
    <w:rsid w:val="00384390"/>
    <w:rsid w:val="00390A3A"/>
    <w:rsid w:val="00392708"/>
    <w:rsid w:val="0039719E"/>
    <w:rsid w:val="003973D8"/>
    <w:rsid w:val="003A0716"/>
    <w:rsid w:val="003A2D8F"/>
    <w:rsid w:val="003A3802"/>
    <w:rsid w:val="003A4F27"/>
    <w:rsid w:val="003B001D"/>
    <w:rsid w:val="003B77D8"/>
    <w:rsid w:val="003B7DB6"/>
    <w:rsid w:val="003C4447"/>
    <w:rsid w:val="003D46EF"/>
    <w:rsid w:val="003D5C3A"/>
    <w:rsid w:val="003D6370"/>
    <w:rsid w:val="003D7B33"/>
    <w:rsid w:val="003E47B2"/>
    <w:rsid w:val="003E5F5F"/>
    <w:rsid w:val="003E7D29"/>
    <w:rsid w:val="003F2441"/>
    <w:rsid w:val="003F5395"/>
    <w:rsid w:val="003F7280"/>
    <w:rsid w:val="00400A0C"/>
    <w:rsid w:val="0041322A"/>
    <w:rsid w:val="00420A9E"/>
    <w:rsid w:val="004229B0"/>
    <w:rsid w:val="004231E1"/>
    <w:rsid w:val="0043167F"/>
    <w:rsid w:val="00436E7C"/>
    <w:rsid w:val="00437129"/>
    <w:rsid w:val="00440BAC"/>
    <w:rsid w:val="004441FB"/>
    <w:rsid w:val="00445308"/>
    <w:rsid w:val="00446374"/>
    <w:rsid w:val="00446825"/>
    <w:rsid w:val="00455ECD"/>
    <w:rsid w:val="00471A6D"/>
    <w:rsid w:val="004746E6"/>
    <w:rsid w:val="0047474B"/>
    <w:rsid w:val="00477724"/>
    <w:rsid w:val="00480956"/>
    <w:rsid w:val="00484AB3"/>
    <w:rsid w:val="00487312"/>
    <w:rsid w:val="00490AC9"/>
    <w:rsid w:val="00491E21"/>
    <w:rsid w:val="00496A05"/>
    <w:rsid w:val="004A6925"/>
    <w:rsid w:val="004A7533"/>
    <w:rsid w:val="004B17D6"/>
    <w:rsid w:val="004B1C20"/>
    <w:rsid w:val="004B6E36"/>
    <w:rsid w:val="004C7033"/>
    <w:rsid w:val="004D6FB2"/>
    <w:rsid w:val="004D7CA6"/>
    <w:rsid w:val="004E52DE"/>
    <w:rsid w:val="004E6312"/>
    <w:rsid w:val="004E734F"/>
    <w:rsid w:val="004E7E2B"/>
    <w:rsid w:val="004F10B2"/>
    <w:rsid w:val="00500DAF"/>
    <w:rsid w:val="0050311A"/>
    <w:rsid w:val="0050386A"/>
    <w:rsid w:val="0050599C"/>
    <w:rsid w:val="0050680A"/>
    <w:rsid w:val="00513A90"/>
    <w:rsid w:val="005165BA"/>
    <w:rsid w:val="00521F8A"/>
    <w:rsid w:val="00522E98"/>
    <w:rsid w:val="005252C1"/>
    <w:rsid w:val="00525C0B"/>
    <w:rsid w:val="00526739"/>
    <w:rsid w:val="00527B31"/>
    <w:rsid w:val="005308D8"/>
    <w:rsid w:val="005360F2"/>
    <w:rsid w:val="00543747"/>
    <w:rsid w:val="00543D79"/>
    <w:rsid w:val="0054444E"/>
    <w:rsid w:val="005454D9"/>
    <w:rsid w:val="005459E6"/>
    <w:rsid w:val="005538DA"/>
    <w:rsid w:val="00560755"/>
    <w:rsid w:val="005618C5"/>
    <w:rsid w:val="00561BE7"/>
    <w:rsid w:val="00561F29"/>
    <w:rsid w:val="00563A7B"/>
    <w:rsid w:val="00564D6E"/>
    <w:rsid w:val="005669C5"/>
    <w:rsid w:val="00567F01"/>
    <w:rsid w:val="00572FC4"/>
    <w:rsid w:val="0057310A"/>
    <w:rsid w:val="00576FE4"/>
    <w:rsid w:val="00584B7F"/>
    <w:rsid w:val="00592863"/>
    <w:rsid w:val="00594497"/>
    <w:rsid w:val="00595D9B"/>
    <w:rsid w:val="005A099C"/>
    <w:rsid w:val="005A1260"/>
    <w:rsid w:val="005A284D"/>
    <w:rsid w:val="005B1385"/>
    <w:rsid w:val="005B25CC"/>
    <w:rsid w:val="005B3808"/>
    <w:rsid w:val="005B41AD"/>
    <w:rsid w:val="005B6AD8"/>
    <w:rsid w:val="005C08B4"/>
    <w:rsid w:val="005C29D6"/>
    <w:rsid w:val="005C5102"/>
    <w:rsid w:val="005C5177"/>
    <w:rsid w:val="005C5D29"/>
    <w:rsid w:val="005C7A0C"/>
    <w:rsid w:val="005D75F4"/>
    <w:rsid w:val="005E0357"/>
    <w:rsid w:val="005E0E1C"/>
    <w:rsid w:val="005E1FA8"/>
    <w:rsid w:val="005E296E"/>
    <w:rsid w:val="005E302A"/>
    <w:rsid w:val="005E758C"/>
    <w:rsid w:val="005F546B"/>
    <w:rsid w:val="006057C4"/>
    <w:rsid w:val="006171A9"/>
    <w:rsid w:val="006252A3"/>
    <w:rsid w:val="006256A2"/>
    <w:rsid w:val="0063138E"/>
    <w:rsid w:val="006348AF"/>
    <w:rsid w:val="006406B3"/>
    <w:rsid w:val="00641B6A"/>
    <w:rsid w:val="00641C5F"/>
    <w:rsid w:val="0064641C"/>
    <w:rsid w:val="0065031A"/>
    <w:rsid w:val="00652146"/>
    <w:rsid w:val="00653281"/>
    <w:rsid w:val="00653B24"/>
    <w:rsid w:val="00656BF0"/>
    <w:rsid w:val="00657E1B"/>
    <w:rsid w:val="00660DE6"/>
    <w:rsid w:val="00663820"/>
    <w:rsid w:val="006747AE"/>
    <w:rsid w:val="0067540A"/>
    <w:rsid w:val="00677112"/>
    <w:rsid w:val="00680145"/>
    <w:rsid w:val="00682E58"/>
    <w:rsid w:val="00682E67"/>
    <w:rsid w:val="0069147F"/>
    <w:rsid w:val="00693CA1"/>
    <w:rsid w:val="006A0809"/>
    <w:rsid w:val="006A37BD"/>
    <w:rsid w:val="006A56DB"/>
    <w:rsid w:val="006B1559"/>
    <w:rsid w:val="006B3502"/>
    <w:rsid w:val="006B4F15"/>
    <w:rsid w:val="006B557D"/>
    <w:rsid w:val="006C1F1E"/>
    <w:rsid w:val="006C2415"/>
    <w:rsid w:val="006C2633"/>
    <w:rsid w:val="006C5188"/>
    <w:rsid w:val="006C6998"/>
    <w:rsid w:val="006D4DA4"/>
    <w:rsid w:val="006E2251"/>
    <w:rsid w:val="006E7FA4"/>
    <w:rsid w:val="007002FD"/>
    <w:rsid w:val="00701D73"/>
    <w:rsid w:val="00715BD8"/>
    <w:rsid w:val="00721EAA"/>
    <w:rsid w:val="00725643"/>
    <w:rsid w:val="0072582A"/>
    <w:rsid w:val="00732B3B"/>
    <w:rsid w:val="00733FCB"/>
    <w:rsid w:val="007350C5"/>
    <w:rsid w:val="00740935"/>
    <w:rsid w:val="0074175E"/>
    <w:rsid w:val="00742580"/>
    <w:rsid w:val="00747FC0"/>
    <w:rsid w:val="00752E3B"/>
    <w:rsid w:val="00753E01"/>
    <w:rsid w:val="007551A9"/>
    <w:rsid w:val="007559D0"/>
    <w:rsid w:val="007570B1"/>
    <w:rsid w:val="00757410"/>
    <w:rsid w:val="00762A32"/>
    <w:rsid w:val="0076717D"/>
    <w:rsid w:val="00773519"/>
    <w:rsid w:val="00781AA3"/>
    <w:rsid w:val="00786C40"/>
    <w:rsid w:val="00787A00"/>
    <w:rsid w:val="00793C1F"/>
    <w:rsid w:val="00794310"/>
    <w:rsid w:val="00794436"/>
    <w:rsid w:val="0079662E"/>
    <w:rsid w:val="007A0D7F"/>
    <w:rsid w:val="007A154E"/>
    <w:rsid w:val="007B31ED"/>
    <w:rsid w:val="007B43F1"/>
    <w:rsid w:val="007B69B1"/>
    <w:rsid w:val="007C06FD"/>
    <w:rsid w:val="007C094E"/>
    <w:rsid w:val="007C0B9C"/>
    <w:rsid w:val="007C5D02"/>
    <w:rsid w:val="007C5E27"/>
    <w:rsid w:val="007C5FBF"/>
    <w:rsid w:val="007C7D64"/>
    <w:rsid w:val="007D1633"/>
    <w:rsid w:val="007D358A"/>
    <w:rsid w:val="007D39C4"/>
    <w:rsid w:val="007D47D1"/>
    <w:rsid w:val="007D7EA9"/>
    <w:rsid w:val="007E14C0"/>
    <w:rsid w:val="007E425C"/>
    <w:rsid w:val="007E4A60"/>
    <w:rsid w:val="007F2B96"/>
    <w:rsid w:val="007F5016"/>
    <w:rsid w:val="00803100"/>
    <w:rsid w:val="00803194"/>
    <w:rsid w:val="008038BF"/>
    <w:rsid w:val="008040FA"/>
    <w:rsid w:val="008044F2"/>
    <w:rsid w:val="00804DCA"/>
    <w:rsid w:val="00810090"/>
    <w:rsid w:val="00810868"/>
    <w:rsid w:val="00814562"/>
    <w:rsid w:val="0082574A"/>
    <w:rsid w:val="00841934"/>
    <w:rsid w:val="00841EEB"/>
    <w:rsid w:val="0084388F"/>
    <w:rsid w:val="00844E7E"/>
    <w:rsid w:val="00851D50"/>
    <w:rsid w:val="0085469A"/>
    <w:rsid w:val="008618E3"/>
    <w:rsid w:val="00864D46"/>
    <w:rsid w:val="00866455"/>
    <w:rsid w:val="008665D5"/>
    <w:rsid w:val="00867198"/>
    <w:rsid w:val="00870D59"/>
    <w:rsid w:val="00875A9C"/>
    <w:rsid w:val="008815C6"/>
    <w:rsid w:val="008816AD"/>
    <w:rsid w:val="008865B8"/>
    <w:rsid w:val="00891875"/>
    <w:rsid w:val="00892BE8"/>
    <w:rsid w:val="00893412"/>
    <w:rsid w:val="008937E3"/>
    <w:rsid w:val="00895161"/>
    <w:rsid w:val="008973F9"/>
    <w:rsid w:val="008A205C"/>
    <w:rsid w:val="008B14E8"/>
    <w:rsid w:val="008B28A2"/>
    <w:rsid w:val="008B3513"/>
    <w:rsid w:val="008B7BB5"/>
    <w:rsid w:val="008D12CC"/>
    <w:rsid w:val="008D5FD2"/>
    <w:rsid w:val="008E09F6"/>
    <w:rsid w:val="008E483E"/>
    <w:rsid w:val="008E7037"/>
    <w:rsid w:val="008E7715"/>
    <w:rsid w:val="008F1EB4"/>
    <w:rsid w:val="008F2FEC"/>
    <w:rsid w:val="008F3D19"/>
    <w:rsid w:val="009001CA"/>
    <w:rsid w:val="009025DE"/>
    <w:rsid w:val="009059DB"/>
    <w:rsid w:val="00910ADF"/>
    <w:rsid w:val="00911ED6"/>
    <w:rsid w:val="00935496"/>
    <w:rsid w:val="009356A7"/>
    <w:rsid w:val="00937F5D"/>
    <w:rsid w:val="00941AF0"/>
    <w:rsid w:val="00947716"/>
    <w:rsid w:val="0095684D"/>
    <w:rsid w:val="00956E75"/>
    <w:rsid w:val="00956FA1"/>
    <w:rsid w:val="00964DBA"/>
    <w:rsid w:val="009654AE"/>
    <w:rsid w:val="0096582B"/>
    <w:rsid w:val="00967694"/>
    <w:rsid w:val="009710D4"/>
    <w:rsid w:val="009734A3"/>
    <w:rsid w:val="00975B12"/>
    <w:rsid w:val="009846F7"/>
    <w:rsid w:val="00991D22"/>
    <w:rsid w:val="00992B9F"/>
    <w:rsid w:val="0099477E"/>
    <w:rsid w:val="009961FD"/>
    <w:rsid w:val="009966FE"/>
    <w:rsid w:val="009A13F8"/>
    <w:rsid w:val="009A2056"/>
    <w:rsid w:val="009B52A0"/>
    <w:rsid w:val="009C3601"/>
    <w:rsid w:val="009D2AC2"/>
    <w:rsid w:val="009E759D"/>
    <w:rsid w:val="009F122B"/>
    <w:rsid w:val="009F4465"/>
    <w:rsid w:val="009F51D5"/>
    <w:rsid w:val="00A03AFF"/>
    <w:rsid w:val="00A11454"/>
    <w:rsid w:val="00A124C4"/>
    <w:rsid w:val="00A14356"/>
    <w:rsid w:val="00A203DA"/>
    <w:rsid w:val="00A2324C"/>
    <w:rsid w:val="00A23500"/>
    <w:rsid w:val="00A24B46"/>
    <w:rsid w:val="00A27C6C"/>
    <w:rsid w:val="00A32168"/>
    <w:rsid w:val="00A32C68"/>
    <w:rsid w:val="00A366ED"/>
    <w:rsid w:val="00A4315E"/>
    <w:rsid w:val="00A45603"/>
    <w:rsid w:val="00A52F21"/>
    <w:rsid w:val="00A565B0"/>
    <w:rsid w:val="00A6017A"/>
    <w:rsid w:val="00A60479"/>
    <w:rsid w:val="00A6310B"/>
    <w:rsid w:val="00A64819"/>
    <w:rsid w:val="00A661E7"/>
    <w:rsid w:val="00A71254"/>
    <w:rsid w:val="00A732E7"/>
    <w:rsid w:val="00A7549A"/>
    <w:rsid w:val="00A81056"/>
    <w:rsid w:val="00A84D15"/>
    <w:rsid w:val="00A91726"/>
    <w:rsid w:val="00AA1B66"/>
    <w:rsid w:val="00AA2F17"/>
    <w:rsid w:val="00AB721E"/>
    <w:rsid w:val="00AC0066"/>
    <w:rsid w:val="00AC015B"/>
    <w:rsid w:val="00AC12F6"/>
    <w:rsid w:val="00AC48BA"/>
    <w:rsid w:val="00AD244C"/>
    <w:rsid w:val="00AD2E54"/>
    <w:rsid w:val="00AD49AE"/>
    <w:rsid w:val="00AE023B"/>
    <w:rsid w:val="00AE4BC3"/>
    <w:rsid w:val="00AE4D41"/>
    <w:rsid w:val="00AE58CD"/>
    <w:rsid w:val="00AE5EB1"/>
    <w:rsid w:val="00AF2E86"/>
    <w:rsid w:val="00AF674A"/>
    <w:rsid w:val="00B0217B"/>
    <w:rsid w:val="00B0363B"/>
    <w:rsid w:val="00B03BB9"/>
    <w:rsid w:val="00B075AB"/>
    <w:rsid w:val="00B1769E"/>
    <w:rsid w:val="00B179F9"/>
    <w:rsid w:val="00B22178"/>
    <w:rsid w:val="00B237EF"/>
    <w:rsid w:val="00B25465"/>
    <w:rsid w:val="00B26356"/>
    <w:rsid w:val="00B36FA8"/>
    <w:rsid w:val="00B3722C"/>
    <w:rsid w:val="00B40507"/>
    <w:rsid w:val="00B439D9"/>
    <w:rsid w:val="00B4472D"/>
    <w:rsid w:val="00B46FF4"/>
    <w:rsid w:val="00B47CD3"/>
    <w:rsid w:val="00B51A9D"/>
    <w:rsid w:val="00B52E42"/>
    <w:rsid w:val="00B535F1"/>
    <w:rsid w:val="00B54D18"/>
    <w:rsid w:val="00B56E4C"/>
    <w:rsid w:val="00B65051"/>
    <w:rsid w:val="00B658D4"/>
    <w:rsid w:val="00B7315A"/>
    <w:rsid w:val="00B73224"/>
    <w:rsid w:val="00B7756E"/>
    <w:rsid w:val="00B778EB"/>
    <w:rsid w:val="00B83DF4"/>
    <w:rsid w:val="00B85AF8"/>
    <w:rsid w:val="00B87648"/>
    <w:rsid w:val="00B91953"/>
    <w:rsid w:val="00B923AF"/>
    <w:rsid w:val="00B94F3F"/>
    <w:rsid w:val="00B9567B"/>
    <w:rsid w:val="00B95BEE"/>
    <w:rsid w:val="00B96222"/>
    <w:rsid w:val="00BA20F5"/>
    <w:rsid w:val="00BA5F4E"/>
    <w:rsid w:val="00BA7FB4"/>
    <w:rsid w:val="00BB53DE"/>
    <w:rsid w:val="00BB6634"/>
    <w:rsid w:val="00BC06C1"/>
    <w:rsid w:val="00BC5B83"/>
    <w:rsid w:val="00BD073A"/>
    <w:rsid w:val="00BD646B"/>
    <w:rsid w:val="00BD75FB"/>
    <w:rsid w:val="00BE25AD"/>
    <w:rsid w:val="00BE6A20"/>
    <w:rsid w:val="00BF22FA"/>
    <w:rsid w:val="00BF32AA"/>
    <w:rsid w:val="00BF553F"/>
    <w:rsid w:val="00BF694F"/>
    <w:rsid w:val="00C04DA6"/>
    <w:rsid w:val="00C103AE"/>
    <w:rsid w:val="00C10455"/>
    <w:rsid w:val="00C11283"/>
    <w:rsid w:val="00C201D6"/>
    <w:rsid w:val="00C2047B"/>
    <w:rsid w:val="00C20589"/>
    <w:rsid w:val="00C21B39"/>
    <w:rsid w:val="00C357D6"/>
    <w:rsid w:val="00C37225"/>
    <w:rsid w:val="00C37D80"/>
    <w:rsid w:val="00C406C2"/>
    <w:rsid w:val="00C419C4"/>
    <w:rsid w:val="00C41CB0"/>
    <w:rsid w:val="00C43522"/>
    <w:rsid w:val="00C51588"/>
    <w:rsid w:val="00C6602B"/>
    <w:rsid w:val="00C701C9"/>
    <w:rsid w:val="00C7605F"/>
    <w:rsid w:val="00C76C04"/>
    <w:rsid w:val="00C77714"/>
    <w:rsid w:val="00C843BA"/>
    <w:rsid w:val="00C8508F"/>
    <w:rsid w:val="00C85F16"/>
    <w:rsid w:val="00C863AA"/>
    <w:rsid w:val="00C865C4"/>
    <w:rsid w:val="00C86C28"/>
    <w:rsid w:val="00C92841"/>
    <w:rsid w:val="00C954A3"/>
    <w:rsid w:val="00C96FD5"/>
    <w:rsid w:val="00CA03CF"/>
    <w:rsid w:val="00CA09A3"/>
    <w:rsid w:val="00CA24FD"/>
    <w:rsid w:val="00CA4F0D"/>
    <w:rsid w:val="00CA735F"/>
    <w:rsid w:val="00CB1E0E"/>
    <w:rsid w:val="00CB35E1"/>
    <w:rsid w:val="00CB512E"/>
    <w:rsid w:val="00CC1BE3"/>
    <w:rsid w:val="00CC3231"/>
    <w:rsid w:val="00CC34CB"/>
    <w:rsid w:val="00CC7B50"/>
    <w:rsid w:val="00CD0C34"/>
    <w:rsid w:val="00CD7E5B"/>
    <w:rsid w:val="00CE055A"/>
    <w:rsid w:val="00CE578B"/>
    <w:rsid w:val="00CE7467"/>
    <w:rsid w:val="00CF0A29"/>
    <w:rsid w:val="00CF3EA4"/>
    <w:rsid w:val="00CF4C71"/>
    <w:rsid w:val="00CF5FC3"/>
    <w:rsid w:val="00CF7442"/>
    <w:rsid w:val="00D016D2"/>
    <w:rsid w:val="00D040BC"/>
    <w:rsid w:val="00D15038"/>
    <w:rsid w:val="00D23FCA"/>
    <w:rsid w:val="00D26105"/>
    <w:rsid w:val="00D31391"/>
    <w:rsid w:val="00D4489A"/>
    <w:rsid w:val="00D6213C"/>
    <w:rsid w:val="00D7484B"/>
    <w:rsid w:val="00D76A03"/>
    <w:rsid w:val="00D77E6E"/>
    <w:rsid w:val="00D8762A"/>
    <w:rsid w:val="00D90FF6"/>
    <w:rsid w:val="00DA4552"/>
    <w:rsid w:val="00DA569D"/>
    <w:rsid w:val="00DA6703"/>
    <w:rsid w:val="00DC2616"/>
    <w:rsid w:val="00DC628F"/>
    <w:rsid w:val="00DC7A90"/>
    <w:rsid w:val="00DD00C2"/>
    <w:rsid w:val="00DD0FF6"/>
    <w:rsid w:val="00DD2A68"/>
    <w:rsid w:val="00DD5A39"/>
    <w:rsid w:val="00DE2AED"/>
    <w:rsid w:val="00DE5FD9"/>
    <w:rsid w:val="00DF2623"/>
    <w:rsid w:val="00DF43CC"/>
    <w:rsid w:val="00DF6B2C"/>
    <w:rsid w:val="00DF7BF2"/>
    <w:rsid w:val="00E005D0"/>
    <w:rsid w:val="00E1076E"/>
    <w:rsid w:val="00E11526"/>
    <w:rsid w:val="00E1179B"/>
    <w:rsid w:val="00E163BC"/>
    <w:rsid w:val="00E265B6"/>
    <w:rsid w:val="00E273B0"/>
    <w:rsid w:val="00E323FC"/>
    <w:rsid w:val="00E34211"/>
    <w:rsid w:val="00E37608"/>
    <w:rsid w:val="00E51A30"/>
    <w:rsid w:val="00E51A34"/>
    <w:rsid w:val="00E527C0"/>
    <w:rsid w:val="00E54003"/>
    <w:rsid w:val="00E62215"/>
    <w:rsid w:val="00E6410C"/>
    <w:rsid w:val="00E646F5"/>
    <w:rsid w:val="00E6736C"/>
    <w:rsid w:val="00E71366"/>
    <w:rsid w:val="00E722E2"/>
    <w:rsid w:val="00E73984"/>
    <w:rsid w:val="00E745B5"/>
    <w:rsid w:val="00E91631"/>
    <w:rsid w:val="00E930CA"/>
    <w:rsid w:val="00E95874"/>
    <w:rsid w:val="00E96B12"/>
    <w:rsid w:val="00EA206D"/>
    <w:rsid w:val="00EA40FC"/>
    <w:rsid w:val="00EB2160"/>
    <w:rsid w:val="00EB23AA"/>
    <w:rsid w:val="00EB7161"/>
    <w:rsid w:val="00EB7387"/>
    <w:rsid w:val="00EB7814"/>
    <w:rsid w:val="00EC14A3"/>
    <w:rsid w:val="00EC5665"/>
    <w:rsid w:val="00ED356B"/>
    <w:rsid w:val="00ED3D3A"/>
    <w:rsid w:val="00ED62F3"/>
    <w:rsid w:val="00ED658F"/>
    <w:rsid w:val="00EE2E55"/>
    <w:rsid w:val="00EE76A8"/>
    <w:rsid w:val="00EE7F1F"/>
    <w:rsid w:val="00EF0315"/>
    <w:rsid w:val="00EF1606"/>
    <w:rsid w:val="00EF39D4"/>
    <w:rsid w:val="00EF743D"/>
    <w:rsid w:val="00F031CD"/>
    <w:rsid w:val="00F04014"/>
    <w:rsid w:val="00F04744"/>
    <w:rsid w:val="00F04B8E"/>
    <w:rsid w:val="00F10503"/>
    <w:rsid w:val="00F115EB"/>
    <w:rsid w:val="00F1162D"/>
    <w:rsid w:val="00F13187"/>
    <w:rsid w:val="00F14AEA"/>
    <w:rsid w:val="00F331C9"/>
    <w:rsid w:val="00F348A5"/>
    <w:rsid w:val="00F35732"/>
    <w:rsid w:val="00F36B58"/>
    <w:rsid w:val="00F4704A"/>
    <w:rsid w:val="00F5075A"/>
    <w:rsid w:val="00F55D8A"/>
    <w:rsid w:val="00F603EA"/>
    <w:rsid w:val="00F605D6"/>
    <w:rsid w:val="00F61E31"/>
    <w:rsid w:val="00F62A19"/>
    <w:rsid w:val="00F63CCF"/>
    <w:rsid w:val="00F661F1"/>
    <w:rsid w:val="00F6716E"/>
    <w:rsid w:val="00F70077"/>
    <w:rsid w:val="00F74D68"/>
    <w:rsid w:val="00F81708"/>
    <w:rsid w:val="00F81D54"/>
    <w:rsid w:val="00F82C86"/>
    <w:rsid w:val="00F82D4F"/>
    <w:rsid w:val="00F8545D"/>
    <w:rsid w:val="00F876FF"/>
    <w:rsid w:val="00F933D7"/>
    <w:rsid w:val="00F96465"/>
    <w:rsid w:val="00FA68E6"/>
    <w:rsid w:val="00FD07C3"/>
    <w:rsid w:val="00FD0FCE"/>
    <w:rsid w:val="00FD1135"/>
    <w:rsid w:val="00FE187C"/>
    <w:rsid w:val="00FE3D93"/>
    <w:rsid w:val="00FF0B1D"/>
    <w:rsid w:val="00FF1A02"/>
    <w:rsid w:val="00FF4270"/>
    <w:rsid w:val="00FF4D43"/>
    <w:rsid w:val="00FF73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76D27B"/>
  <w15:chartTrackingRefBased/>
  <w15:docId w15:val="{A22F1C91-2166-4729-A9AF-8172B21B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743D"/>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221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2E67"/>
    <w:rPr>
      <w:color w:val="0000FF"/>
      <w:u w:val="single"/>
    </w:rPr>
  </w:style>
  <w:style w:type="character" w:styleId="CommentReference">
    <w:name w:val="annotation reference"/>
    <w:uiPriority w:val="99"/>
    <w:rsid w:val="00CC34CB"/>
    <w:rPr>
      <w:sz w:val="16"/>
      <w:szCs w:val="16"/>
    </w:rPr>
  </w:style>
  <w:style w:type="paragraph" w:styleId="CommentText">
    <w:name w:val="annotation text"/>
    <w:basedOn w:val="Normal"/>
    <w:link w:val="CommentTextChar"/>
    <w:rsid w:val="00CC34CB"/>
    <w:rPr>
      <w:szCs w:val="20"/>
    </w:rPr>
  </w:style>
  <w:style w:type="character" w:customStyle="1" w:styleId="CommentTextChar">
    <w:name w:val="Comment Text Char"/>
    <w:basedOn w:val="DefaultParagraphFont"/>
    <w:link w:val="CommentText"/>
    <w:rsid w:val="00CC34CB"/>
  </w:style>
  <w:style w:type="paragraph" w:styleId="CommentSubject">
    <w:name w:val="annotation subject"/>
    <w:basedOn w:val="CommentText"/>
    <w:next w:val="CommentText"/>
    <w:link w:val="CommentSubjectChar"/>
    <w:rsid w:val="00CC34CB"/>
    <w:rPr>
      <w:b/>
      <w:bCs/>
    </w:rPr>
  </w:style>
  <w:style w:type="character" w:customStyle="1" w:styleId="CommentSubjectChar">
    <w:name w:val="Comment Subject Char"/>
    <w:link w:val="CommentSubject"/>
    <w:rsid w:val="00CC34CB"/>
    <w:rPr>
      <w:b/>
      <w:bCs/>
    </w:rPr>
  </w:style>
  <w:style w:type="paragraph" w:styleId="BalloonText">
    <w:name w:val="Balloon Text"/>
    <w:basedOn w:val="Normal"/>
    <w:link w:val="BalloonTextChar"/>
    <w:rsid w:val="00CC34CB"/>
    <w:rPr>
      <w:rFonts w:ascii="Tahoma" w:hAnsi="Tahoma" w:cs="Tahoma"/>
      <w:sz w:val="16"/>
      <w:szCs w:val="16"/>
    </w:rPr>
  </w:style>
  <w:style w:type="character" w:customStyle="1" w:styleId="BalloonTextChar">
    <w:name w:val="Balloon Text Char"/>
    <w:link w:val="BalloonText"/>
    <w:rsid w:val="00CC34CB"/>
    <w:rPr>
      <w:rFonts w:ascii="Tahoma" w:hAnsi="Tahoma" w:cs="Tahoma"/>
      <w:sz w:val="16"/>
      <w:szCs w:val="16"/>
    </w:rPr>
  </w:style>
  <w:style w:type="paragraph" w:styleId="Revision">
    <w:name w:val="Revision"/>
    <w:hidden/>
    <w:uiPriority w:val="99"/>
    <w:semiHidden/>
    <w:rsid w:val="00A91726"/>
    <w:rPr>
      <w:szCs w:val="24"/>
    </w:rPr>
  </w:style>
  <w:style w:type="paragraph" w:styleId="Header">
    <w:name w:val="header"/>
    <w:basedOn w:val="Normal"/>
    <w:link w:val="HeaderChar"/>
    <w:rsid w:val="009025DE"/>
    <w:pPr>
      <w:tabs>
        <w:tab w:val="center" w:pos="4680"/>
        <w:tab w:val="right" w:pos="9360"/>
      </w:tabs>
    </w:pPr>
  </w:style>
  <w:style w:type="character" w:customStyle="1" w:styleId="HeaderChar">
    <w:name w:val="Header Char"/>
    <w:link w:val="Header"/>
    <w:rsid w:val="009025DE"/>
    <w:rPr>
      <w:szCs w:val="24"/>
    </w:rPr>
  </w:style>
  <w:style w:type="paragraph" w:styleId="Footer">
    <w:name w:val="footer"/>
    <w:basedOn w:val="Normal"/>
    <w:link w:val="FooterChar"/>
    <w:uiPriority w:val="99"/>
    <w:rsid w:val="009025DE"/>
    <w:pPr>
      <w:tabs>
        <w:tab w:val="center" w:pos="4680"/>
        <w:tab w:val="right" w:pos="9360"/>
      </w:tabs>
    </w:pPr>
  </w:style>
  <w:style w:type="character" w:customStyle="1" w:styleId="FooterChar">
    <w:name w:val="Footer Char"/>
    <w:link w:val="Footer"/>
    <w:uiPriority w:val="99"/>
    <w:rsid w:val="009025DE"/>
    <w:rPr>
      <w:szCs w:val="24"/>
    </w:rPr>
  </w:style>
  <w:style w:type="paragraph" w:styleId="FootnoteText">
    <w:name w:val="footnote text"/>
    <w:basedOn w:val="Normal"/>
    <w:link w:val="FootnoteTextChar"/>
    <w:rsid w:val="00D90FF6"/>
    <w:rPr>
      <w:szCs w:val="20"/>
    </w:rPr>
  </w:style>
  <w:style w:type="character" w:customStyle="1" w:styleId="FootnoteTextChar">
    <w:name w:val="Footnote Text Char"/>
    <w:basedOn w:val="DefaultParagraphFont"/>
    <w:link w:val="FootnoteText"/>
    <w:rsid w:val="00D90FF6"/>
  </w:style>
  <w:style w:type="character" w:styleId="FollowedHyperlink">
    <w:name w:val="FollowedHyperlink"/>
    <w:rsid w:val="00F04014"/>
    <w:rPr>
      <w:color w:val="954F72"/>
      <w:u w:val="single"/>
    </w:rPr>
  </w:style>
  <w:style w:type="table" w:customStyle="1" w:styleId="TableGrid3">
    <w:name w:val="Table Grid3"/>
    <w:basedOn w:val="TableNormal"/>
    <w:next w:val="TableGrid"/>
    <w:uiPriority w:val="39"/>
    <w:rsid w:val="00567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564166C1FBA410A899A1A36B384E687"/>
        <w:category>
          <w:name w:val="General"/>
          <w:gallery w:val="placeholder"/>
        </w:category>
        <w:types>
          <w:type w:val="bbPlcHdr"/>
        </w:types>
        <w:behaviors>
          <w:behavior w:val="content"/>
        </w:behaviors>
        <w:guid w:val="{15BE1B7E-84AC-471A-A0D6-12498F7A3378}"/>
      </w:docPartPr>
      <w:docPartBody>
        <w:p w:rsidR="00A11454"/>
      </w:docPartBody>
    </w:docPart>
    <w:docPart>
      <w:docPartPr>
        <w:name w:val="E01774C55520434586C5E579E2022C7B"/>
        <w:category>
          <w:name w:val="General"/>
          <w:gallery w:val="placeholder"/>
        </w:category>
        <w:types>
          <w:type w:val="bbPlcHdr"/>
        </w:types>
        <w:behaviors>
          <w:behavior w:val="content"/>
        </w:behaviors>
        <w:guid w:val="{EA56C07F-B0EF-42B5-8809-C2C4F64E2ED4}"/>
      </w:docPartPr>
      <w:docPartBody>
        <w:p w:rsidR="00A114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1"/>
    <w:rsid w:val="000839D9"/>
    <w:rsid w:val="000A6D8B"/>
    <w:rsid w:val="003E4C89"/>
    <w:rsid w:val="0045777C"/>
    <w:rsid w:val="00524820"/>
    <w:rsid w:val="00575B3F"/>
    <w:rsid w:val="005933B0"/>
    <w:rsid w:val="006173B1"/>
    <w:rsid w:val="0069227C"/>
    <w:rsid w:val="00710C01"/>
    <w:rsid w:val="007B480C"/>
    <w:rsid w:val="00870642"/>
    <w:rsid w:val="008C10B1"/>
    <w:rsid w:val="0091404C"/>
    <w:rsid w:val="00982BF1"/>
    <w:rsid w:val="009C05FA"/>
    <w:rsid w:val="00A11454"/>
    <w:rsid w:val="00A94E63"/>
    <w:rsid w:val="00BA24C5"/>
    <w:rsid w:val="00BE69FD"/>
    <w:rsid w:val="00BF081D"/>
    <w:rsid w:val="00C3126B"/>
    <w:rsid w:val="00C5054A"/>
    <w:rsid w:val="00D95CF3"/>
    <w:rsid w:val="00E721A5"/>
    <w:rsid w:val="00EE48C6"/>
    <w:rsid w:val="00F209E3"/>
    <w:rsid w:val="00FD566D"/>
    <w:rsid w:val="00FE5118"/>
    <w:rsid w:val="00FF1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051F2330A524C8854CA38F07E100B" ma:contentTypeVersion="21" ma:contentTypeDescription="Create a new document." ma:contentTypeScope="" ma:versionID="c64002f72f7a6ece7ec4cf7c2d420b32">
  <xsd:schema xmlns:xsd="http://www.w3.org/2001/XMLSchema" xmlns:xs="http://www.w3.org/2001/XMLSchema" xmlns:p="http://schemas.microsoft.com/office/2006/metadata/properties" xmlns:ns2="144ea41b-304c-4c03-99c4-debb02094f92" targetNamespace="http://schemas.microsoft.com/office/2006/metadata/properties" ma:root="true" ma:fieldsID="7ce8973a1527dfde1600a652f5f2a2a0"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144ea41b-304c-4c03-99c4-debb02094f92">CMCS-1591524662-9197</_dlc_DocId>
    <_dlc_DocIdUrl xmlns="144ea41b-304c-4c03-99c4-debb02094f92">
      <Url>https://share.cms.gov/center/CMCS/CAHPG/DSCP/_layouts/15/DocIdRedir.aspx?ID=CMCS-1591524662-9197</Url>
      <Description>CMCS-1591524662-9197</Description>
    </_dlc_DocIdUrl>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3A68-FB25-4CE0-808D-E31032D83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BD08-AF4F-4BE3-81C5-8236F801C85A}">
  <ds:schemaRefs>
    <ds:schemaRef ds:uri="http://schemas.microsoft.com/office/2006/metadata/longProperties"/>
  </ds:schemaRefs>
</ds:datastoreItem>
</file>

<file path=customXml/itemProps3.xml><?xml version="1.0" encoding="utf-8"?>
<ds:datastoreItem xmlns:ds="http://schemas.openxmlformats.org/officeDocument/2006/customXml" ds:itemID="{AEDA45BA-87E5-40BA-9B7B-04BE1F61334E}">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144ea41b-304c-4c03-99c4-debb02094f9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BC6FE13-3B0D-4155-8413-A3284802F868}">
  <ds:schemaRefs>
    <ds:schemaRef ds:uri="Microsoft.SharePoint.Taxonomy.ContentTypeSync"/>
  </ds:schemaRefs>
</ds:datastoreItem>
</file>

<file path=customXml/itemProps5.xml><?xml version="1.0" encoding="utf-8"?>
<ds:datastoreItem xmlns:ds="http://schemas.openxmlformats.org/officeDocument/2006/customXml" ds:itemID="{0807BBF5-B927-42F0-981E-5CF539B38ADD}">
  <ds:schemaRefs>
    <ds:schemaRef ds:uri="http://schemas.microsoft.com/sharepoint/events"/>
  </ds:schemaRefs>
</ds:datastoreItem>
</file>

<file path=customXml/itemProps6.xml><?xml version="1.0" encoding="utf-8"?>
<ds:datastoreItem xmlns:ds="http://schemas.openxmlformats.org/officeDocument/2006/customXml" ds:itemID="{13D06CDD-4E35-45DD-8000-07F6226C2365}">
  <ds:schemaRefs>
    <ds:schemaRef ds:uri="http://schemas.microsoft.com/sharepoint/v3/contenttype/forms"/>
  </ds:schemaRefs>
</ds:datastoreItem>
</file>

<file path=customXml/itemProps7.xml><?xml version="1.0" encoding="utf-8"?>
<ds:datastoreItem xmlns:ds="http://schemas.openxmlformats.org/officeDocument/2006/customXml" ds:itemID="{547F1C5B-2C16-4041-8FD3-F76F29BD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7551</Words>
  <Characters>39674</Characters>
  <Application>Microsoft Office Word</Application>
  <DocSecurity>0</DocSecurity>
  <Lines>330</Lines>
  <Paragraphs>94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4</cp:revision>
  <cp:lastPrinted>2014-06-27T11:19:00Z</cp:lastPrinted>
  <dcterms:created xsi:type="dcterms:W3CDTF">2023-10-20T16:10:00Z</dcterms:created>
  <dcterms:modified xsi:type="dcterms:W3CDTF">2023-10-20T16:13:00Z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0x010100009051F2330A524C8854CA38F07E100B</vt:lpwstr>
  </property>
  <property fmtid="{D5CDD505-2E9C-101B-9397-08002B2CF9AE}" pid="3" name="_dlc_DocId">
    <vt:lpwstr>CMCS-1591524662-6521</vt:lpwstr>
  </property>
  <property fmtid="{D5CDD505-2E9C-101B-9397-08002B2CF9AE}" pid="4" name="_dlc_DocIdItemGuid">
    <vt:lpwstr>26ab807e-8ae2-496e-a226-99bd42d8abf3</vt:lpwstr>
  </property>
  <property fmtid="{D5CDD505-2E9C-101B-9397-08002B2CF9AE}" pid="5" name="_dlc_DocIdUrl">
    <vt:lpwstr>https://share.cms.gov/center/CMCS/CAHPG/DSCP/_layouts/15/DocIdRedir.aspx?ID=CMCS-1591524662-6521, CMCS-1591524662-6521</vt:lpwstr>
  </property>
  <property fmtid="{D5CDD505-2E9C-101B-9397-08002B2CF9AE}" pid="6" name="_NewReviewCycle">
    <vt:lpwstr/>
  </property>
</Properties>
</file>