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52A9" w:rsidP="00C650CD" w14:paraId="3A8A26EF" w14:textId="77777777">
      <w:pPr>
        <w:tabs>
          <w:tab w:val="center" w:pos="4680"/>
        </w:tabs>
        <w:jc w:val="center"/>
        <w:rPr>
          <w:sz w:val="24"/>
        </w:rPr>
      </w:pPr>
      <w:r w:rsidRPr="00D03976">
        <w:rPr>
          <w:sz w:val="24"/>
        </w:rPr>
        <w:t xml:space="preserve">Supporting Statement </w:t>
      </w:r>
      <w:r>
        <w:rPr>
          <w:sz w:val="24"/>
        </w:rPr>
        <w:t>A</w:t>
      </w:r>
    </w:p>
    <w:p w:rsidR="00F07605" w:rsidP="00C650CD" w14:paraId="610467E1" w14:textId="77777777">
      <w:pPr>
        <w:tabs>
          <w:tab w:val="center" w:pos="4680"/>
        </w:tabs>
        <w:jc w:val="center"/>
        <w:rPr>
          <w:sz w:val="24"/>
        </w:rPr>
      </w:pPr>
      <w:r>
        <w:rPr>
          <w:sz w:val="24"/>
        </w:rPr>
        <w:t xml:space="preserve">Medicaid </w:t>
      </w:r>
      <w:r w:rsidRPr="00D03976" w:rsidR="00DC289C">
        <w:rPr>
          <w:sz w:val="24"/>
        </w:rPr>
        <w:t>Disproportionate Share Hospital</w:t>
      </w:r>
      <w:r w:rsidR="003B56B3">
        <w:rPr>
          <w:sz w:val="24"/>
        </w:rPr>
        <w:t xml:space="preserve"> </w:t>
      </w:r>
      <w:r w:rsidR="00C650CD">
        <w:rPr>
          <w:sz w:val="24"/>
        </w:rPr>
        <w:t>(DSH)</w:t>
      </w:r>
    </w:p>
    <w:p w:rsidR="00DC289C" w:rsidP="00C650CD" w14:paraId="01120067" w14:textId="77777777">
      <w:pPr>
        <w:tabs>
          <w:tab w:val="center" w:pos="4680"/>
        </w:tabs>
        <w:jc w:val="center"/>
        <w:rPr>
          <w:sz w:val="24"/>
        </w:rPr>
      </w:pPr>
      <w:r w:rsidRPr="00D03976">
        <w:rPr>
          <w:sz w:val="24"/>
        </w:rPr>
        <w:t>Annual Reporting Requirements</w:t>
      </w:r>
    </w:p>
    <w:p w:rsidR="00F07605" w:rsidRPr="00D03976" w:rsidP="00C650CD" w14:paraId="2AA624D8" w14:textId="77777777">
      <w:pPr>
        <w:tabs>
          <w:tab w:val="center" w:pos="4680"/>
        </w:tabs>
        <w:jc w:val="center"/>
        <w:rPr>
          <w:sz w:val="24"/>
        </w:rPr>
      </w:pPr>
      <w:r>
        <w:rPr>
          <w:sz w:val="24"/>
        </w:rPr>
        <w:t>CMS-R-266 (O</w:t>
      </w:r>
      <w:r w:rsidR="00D378C6">
        <w:rPr>
          <w:sz w:val="24"/>
        </w:rPr>
        <w:t>MB</w:t>
      </w:r>
      <w:r>
        <w:rPr>
          <w:sz w:val="24"/>
        </w:rPr>
        <w:t xml:space="preserve"> 0938-0746)</w:t>
      </w:r>
    </w:p>
    <w:p w:rsidR="00DC289C" w:rsidRPr="00D03976" w:rsidP="008E5D40" w14:paraId="42E03981" w14:textId="77777777">
      <w:pPr>
        <w:rPr>
          <w:sz w:val="24"/>
        </w:rPr>
      </w:pPr>
    </w:p>
    <w:p w:rsidR="00DC289C" w:rsidRPr="00BE34ED" w:rsidP="008E5D40" w14:paraId="2F0AD056" w14:textId="77777777">
      <w:pPr>
        <w:rPr>
          <w:b/>
          <w:sz w:val="24"/>
        </w:rPr>
      </w:pPr>
      <w:r w:rsidRPr="00BE34ED">
        <w:rPr>
          <w:b/>
          <w:sz w:val="24"/>
        </w:rPr>
        <w:t>Background</w:t>
      </w:r>
    </w:p>
    <w:p w:rsidR="00B65EA0" w:rsidRPr="00BE34ED" w:rsidP="008E5D40" w14:paraId="4CE73388" w14:textId="77777777">
      <w:pPr>
        <w:rPr>
          <w:sz w:val="24"/>
        </w:rPr>
      </w:pPr>
    </w:p>
    <w:p w:rsidR="00DC289C" w:rsidRPr="00BE34ED" w:rsidP="008E5D40" w14:paraId="5CB0BC66" w14:textId="77777777">
      <w:pPr>
        <w:rPr>
          <w:sz w:val="24"/>
        </w:rPr>
      </w:pPr>
      <w:r w:rsidRPr="00BE34ED">
        <w:rPr>
          <w:sz w:val="24"/>
        </w:rPr>
        <w:t>Th</w:t>
      </w:r>
      <w:r w:rsidRPr="00BE34ED" w:rsidR="001F22B0">
        <w:rPr>
          <w:sz w:val="24"/>
        </w:rPr>
        <w:t xml:space="preserve">is information collection request </w:t>
      </w:r>
      <w:r w:rsidRPr="00BE34ED">
        <w:rPr>
          <w:sz w:val="24"/>
        </w:rPr>
        <w:t xml:space="preserve">provides for </w:t>
      </w:r>
      <w:r w:rsidRPr="00BE34ED" w:rsidR="001F22B0">
        <w:rPr>
          <w:sz w:val="24"/>
        </w:rPr>
        <w:t xml:space="preserve">the </w:t>
      </w:r>
      <w:r w:rsidRPr="00BE34ED">
        <w:rPr>
          <w:sz w:val="24"/>
        </w:rPr>
        <w:t xml:space="preserve">collection of hospital specific </w:t>
      </w:r>
      <w:r w:rsidRPr="00BE34ED" w:rsidR="009010CF">
        <w:rPr>
          <w:sz w:val="24"/>
        </w:rPr>
        <w:t xml:space="preserve">DSH </w:t>
      </w:r>
      <w:r w:rsidRPr="00BE34ED">
        <w:rPr>
          <w:sz w:val="24"/>
        </w:rPr>
        <w:t xml:space="preserve">payment </w:t>
      </w:r>
      <w:r w:rsidRPr="00BE34ED" w:rsidR="009010CF">
        <w:rPr>
          <w:sz w:val="24"/>
        </w:rPr>
        <w:t xml:space="preserve">information </w:t>
      </w:r>
      <w:r w:rsidRPr="00BE34ED">
        <w:rPr>
          <w:sz w:val="24"/>
        </w:rPr>
        <w:t>as required by section 1923(</w:t>
      </w:r>
      <w:r w:rsidRPr="00BE34ED" w:rsidR="00D03976">
        <w:rPr>
          <w:sz w:val="24"/>
        </w:rPr>
        <w:t>j)</w:t>
      </w:r>
      <w:r w:rsidRPr="00BE34ED" w:rsidR="00213A9B">
        <w:rPr>
          <w:sz w:val="24"/>
        </w:rPr>
        <w:t>(1)</w:t>
      </w:r>
      <w:r w:rsidRPr="00BE34ED">
        <w:rPr>
          <w:sz w:val="24"/>
        </w:rPr>
        <w:t xml:space="preserve"> of the Social Security Act</w:t>
      </w:r>
      <w:r w:rsidRPr="00BE34ED" w:rsidR="00D03976">
        <w:rPr>
          <w:sz w:val="24"/>
        </w:rPr>
        <w:t xml:space="preserve"> (the Act)</w:t>
      </w:r>
      <w:r w:rsidRPr="00BE34ED">
        <w:rPr>
          <w:sz w:val="24"/>
        </w:rPr>
        <w:t>.  The collection of data will be submitted to CMS on an annual basis by each State.</w:t>
      </w:r>
    </w:p>
    <w:p w:rsidR="00BE34ED" w:rsidRPr="00BE34ED" w:rsidP="008E5D40" w14:paraId="0E706F08" w14:textId="77777777">
      <w:pPr>
        <w:rPr>
          <w:sz w:val="24"/>
        </w:rPr>
      </w:pPr>
    </w:p>
    <w:p w:rsidR="008B37BD" w:rsidP="008E5D40" w14:paraId="3A8A1136" w14:textId="77777777">
      <w:pPr>
        <w:rPr>
          <w:sz w:val="24"/>
        </w:rPr>
      </w:pPr>
      <w:r w:rsidRPr="00BE34ED">
        <w:rPr>
          <w:sz w:val="24"/>
        </w:rPr>
        <w:t xml:space="preserve">This </w:t>
      </w:r>
      <w:r w:rsidRPr="00BE34ED" w:rsidR="002D45F4">
        <w:rPr>
          <w:sz w:val="24"/>
        </w:rPr>
        <w:t>202</w:t>
      </w:r>
      <w:r w:rsidRPr="00BE34ED">
        <w:rPr>
          <w:sz w:val="24"/>
        </w:rPr>
        <w:t>3</w:t>
      </w:r>
      <w:r w:rsidRPr="00BE34ED" w:rsidR="002D45F4">
        <w:rPr>
          <w:sz w:val="24"/>
        </w:rPr>
        <w:t xml:space="preserve"> </w:t>
      </w:r>
      <w:r w:rsidRPr="00BE34ED" w:rsidR="00F712FA">
        <w:rPr>
          <w:sz w:val="24"/>
        </w:rPr>
        <w:t xml:space="preserve">collection </w:t>
      </w:r>
      <w:r w:rsidRPr="00BE34ED">
        <w:rPr>
          <w:sz w:val="24"/>
        </w:rPr>
        <w:t xml:space="preserve">of information </w:t>
      </w:r>
      <w:r w:rsidRPr="00BE34ED" w:rsidR="00F712FA">
        <w:rPr>
          <w:sz w:val="24"/>
        </w:rPr>
        <w:t xml:space="preserve">request </w:t>
      </w:r>
      <w:r w:rsidRPr="00BE34ED">
        <w:rPr>
          <w:sz w:val="24"/>
        </w:rPr>
        <w:t xml:space="preserve">is an Extension that </w:t>
      </w:r>
      <w:r w:rsidRPr="00BE34ED" w:rsidR="002D45F4">
        <w:rPr>
          <w:sz w:val="24"/>
        </w:rPr>
        <w:t xml:space="preserve">proposes </w:t>
      </w:r>
      <w:r w:rsidRPr="00BE34ED">
        <w:rPr>
          <w:sz w:val="24"/>
        </w:rPr>
        <w:t>no changes other than updating our cost estimates based on more recent wage data.</w:t>
      </w:r>
    </w:p>
    <w:p w:rsidR="00A35098" w:rsidP="008E5D40" w14:paraId="4A0ECF04" w14:textId="5DC307C0">
      <w:pPr>
        <w:rPr>
          <w:sz w:val="24"/>
        </w:rPr>
      </w:pPr>
    </w:p>
    <w:p w:rsidR="008B37BD" w:rsidP="008E5D40" w14:paraId="436C0497" w14:textId="58B98682">
      <w:pPr>
        <w:rPr>
          <w:sz w:val="24"/>
        </w:rPr>
      </w:pPr>
      <w:r>
        <w:rPr>
          <w:sz w:val="24"/>
        </w:rPr>
        <w:t xml:space="preserve">Our </w:t>
      </w:r>
      <w:r w:rsidRPr="008B37BD">
        <w:rPr>
          <w:sz w:val="24"/>
        </w:rPr>
        <w:t xml:space="preserve">Annual Report </w:t>
      </w:r>
      <w:r>
        <w:rPr>
          <w:sz w:val="24"/>
        </w:rPr>
        <w:t>spreadsheet is unchanged.</w:t>
      </w:r>
    </w:p>
    <w:p w:rsidR="008B37BD" w:rsidRPr="00D03976" w:rsidP="008E5D40" w14:paraId="49E44E72" w14:textId="77777777">
      <w:pPr>
        <w:rPr>
          <w:sz w:val="24"/>
        </w:rPr>
      </w:pPr>
    </w:p>
    <w:p w:rsidR="00DC289C" w:rsidRPr="00F64264" w:rsidP="008E5D40" w14:paraId="3528B55B" w14:textId="77777777">
      <w:pPr>
        <w:rPr>
          <w:b/>
          <w:sz w:val="24"/>
        </w:rPr>
      </w:pPr>
      <w:r w:rsidRPr="00F64264">
        <w:rPr>
          <w:b/>
          <w:sz w:val="24"/>
        </w:rPr>
        <w:t>A</w:t>
      </w:r>
      <w:r w:rsidRPr="00F64264">
        <w:rPr>
          <w:b/>
          <w:sz w:val="24"/>
        </w:rPr>
        <w:t>.</w:t>
      </w:r>
      <w:r w:rsidRPr="00F64264">
        <w:rPr>
          <w:b/>
          <w:sz w:val="24"/>
        </w:rPr>
        <w:tab/>
        <w:t>Justification</w:t>
      </w:r>
    </w:p>
    <w:p w:rsidR="00DC289C" w:rsidRPr="00D03976" w:rsidP="008E5D40" w14:paraId="75C222EC" w14:textId="77777777">
      <w:pPr>
        <w:rPr>
          <w:sz w:val="24"/>
        </w:rPr>
      </w:pPr>
    </w:p>
    <w:p w:rsidR="00DC289C" w:rsidRPr="00D03976" w:rsidP="008E5D40" w14:paraId="33C2A0C9" w14:textId="77777777">
      <w:pPr>
        <w:rPr>
          <w:sz w:val="24"/>
        </w:rPr>
      </w:pPr>
      <w:r w:rsidRPr="00D03976">
        <w:rPr>
          <w:sz w:val="24"/>
        </w:rPr>
        <w:t xml:space="preserve">1.  </w:t>
      </w:r>
      <w:r w:rsidRPr="00D03976">
        <w:rPr>
          <w:sz w:val="24"/>
          <w:u w:val="single"/>
        </w:rPr>
        <w:t>Need and Legal Basis</w:t>
      </w:r>
    </w:p>
    <w:p w:rsidR="00F16882" w:rsidP="008E5D40" w14:paraId="4C9F0BF8" w14:textId="77777777">
      <w:pPr>
        <w:tabs>
          <w:tab w:val="left" w:pos="-1440"/>
        </w:tabs>
        <w:rPr>
          <w:sz w:val="24"/>
        </w:rPr>
      </w:pPr>
    </w:p>
    <w:p w:rsidR="003B56B3" w:rsidP="008E5D40" w14:paraId="0C9B17D7" w14:textId="77777777">
      <w:pPr>
        <w:tabs>
          <w:tab w:val="left" w:pos="-1440"/>
        </w:tabs>
        <w:rPr>
          <w:sz w:val="24"/>
        </w:rPr>
      </w:pPr>
      <w:r>
        <w:rPr>
          <w:sz w:val="24"/>
        </w:rPr>
        <w:t xml:space="preserve">The authorization for the DSH </w:t>
      </w:r>
      <w:r w:rsidR="009010CF">
        <w:rPr>
          <w:sz w:val="24"/>
        </w:rPr>
        <w:t xml:space="preserve">information </w:t>
      </w:r>
      <w:r>
        <w:rPr>
          <w:sz w:val="24"/>
        </w:rPr>
        <w:t xml:space="preserve">collection is from Section 1001 of the Medicare Modernization Act.  </w:t>
      </w:r>
    </w:p>
    <w:p w:rsidR="009010CF" w:rsidP="008E5D40" w14:paraId="34EE586A" w14:textId="77777777">
      <w:pPr>
        <w:tabs>
          <w:tab w:val="left" w:pos="-1440"/>
        </w:tabs>
        <w:rPr>
          <w:sz w:val="24"/>
        </w:rPr>
      </w:pPr>
    </w:p>
    <w:p w:rsidR="00C650CD" w:rsidP="008E5D40" w14:paraId="36C2B506" w14:textId="72B3DBC3">
      <w:pPr>
        <w:tabs>
          <w:tab w:val="left" w:pos="-1440"/>
        </w:tabs>
        <w:rPr>
          <w:sz w:val="24"/>
        </w:rPr>
      </w:pPr>
      <w:r w:rsidRPr="00D03976">
        <w:rPr>
          <w:sz w:val="24"/>
        </w:rPr>
        <w:t>Section 1923(</w:t>
      </w:r>
      <w:r>
        <w:rPr>
          <w:sz w:val="24"/>
        </w:rPr>
        <w:t>j</w:t>
      </w:r>
      <w:r w:rsidRPr="00D03976">
        <w:rPr>
          <w:sz w:val="24"/>
        </w:rPr>
        <w:t>)(</w:t>
      </w:r>
      <w:r>
        <w:rPr>
          <w:sz w:val="24"/>
        </w:rPr>
        <w:t>1) of the Act</w:t>
      </w:r>
      <w:r w:rsidRPr="00D03976">
        <w:rPr>
          <w:sz w:val="24"/>
        </w:rPr>
        <w:t xml:space="preserve"> requires States to </w:t>
      </w:r>
      <w:r>
        <w:rPr>
          <w:sz w:val="24"/>
        </w:rPr>
        <w:t>submit an annual report that includes the following:</w:t>
      </w:r>
    </w:p>
    <w:p w:rsidR="00185642" w:rsidP="008E5D40" w14:paraId="7902C80A" w14:textId="77777777">
      <w:pPr>
        <w:tabs>
          <w:tab w:val="left" w:pos="-1440"/>
        </w:tabs>
        <w:rPr>
          <w:sz w:val="24"/>
        </w:rPr>
      </w:pPr>
    </w:p>
    <w:p w:rsidR="00C650CD" w:rsidP="00185642" w14:paraId="66A76AD7" w14:textId="77777777">
      <w:pPr>
        <w:numPr>
          <w:ilvl w:val="0"/>
          <w:numId w:val="3"/>
        </w:numPr>
        <w:tabs>
          <w:tab w:val="left" w:pos="-1440"/>
        </w:tabs>
        <w:ind w:hanging="1296"/>
        <w:rPr>
          <w:sz w:val="24"/>
        </w:rPr>
      </w:pPr>
      <w:r>
        <w:rPr>
          <w:sz w:val="24"/>
        </w:rPr>
        <w:t>Identification of each DSH that received a DSH payment under the State’s Medicaid program in the preceding fiscal year and the amount of DSH payments paid to that hospital in the same year.</w:t>
      </w:r>
    </w:p>
    <w:p w:rsidR="00C650CD" w:rsidP="00185642" w14:paraId="3FBA94C5" w14:textId="77777777">
      <w:pPr>
        <w:numPr>
          <w:ilvl w:val="0"/>
          <w:numId w:val="3"/>
        </w:numPr>
        <w:tabs>
          <w:tab w:val="left" w:pos="-1440"/>
        </w:tabs>
        <w:ind w:hanging="1296"/>
        <w:rPr>
          <w:sz w:val="24"/>
        </w:rPr>
      </w:pPr>
      <w:r>
        <w:rPr>
          <w:sz w:val="24"/>
        </w:rPr>
        <w:t xml:space="preserve">Such other information as the Secretary determines necessary to ensure the appropriateness of DSH payments.  </w:t>
      </w:r>
    </w:p>
    <w:p w:rsidR="00DC289C" w:rsidRPr="00D03976" w:rsidP="008E5D40" w14:paraId="73EA1B29" w14:textId="77777777">
      <w:pPr>
        <w:tabs>
          <w:tab w:val="left" w:pos="-1440"/>
        </w:tabs>
        <w:rPr>
          <w:sz w:val="24"/>
        </w:rPr>
      </w:pPr>
    </w:p>
    <w:p w:rsidR="00DC289C" w:rsidRPr="00D03976" w:rsidP="008E5D40" w14:paraId="7720ECAD" w14:textId="77777777">
      <w:pPr>
        <w:rPr>
          <w:sz w:val="24"/>
        </w:rPr>
      </w:pPr>
      <w:r w:rsidRPr="00D03976">
        <w:rPr>
          <w:sz w:val="24"/>
        </w:rPr>
        <w:t xml:space="preserve">2.  </w:t>
      </w:r>
      <w:r w:rsidRPr="00D03976">
        <w:rPr>
          <w:sz w:val="24"/>
          <w:u w:val="single"/>
        </w:rPr>
        <w:t>Information Users</w:t>
      </w:r>
    </w:p>
    <w:p w:rsidR="00F16882" w:rsidP="008E5D40" w14:paraId="4524A18F" w14:textId="77777777">
      <w:pPr>
        <w:tabs>
          <w:tab w:val="left" w:pos="-1440"/>
        </w:tabs>
        <w:rPr>
          <w:sz w:val="24"/>
        </w:rPr>
      </w:pPr>
    </w:p>
    <w:p w:rsidR="00DC289C" w:rsidRPr="00D03976" w:rsidP="008E5D40" w14:paraId="2956B667" w14:textId="77777777">
      <w:pPr>
        <w:tabs>
          <w:tab w:val="left" w:pos="-1440"/>
        </w:tabs>
        <w:rPr>
          <w:sz w:val="24"/>
        </w:rPr>
      </w:pPr>
      <w:r w:rsidRPr="00D03976">
        <w:rPr>
          <w:sz w:val="24"/>
        </w:rPr>
        <w:t>This information will be used by CMS and Congress to assess the utilization of the disproportionate share hospital program dollars.</w:t>
      </w:r>
    </w:p>
    <w:p w:rsidR="00DC289C" w:rsidRPr="00D03976" w:rsidP="008E5D40" w14:paraId="7EA063E2" w14:textId="77777777">
      <w:pPr>
        <w:rPr>
          <w:sz w:val="24"/>
        </w:rPr>
      </w:pPr>
    </w:p>
    <w:p w:rsidR="00DC289C" w:rsidRPr="00D03976" w:rsidP="008E5D40" w14:paraId="6A24C677" w14:textId="77777777">
      <w:pPr>
        <w:rPr>
          <w:sz w:val="24"/>
        </w:rPr>
      </w:pPr>
      <w:r w:rsidRPr="00D03976">
        <w:rPr>
          <w:sz w:val="24"/>
        </w:rPr>
        <w:t xml:space="preserve">3.  </w:t>
      </w:r>
      <w:r w:rsidR="009010CF">
        <w:rPr>
          <w:sz w:val="24"/>
          <w:u w:val="single"/>
        </w:rPr>
        <w:t xml:space="preserve">Use of </w:t>
      </w:r>
      <w:r w:rsidRPr="00D03976">
        <w:rPr>
          <w:sz w:val="24"/>
          <w:u w:val="single"/>
        </w:rPr>
        <w:t>Information Technology</w:t>
      </w:r>
    </w:p>
    <w:p w:rsidR="00F16882" w:rsidP="008E5D40" w14:paraId="1FDEBCB1" w14:textId="77777777">
      <w:pPr>
        <w:rPr>
          <w:sz w:val="24"/>
        </w:rPr>
      </w:pPr>
    </w:p>
    <w:p w:rsidR="00DC289C" w:rsidRPr="00D03976" w:rsidP="008E5D40" w14:paraId="3EF996A3" w14:textId="77777777">
      <w:pPr>
        <w:rPr>
          <w:sz w:val="24"/>
        </w:rPr>
      </w:pPr>
      <w:r w:rsidRPr="00D03976">
        <w:rPr>
          <w:sz w:val="24"/>
        </w:rPr>
        <w:t>CMS recommends the State use a standard software sprea</w:t>
      </w:r>
      <w:r w:rsidR="009010CF">
        <w:rPr>
          <w:sz w:val="24"/>
        </w:rPr>
        <w:t xml:space="preserve">dsheet package to compile the information </w:t>
      </w:r>
      <w:r w:rsidRPr="00D03976">
        <w:rPr>
          <w:sz w:val="24"/>
        </w:rPr>
        <w:t xml:space="preserve">before submitting the </w:t>
      </w:r>
      <w:r w:rsidR="009010CF">
        <w:rPr>
          <w:sz w:val="24"/>
        </w:rPr>
        <w:t>information</w:t>
      </w:r>
      <w:r w:rsidRPr="00D03976">
        <w:rPr>
          <w:sz w:val="24"/>
        </w:rPr>
        <w:t xml:space="preserve"> to the regional offices.</w:t>
      </w:r>
    </w:p>
    <w:p w:rsidR="00DC289C" w:rsidRPr="00D03976" w:rsidP="008E5D40" w14:paraId="0814B7DF" w14:textId="77777777">
      <w:pPr>
        <w:rPr>
          <w:sz w:val="24"/>
        </w:rPr>
      </w:pPr>
    </w:p>
    <w:p w:rsidR="00DC289C" w:rsidRPr="00D03976" w:rsidP="008E5D40" w14:paraId="1DDE9286" w14:textId="77777777">
      <w:pPr>
        <w:rPr>
          <w:sz w:val="24"/>
        </w:rPr>
      </w:pPr>
      <w:r w:rsidRPr="00D03976">
        <w:rPr>
          <w:sz w:val="24"/>
        </w:rPr>
        <w:t xml:space="preserve">4.  </w:t>
      </w:r>
      <w:r w:rsidRPr="00D03976">
        <w:rPr>
          <w:sz w:val="24"/>
          <w:u w:val="single"/>
        </w:rPr>
        <w:t xml:space="preserve">Duplication of </w:t>
      </w:r>
      <w:r w:rsidR="009010CF">
        <w:rPr>
          <w:sz w:val="24"/>
          <w:u w:val="single"/>
        </w:rPr>
        <w:t>Efforts</w:t>
      </w:r>
    </w:p>
    <w:p w:rsidR="00F16882" w:rsidP="008E5D40" w14:paraId="7EA7CE1B" w14:textId="77777777">
      <w:pPr>
        <w:rPr>
          <w:sz w:val="24"/>
        </w:rPr>
      </w:pPr>
    </w:p>
    <w:p w:rsidR="00DC289C" w:rsidRPr="00D03976" w:rsidP="008E5D40" w14:paraId="069AE131" w14:textId="77777777">
      <w:pPr>
        <w:rPr>
          <w:sz w:val="24"/>
        </w:rPr>
      </w:pPr>
      <w:r>
        <w:rPr>
          <w:sz w:val="24"/>
        </w:rPr>
        <w:t xml:space="preserve">This information collection does not duplicate any other effort and the information cannot be obtained from any other source.  </w:t>
      </w:r>
    </w:p>
    <w:p w:rsidR="00DC289C" w:rsidRPr="00D03976" w:rsidP="008E5D40" w14:paraId="7EBDC02E" w14:textId="77777777">
      <w:pPr>
        <w:rPr>
          <w:sz w:val="24"/>
        </w:rPr>
      </w:pPr>
    </w:p>
    <w:p w:rsidR="00DC289C" w:rsidRPr="00D03976" w:rsidP="008E5D40" w14:paraId="5082AB6E" w14:textId="77777777">
      <w:pPr>
        <w:rPr>
          <w:sz w:val="24"/>
        </w:rPr>
      </w:pPr>
      <w:r w:rsidRPr="00D03976">
        <w:rPr>
          <w:sz w:val="24"/>
        </w:rPr>
        <w:t xml:space="preserve">5.  </w:t>
      </w:r>
      <w:r w:rsidRPr="00D03976">
        <w:rPr>
          <w:sz w:val="24"/>
          <w:u w:val="single"/>
        </w:rPr>
        <w:t>Small Businesses</w:t>
      </w:r>
    </w:p>
    <w:p w:rsidR="00F16882" w:rsidP="008E5D40" w14:paraId="3FF78B94" w14:textId="77777777">
      <w:pPr>
        <w:rPr>
          <w:sz w:val="24"/>
        </w:rPr>
      </w:pPr>
    </w:p>
    <w:p w:rsidR="00DC289C" w:rsidRPr="00D03976" w:rsidP="008E5D40" w14:paraId="16B286D5" w14:textId="77777777">
      <w:pPr>
        <w:rPr>
          <w:sz w:val="24"/>
        </w:rPr>
      </w:pPr>
      <w:r w:rsidRPr="00D03976">
        <w:rPr>
          <w:sz w:val="24"/>
        </w:rPr>
        <w:t>These requirements do not affect small businesses.</w:t>
      </w:r>
    </w:p>
    <w:p w:rsidR="00DC289C" w:rsidRPr="00D03976" w:rsidP="008E5D40" w14:paraId="59EB5997" w14:textId="77777777">
      <w:pPr>
        <w:rPr>
          <w:sz w:val="24"/>
        </w:rPr>
      </w:pPr>
    </w:p>
    <w:p w:rsidR="00DC289C" w:rsidRPr="00D03976" w:rsidP="008E5D40" w14:paraId="34D8E93F" w14:textId="77777777">
      <w:pPr>
        <w:rPr>
          <w:sz w:val="24"/>
        </w:rPr>
      </w:pPr>
      <w:r w:rsidRPr="00D03976">
        <w:rPr>
          <w:sz w:val="24"/>
        </w:rPr>
        <w:t xml:space="preserve">6.  </w:t>
      </w:r>
      <w:r w:rsidRPr="00D03976">
        <w:rPr>
          <w:sz w:val="24"/>
          <w:u w:val="single"/>
        </w:rPr>
        <w:t>Less Frequent Collection</w:t>
      </w:r>
    </w:p>
    <w:p w:rsidR="00F16882" w:rsidP="008E5D40" w14:paraId="0078E53D" w14:textId="77777777">
      <w:pPr>
        <w:rPr>
          <w:sz w:val="24"/>
        </w:rPr>
      </w:pPr>
    </w:p>
    <w:p w:rsidR="00DC289C" w:rsidRPr="00D03976" w:rsidP="008E5D40" w14:paraId="38FF1659" w14:textId="0C0E7975">
      <w:pPr>
        <w:rPr>
          <w:sz w:val="24"/>
        </w:rPr>
      </w:pPr>
      <w:r w:rsidRPr="00086FE2">
        <w:rPr>
          <w:sz w:val="24"/>
        </w:rPr>
        <w:t xml:space="preserve">Failure </w:t>
      </w:r>
      <w:r w:rsidRPr="00086FE2" w:rsidR="00B95CE6">
        <w:rPr>
          <w:sz w:val="24"/>
        </w:rPr>
        <w:t xml:space="preserve">of the State to submit this information </w:t>
      </w:r>
      <w:r w:rsidRPr="00086FE2">
        <w:rPr>
          <w:sz w:val="24"/>
        </w:rPr>
        <w:t>will result in the State being out of compliance with section 1923(</w:t>
      </w:r>
      <w:r w:rsidRPr="00086FE2" w:rsidR="00C650CD">
        <w:rPr>
          <w:sz w:val="24"/>
        </w:rPr>
        <w:t>j</w:t>
      </w:r>
      <w:r w:rsidRPr="00086FE2">
        <w:rPr>
          <w:sz w:val="24"/>
        </w:rPr>
        <w:t>)(</w:t>
      </w:r>
      <w:r w:rsidRPr="00086FE2" w:rsidR="00C650CD">
        <w:rPr>
          <w:sz w:val="24"/>
        </w:rPr>
        <w:t>1</w:t>
      </w:r>
      <w:r w:rsidRPr="00086FE2">
        <w:rPr>
          <w:sz w:val="24"/>
        </w:rPr>
        <w:t>) of the Act.</w:t>
      </w:r>
    </w:p>
    <w:p w:rsidR="00394B12" w:rsidP="008E5D40" w14:paraId="2D092F39" w14:textId="77777777">
      <w:pPr>
        <w:rPr>
          <w:sz w:val="24"/>
        </w:rPr>
      </w:pPr>
    </w:p>
    <w:p w:rsidR="00DC289C" w:rsidRPr="00D03976" w:rsidP="008E5D40" w14:paraId="5465694F" w14:textId="77777777">
      <w:pPr>
        <w:rPr>
          <w:sz w:val="24"/>
        </w:rPr>
      </w:pPr>
      <w:r w:rsidRPr="00D03976">
        <w:rPr>
          <w:sz w:val="24"/>
        </w:rPr>
        <w:t xml:space="preserve">7.  </w:t>
      </w:r>
      <w:r w:rsidRPr="00D03976">
        <w:rPr>
          <w:sz w:val="24"/>
          <w:u w:val="single"/>
        </w:rPr>
        <w:t>Special Circumstances</w:t>
      </w:r>
    </w:p>
    <w:p w:rsidR="00F16882" w:rsidP="008E5D40" w14:paraId="5185E01A" w14:textId="77777777">
      <w:pPr>
        <w:rPr>
          <w:sz w:val="24"/>
        </w:rPr>
      </w:pPr>
    </w:p>
    <w:p w:rsidR="00040830" w:rsidRPr="005736AE" w:rsidP="008E5D40" w14:paraId="17F32E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736AE">
        <w:rPr>
          <w:sz w:val="24"/>
        </w:rPr>
        <w:t>There are no special circumstances that would require an information collection to be conducted in a manner that requires respondents to:</w:t>
      </w:r>
    </w:p>
    <w:p w:rsidR="00040830" w:rsidRPr="005736AE" w:rsidP="008E5D40" w14:paraId="674E6A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40830" w:rsidRPr="005736AE" w:rsidP="00DD0A8B" w14:paraId="466463E3" w14:textId="77777777">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736AE">
        <w:rPr>
          <w:sz w:val="24"/>
        </w:rPr>
        <w:t>Report information to the agency more often than quarterly;</w:t>
      </w:r>
    </w:p>
    <w:p w:rsidR="00040830" w:rsidRPr="005736AE" w:rsidP="00DD0A8B" w14:paraId="1458C965" w14:textId="77777777">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736AE">
        <w:rPr>
          <w:sz w:val="24"/>
        </w:rPr>
        <w:t xml:space="preserve">Prepare a written response to a collection of information in fewer than 30 days after receipt of it; </w:t>
      </w:r>
    </w:p>
    <w:p w:rsidR="00040830" w:rsidRPr="005736AE" w:rsidP="00DD0A8B" w14:paraId="2D32D792" w14:textId="77777777">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736AE">
        <w:rPr>
          <w:sz w:val="24"/>
        </w:rPr>
        <w:t>Submit more than an original and two copies of any document;</w:t>
      </w:r>
    </w:p>
    <w:p w:rsidR="00040830" w:rsidRPr="005736AE" w:rsidP="00DD0A8B" w14:paraId="1284D881" w14:textId="77777777">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736AE">
        <w:rPr>
          <w:sz w:val="24"/>
        </w:rPr>
        <w:t>Retain records, other than health, medical, government contract, grant-in-aid, or tax records for more than three years;</w:t>
      </w:r>
    </w:p>
    <w:p w:rsidR="00040830" w:rsidRPr="005736AE" w:rsidP="00DD0A8B" w14:paraId="0D7285E3" w14:textId="77777777">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736AE">
        <w:rPr>
          <w:sz w:val="24"/>
        </w:rPr>
        <w:t>Collect data in connection with a statistical survey that is not designed to produce valid and reliable results that can be generalized to the universe of study,</w:t>
      </w:r>
    </w:p>
    <w:p w:rsidR="00040830" w:rsidRPr="005736AE" w:rsidP="00DD0A8B" w14:paraId="7D8711B4" w14:textId="77777777">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736AE">
        <w:rPr>
          <w:sz w:val="24"/>
        </w:rPr>
        <w:t>Use a statistical data classification that has not been reviewed and approved by OMB;</w:t>
      </w:r>
    </w:p>
    <w:p w:rsidR="00040830" w:rsidRPr="005736AE" w:rsidP="00DD0A8B" w14:paraId="41BF2817" w14:textId="77777777">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736AE">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40830" w:rsidRPr="005736AE" w:rsidP="00DD0A8B" w14:paraId="5D71E461" w14:textId="77777777">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736AE">
        <w:rPr>
          <w:sz w:val="24"/>
        </w:rPr>
        <w:t>Submit proprietary trade secret, or other confidential information unless the agency can demonstrate that it has instituted procedures to protect the information's confidentiality to the extent permitted by law.</w:t>
      </w:r>
    </w:p>
    <w:p w:rsidR="00682B59" w:rsidP="008E5D40" w14:paraId="755337E6" w14:textId="77777777">
      <w:pPr>
        <w:rPr>
          <w:sz w:val="24"/>
        </w:rPr>
      </w:pPr>
    </w:p>
    <w:p w:rsidR="00DC289C" w:rsidRPr="00D03976" w:rsidP="008E5D40" w14:paraId="14946A85" w14:textId="77777777">
      <w:pPr>
        <w:rPr>
          <w:sz w:val="24"/>
        </w:rPr>
      </w:pPr>
      <w:r w:rsidRPr="00B805FD">
        <w:rPr>
          <w:sz w:val="24"/>
        </w:rPr>
        <w:t xml:space="preserve">8.  </w:t>
      </w:r>
      <w:r w:rsidRPr="00B805FD">
        <w:rPr>
          <w:sz w:val="24"/>
          <w:u w:val="single"/>
        </w:rPr>
        <w:t>Federal Register Notice/Outside Consultation:</w:t>
      </w:r>
      <w:r w:rsidRPr="00D03976">
        <w:rPr>
          <w:sz w:val="24"/>
        </w:rPr>
        <w:t xml:space="preserve"> </w:t>
      </w:r>
    </w:p>
    <w:p w:rsidR="00F16882" w:rsidP="008E5D40" w14:paraId="1CC71C74" w14:textId="77777777">
      <w:pPr>
        <w:rPr>
          <w:sz w:val="24"/>
        </w:rPr>
      </w:pPr>
    </w:p>
    <w:p w:rsidR="00A43E16" w:rsidP="008E5D40" w14:paraId="1D9B4118" w14:textId="14BEB207">
      <w:pPr>
        <w:rPr>
          <w:sz w:val="24"/>
        </w:rPr>
      </w:pPr>
      <w:r>
        <w:rPr>
          <w:sz w:val="24"/>
        </w:rPr>
        <w:t xml:space="preserve">The 60-day notice </w:t>
      </w:r>
      <w:r w:rsidR="007905B6">
        <w:rPr>
          <w:sz w:val="24"/>
        </w:rPr>
        <w:t xml:space="preserve">published </w:t>
      </w:r>
      <w:r w:rsidR="004E7781">
        <w:rPr>
          <w:sz w:val="24"/>
        </w:rPr>
        <w:t xml:space="preserve">in the Federal Register </w:t>
      </w:r>
      <w:r w:rsidR="007905B6">
        <w:rPr>
          <w:sz w:val="24"/>
        </w:rPr>
        <w:t>on</w:t>
      </w:r>
      <w:r w:rsidR="003E51D2">
        <w:rPr>
          <w:sz w:val="24"/>
        </w:rPr>
        <w:t xml:space="preserve"> </w:t>
      </w:r>
      <w:r w:rsidR="000C2F8D">
        <w:rPr>
          <w:sz w:val="24"/>
        </w:rPr>
        <w:t>June 29, 2023</w:t>
      </w:r>
      <w:r w:rsidRPr="003E51D2" w:rsidR="003E51D2">
        <w:rPr>
          <w:sz w:val="24"/>
        </w:rPr>
        <w:t xml:space="preserve"> (8</w:t>
      </w:r>
      <w:r w:rsidR="000C2F8D">
        <w:rPr>
          <w:sz w:val="24"/>
        </w:rPr>
        <w:t>8</w:t>
      </w:r>
      <w:r w:rsidRPr="003E51D2" w:rsidR="003E51D2">
        <w:rPr>
          <w:sz w:val="24"/>
        </w:rPr>
        <w:t xml:space="preserve"> FR </w:t>
      </w:r>
      <w:r w:rsidRPr="00AE42B7" w:rsidR="00AE42B7">
        <w:rPr>
          <w:sz w:val="24"/>
        </w:rPr>
        <w:t>42074</w:t>
      </w:r>
      <w:r w:rsidRPr="003E51D2" w:rsidR="003E51D2">
        <w:rPr>
          <w:sz w:val="24"/>
        </w:rPr>
        <w:t>)</w:t>
      </w:r>
      <w:r w:rsidR="004E7781">
        <w:rPr>
          <w:sz w:val="24"/>
        </w:rPr>
        <w:t xml:space="preserve">. </w:t>
      </w:r>
      <w:r w:rsidR="00E84BCF">
        <w:rPr>
          <w:sz w:val="24"/>
        </w:rPr>
        <w:t>No c</w:t>
      </w:r>
      <w:r w:rsidRPr="00AE42B7" w:rsidR="00AE42B7">
        <w:rPr>
          <w:sz w:val="24"/>
        </w:rPr>
        <w:t xml:space="preserve">omments </w:t>
      </w:r>
      <w:r w:rsidR="00E84BCF">
        <w:rPr>
          <w:sz w:val="24"/>
        </w:rPr>
        <w:t xml:space="preserve">were </w:t>
      </w:r>
      <w:r w:rsidRPr="00AE42B7" w:rsidR="00AE42B7">
        <w:rPr>
          <w:sz w:val="24"/>
        </w:rPr>
        <w:t>received</w:t>
      </w:r>
      <w:r w:rsidR="00E84BCF">
        <w:rPr>
          <w:sz w:val="24"/>
        </w:rPr>
        <w:t>.</w:t>
      </w:r>
    </w:p>
    <w:p w:rsidR="00DA6158" w:rsidP="008E5D40" w14:paraId="681CFCF9" w14:textId="77777777">
      <w:pPr>
        <w:rPr>
          <w:sz w:val="24"/>
        </w:rPr>
      </w:pPr>
    </w:p>
    <w:p w:rsidR="00AF2120" w:rsidP="00AF2120" w14:paraId="236FDE99" w14:textId="15896726">
      <w:pPr>
        <w:rPr>
          <w:sz w:val="24"/>
        </w:rPr>
      </w:pPr>
      <w:r>
        <w:rPr>
          <w:sz w:val="24"/>
        </w:rPr>
        <w:t xml:space="preserve">The 60-day notice published in the Federal Register on </w:t>
      </w:r>
      <w:r w:rsidRPr="00514435" w:rsidR="00514435">
        <w:rPr>
          <w:sz w:val="24"/>
        </w:rPr>
        <w:t>September 13, 2023</w:t>
      </w:r>
      <w:r w:rsidRPr="003E51D2">
        <w:rPr>
          <w:sz w:val="24"/>
        </w:rPr>
        <w:t xml:space="preserve"> (8</w:t>
      </w:r>
      <w:r>
        <w:rPr>
          <w:sz w:val="24"/>
        </w:rPr>
        <w:t>8</w:t>
      </w:r>
      <w:r w:rsidRPr="003E51D2">
        <w:rPr>
          <w:sz w:val="24"/>
        </w:rPr>
        <w:t xml:space="preserve"> FR </w:t>
      </w:r>
      <w:r w:rsidRPr="00514435" w:rsidR="00514435">
        <w:rPr>
          <w:sz w:val="24"/>
        </w:rPr>
        <w:t>62796</w:t>
      </w:r>
      <w:r w:rsidRPr="003E51D2">
        <w:rPr>
          <w:sz w:val="24"/>
        </w:rPr>
        <w:t>)</w:t>
      </w:r>
      <w:r>
        <w:rPr>
          <w:sz w:val="24"/>
        </w:rPr>
        <w:t xml:space="preserve">. </w:t>
      </w:r>
      <w:r w:rsidRPr="00AE42B7">
        <w:rPr>
          <w:sz w:val="24"/>
        </w:rPr>
        <w:t xml:space="preserve">Comments must be received by </w:t>
      </w:r>
      <w:r w:rsidRPr="00514435" w:rsidR="00514435">
        <w:rPr>
          <w:sz w:val="24"/>
        </w:rPr>
        <w:t>October 13, 2023.</w:t>
      </w:r>
    </w:p>
    <w:p w:rsidR="00343A48" w:rsidP="008E5D40" w14:paraId="646EB800" w14:textId="77777777">
      <w:pPr>
        <w:rPr>
          <w:sz w:val="24"/>
        </w:rPr>
      </w:pPr>
    </w:p>
    <w:p w:rsidR="00DC289C" w:rsidRPr="00D03976" w:rsidP="008E5D40" w14:paraId="67D58F1B" w14:textId="77777777">
      <w:pPr>
        <w:rPr>
          <w:sz w:val="24"/>
        </w:rPr>
      </w:pPr>
      <w:r w:rsidRPr="00D03976">
        <w:rPr>
          <w:sz w:val="24"/>
        </w:rPr>
        <w:t xml:space="preserve">9.  </w:t>
      </w:r>
      <w:r w:rsidR="00A03816">
        <w:rPr>
          <w:sz w:val="24"/>
          <w:u w:val="single"/>
        </w:rPr>
        <w:t>Payment/Gift t</w:t>
      </w:r>
      <w:r w:rsidRPr="00D03976">
        <w:rPr>
          <w:sz w:val="24"/>
          <w:u w:val="single"/>
        </w:rPr>
        <w:t>o Respondent</w:t>
      </w:r>
    </w:p>
    <w:p w:rsidR="00F16882" w:rsidP="008E5D40" w14:paraId="06DFE7F0" w14:textId="77777777">
      <w:pPr>
        <w:rPr>
          <w:sz w:val="24"/>
        </w:rPr>
      </w:pPr>
    </w:p>
    <w:p w:rsidR="00DC289C" w:rsidRPr="00D03976" w:rsidP="008E5D40" w14:paraId="56D18F98" w14:textId="77777777">
      <w:pPr>
        <w:rPr>
          <w:sz w:val="24"/>
        </w:rPr>
      </w:pPr>
      <w:r w:rsidRPr="00D03976">
        <w:rPr>
          <w:sz w:val="24"/>
        </w:rPr>
        <w:t>There is no payment/gift to respondent.</w:t>
      </w:r>
    </w:p>
    <w:p w:rsidR="00DC289C" w:rsidRPr="00D03976" w:rsidP="008E5D40" w14:paraId="407E96E8" w14:textId="77777777">
      <w:pPr>
        <w:rPr>
          <w:sz w:val="24"/>
        </w:rPr>
      </w:pPr>
    </w:p>
    <w:p w:rsidR="00DC289C" w:rsidRPr="00D03976" w:rsidP="008E5D40" w14:paraId="53701035" w14:textId="77777777">
      <w:pPr>
        <w:rPr>
          <w:sz w:val="24"/>
        </w:rPr>
      </w:pPr>
      <w:r w:rsidRPr="00D03976">
        <w:rPr>
          <w:sz w:val="24"/>
        </w:rPr>
        <w:t xml:space="preserve">10.  </w:t>
      </w:r>
      <w:r w:rsidRPr="00D03976">
        <w:rPr>
          <w:sz w:val="24"/>
          <w:u w:val="single"/>
        </w:rPr>
        <w:t>Confidentiality</w:t>
      </w:r>
    </w:p>
    <w:p w:rsidR="00F16882" w:rsidP="008E5D40" w14:paraId="0D2A9780" w14:textId="77777777">
      <w:pPr>
        <w:tabs>
          <w:tab w:val="left" w:pos="-1440"/>
        </w:tabs>
        <w:rPr>
          <w:sz w:val="24"/>
        </w:rPr>
      </w:pPr>
    </w:p>
    <w:p w:rsidR="00DC289C" w:rsidRPr="00D03976" w:rsidP="008E5D40" w14:paraId="3602BF99" w14:textId="77777777">
      <w:pPr>
        <w:tabs>
          <w:tab w:val="left" w:pos="-1440"/>
        </w:tabs>
        <w:rPr>
          <w:sz w:val="24"/>
        </w:rPr>
      </w:pPr>
      <w:r w:rsidRPr="00D03976">
        <w:rPr>
          <w:sz w:val="24"/>
        </w:rPr>
        <w:t>The information submitted by a State is not of a proprietary nature.  This information will be made available to the public.</w:t>
      </w:r>
    </w:p>
    <w:p w:rsidR="00DC289C" w:rsidRPr="00D03976" w:rsidP="008E5D40" w14:paraId="227D2FF8" w14:textId="77777777">
      <w:pPr>
        <w:rPr>
          <w:sz w:val="24"/>
        </w:rPr>
      </w:pPr>
    </w:p>
    <w:p w:rsidR="00DC289C" w:rsidRPr="00D03976" w:rsidP="008E5D40" w14:paraId="37A5F956" w14:textId="77777777">
      <w:pPr>
        <w:rPr>
          <w:sz w:val="24"/>
        </w:rPr>
      </w:pPr>
      <w:r w:rsidRPr="00D03976">
        <w:rPr>
          <w:sz w:val="24"/>
        </w:rPr>
        <w:t xml:space="preserve">11.  </w:t>
      </w:r>
      <w:r w:rsidRPr="00D03976">
        <w:rPr>
          <w:sz w:val="24"/>
          <w:u w:val="single"/>
        </w:rPr>
        <w:t>Sensitive Questions</w:t>
      </w:r>
    </w:p>
    <w:p w:rsidR="00D72F89" w:rsidP="008E5D40" w14:paraId="755B3394" w14:textId="77777777">
      <w:pPr>
        <w:rPr>
          <w:sz w:val="24"/>
        </w:rPr>
      </w:pPr>
    </w:p>
    <w:p w:rsidR="00717A1C" w:rsidP="008E5D40" w14:paraId="46D69E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3526A">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D72F89" w:rsidRPr="00D03976" w:rsidP="008E5D40" w14:paraId="3293A654" w14:textId="77777777">
      <w:pPr>
        <w:rPr>
          <w:sz w:val="24"/>
        </w:rPr>
      </w:pPr>
    </w:p>
    <w:p w:rsidR="00DC289C" w:rsidP="008E5D40" w14:paraId="6560A1CE" w14:textId="77777777">
      <w:pPr>
        <w:rPr>
          <w:sz w:val="24"/>
          <w:u w:val="single"/>
        </w:rPr>
      </w:pPr>
      <w:r w:rsidRPr="00D03976">
        <w:rPr>
          <w:sz w:val="24"/>
        </w:rPr>
        <w:t xml:space="preserve">12.  </w:t>
      </w:r>
      <w:r w:rsidRPr="00D03976">
        <w:rPr>
          <w:sz w:val="24"/>
          <w:u w:val="single"/>
        </w:rPr>
        <w:t>Burde</w:t>
      </w:r>
      <w:r w:rsidR="00C46568">
        <w:rPr>
          <w:sz w:val="24"/>
          <w:u w:val="single"/>
        </w:rPr>
        <w:t>n Estimates</w:t>
      </w:r>
    </w:p>
    <w:p w:rsidR="004669E6" w:rsidP="008E5D40" w14:paraId="472C4C01" w14:textId="77777777">
      <w:pPr>
        <w:rPr>
          <w:sz w:val="24"/>
          <w:u w:val="single"/>
        </w:rPr>
      </w:pPr>
    </w:p>
    <w:p w:rsidR="00421BD2" w:rsidRPr="00315072" w:rsidP="008E5D40" w14:paraId="096C98FC" w14:textId="77777777">
      <w:pPr>
        <w:tabs>
          <w:tab w:val="left" w:pos="-1440"/>
        </w:tabs>
        <w:rPr>
          <w:i/>
          <w:sz w:val="24"/>
        </w:rPr>
      </w:pPr>
      <w:r w:rsidRPr="004B59A2">
        <w:rPr>
          <w:i/>
          <w:sz w:val="24"/>
        </w:rPr>
        <w:t>Wage</w:t>
      </w:r>
      <w:r w:rsidRPr="004B59A2" w:rsidR="00C46568">
        <w:rPr>
          <w:i/>
          <w:sz w:val="24"/>
        </w:rPr>
        <w:t xml:space="preserve"> Estimates</w:t>
      </w:r>
    </w:p>
    <w:p w:rsidR="00421BD2" w:rsidRPr="00315072" w:rsidP="008E5D40" w14:paraId="2635AE20" w14:textId="77777777">
      <w:pPr>
        <w:pStyle w:val="PlainText"/>
        <w:rPr>
          <w:rFonts w:ascii="Times New Roman" w:hAnsi="Times New Roman" w:cs="Times New Roman"/>
          <w:sz w:val="24"/>
          <w:szCs w:val="24"/>
        </w:rPr>
      </w:pPr>
    </w:p>
    <w:p w:rsidR="00421BD2" w:rsidRPr="00EB4EFE" w:rsidP="008E5D40" w14:paraId="7465CC67" w14:textId="721C5821">
      <w:pPr>
        <w:rPr>
          <w:sz w:val="24"/>
        </w:rPr>
      </w:pPr>
      <w:r w:rsidRPr="00EB4EFE">
        <w:rPr>
          <w:sz w:val="24"/>
        </w:rPr>
        <w:t>To derive average costs, we used data from the U.S. Bureau of Labor Statistics’ May 20</w:t>
      </w:r>
      <w:r w:rsidRPr="00EB4EFE" w:rsidR="004B59A2">
        <w:rPr>
          <w:sz w:val="24"/>
        </w:rPr>
        <w:t>22</w:t>
      </w:r>
      <w:r w:rsidRPr="00EB4EFE">
        <w:rPr>
          <w:sz w:val="24"/>
        </w:rPr>
        <w:t xml:space="preserve"> National Occupational Employment and Wage Estimates for all salary estimates (</w:t>
      </w:r>
      <w:hyperlink r:id="rId5" w:history="1">
        <w:r w:rsidRPr="00EB4EFE" w:rsidR="004E7781">
          <w:rPr>
            <w:rStyle w:val="Hyperlink"/>
            <w:sz w:val="24"/>
          </w:rPr>
          <w:t>http://www.bls.gov/oes/current/oes_nat.htm</w:t>
        </w:r>
      </w:hyperlink>
      <w:r w:rsidRPr="00EB4EFE">
        <w:rPr>
          <w:sz w:val="24"/>
        </w:rPr>
        <w:t xml:space="preserve">). In this regard, the following table presents </w:t>
      </w:r>
      <w:r w:rsidRPr="00EB4EFE" w:rsidR="004B59A2">
        <w:rPr>
          <w:sz w:val="24"/>
        </w:rPr>
        <w:t xml:space="preserve">BLS’ </w:t>
      </w:r>
      <w:r w:rsidRPr="00EB4EFE">
        <w:rPr>
          <w:sz w:val="24"/>
        </w:rPr>
        <w:t xml:space="preserve">mean hourly wage, </w:t>
      </w:r>
      <w:r w:rsidRPr="00EB4EFE" w:rsidR="004B59A2">
        <w:rPr>
          <w:sz w:val="24"/>
        </w:rPr>
        <w:t xml:space="preserve">our estimated </w:t>
      </w:r>
      <w:r w:rsidRPr="00EB4EFE">
        <w:rPr>
          <w:sz w:val="24"/>
        </w:rPr>
        <w:t xml:space="preserve">cost of fringe benefits </w:t>
      </w:r>
      <w:r w:rsidRPr="00EB4EFE" w:rsidR="00C6012E">
        <w:rPr>
          <w:sz w:val="24"/>
        </w:rPr>
        <w:t>and o</w:t>
      </w:r>
      <w:r w:rsidRPr="00EB4EFE" w:rsidR="004B59A2">
        <w:rPr>
          <w:sz w:val="24"/>
        </w:rPr>
        <w:t>ther indirect costs</w:t>
      </w:r>
      <w:r w:rsidRPr="00EB4EFE" w:rsidR="00C6012E">
        <w:rPr>
          <w:sz w:val="24"/>
        </w:rPr>
        <w:t xml:space="preserve"> </w:t>
      </w:r>
      <w:r w:rsidRPr="00EB4EFE">
        <w:rPr>
          <w:sz w:val="24"/>
        </w:rPr>
        <w:t xml:space="preserve">(calculated at 100 percent of salary), and </w:t>
      </w:r>
      <w:r w:rsidR="00C24150">
        <w:rPr>
          <w:sz w:val="24"/>
        </w:rPr>
        <w:t>our</w:t>
      </w:r>
      <w:r w:rsidRPr="00EB4EFE">
        <w:rPr>
          <w:sz w:val="24"/>
        </w:rPr>
        <w:t xml:space="preserve"> adjusted hourly wage.  The wage is a comparable position to State employees likely responsible for completing and returning the templates.</w:t>
      </w:r>
    </w:p>
    <w:p w:rsidR="00421BD2" w:rsidRPr="00EB4EFE" w:rsidP="008E5D40" w14:paraId="005F6FE7" w14:textId="77777777">
      <w:pPr>
        <w:pStyle w:val="PlainText"/>
        <w:tabs>
          <w:tab w:val="left" w:pos="2430"/>
        </w:tabs>
        <w:rPr>
          <w:rFonts w:ascii="Times New Roman" w:hAnsi="Times New Roman" w:cs="Times New Roman"/>
          <w:sz w:val="24"/>
          <w:szCs w:val="24"/>
        </w:rPr>
      </w:pPr>
    </w:p>
    <w:p w:rsidR="00421BD2" w:rsidRPr="00EB4EFE" w:rsidP="008E5D40" w14:paraId="6854945B" w14:textId="77777777">
      <w:pPr>
        <w:jc w:val="center"/>
        <w:rPr>
          <w:bCs/>
        </w:rPr>
      </w:pPr>
      <w:r w:rsidRPr="00EB4EFE">
        <w:rPr>
          <w:bCs/>
        </w:rPr>
        <w:t>National Occupational Employment and Wage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09"/>
        <w:gridCol w:w="1733"/>
        <w:gridCol w:w="1738"/>
        <w:gridCol w:w="1767"/>
      </w:tblGrid>
      <w:tr w14:paraId="1B6DEBC7" w14:textId="77777777" w:rsidTr="00E27A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809" w:type="dxa"/>
            <w:tcBorders>
              <w:top w:val="single" w:sz="4" w:space="0" w:color="auto"/>
              <w:left w:val="single" w:sz="4" w:space="0" w:color="auto"/>
              <w:bottom w:val="single" w:sz="4" w:space="0" w:color="auto"/>
              <w:right w:val="single" w:sz="4" w:space="0" w:color="auto"/>
            </w:tcBorders>
            <w:hideMark/>
          </w:tcPr>
          <w:p w:rsidR="00421BD2" w:rsidRPr="00EB4EFE" w:rsidP="008E5D40" w14:paraId="0FCC640B" w14:textId="77777777">
            <w:pPr>
              <w:snapToGrid w:val="0"/>
              <w:rPr>
                <w:bCs/>
                <w:szCs w:val="20"/>
              </w:rPr>
            </w:pPr>
            <w:r w:rsidRPr="00EB4EFE">
              <w:rPr>
                <w:bCs/>
                <w:szCs w:val="20"/>
              </w:rPr>
              <w:t>Occupation Title</w:t>
            </w:r>
          </w:p>
        </w:tc>
        <w:tc>
          <w:tcPr>
            <w:tcW w:w="1809" w:type="dxa"/>
            <w:tcBorders>
              <w:top w:val="single" w:sz="4" w:space="0" w:color="auto"/>
              <w:left w:val="single" w:sz="4" w:space="0" w:color="auto"/>
              <w:bottom w:val="single" w:sz="4" w:space="0" w:color="auto"/>
              <w:right w:val="single" w:sz="4" w:space="0" w:color="auto"/>
            </w:tcBorders>
            <w:hideMark/>
          </w:tcPr>
          <w:p w:rsidR="00421BD2" w:rsidRPr="00EB4EFE" w:rsidP="008E5D40" w14:paraId="2F26BAF6" w14:textId="77777777">
            <w:pPr>
              <w:snapToGrid w:val="0"/>
              <w:rPr>
                <w:bCs/>
                <w:szCs w:val="20"/>
              </w:rPr>
            </w:pPr>
            <w:r w:rsidRPr="00EB4EFE">
              <w:rPr>
                <w:bCs/>
                <w:szCs w:val="20"/>
              </w:rPr>
              <w:t>Occupation Code</w:t>
            </w:r>
          </w:p>
        </w:tc>
        <w:tc>
          <w:tcPr>
            <w:tcW w:w="1733" w:type="dxa"/>
            <w:tcBorders>
              <w:top w:val="single" w:sz="4" w:space="0" w:color="auto"/>
              <w:left w:val="single" w:sz="4" w:space="0" w:color="auto"/>
              <w:bottom w:val="single" w:sz="4" w:space="0" w:color="auto"/>
              <w:right w:val="single" w:sz="4" w:space="0" w:color="auto"/>
            </w:tcBorders>
            <w:hideMark/>
          </w:tcPr>
          <w:p w:rsidR="004B59A2" w:rsidRPr="00EB4EFE" w:rsidP="008E5D40" w14:paraId="5E8A3C66" w14:textId="77777777">
            <w:pPr>
              <w:snapToGrid w:val="0"/>
              <w:rPr>
                <w:bCs/>
                <w:szCs w:val="20"/>
              </w:rPr>
            </w:pPr>
            <w:r w:rsidRPr="00EB4EFE">
              <w:rPr>
                <w:bCs/>
                <w:szCs w:val="20"/>
              </w:rPr>
              <w:t xml:space="preserve">Mean Hourly Wage </w:t>
            </w:r>
          </w:p>
          <w:p w:rsidR="00421BD2" w:rsidRPr="00EB4EFE" w:rsidP="008E5D40" w14:paraId="7BDF3559" w14:textId="13632B8B">
            <w:pPr>
              <w:snapToGrid w:val="0"/>
              <w:rPr>
                <w:bCs/>
                <w:szCs w:val="20"/>
              </w:rPr>
            </w:pPr>
            <w:r w:rsidRPr="00EB4EFE">
              <w:rPr>
                <w:bCs/>
                <w:szCs w:val="20"/>
              </w:rPr>
              <w:t>($/hr)</w:t>
            </w:r>
          </w:p>
        </w:tc>
        <w:tc>
          <w:tcPr>
            <w:tcW w:w="1738" w:type="dxa"/>
            <w:tcBorders>
              <w:top w:val="single" w:sz="4" w:space="0" w:color="auto"/>
              <w:left w:val="single" w:sz="4" w:space="0" w:color="auto"/>
              <w:bottom w:val="single" w:sz="4" w:space="0" w:color="auto"/>
              <w:right w:val="single" w:sz="4" w:space="0" w:color="auto"/>
            </w:tcBorders>
            <w:hideMark/>
          </w:tcPr>
          <w:p w:rsidR="004B59A2" w:rsidRPr="00EB4EFE" w:rsidP="008E5D40" w14:paraId="59706708" w14:textId="77777777">
            <w:pPr>
              <w:snapToGrid w:val="0"/>
              <w:rPr>
                <w:bCs/>
                <w:szCs w:val="20"/>
              </w:rPr>
            </w:pPr>
            <w:r w:rsidRPr="00EB4EFE">
              <w:rPr>
                <w:bCs/>
                <w:szCs w:val="20"/>
              </w:rPr>
              <w:t>Fringe Benefit</w:t>
            </w:r>
            <w:r w:rsidRPr="00EB4EFE" w:rsidR="003A2D6F">
              <w:rPr>
                <w:bCs/>
                <w:szCs w:val="20"/>
              </w:rPr>
              <w:t>s and O</w:t>
            </w:r>
            <w:r w:rsidRPr="00EB4EFE">
              <w:rPr>
                <w:bCs/>
                <w:szCs w:val="20"/>
              </w:rPr>
              <w:t>ther Indirect Costs</w:t>
            </w:r>
          </w:p>
          <w:p w:rsidR="00421BD2" w:rsidRPr="00EB4EFE" w:rsidP="008E5D40" w14:paraId="3D0E8A33" w14:textId="482D780B">
            <w:pPr>
              <w:snapToGrid w:val="0"/>
              <w:rPr>
                <w:bCs/>
                <w:szCs w:val="20"/>
              </w:rPr>
            </w:pPr>
            <w:r w:rsidRPr="00EB4EFE">
              <w:rPr>
                <w:bCs/>
                <w:szCs w:val="20"/>
              </w:rPr>
              <w:t>($/hr)</w:t>
            </w:r>
          </w:p>
        </w:tc>
        <w:tc>
          <w:tcPr>
            <w:tcW w:w="1767" w:type="dxa"/>
            <w:tcBorders>
              <w:top w:val="single" w:sz="4" w:space="0" w:color="auto"/>
              <w:left w:val="single" w:sz="4" w:space="0" w:color="auto"/>
              <w:bottom w:val="single" w:sz="4" w:space="0" w:color="auto"/>
              <w:right w:val="single" w:sz="4" w:space="0" w:color="auto"/>
            </w:tcBorders>
            <w:hideMark/>
          </w:tcPr>
          <w:p w:rsidR="004B59A2" w:rsidRPr="00EB4EFE" w:rsidP="008E5D40" w14:paraId="3284481C" w14:textId="77777777">
            <w:pPr>
              <w:snapToGrid w:val="0"/>
              <w:rPr>
                <w:bCs/>
                <w:szCs w:val="20"/>
              </w:rPr>
            </w:pPr>
            <w:r w:rsidRPr="00EB4EFE">
              <w:rPr>
                <w:bCs/>
                <w:szCs w:val="20"/>
              </w:rPr>
              <w:t>Adjusted Hourly Wage</w:t>
            </w:r>
          </w:p>
          <w:p w:rsidR="00421BD2" w:rsidRPr="00EB4EFE" w:rsidP="008E5D40" w14:paraId="71D88B89" w14:textId="17CF2088">
            <w:pPr>
              <w:snapToGrid w:val="0"/>
              <w:rPr>
                <w:bCs/>
                <w:szCs w:val="20"/>
              </w:rPr>
            </w:pPr>
            <w:r w:rsidRPr="00EB4EFE">
              <w:rPr>
                <w:bCs/>
                <w:szCs w:val="20"/>
              </w:rPr>
              <w:t>($/hr)</w:t>
            </w:r>
          </w:p>
        </w:tc>
      </w:tr>
      <w:tr w14:paraId="442C8E7E" w14:textId="77777777" w:rsidTr="00E27A2C">
        <w:tblPrEx>
          <w:tblW w:w="0" w:type="auto"/>
          <w:tblLook w:val="04A0"/>
        </w:tblPrEx>
        <w:trPr>
          <w:tblHeader/>
        </w:trPr>
        <w:tc>
          <w:tcPr>
            <w:tcW w:w="1809" w:type="dxa"/>
            <w:tcBorders>
              <w:top w:val="single" w:sz="4" w:space="0" w:color="auto"/>
              <w:left w:val="single" w:sz="4" w:space="0" w:color="auto"/>
              <w:bottom w:val="single" w:sz="4" w:space="0" w:color="auto"/>
              <w:right w:val="single" w:sz="4" w:space="0" w:color="auto"/>
            </w:tcBorders>
            <w:hideMark/>
          </w:tcPr>
          <w:p w:rsidR="00421BD2" w:rsidRPr="00583444" w:rsidP="008E5D40" w14:paraId="62FADF13" w14:textId="77777777">
            <w:pPr>
              <w:snapToGrid w:val="0"/>
              <w:rPr>
                <w:b/>
                <w:szCs w:val="20"/>
              </w:rPr>
            </w:pPr>
            <w:r>
              <w:rPr>
                <w:szCs w:val="20"/>
              </w:rPr>
              <w:t>Financial Specialists, All Other</w:t>
            </w:r>
          </w:p>
        </w:tc>
        <w:tc>
          <w:tcPr>
            <w:tcW w:w="1809" w:type="dxa"/>
            <w:tcBorders>
              <w:top w:val="single" w:sz="4" w:space="0" w:color="auto"/>
              <w:left w:val="single" w:sz="4" w:space="0" w:color="auto"/>
              <w:bottom w:val="single" w:sz="4" w:space="0" w:color="auto"/>
              <w:right w:val="single" w:sz="4" w:space="0" w:color="auto"/>
            </w:tcBorders>
            <w:hideMark/>
          </w:tcPr>
          <w:p w:rsidR="00421BD2" w:rsidRPr="00583444" w:rsidP="008E5D40" w14:paraId="4D4CB511" w14:textId="6B18E06B">
            <w:pPr>
              <w:snapToGrid w:val="0"/>
              <w:rPr>
                <w:b/>
                <w:szCs w:val="20"/>
              </w:rPr>
            </w:pPr>
            <w:r w:rsidRPr="00583444">
              <w:rPr>
                <w:szCs w:val="20"/>
              </w:rPr>
              <w:t>13-</w:t>
            </w:r>
            <w:r w:rsidR="00C355F9">
              <w:rPr>
                <w:szCs w:val="20"/>
              </w:rPr>
              <w:t>209</w:t>
            </w:r>
            <w:r w:rsidR="004B59A2">
              <w:rPr>
                <w:szCs w:val="20"/>
              </w:rPr>
              <w:t>9</w:t>
            </w:r>
          </w:p>
        </w:tc>
        <w:tc>
          <w:tcPr>
            <w:tcW w:w="1733" w:type="dxa"/>
            <w:tcBorders>
              <w:top w:val="single" w:sz="4" w:space="0" w:color="auto"/>
              <w:left w:val="single" w:sz="4" w:space="0" w:color="auto"/>
              <w:bottom w:val="single" w:sz="4" w:space="0" w:color="auto"/>
              <w:right w:val="single" w:sz="4" w:space="0" w:color="auto"/>
            </w:tcBorders>
            <w:hideMark/>
          </w:tcPr>
          <w:p w:rsidR="00421BD2" w:rsidRPr="00583444" w:rsidP="008E5D40" w14:paraId="12CB2CDD" w14:textId="12D904CB">
            <w:pPr>
              <w:snapToGrid w:val="0"/>
              <w:rPr>
                <w:b/>
                <w:szCs w:val="20"/>
              </w:rPr>
            </w:pPr>
            <w:r>
              <w:rPr>
                <w:szCs w:val="20"/>
              </w:rPr>
              <w:t>40.18</w:t>
            </w:r>
          </w:p>
        </w:tc>
        <w:tc>
          <w:tcPr>
            <w:tcW w:w="1738" w:type="dxa"/>
            <w:tcBorders>
              <w:top w:val="single" w:sz="4" w:space="0" w:color="auto"/>
              <w:left w:val="single" w:sz="4" w:space="0" w:color="auto"/>
              <w:bottom w:val="single" w:sz="4" w:space="0" w:color="auto"/>
              <w:right w:val="single" w:sz="4" w:space="0" w:color="auto"/>
            </w:tcBorders>
            <w:hideMark/>
          </w:tcPr>
          <w:p w:rsidR="00421BD2" w:rsidRPr="00583444" w:rsidP="008E5D40" w14:paraId="1784CC0A" w14:textId="034DC480">
            <w:pPr>
              <w:snapToGrid w:val="0"/>
              <w:rPr>
                <w:b/>
                <w:szCs w:val="20"/>
              </w:rPr>
            </w:pPr>
            <w:r>
              <w:rPr>
                <w:szCs w:val="20"/>
              </w:rPr>
              <w:t>40.18</w:t>
            </w:r>
          </w:p>
        </w:tc>
        <w:tc>
          <w:tcPr>
            <w:tcW w:w="1767" w:type="dxa"/>
            <w:tcBorders>
              <w:top w:val="single" w:sz="4" w:space="0" w:color="auto"/>
              <w:left w:val="single" w:sz="4" w:space="0" w:color="auto"/>
              <w:bottom w:val="single" w:sz="4" w:space="0" w:color="auto"/>
              <w:right w:val="single" w:sz="4" w:space="0" w:color="auto"/>
            </w:tcBorders>
            <w:hideMark/>
          </w:tcPr>
          <w:p w:rsidR="004B59A2" w:rsidRPr="00A86B56" w:rsidP="00EB4EFE" w14:paraId="5C94667C" w14:textId="0C00DAA9">
            <w:pPr>
              <w:snapToGrid w:val="0"/>
              <w:rPr>
                <w:szCs w:val="20"/>
              </w:rPr>
            </w:pPr>
            <w:r>
              <w:rPr>
                <w:szCs w:val="20"/>
              </w:rPr>
              <w:t>80.36</w:t>
            </w:r>
          </w:p>
        </w:tc>
      </w:tr>
      <w:tr w14:paraId="3B9F0EB6" w14:textId="77777777" w:rsidTr="00C86F87">
        <w:tblPrEx>
          <w:tblW w:w="0" w:type="auto"/>
          <w:tblLook w:val="04A0"/>
        </w:tblPrEx>
        <w:tc>
          <w:tcPr>
            <w:tcW w:w="1809" w:type="dxa"/>
            <w:tcBorders>
              <w:top w:val="single" w:sz="4" w:space="0" w:color="auto"/>
              <w:left w:val="single" w:sz="4" w:space="0" w:color="auto"/>
              <w:bottom w:val="single" w:sz="4" w:space="0" w:color="auto"/>
              <w:right w:val="single" w:sz="4" w:space="0" w:color="auto"/>
            </w:tcBorders>
          </w:tcPr>
          <w:p w:rsidR="00421BD2" w:rsidRPr="00583444" w:rsidP="008E5D40" w14:paraId="7C6363BE" w14:textId="77777777">
            <w:pPr>
              <w:snapToGrid w:val="0"/>
              <w:rPr>
                <w:szCs w:val="20"/>
              </w:rPr>
            </w:pPr>
            <w:r>
              <w:rPr>
                <w:szCs w:val="20"/>
              </w:rPr>
              <w:t>Managers, All Other</w:t>
            </w:r>
          </w:p>
        </w:tc>
        <w:tc>
          <w:tcPr>
            <w:tcW w:w="1809" w:type="dxa"/>
            <w:tcBorders>
              <w:top w:val="single" w:sz="4" w:space="0" w:color="auto"/>
              <w:left w:val="single" w:sz="4" w:space="0" w:color="auto"/>
              <w:bottom w:val="single" w:sz="4" w:space="0" w:color="auto"/>
              <w:right w:val="single" w:sz="4" w:space="0" w:color="auto"/>
            </w:tcBorders>
          </w:tcPr>
          <w:p w:rsidR="00421BD2" w:rsidRPr="00583444" w:rsidP="008E5D40" w14:paraId="0BF6666A" w14:textId="188F361E">
            <w:pPr>
              <w:snapToGrid w:val="0"/>
              <w:rPr>
                <w:szCs w:val="20"/>
              </w:rPr>
            </w:pPr>
            <w:r>
              <w:rPr>
                <w:szCs w:val="20"/>
              </w:rPr>
              <w:t>11-919</w:t>
            </w:r>
            <w:r w:rsidR="004B59A2">
              <w:rPr>
                <w:szCs w:val="20"/>
              </w:rPr>
              <w:t>9</w:t>
            </w:r>
          </w:p>
        </w:tc>
        <w:tc>
          <w:tcPr>
            <w:tcW w:w="1733" w:type="dxa"/>
            <w:tcBorders>
              <w:top w:val="single" w:sz="4" w:space="0" w:color="auto"/>
              <w:left w:val="single" w:sz="4" w:space="0" w:color="auto"/>
              <w:bottom w:val="single" w:sz="4" w:space="0" w:color="auto"/>
              <w:right w:val="single" w:sz="4" w:space="0" w:color="auto"/>
            </w:tcBorders>
          </w:tcPr>
          <w:p w:rsidR="004B59A2" w:rsidRPr="00583444" w:rsidP="008E5D40" w14:paraId="06C3A3B0" w14:textId="496A8D05">
            <w:pPr>
              <w:snapToGrid w:val="0"/>
              <w:rPr>
                <w:szCs w:val="20"/>
              </w:rPr>
            </w:pPr>
            <w:r>
              <w:rPr>
                <w:szCs w:val="20"/>
              </w:rPr>
              <w:t>67.88</w:t>
            </w:r>
          </w:p>
        </w:tc>
        <w:tc>
          <w:tcPr>
            <w:tcW w:w="1738" w:type="dxa"/>
            <w:tcBorders>
              <w:top w:val="single" w:sz="4" w:space="0" w:color="auto"/>
              <w:left w:val="single" w:sz="4" w:space="0" w:color="auto"/>
              <w:bottom w:val="single" w:sz="4" w:space="0" w:color="auto"/>
              <w:right w:val="single" w:sz="4" w:space="0" w:color="auto"/>
            </w:tcBorders>
          </w:tcPr>
          <w:p w:rsidR="00421BD2" w:rsidRPr="00583444" w:rsidP="008E5D40" w14:paraId="1A6B4CBD" w14:textId="6526A5E7">
            <w:pPr>
              <w:snapToGrid w:val="0"/>
              <w:rPr>
                <w:szCs w:val="20"/>
              </w:rPr>
            </w:pPr>
            <w:r>
              <w:rPr>
                <w:szCs w:val="20"/>
              </w:rPr>
              <w:t>67.88</w:t>
            </w:r>
          </w:p>
        </w:tc>
        <w:tc>
          <w:tcPr>
            <w:tcW w:w="1767" w:type="dxa"/>
            <w:tcBorders>
              <w:top w:val="single" w:sz="4" w:space="0" w:color="auto"/>
              <w:left w:val="single" w:sz="4" w:space="0" w:color="auto"/>
              <w:bottom w:val="single" w:sz="4" w:space="0" w:color="auto"/>
              <w:right w:val="single" w:sz="4" w:space="0" w:color="auto"/>
            </w:tcBorders>
          </w:tcPr>
          <w:p w:rsidR="004B59A2" w:rsidRPr="00583444" w:rsidP="008E5D40" w14:paraId="216BB22C" w14:textId="7D6CA24C">
            <w:pPr>
              <w:snapToGrid w:val="0"/>
              <w:rPr>
                <w:szCs w:val="20"/>
              </w:rPr>
            </w:pPr>
            <w:r>
              <w:rPr>
                <w:szCs w:val="20"/>
              </w:rPr>
              <w:t>135.76</w:t>
            </w:r>
          </w:p>
        </w:tc>
      </w:tr>
    </w:tbl>
    <w:p w:rsidR="00421BD2" w:rsidP="008E5D40" w14:paraId="600435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21BD2" w:rsidP="008E5D40" w14:paraId="1C96C9AE" w14:textId="3EFF98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D3C42">
        <w:rPr>
          <w:sz w:val="24"/>
        </w:rPr>
        <w:t>As indicated, we are adjusting our employee hourly wage estimates by a factor of 100 percent. This is necessarily a rough adjustment, both because fringe benefits and o</w:t>
      </w:r>
      <w:r w:rsidR="00D27CEF">
        <w:rPr>
          <w:sz w:val="24"/>
        </w:rPr>
        <w:t xml:space="preserve">ther indirect costs </w:t>
      </w:r>
      <w:r w:rsidRPr="00AD3C42">
        <w:rPr>
          <w:sz w:val="24"/>
        </w:rPr>
        <w:t>vary significantly from employer to employer, and because methods of estimating these costs vary widely from study to study. Nonetheless, we believe that doubling the hourly wage to estimate total cost is a reasonably accurate estimation method.</w:t>
      </w:r>
    </w:p>
    <w:p w:rsidR="00421BD2" w:rsidP="008E5D40" w14:paraId="5FC3CB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21BD2" w:rsidRPr="00A84564" w:rsidP="008E5D40" w14:paraId="7558B1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A84564">
        <w:rPr>
          <w:i/>
          <w:sz w:val="24"/>
        </w:rPr>
        <w:t xml:space="preserve">Collection of Information Requirements and Associated </w:t>
      </w:r>
      <w:r w:rsidRPr="00A84564">
        <w:rPr>
          <w:i/>
          <w:sz w:val="24"/>
        </w:rPr>
        <w:t>Burden</w:t>
      </w:r>
      <w:r w:rsidRPr="00A84564">
        <w:rPr>
          <w:i/>
          <w:sz w:val="24"/>
        </w:rPr>
        <w:t xml:space="preserve"> Estimates</w:t>
      </w:r>
    </w:p>
    <w:p w:rsidR="004669E6" w:rsidRPr="00A84564" w:rsidP="008E5D40" w14:paraId="6699EEB7" w14:textId="77777777">
      <w:pPr>
        <w:rPr>
          <w:sz w:val="24"/>
        </w:rPr>
      </w:pPr>
    </w:p>
    <w:p w:rsidR="0091705D" w:rsidP="008E5D40" w14:paraId="2CB59F65" w14:textId="1606F2EA">
      <w:pPr>
        <w:tabs>
          <w:tab w:val="left" w:pos="-1440"/>
        </w:tabs>
        <w:rPr>
          <w:sz w:val="24"/>
        </w:rPr>
      </w:pPr>
      <w:r w:rsidRPr="00A84564">
        <w:rPr>
          <w:sz w:val="24"/>
        </w:rPr>
        <w:t xml:space="preserve">The information submitted by each State is required annually, beginning at the end of the first quarter of the fiscal year following the reporting period.  It requires a submission of hospital specific payment data related to the disproportionate share hospital program.  The submission of this data in an electronic spreadsheet format will take each State approximately </w:t>
      </w:r>
      <w:r w:rsidRPr="00A84564" w:rsidR="00357185">
        <w:rPr>
          <w:sz w:val="24"/>
        </w:rPr>
        <w:t>42</w:t>
      </w:r>
      <w:r w:rsidRPr="00D03976">
        <w:rPr>
          <w:sz w:val="24"/>
        </w:rPr>
        <w:t xml:space="preserve"> </w:t>
      </w:r>
      <w:r w:rsidRPr="00BE34ED">
        <w:rPr>
          <w:sz w:val="24"/>
        </w:rPr>
        <w:t xml:space="preserve">hours.  </w:t>
      </w:r>
      <w:r w:rsidRPr="00BE34ED" w:rsidR="0005087E">
        <w:rPr>
          <w:sz w:val="24"/>
        </w:rPr>
        <w:t>Of the 42 hours we estimate it will take 21 hours $135.76/hr for a manager and 21 hours $80.36/hr for a financial specialist</w:t>
      </w:r>
      <w:r w:rsidRPr="00BE34ED" w:rsidR="00BE34ED">
        <w:rPr>
          <w:sz w:val="24"/>
        </w:rPr>
        <w:t xml:space="preserve"> to collect, review, and report the payment data. </w:t>
      </w:r>
      <w:r w:rsidRPr="00BE34ED" w:rsidR="0005087E">
        <w:rPr>
          <w:sz w:val="24"/>
        </w:rPr>
        <w:t xml:space="preserve">In </w:t>
      </w:r>
      <w:r w:rsidRPr="00BE34ED">
        <w:rPr>
          <w:sz w:val="24"/>
        </w:rPr>
        <w:t xml:space="preserve">aggregate we estimate an annual </w:t>
      </w:r>
      <w:r w:rsidRPr="00BE34ED" w:rsidR="0005087E">
        <w:rPr>
          <w:sz w:val="24"/>
        </w:rPr>
        <w:t xml:space="preserve">burden of 2,142 hours (42 hr x 51 states) at a </w:t>
      </w:r>
      <w:r w:rsidRPr="00BE34ED">
        <w:rPr>
          <w:sz w:val="24"/>
        </w:rPr>
        <w:t xml:space="preserve">cost of </w:t>
      </w:r>
      <w:r w:rsidRPr="00BE34ED" w:rsidR="00AB4DF2">
        <w:rPr>
          <w:sz w:val="24"/>
        </w:rPr>
        <w:t>$</w:t>
      </w:r>
      <w:r w:rsidRPr="00BE34ED" w:rsidR="00443705">
        <w:rPr>
          <w:sz w:val="24"/>
        </w:rPr>
        <w:t>231,465</w:t>
      </w:r>
      <w:r w:rsidRPr="00BE34ED">
        <w:rPr>
          <w:sz w:val="24"/>
        </w:rPr>
        <w:t xml:space="preserve"> ([1,071 hr x $</w:t>
      </w:r>
      <w:r w:rsidRPr="00BE34ED" w:rsidR="00263703">
        <w:rPr>
          <w:sz w:val="24"/>
        </w:rPr>
        <w:t>135.76</w:t>
      </w:r>
      <w:r w:rsidRPr="00BE34ED">
        <w:rPr>
          <w:sz w:val="24"/>
        </w:rPr>
        <w:t>/hr] + [1,071 hr x $</w:t>
      </w:r>
      <w:r w:rsidRPr="00BE34ED" w:rsidR="00290292">
        <w:rPr>
          <w:sz w:val="24"/>
        </w:rPr>
        <w:t>80.36</w:t>
      </w:r>
      <w:r w:rsidRPr="00BE34ED">
        <w:rPr>
          <w:sz w:val="24"/>
        </w:rPr>
        <w:t>/hr]).</w:t>
      </w:r>
    </w:p>
    <w:p w:rsidR="002E1699" w:rsidP="008E5D40" w14:paraId="11EA592A" w14:textId="77777777">
      <w:pPr>
        <w:tabs>
          <w:tab w:val="left" w:pos="-1440"/>
        </w:tabs>
        <w:rPr>
          <w:sz w:val="24"/>
        </w:rPr>
      </w:pPr>
    </w:p>
    <w:p w:rsidR="002E1699" w:rsidRPr="000373C3" w:rsidP="002E1699" w14:paraId="3E90495A" w14:textId="77777777">
      <w:pPr>
        <w:pStyle w:val="Heading1"/>
        <w:spacing w:line="240" w:lineRule="auto"/>
        <w:ind w:left="0" w:firstLine="0"/>
        <w:jc w:val="center"/>
        <w:rPr>
          <w:b w:val="0"/>
        </w:rPr>
      </w:pPr>
      <w:r>
        <w:rPr>
          <w:b w:val="0"/>
        </w:rPr>
        <w:t>Annual Burden Summary</w:t>
      </w:r>
    </w:p>
    <w:tbl>
      <w:tblPr>
        <w:tblStyle w:val="TableGrid1"/>
        <w:tblW w:w="10080" w:type="dxa"/>
        <w:tblInd w:w="144" w:type="dxa"/>
        <w:tblCellMar>
          <w:left w:w="185" w:type="dxa"/>
          <w:right w:w="115" w:type="dxa"/>
        </w:tblCellMar>
        <w:tblLook w:val="04A0"/>
      </w:tblPr>
      <w:tblGrid>
        <w:gridCol w:w="1440"/>
        <w:gridCol w:w="1440"/>
        <w:gridCol w:w="1440"/>
        <w:gridCol w:w="1440"/>
        <w:gridCol w:w="1440"/>
        <w:gridCol w:w="1440"/>
        <w:gridCol w:w="1440"/>
      </w:tblGrid>
      <w:tr w14:paraId="7B75353E" w14:textId="77777777" w:rsidTr="00F408D8">
        <w:tblPrEx>
          <w:tblW w:w="10080" w:type="dxa"/>
          <w:tblInd w:w="144" w:type="dxa"/>
          <w:tblCellMar>
            <w:left w:w="185" w:type="dxa"/>
            <w:right w:w="115" w:type="dxa"/>
          </w:tblCellMar>
          <w:tblLook w:val="04A0"/>
        </w:tblPrEx>
        <w:trPr>
          <w:trHeight w:val="526"/>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E1699" w:rsidRPr="00F408D8" w:rsidP="00994CC1" w14:paraId="405AE952" w14:textId="517C7D79">
            <w:pPr>
              <w:rPr>
                <w:sz w:val="20"/>
                <w:szCs w:val="20"/>
              </w:rPr>
            </w:pPr>
            <w:r>
              <w:rPr>
                <w:sz w:val="20"/>
                <w:szCs w:val="20"/>
              </w:rPr>
              <w:t xml:space="preserve">State </w:t>
            </w:r>
            <w:r w:rsidRPr="00F408D8" w:rsidR="00F408D8">
              <w:rPr>
                <w:sz w:val="20"/>
                <w:szCs w:val="20"/>
              </w:rPr>
              <w:t>Respondent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E1699" w:rsidRPr="00F408D8" w:rsidP="00994CC1" w14:paraId="77290127" w14:textId="4845BE3E">
            <w:pPr>
              <w:jc w:val="center"/>
              <w:rPr>
                <w:sz w:val="20"/>
                <w:szCs w:val="20"/>
              </w:rPr>
            </w:pPr>
            <w:r w:rsidRPr="00F408D8">
              <w:rPr>
                <w:sz w:val="20"/>
                <w:szCs w:val="20"/>
              </w:rPr>
              <w:t>No. Respondents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E1699" w:rsidRPr="00F408D8" w:rsidP="00994CC1" w14:paraId="7AB5D0A4" w14:textId="03B94F6F">
            <w:pPr>
              <w:jc w:val="center"/>
              <w:rPr>
                <w:sz w:val="20"/>
                <w:szCs w:val="20"/>
              </w:rPr>
            </w:pPr>
            <w:r w:rsidRPr="00F408D8">
              <w:rPr>
                <w:sz w:val="20"/>
                <w:szCs w:val="20"/>
              </w:rPr>
              <w:t>Total # of Responses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E1699" w:rsidRPr="00F408D8" w:rsidP="00994CC1" w14:paraId="2C122C53" w14:textId="77777777">
            <w:pPr>
              <w:jc w:val="center"/>
              <w:rPr>
                <w:sz w:val="20"/>
                <w:szCs w:val="20"/>
              </w:rPr>
            </w:pPr>
            <w:r w:rsidRPr="00F408D8">
              <w:rPr>
                <w:sz w:val="20"/>
                <w:szCs w:val="20"/>
              </w:rPr>
              <w:t>Time Per Response (hr)</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E1699" w:rsidRPr="00F408D8" w:rsidP="00994CC1" w14:paraId="503B32A9" w14:textId="77777777">
            <w:pPr>
              <w:jc w:val="center"/>
              <w:rPr>
                <w:sz w:val="20"/>
                <w:szCs w:val="20"/>
              </w:rPr>
            </w:pPr>
            <w:r w:rsidRPr="00F408D8">
              <w:rPr>
                <w:sz w:val="20"/>
                <w:szCs w:val="20"/>
              </w:rPr>
              <w:t>Total Time (hr)</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E1699" w:rsidRPr="00F408D8" w:rsidP="00994CC1" w14:paraId="0A135451" w14:textId="77777777">
            <w:pPr>
              <w:jc w:val="center"/>
              <w:rPr>
                <w:sz w:val="20"/>
                <w:szCs w:val="20"/>
              </w:rPr>
            </w:pPr>
            <w:r w:rsidRPr="00F408D8">
              <w:rPr>
                <w:sz w:val="20"/>
                <w:szCs w:val="20"/>
              </w:rPr>
              <w:t>Labor Rate ($/hr)</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2E1699" w:rsidRPr="00F408D8" w:rsidP="00994CC1" w14:paraId="22964F84" w14:textId="77777777">
            <w:pPr>
              <w:jc w:val="center"/>
              <w:rPr>
                <w:sz w:val="20"/>
                <w:szCs w:val="20"/>
              </w:rPr>
            </w:pPr>
            <w:r w:rsidRPr="00F408D8">
              <w:rPr>
                <w:sz w:val="20"/>
                <w:szCs w:val="20"/>
              </w:rPr>
              <w:t>Total Cost ($)</w:t>
            </w:r>
          </w:p>
        </w:tc>
      </w:tr>
      <w:tr w14:paraId="6FD9A969" w14:textId="77777777" w:rsidTr="00F408D8">
        <w:tblPrEx>
          <w:tblW w:w="10080" w:type="dxa"/>
          <w:tblInd w:w="144" w:type="dxa"/>
          <w:tblCellMar>
            <w:left w:w="185" w:type="dxa"/>
            <w:right w:w="115" w:type="dxa"/>
          </w:tblCellMar>
          <w:tblLook w:val="04A0"/>
        </w:tblPrEx>
        <w:trPr>
          <w:trHeight w:val="264"/>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699" w:rsidRPr="00F408D8" w:rsidP="00994CC1" w14:paraId="5A8897DD" w14:textId="1D756BC7">
            <w:pPr>
              <w:rPr>
                <w:sz w:val="20"/>
                <w:szCs w:val="20"/>
              </w:rPr>
            </w:pPr>
            <w:r w:rsidRPr="00F408D8">
              <w:rPr>
                <w:sz w:val="20"/>
                <w:szCs w:val="20"/>
              </w:rPr>
              <w:t>Manager</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699" w:rsidRPr="00F408D8" w:rsidP="00994CC1" w14:paraId="52709DFC" w14:textId="1AEF1176">
            <w:pPr>
              <w:jc w:val="center"/>
              <w:rPr>
                <w:sz w:val="20"/>
                <w:szCs w:val="20"/>
              </w:rPr>
            </w:pPr>
            <w:r w:rsidRPr="00F408D8">
              <w:rPr>
                <w:sz w:val="20"/>
                <w:szCs w:val="20"/>
              </w:rPr>
              <w:t>51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699" w:rsidRPr="00F408D8" w:rsidP="00994CC1" w14:paraId="4536DB5E" w14:textId="11775C30">
            <w:pPr>
              <w:jc w:val="center"/>
              <w:rPr>
                <w:sz w:val="20"/>
                <w:szCs w:val="20"/>
              </w:rPr>
            </w:pPr>
            <w:r w:rsidRPr="00F408D8">
              <w:rPr>
                <w:sz w:val="20"/>
                <w:szCs w:val="20"/>
              </w:rPr>
              <w:t>51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699" w:rsidRPr="00F408D8" w:rsidP="00994CC1" w14:paraId="648A7612" w14:textId="522ADA1C">
            <w:pPr>
              <w:jc w:val="center"/>
              <w:rPr>
                <w:sz w:val="20"/>
                <w:szCs w:val="20"/>
              </w:rPr>
            </w:pPr>
            <w:r w:rsidRPr="00F408D8">
              <w:rPr>
                <w:sz w:val="20"/>
                <w:szCs w:val="20"/>
              </w:rPr>
              <w:t>21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699" w:rsidRPr="00F408D8" w:rsidP="00994CC1" w14:paraId="2EE070F9" w14:textId="3096A51C">
            <w:pPr>
              <w:jc w:val="center"/>
              <w:rPr>
                <w:color w:val="000000" w:themeColor="text1"/>
                <w:sz w:val="20"/>
                <w:szCs w:val="20"/>
              </w:rPr>
            </w:pPr>
            <w:r w:rsidRPr="00F408D8">
              <w:rPr>
                <w:color w:val="000000" w:themeColor="text1"/>
                <w:sz w:val="20"/>
                <w:szCs w:val="20"/>
              </w:rPr>
              <w:t>1,071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699" w:rsidRPr="00F408D8" w:rsidP="00994CC1" w14:paraId="735AD187" w14:textId="666AA5AA">
            <w:pPr>
              <w:jc w:val="center"/>
              <w:rPr>
                <w:sz w:val="20"/>
                <w:szCs w:val="20"/>
              </w:rPr>
            </w:pPr>
            <w:r w:rsidRPr="00F408D8">
              <w:rPr>
                <w:sz w:val="20"/>
                <w:szCs w:val="20"/>
              </w:rPr>
              <w:t>135.76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699" w:rsidRPr="00F408D8" w:rsidP="00994CC1" w14:paraId="7E251669" w14:textId="1470CCBE">
            <w:pPr>
              <w:jc w:val="center"/>
              <w:rPr>
                <w:sz w:val="20"/>
                <w:szCs w:val="20"/>
              </w:rPr>
            </w:pPr>
            <w:r w:rsidRPr="00F408D8">
              <w:rPr>
                <w:sz w:val="20"/>
                <w:szCs w:val="20"/>
              </w:rPr>
              <w:t>115,732.5</w:t>
            </w:r>
          </w:p>
        </w:tc>
      </w:tr>
      <w:tr w14:paraId="3F4A5CC4" w14:textId="77777777" w:rsidTr="00F408D8">
        <w:tblPrEx>
          <w:tblW w:w="10080" w:type="dxa"/>
          <w:tblInd w:w="144" w:type="dxa"/>
          <w:tblCellMar>
            <w:left w:w="185" w:type="dxa"/>
            <w:right w:w="115" w:type="dxa"/>
          </w:tblCellMar>
          <w:tblLook w:val="04A0"/>
        </w:tblPrEx>
        <w:trPr>
          <w:trHeight w:val="264"/>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699" w:rsidRPr="00F408D8" w:rsidP="00994CC1" w14:paraId="00FF40BD" w14:textId="6F838FF0">
            <w:pPr>
              <w:rPr>
                <w:sz w:val="20"/>
                <w:szCs w:val="20"/>
              </w:rPr>
            </w:pPr>
            <w:r w:rsidRPr="00F408D8">
              <w:rPr>
                <w:sz w:val="20"/>
                <w:szCs w:val="20"/>
              </w:rPr>
              <w:t>Financial Specialist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699" w:rsidRPr="00F408D8" w:rsidP="00994CC1" w14:paraId="5B634AEE" w14:textId="54FC8A1D">
            <w:pPr>
              <w:jc w:val="center"/>
              <w:rPr>
                <w:sz w:val="20"/>
                <w:szCs w:val="20"/>
              </w:rPr>
            </w:pPr>
            <w:r w:rsidRPr="00F408D8">
              <w:rPr>
                <w:sz w:val="20"/>
                <w:szCs w:val="20"/>
              </w:rPr>
              <w:t>51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699" w:rsidRPr="00F408D8" w:rsidP="00994CC1" w14:paraId="0B3E761D" w14:textId="4B3677A7">
            <w:pPr>
              <w:jc w:val="center"/>
              <w:rPr>
                <w:sz w:val="20"/>
                <w:szCs w:val="20"/>
              </w:rPr>
            </w:pPr>
            <w:r w:rsidRPr="00F408D8">
              <w:rPr>
                <w:sz w:val="20"/>
                <w:szCs w:val="20"/>
              </w:rPr>
              <w:t>51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699" w:rsidRPr="00F408D8" w:rsidP="00994CC1" w14:paraId="7645F9D1" w14:textId="467AF54B">
            <w:pPr>
              <w:jc w:val="center"/>
              <w:rPr>
                <w:sz w:val="20"/>
                <w:szCs w:val="20"/>
              </w:rPr>
            </w:pPr>
            <w:r w:rsidRPr="00F408D8">
              <w:rPr>
                <w:sz w:val="20"/>
                <w:szCs w:val="20"/>
              </w:rPr>
              <w:t>21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699" w:rsidRPr="00F408D8" w:rsidP="00994CC1" w14:paraId="758DCB79" w14:textId="06A5CA25">
            <w:pPr>
              <w:jc w:val="center"/>
              <w:rPr>
                <w:sz w:val="20"/>
                <w:szCs w:val="20"/>
              </w:rPr>
            </w:pPr>
            <w:r w:rsidRPr="00F408D8">
              <w:rPr>
                <w:sz w:val="20"/>
                <w:szCs w:val="20"/>
              </w:rPr>
              <w:t>1,071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699" w:rsidRPr="00F408D8" w:rsidP="00994CC1" w14:paraId="5BC3C73C" w14:textId="4A2449ED">
            <w:pPr>
              <w:jc w:val="center"/>
              <w:rPr>
                <w:sz w:val="20"/>
                <w:szCs w:val="20"/>
              </w:rPr>
            </w:pPr>
            <w:r w:rsidRPr="00F408D8">
              <w:rPr>
                <w:sz w:val="20"/>
                <w:szCs w:val="20"/>
              </w:rPr>
              <w:t>80.36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1699" w:rsidRPr="00F408D8" w:rsidP="00994CC1" w14:paraId="00BF2064" w14:textId="139627F0">
            <w:pPr>
              <w:jc w:val="center"/>
              <w:rPr>
                <w:sz w:val="20"/>
                <w:szCs w:val="20"/>
              </w:rPr>
            </w:pPr>
            <w:r w:rsidRPr="00F408D8">
              <w:rPr>
                <w:sz w:val="20"/>
                <w:szCs w:val="20"/>
              </w:rPr>
              <w:t>115,732.5</w:t>
            </w:r>
          </w:p>
        </w:tc>
      </w:tr>
      <w:tr w14:paraId="1507F906" w14:textId="77777777" w:rsidTr="00F408D8">
        <w:tblPrEx>
          <w:tblW w:w="10080" w:type="dxa"/>
          <w:tblInd w:w="144" w:type="dxa"/>
          <w:tblCellMar>
            <w:left w:w="185" w:type="dxa"/>
            <w:right w:w="115" w:type="dxa"/>
          </w:tblCellMar>
          <w:tblLook w:val="04A0"/>
        </w:tblPrEx>
        <w:trPr>
          <w:trHeight w:val="264"/>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E1699" w:rsidRPr="00F408D8" w:rsidP="00994CC1" w14:paraId="75D5B0F8" w14:textId="4CA8DE59">
            <w:pPr>
              <w:rPr>
                <w:sz w:val="20"/>
                <w:szCs w:val="20"/>
              </w:rPr>
            </w:pPr>
            <w:r w:rsidRPr="00F408D8">
              <w:rPr>
                <w:sz w:val="20"/>
                <w:szCs w:val="20"/>
              </w:rPr>
              <w:t>Total</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E1699" w:rsidRPr="00F408D8" w:rsidP="00994CC1" w14:paraId="21F307A4" w14:textId="201BD69C">
            <w:pPr>
              <w:jc w:val="center"/>
              <w:rPr>
                <w:sz w:val="20"/>
                <w:szCs w:val="20"/>
              </w:rPr>
            </w:pPr>
            <w:r w:rsidRPr="00F408D8">
              <w:rPr>
                <w:sz w:val="20"/>
                <w:szCs w:val="20"/>
              </w:rPr>
              <w:t>51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E1699" w:rsidRPr="00F408D8" w:rsidP="00994CC1" w14:paraId="0378E7A3" w14:textId="08ED483D">
            <w:pPr>
              <w:jc w:val="center"/>
              <w:rPr>
                <w:sz w:val="20"/>
                <w:szCs w:val="20"/>
              </w:rPr>
            </w:pPr>
            <w:r w:rsidRPr="00F408D8">
              <w:rPr>
                <w:sz w:val="20"/>
                <w:szCs w:val="20"/>
              </w:rPr>
              <w:t>51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E1699" w:rsidRPr="00F408D8" w:rsidP="00994CC1" w14:paraId="505B0F83" w14:textId="6F8BCB51">
            <w:pPr>
              <w:jc w:val="center"/>
              <w:rPr>
                <w:sz w:val="20"/>
                <w:szCs w:val="20"/>
              </w:rPr>
            </w:pPr>
            <w:r w:rsidRPr="00F408D8">
              <w:rPr>
                <w:sz w:val="20"/>
                <w:szCs w:val="20"/>
              </w:rPr>
              <w:t>42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E1699" w:rsidRPr="00F408D8" w:rsidP="00994CC1" w14:paraId="506EF060" w14:textId="4CE5DE2E">
            <w:pPr>
              <w:jc w:val="center"/>
              <w:rPr>
                <w:sz w:val="20"/>
                <w:szCs w:val="20"/>
              </w:rPr>
            </w:pPr>
            <w:r w:rsidRPr="00F408D8">
              <w:rPr>
                <w:sz w:val="20"/>
                <w:szCs w:val="20"/>
              </w:rPr>
              <w:t>2,142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E1699" w:rsidRPr="00F408D8" w:rsidP="00994CC1" w14:paraId="4B088045" w14:textId="7EC68443">
            <w:pPr>
              <w:jc w:val="center"/>
              <w:rPr>
                <w:sz w:val="20"/>
                <w:szCs w:val="20"/>
              </w:rPr>
            </w:pPr>
            <w:r w:rsidRPr="00F408D8">
              <w:rPr>
                <w:sz w:val="20"/>
                <w:szCs w:val="20"/>
              </w:rPr>
              <w:t>Varies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E1699" w:rsidRPr="00F408D8" w:rsidP="00994CC1" w14:paraId="202DB867" w14:textId="5A210772">
            <w:pPr>
              <w:jc w:val="center"/>
              <w:rPr>
                <w:sz w:val="20"/>
                <w:szCs w:val="20"/>
              </w:rPr>
            </w:pPr>
            <w:r w:rsidRPr="00F408D8">
              <w:rPr>
                <w:sz w:val="20"/>
                <w:szCs w:val="20"/>
              </w:rPr>
              <w:t>231,465</w:t>
            </w:r>
          </w:p>
        </w:tc>
      </w:tr>
    </w:tbl>
    <w:p w:rsidR="002E1699" w:rsidP="008E5D40" w14:paraId="1DE58D13" w14:textId="77777777">
      <w:pPr>
        <w:rPr>
          <w:sz w:val="24"/>
        </w:rPr>
      </w:pPr>
    </w:p>
    <w:p w:rsidR="008E5D40" w:rsidRPr="008E5D40" w:rsidP="008E5D40" w14:paraId="6D1DFCAC" w14:textId="77777777">
      <w:pPr>
        <w:rPr>
          <w:i/>
          <w:sz w:val="24"/>
        </w:rPr>
      </w:pPr>
      <w:r w:rsidRPr="008E5D40">
        <w:rPr>
          <w:i/>
          <w:sz w:val="24"/>
        </w:rPr>
        <w:t>Information Collection Instruments and Instruction/Guidance Documents</w:t>
      </w:r>
    </w:p>
    <w:p w:rsidR="008E5D40" w:rsidP="008E5D40" w14:paraId="32733E3C" w14:textId="77777777">
      <w:pPr>
        <w:rPr>
          <w:sz w:val="24"/>
        </w:rPr>
      </w:pPr>
    </w:p>
    <w:p w:rsidR="008E5D40" w:rsidP="00B926AC" w14:paraId="0A273F12" w14:textId="77777777">
      <w:pPr>
        <w:numPr>
          <w:ilvl w:val="0"/>
          <w:numId w:val="4"/>
        </w:numPr>
        <w:ind w:left="144" w:firstLine="0"/>
        <w:rPr>
          <w:sz w:val="24"/>
        </w:rPr>
      </w:pPr>
      <w:r w:rsidRPr="00B926AC">
        <w:rPr>
          <w:sz w:val="24"/>
        </w:rPr>
        <w:t>Annual Report</w:t>
      </w:r>
      <w:r w:rsidR="00464431">
        <w:rPr>
          <w:sz w:val="24"/>
        </w:rPr>
        <w:t xml:space="preserve"> (No Changes)</w:t>
      </w:r>
    </w:p>
    <w:p w:rsidR="008E5D40" w:rsidRPr="00D03976" w:rsidP="008E5D40" w14:paraId="1EAB3CA7" w14:textId="77777777">
      <w:pPr>
        <w:rPr>
          <w:sz w:val="24"/>
        </w:rPr>
      </w:pPr>
    </w:p>
    <w:p w:rsidR="00B95CE6" w:rsidP="008E5D40" w14:paraId="2A42A577" w14:textId="77777777">
      <w:pPr>
        <w:rPr>
          <w:sz w:val="24"/>
          <w:u w:val="single"/>
        </w:rPr>
      </w:pPr>
      <w:r w:rsidRPr="00D03976">
        <w:rPr>
          <w:sz w:val="24"/>
        </w:rPr>
        <w:t xml:space="preserve">13.  </w:t>
      </w:r>
      <w:r w:rsidRPr="00D03976">
        <w:rPr>
          <w:sz w:val="24"/>
          <w:u w:val="single"/>
        </w:rPr>
        <w:t xml:space="preserve">Capital Costs </w:t>
      </w:r>
    </w:p>
    <w:p w:rsidR="00F16882" w:rsidP="008E5D40" w14:paraId="59D2950E" w14:textId="77777777">
      <w:pPr>
        <w:rPr>
          <w:sz w:val="24"/>
        </w:rPr>
      </w:pPr>
    </w:p>
    <w:p w:rsidR="00DC289C" w:rsidRPr="00D03976" w:rsidP="008E5D40" w14:paraId="7EAD1738" w14:textId="77777777">
      <w:pPr>
        <w:rPr>
          <w:sz w:val="24"/>
        </w:rPr>
      </w:pPr>
      <w:r w:rsidRPr="00D03976">
        <w:rPr>
          <w:sz w:val="24"/>
        </w:rPr>
        <w:t>There should be no capital costs related to the collection of this data.</w:t>
      </w:r>
    </w:p>
    <w:p w:rsidR="00DC289C" w:rsidRPr="00D03976" w:rsidP="008E5D40" w14:paraId="5160B714" w14:textId="77777777">
      <w:pPr>
        <w:rPr>
          <w:sz w:val="24"/>
        </w:rPr>
      </w:pPr>
    </w:p>
    <w:p w:rsidR="00DC289C" w:rsidRPr="00D03976" w:rsidP="008E5D40" w14:paraId="065C5E4C" w14:textId="77777777">
      <w:pPr>
        <w:rPr>
          <w:sz w:val="24"/>
          <w:u w:val="single"/>
        </w:rPr>
      </w:pPr>
      <w:r w:rsidRPr="00D03976">
        <w:rPr>
          <w:sz w:val="24"/>
        </w:rPr>
        <w:t xml:space="preserve">14.  </w:t>
      </w:r>
      <w:r w:rsidRPr="00D03976">
        <w:rPr>
          <w:sz w:val="24"/>
          <w:u w:val="single"/>
        </w:rPr>
        <w:t>Cost to Federal Government</w:t>
      </w:r>
    </w:p>
    <w:p w:rsidR="00F16882" w:rsidP="008E5D40" w14:paraId="209A4FE5" w14:textId="77777777">
      <w:pPr>
        <w:rPr>
          <w:sz w:val="24"/>
        </w:rPr>
      </w:pPr>
    </w:p>
    <w:p w:rsidR="00DC289C" w:rsidRPr="00D03976" w:rsidP="008E5D40" w14:paraId="5AF7C634" w14:textId="77777777">
      <w:pPr>
        <w:rPr>
          <w:sz w:val="24"/>
        </w:rPr>
      </w:pPr>
      <w:r w:rsidRPr="00D03976">
        <w:rPr>
          <w:sz w:val="24"/>
        </w:rPr>
        <w:t>The information submitted by each State will be compiled and evaluated by an employee/contractor of the Federal government.  The approximate amount of staff time utilized will be one half hour per State submission which will total 2</w:t>
      </w:r>
      <w:r w:rsidR="004669E6">
        <w:rPr>
          <w:sz w:val="24"/>
        </w:rPr>
        <w:t>6</w:t>
      </w:r>
      <w:r w:rsidRPr="00D03976">
        <w:rPr>
          <w:sz w:val="24"/>
        </w:rPr>
        <w:t xml:space="preserve"> hours per annum staff time</w:t>
      </w:r>
      <w:r w:rsidR="0096472C">
        <w:rPr>
          <w:sz w:val="24"/>
        </w:rPr>
        <w:t xml:space="preserve"> (51 State submissions x 0.5 hr)</w:t>
      </w:r>
      <w:r w:rsidRPr="00D03976">
        <w:rPr>
          <w:sz w:val="24"/>
        </w:rPr>
        <w:t>.  Wage levels would approximate $</w:t>
      </w:r>
      <w:r w:rsidR="00DA6158">
        <w:rPr>
          <w:sz w:val="24"/>
        </w:rPr>
        <w:t>3</w:t>
      </w:r>
      <w:r w:rsidR="00B83F5D">
        <w:rPr>
          <w:sz w:val="24"/>
        </w:rPr>
        <w:t>5.38</w:t>
      </w:r>
      <w:r w:rsidR="0096472C">
        <w:rPr>
          <w:sz w:val="24"/>
        </w:rPr>
        <w:t>/hr</w:t>
      </w:r>
      <w:r w:rsidRPr="00D03976">
        <w:rPr>
          <w:sz w:val="24"/>
        </w:rPr>
        <w:t>, costing the government $</w:t>
      </w:r>
      <w:r w:rsidR="0098329B">
        <w:rPr>
          <w:sz w:val="24"/>
        </w:rPr>
        <w:t>920</w:t>
      </w:r>
      <w:r w:rsidRPr="00D03976">
        <w:rPr>
          <w:sz w:val="24"/>
        </w:rPr>
        <w:t xml:space="preserve"> per annum </w:t>
      </w:r>
      <w:r w:rsidR="0096472C">
        <w:rPr>
          <w:sz w:val="24"/>
        </w:rPr>
        <w:t xml:space="preserve">(26 hr x </w:t>
      </w:r>
      <w:r w:rsidRPr="00D03976" w:rsidR="0096472C">
        <w:rPr>
          <w:sz w:val="24"/>
        </w:rPr>
        <w:t>$</w:t>
      </w:r>
      <w:r w:rsidR="0096472C">
        <w:rPr>
          <w:sz w:val="24"/>
        </w:rPr>
        <w:t xml:space="preserve">35.38/hr) </w:t>
      </w:r>
      <w:r w:rsidRPr="00D03976">
        <w:rPr>
          <w:sz w:val="24"/>
        </w:rPr>
        <w:t>to compile and evaluate this data.</w:t>
      </w:r>
    </w:p>
    <w:p w:rsidR="00DC289C" w:rsidRPr="00D03976" w:rsidP="008E5D40" w14:paraId="6E7B93B4" w14:textId="77777777">
      <w:pPr>
        <w:rPr>
          <w:sz w:val="24"/>
        </w:rPr>
      </w:pPr>
    </w:p>
    <w:p w:rsidR="00DC289C" w:rsidRPr="00D03976" w:rsidP="008E5D40" w14:paraId="15DE3FED" w14:textId="77777777">
      <w:pPr>
        <w:rPr>
          <w:sz w:val="24"/>
        </w:rPr>
      </w:pPr>
      <w:r w:rsidRPr="00FC6004">
        <w:rPr>
          <w:sz w:val="24"/>
        </w:rPr>
        <w:t xml:space="preserve">15.  </w:t>
      </w:r>
      <w:r w:rsidRPr="00FC6004" w:rsidR="00DA6158">
        <w:rPr>
          <w:sz w:val="24"/>
          <w:u w:val="single"/>
        </w:rPr>
        <w:t>Changes to Burden</w:t>
      </w:r>
    </w:p>
    <w:p w:rsidR="00D039C4" w:rsidP="008E5D40" w14:paraId="0A47315B" w14:textId="77777777">
      <w:pPr>
        <w:tabs>
          <w:tab w:val="left" w:pos="-1440"/>
        </w:tabs>
        <w:rPr>
          <w:snapToGrid w:val="0"/>
          <w:sz w:val="24"/>
        </w:rPr>
      </w:pPr>
    </w:p>
    <w:p w:rsidR="003115B8" w:rsidP="003115B8" w14:paraId="7B345449" w14:textId="77777777">
      <w:pPr>
        <w:rPr>
          <w:sz w:val="24"/>
        </w:rPr>
      </w:pPr>
      <w:r w:rsidRPr="00D04377">
        <w:rPr>
          <w:sz w:val="24"/>
        </w:rPr>
        <w:t>This 202</w:t>
      </w:r>
      <w:r>
        <w:rPr>
          <w:sz w:val="24"/>
        </w:rPr>
        <w:t>3</w:t>
      </w:r>
      <w:r w:rsidRPr="00D04377">
        <w:rPr>
          <w:sz w:val="24"/>
        </w:rPr>
        <w:t xml:space="preserve"> collection </w:t>
      </w:r>
      <w:r>
        <w:rPr>
          <w:sz w:val="24"/>
        </w:rPr>
        <w:t xml:space="preserve">of </w:t>
      </w:r>
      <w:r w:rsidRPr="00D04377">
        <w:rPr>
          <w:sz w:val="24"/>
        </w:rPr>
        <w:t xml:space="preserve">information request </w:t>
      </w:r>
      <w:r>
        <w:rPr>
          <w:sz w:val="24"/>
        </w:rPr>
        <w:t xml:space="preserve">is an Extension that </w:t>
      </w:r>
      <w:r w:rsidRPr="00D04377">
        <w:rPr>
          <w:sz w:val="24"/>
        </w:rPr>
        <w:t xml:space="preserve">proposes </w:t>
      </w:r>
      <w:r>
        <w:rPr>
          <w:sz w:val="24"/>
        </w:rPr>
        <w:t>no changes other than updating our cost estimates based on more recent wage data.</w:t>
      </w:r>
    </w:p>
    <w:p w:rsidR="003115B8" w:rsidP="003115B8" w14:paraId="2192661D" w14:textId="202AFC26">
      <w:pPr>
        <w:rPr>
          <w:sz w:val="24"/>
        </w:rPr>
      </w:pPr>
    </w:p>
    <w:p w:rsidR="003115B8" w:rsidP="003115B8" w14:paraId="1F07D8AF" w14:textId="49ED1618">
      <w:pPr>
        <w:rPr>
          <w:sz w:val="24"/>
        </w:rPr>
      </w:pPr>
      <w:r>
        <w:rPr>
          <w:sz w:val="24"/>
        </w:rPr>
        <w:t>For “</w:t>
      </w:r>
      <w:r w:rsidRPr="003115B8">
        <w:rPr>
          <w:sz w:val="24"/>
        </w:rPr>
        <w:t>Financial Specialists, All Other</w:t>
      </w:r>
      <w:r>
        <w:rPr>
          <w:sz w:val="24"/>
        </w:rPr>
        <w:t>” BLS’ hourly wage decreased by $5.09/hr (from $</w:t>
      </w:r>
      <w:r w:rsidRPr="003115B8">
        <w:rPr>
          <w:sz w:val="24"/>
        </w:rPr>
        <w:t>45.27</w:t>
      </w:r>
      <w:r>
        <w:rPr>
          <w:sz w:val="24"/>
        </w:rPr>
        <w:t>/hr to $</w:t>
      </w:r>
      <w:r w:rsidRPr="003115B8">
        <w:rPr>
          <w:sz w:val="24"/>
        </w:rPr>
        <w:t>40.18</w:t>
      </w:r>
      <w:r>
        <w:rPr>
          <w:sz w:val="24"/>
        </w:rPr>
        <w:t>/hr). For “</w:t>
      </w:r>
      <w:r w:rsidRPr="003115B8">
        <w:rPr>
          <w:sz w:val="24"/>
        </w:rPr>
        <w:t>Managers, All Other</w:t>
      </w:r>
      <w:r>
        <w:rPr>
          <w:sz w:val="24"/>
        </w:rPr>
        <w:t xml:space="preserve">” the hourly wage increased by </w:t>
      </w:r>
      <w:r w:rsidR="005C02D7">
        <w:rPr>
          <w:sz w:val="24"/>
        </w:rPr>
        <w:t xml:space="preserve">$10.81/hr </w:t>
      </w:r>
      <w:r>
        <w:rPr>
          <w:sz w:val="24"/>
        </w:rPr>
        <w:t>(from $</w:t>
      </w:r>
      <w:r w:rsidR="002E0E61">
        <w:rPr>
          <w:sz w:val="24"/>
        </w:rPr>
        <w:t>57</w:t>
      </w:r>
      <w:r w:rsidR="00710F2E">
        <w:rPr>
          <w:sz w:val="24"/>
        </w:rPr>
        <w:t>.</w:t>
      </w:r>
      <w:r w:rsidR="002E0E61">
        <w:rPr>
          <w:sz w:val="24"/>
        </w:rPr>
        <w:t>07</w:t>
      </w:r>
      <w:r>
        <w:rPr>
          <w:sz w:val="24"/>
        </w:rPr>
        <w:t>/hr to $</w:t>
      </w:r>
      <w:r w:rsidRPr="003115B8">
        <w:rPr>
          <w:sz w:val="24"/>
        </w:rPr>
        <w:t>67.88</w:t>
      </w:r>
      <w:r>
        <w:rPr>
          <w:sz w:val="24"/>
        </w:rPr>
        <w:t>/hr).</w:t>
      </w:r>
      <w:r w:rsidR="006C2EFB">
        <w:rPr>
          <w:sz w:val="24"/>
        </w:rPr>
        <w:t xml:space="preserve"> When factoring in our adjustments for fringe benefits and other indirect costs, our cost estimate  </w:t>
      </w:r>
      <w:r w:rsidR="00443705">
        <w:rPr>
          <w:sz w:val="24"/>
        </w:rPr>
        <w:t>increased by $12,252</w:t>
      </w:r>
      <w:r w:rsidR="006C2EFB">
        <w:rPr>
          <w:sz w:val="24"/>
        </w:rPr>
        <w:t xml:space="preserve"> (from </w:t>
      </w:r>
      <w:r w:rsidRPr="006C2EFB" w:rsidR="006C2EFB">
        <w:rPr>
          <w:sz w:val="24"/>
        </w:rPr>
        <w:t>$219,212</w:t>
      </w:r>
      <w:r w:rsidR="006C2EFB">
        <w:rPr>
          <w:sz w:val="24"/>
        </w:rPr>
        <w:t xml:space="preserve"> to </w:t>
      </w:r>
      <w:r w:rsidR="00443705">
        <w:rPr>
          <w:sz w:val="24"/>
        </w:rPr>
        <w:t>$</w:t>
      </w:r>
      <w:r w:rsidRPr="00443705" w:rsidR="00443705">
        <w:rPr>
          <w:sz w:val="24"/>
        </w:rPr>
        <w:t>231,464</w:t>
      </w:r>
      <w:r w:rsidR="006C2EFB">
        <w:rPr>
          <w:sz w:val="24"/>
        </w:rPr>
        <w:t>).</w:t>
      </w:r>
    </w:p>
    <w:p w:rsidR="003115B8" w:rsidP="003115B8" w14:paraId="1D881F94" w14:textId="77777777">
      <w:pPr>
        <w:rPr>
          <w:sz w:val="24"/>
        </w:rPr>
      </w:pPr>
    </w:p>
    <w:p w:rsidR="003115B8" w:rsidP="003115B8" w14:paraId="0864281A" w14:textId="77777777">
      <w:pPr>
        <w:rPr>
          <w:sz w:val="24"/>
        </w:rPr>
      </w:pPr>
      <w:r>
        <w:rPr>
          <w:sz w:val="24"/>
        </w:rPr>
        <w:t xml:space="preserve">Our </w:t>
      </w:r>
      <w:r w:rsidRPr="008B37BD">
        <w:rPr>
          <w:sz w:val="24"/>
        </w:rPr>
        <w:t xml:space="preserve">Annual Report </w:t>
      </w:r>
      <w:r>
        <w:rPr>
          <w:sz w:val="24"/>
        </w:rPr>
        <w:t>spreadsheet is unchanged.</w:t>
      </w:r>
    </w:p>
    <w:p w:rsidR="0031166D" w:rsidP="008E5D40" w14:paraId="62F1E5E2" w14:textId="77777777">
      <w:pPr>
        <w:rPr>
          <w:sz w:val="24"/>
        </w:rPr>
      </w:pPr>
    </w:p>
    <w:p w:rsidR="00DC289C" w:rsidRPr="00D03976" w:rsidP="008E5D40" w14:paraId="750CF6A6" w14:textId="77777777">
      <w:pPr>
        <w:rPr>
          <w:sz w:val="24"/>
        </w:rPr>
      </w:pPr>
      <w:r w:rsidRPr="00D03976">
        <w:rPr>
          <w:sz w:val="24"/>
        </w:rPr>
        <w:t xml:space="preserve">16.  </w:t>
      </w:r>
      <w:r w:rsidR="00E95298">
        <w:rPr>
          <w:sz w:val="24"/>
          <w:u w:val="single"/>
        </w:rPr>
        <w:t>Publication/</w:t>
      </w:r>
      <w:r w:rsidRPr="00D03976">
        <w:rPr>
          <w:sz w:val="24"/>
          <w:u w:val="single"/>
        </w:rPr>
        <w:t>Tabulation Dates</w:t>
      </w:r>
    </w:p>
    <w:p w:rsidR="00F16882" w:rsidP="008E5D40" w14:paraId="0D5F3F8F" w14:textId="77777777">
      <w:pPr>
        <w:rPr>
          <w:sz w:val="24"/>
        </w:rPr>
      </w:pPr>
    </w:p>
    <w:p w:rsidR="00DC289C" w:rsidRPr="00D03976" w:rsidP="008E5D40" w14:paraId="1A16112A" w14:textId="77777777">
      <w:pPr>
        <w:rPr>
          <w:sz w:val="24"/>
        </w:rPr>
      </w:pPr>
      <w:r w:rsidRPr="00D03976">
        <w:rPr>
          <w:sz w:val="24"/>
        </w:rPr>
        <w:t xml:space="preserve">CMS is requesting the </w:t>
      </w:r>
      <w:r w:rsidR="00DA6158">
        <w:rPr>
          <w:sz w:val="24"/>
        </w:rPr>
        <w:t xml:space="preserve">information </w:t>
      </w:r>
      <w:r w:rsidRPr="00D03976">
        <w:rPr>
          <w:sz w:val="24"/>
        </w:rPr>
        <w:t>be tabulated and submitted to the regional offices by the end of the first quarter of the Federal fiscal year following the reporting year.</w:t>
      </w:r>
    </w:p>
    <w:p w:rsidR="00DC289C" w:rsidRPr="00D03976" w:rsidP="008E5D40" w14:paraId="5B9D4548" w14:textId="77777777">
      <w:pPr>
        <w:rPr>
          <w:sz w:val="24"/>
        </w:rPr>
      </w:pPr>
    </w:p>
    <w:p w:rsidR="00DC289C" w:rsidRPr="00D03976" w:rsidP="008E5D40" w14:paraId="3B77D0DF" w14:textId="77777777">
      <w:pPr>
        <w:rPr>
          <w:sz w:val="24"/>
        </w:rPr>
      </w:pPr>
      <w:r w:rsidRPr="00D03976">
        <w:rPr>
          <w:sz w:val="24"/>
        </w:rPr>
        <w:t xml:space="preserve">17.  </w:t>
      </w:r>
      <w:r w:rsidRPr="00D03976">
        <w:rPr>
          <w:sz w:val="24"/>
          <w:u w:val="single"/>
        </w:rPr>
        <w:t>Expiration Date</w:t>
      </w:r>
    </w:p>
    <w:p w:rsidR="0015142D" w:rsidP="008E5D40" w14:paraId="7E94BC32" w14:textId="77777777">
      <w:pPr>
        <w:rPr>
          <w:sz w:val="24"/>
        </w:rPr>
      </w:pPr>
    </w:p>
    <w:p w:rsidR="0015142D" w:rsidRPr="00D03976" w:rsidP="008E5D40" w14:paraId="2B04CB6B" w14:textId="77777777">
      <w:pPr>
        <w:rPr>
          <w:sz w:val="24"/>
        </w:rPr>
      </w:pPr>
      <w:r>
        <w:rPr>
          <w:sz w:val="24"/>
        </w:rPr>
        <w:t>The date is on the annual report.</w:t>
      </w:r>
    </w:p>
    <w:p w:rsidR="00DC289C" w:rsidRPr="00D03976" w:rsidP="008E5D40" w14:paraId="71FC8815" w14:textId="77777777">
      <w:pPr>
        <w:rPr>
          <w:sz w:val="24"/>
        </w:rPr>
      </w:pPr>
    </w:p>
    <w:p w:rsidR="00DC289C" w:rsidRPr="00D03976" w:rsidP="008E5D40" w14:paraId="7FFD8104" w14:textId="77777777">
      <w:pPr>
        <w:rPr>
          <w:sz w:val="24"/>
        </w:rPr>
      </w:pPr>
      <w:r w:rsidRPr="00D03976">
        <w:rPr>
          <w:sz w:val="24"/>
        </w:rPr>
        <w:t xml:space="preserve">18.  </w:t>
      </w:r>
      <w:r w:rsidRPr="00D03976">
        <w:rPr>
          <w:sz w:val="24"/>
          <w:u w:val="single"/>
        </w:rPr>
        <w:t>Certification Statement</w:t>
      </w:r>
    </w:p>
    <w:p w:rsidR="00F16882" w:rsidP="008E5D40" w14:paraId="3B4B6C2B" w14:textId="77777777">
      <w:pPr>
        <w:rPr>
          <w:sz w:val="24"/>
        </w:rPr>
      </w:pPr>
    </w:p>
    <w:p w:rsidR="00DC289C" w:rsidRPr="00D03976" w:rsidP="008E5D40" w14:paraId="57816EE2" w14:textId="77777777">
      <w:pPr>
        <w:rPr>
          <w:sz w:val="24"/>
        </w:rPr>
      </w:pPr>
      <w:r w:rsidRPr="00D03976">
        <w:rPr>
          <w:sz w:val="24"/>
        </w:rPr>
        <w:t>There are no exceptions to the certification statement.</w:t>
      </w:r>
    </w:p>
    <w:p w:rsidR="00DC289C" w:rsidRPr="00D03976" w:rsidP="008E5D40" w14:paraId="1B87B5F6" w14:textId="77777777">
      <w:pPr>
        <w:rPr>
          <w:sz w:val="24"/>
        </w:rPr>
      </w:pPr>
    </w:p>
    <w:p w:rsidR="00DC289C" w:rsidRPr="00F64264" w:rsidP="008E5D40" w14:paraId="405C5A63" w14:textId="77777777">
      <w:pPr>
        <w:rPr>
          <w:b/>
          <w:sz w:val="24"/>
        </w:rPr>
      </w:pPr>
      <w:r w:rsidRPr="00F64264">
        <w:rPr>
          <w:b/>
          <w:sz w:val="24"/>
        </w:rPr>
        <w:t>B</w:t>
      </w:r>
      <w:r w:rsidRPr="00F64264">
        <w:rPr>
          <w:b/>
          <w:sz w:val="24"/>
        </w:rPr>
        <w:t>.</w:t>
      </w:r>
      <w:r w:rsidRPr="00F64264">
        <w:rPr>
          <w:b/>
          <w:sz w:val="24"/>
        </w:rPr>
        <w:tab/>
        <w:t>Collection of Information Employing Statistical Methods</w:t>
      </w:r>
    </w:p>
    <w:p w:rsidR="00F16882" w:rsidP="008E5D40" w14:paraId="32044E66" w14:textId="77777777">
      <w:pPr>
        <w:rPr>
          <w:sz w:val="24"/>
        </w:rPr>
      </w:pPr>
    </w:p>
    <w:p w:rsidR="00DC289C" w:rsidP="008E5D40" w14:paraId="6A406F00" w14:textId="77777777">
      <w:pPr>
        <w:rPr>
          <w:sz w:val="24"/>
        </w:rPr>
      </w:pPr>
      <w:r w:rsidRPr="00D03976">
        <w:rPr>
          <w:sz w:val="24"/>
        </w:rPr>
        <w:t>N/A.  This collection does not employ statistical methods.</w:t>
      </w:r>
    </w:p>
    <w:p w:rsidR="00BE725C" w:rsidRPr="00D03976" w:rsidP="008E5D40" w14:paraId="44EF4BEF" w14:textId="77777777">
      <w:pPr>
        <w:rPr>
          <w:sz w:val="24"/>
        </w:rPr>
      </w:pPr>
    </w:p>
    <w:sectPr w:rsidSect="00EE7B00">
      <w:footerReference w:type="default" r:id="rId6"/>
      <w:endnotePr>
        <w:numFmt w:val="decimal"/>
      </w:endnotePr>
      <w:type w:val="continuous"/>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53514153"/>
      <w:docPartObj>
        <w:docPartGallery w:val="Page Numbers (Bottom of Page)"/>
        <w:docPartUnique/>
      </w:docPartObj>
    </w:sdtPr>
    <w:sdtEndPr>
      <w:rPr>
        <w:noProof/>
      </w:rPr>
    </w:sdtEndPr>
    <w:sdtContent>
      <w:p w:rsidR="00DC3F0E" w14:paraId="5364D21D" w14:textId="3083E3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5937CE"/>
    <w:multiLevelType w:val="hybridMultilevel"/>
    <w:tmpl w:val="38104F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EA134C"/>
    <w:multiLevelType w:val="hybridMultilevel"/>
    <w:tmpl w:val="E56ACE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516131D3"/>
    <w:multiLevelType w:val="hybridMultilevel"/>
    <w:tmpl w:val="54C0E4F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738B78BA"/>
    <w:multiLevelType w:val="hybridMultilevel"/>
    <w:tmpl w:val="D5C6A91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78CD2C1A"/>
    <w:multiLevelType w:val="hybridMultilevel"/>
    <w:tmpl w:val="DAFA2176"/>
    <w:lvl w:ilvl="0">
      <w:start w:val="1"/>
      <w:numFmt w:val="bullet"/>
      <w:lvlText w:val=""/>
      <w:lvlJc w:val="left"/>
      <w:pPr>
        <w:ind w:left="-1368" w:hanging="360"/>
      </w:pPr>
      <w:rPr>
        <w:rFonts w:ascii="Symbol" w:hAnsi="Symbol" w:hint="default"/>
      </w:rPr>
    </w:lvl>
    <w:lvl w:ilvl="1" w:tentative="1">
      <w:start w:val="1"/>
      <w:numFmt w:val="bullet"/>
      <w:lvlText w:val="o"/>
      <w:lvlJc w:val="left"/>
      <w:pPr>
        <w:ind w:left="-216" w:hanging="360"/>
      </w:pPr>
      <w:rPr>
        <w:rFonts w:ascii="Courier New" w:hAnsi="Courier New" w:hint="default"/>
      </w:rPr>
    </w:lvl>
    <w:lvl w:ilvl="2" w:tentative="1">
      <w:start w:val="1"/>
      <w:numFmt w:val="bullet"/>
      <w:lvlText w:val=""/>
      <w:lvlJc w:val="left"/>
      <w:pPr>
        <w:ind w:left="504" w:hanging="360"/>
      </w:pPr>
      <w:rPr>
        <w:rFonts w:ascii="Wingdings" w:hAnsi="Wingdings" w:hint="default"/>
      </w:rPr>
    </w:lvl>
    <w:lvl w:ilvl="3" w:tentative="1">
      <w:start w:val="1"/>
      <w:numFmt w:val="bullet"/>
      <w:lvlText w:val=""/>
      <w:lvlJc w:val="left"/>
      <w:pPr>
        <w:ind w:left="1224" w:hanging="360"/>
      </w:pPr>
      <w:rPr>
        <w:rFonts w:ascii="Symbol" w:hAnsi="Symbol" w:hint="default"/>
      </w:rPr>
    </w:lvl>
    <w:lvl w:ilvl="4" w:tentative="1">
      <w:start w:val="1"/>
      <w:numFmt w:val="bullet"/>
      <w:lvlText w:val="o"/>
      <w:lvlJc w:val="left"/>
      <w:pPr>
        <w:ind w:left="1944" w:hanging="360"/>
      </w:pPr>
      <w:rPr>
        <w:rFonts w:ascii="Courier New" w:hAnsi="Courier New" w:hint="default"/>
      </w:rPr>
    </w:lvl>
    <w:lvl w:ilvl="5" w:tentative="1">
      <w:start w:val="1"/>
      <w:numFmt w:val="bullet"/>
      <w:lvlText w:val=""/>
      <w:lvlJc w:val="left"/>
      <w:pPr>
        <w:ind w:left="2664" w:hanging="360"/>
      </w:pPr>
      <w:rPr>
        <w:rFonts w:ascii="Wingdings" w:hAnsi="Wingdings" w:hint="default"/>
      </w:rPr>
    </w:lvl>
    <w:lvl w:ilvl="6" w:tentative="1">
      <w:start w:val="1"/>
      <w:numFmt w:val="bullet"/>
      <w:lvlText w:val=""/>
      <w:lvlJc w:val="left"/>
      <w:pPr>
        <w:ind w:left="3384" w:hanging="360"/>
      </w:pPr>
      <w:rPr>
        <w:rFonts w:ascii="Symbol" w:hAnsi="Symbol" w:hint="default"/>
      </w:rPr>
    </w:lvl>
    <w:lvl w:ilvl="7" w:tentative="1">
      <w:start w:val="1"/>
      <w:numFmt w:val="bullet"/>
      <w:lvlText w:val="o"/>
      <w:lvlJc w:val="left"/>
      <w:pPr>
        <w:ind w:left="4104" w:hanging="360"/>
      </w:pPr>
      <w:rPr>
        <w:rFonts w:ascii="Courier New" w:hAnsi="Courier New" w:hint="default"/>
      </w:rPr>
    </w:lvl>
    <w:lvl w:ilvl="8" w:tentative="1">
      <w:start w:val="1"/>
      <w:numFmt w:val="bullet"/>
      <w:lvlText w:val=""/>
      <w:lvlJc w:val="left"/>
      <w:pPr>
        <w:ind w:left="4824" w:hanging="360"/>
      </w:pPr>
      <w:rPr>
        <w:rFonts w:ascii="Wingdings" w:hAnsi="Wingdings" w:hint="default"/>
      </w:rPr>
    </w:lvl>
  </w:abstractNum>
  <w:num w:numId="1" w16cid:durableId="1385833295">
    <w:abstractNumId w:val="3"/>
  </w:num>
  <w:num w:numId="2" w16cid:durableId="563024275">
    <w:abstractNumId w:val="2"/>
  </w:num>
  <w:num w:numId="3" w16cid:durableId="1396275073">
    <w:abstractNumId w:val="1"/>
  </w:num>
  <w:num w:numId="4" w16cid:durableId="392898188">
    <w:abstractNumId w:val="4"/>
  </w:num>
  <w:num w:numId="5" w16cid:durableId="94183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6BA"/>
    <w:rsid w:val="000373C3"/>
    <w:rsid w:val="00040830"/>
    <w:rsid w:val="00045879"/>
    <w:rsid w:val="0005087E"/>
    <w:rsid w:val="00086FE2"/>
    <w:rsid w:val="000B219A"/>
    <w:rsid w:val="000C2F8D"/>
    <w:rsid w:val="000C6FC4"/>
    <w:rsid w:val="000C72A5"/>
    <w:rsid w:val="000D6A71"/>
    <w:rsid w:val="00107A61"/>
    <w:rsid w:val="001310AD"/>
    <w:rsid w:val="001410B8"/>
    <w:rsid w:val="00141C60"/>
    <w:rsid w:val="0015142D"/>
    <w:rsid w:val="00165B6A"/>
    <w:rsid w:val="00170DD4"/>
    <w:rsid w:val="0017629B"/>
    <w:rsid w:val="00176AD1"/>
    <w:rsid w:val="00185642"/>
    <w:rsid w:val="00190D04"/>
    <w:rsid w:val="001B5E9D"/>
    <w:rsid w:val="001C238F"/>
    <w:rsid w:val="001D0A88"/>
    <w:rsid w:val="001E4C1C"/>
    <w:rsid w:val="001F22B0"/>
    <w:rsid w:val="00206749"/>
    <w:rsid w:val="00213A9B"/>
    <w:rsid w:val="00231658"/>
    <w:rsid w:val="00235107"/>
    <w:rsid w:val="00263703"/>
    <w:rsid w:val="00263D11"/>
    <w:rsid w:val="002828D4"/>
    <w:rsid w:val="00290292"/>
    <w:rsid w:val="00294BC9"/>
    <w:rsid w:val="002B5DE5"/>
    <w:rsid w:val="002D45F4"/>
    <w:rsid w:val="002E0E61"/>
    <w:rsid w:val="002E1699"/>
    <w:rsid w:val="002F2D75"/>
    <w:rsid w:val="002F627B"/>
    <w:rsid w:val="00304247"/>
    <w:rsid w:val="003115B8"/>
    <w:rsid w:val="0031166D"/>
    <w:rsid w:val="00313AAF"/>
    <w:rsid w:val="00315072"/>
    <w:rsid w:val="00332B4E"/>
    <w:rsid w:val="00334A39"/>
    <w:rsid w:val="00343A48"/>
    <w:rsid w:val="003462EF"/>
    <w:rsid w:val="00351C6E"/>
    <w:rsid w:val="00357185"/>
    <w:rsid w:val="0038247A"/>
    <w:rsid w:val="00394B12"/>
    <w:rsid w:val="003A12EA"/>
    <w:rsid w:val="003A2D6F"/>
    <w:rsid w:val="003B56B3"/>
    <w:rsid w:val="003E51D2"/>
    <w:rsid w:val="004069EA"/>
    <w:rsid w:val="0041616E"/>
    <w:rsid w:val="004164D1"/>
    <w:rsid w:val="00421BD2"/>
    <w:rsid w:val="00443705"/>
    <w:rsid w:val="00464431"/>
    <w:rsid w:val="004669E6"/>
    <w:rsid w:val="004B16DC"/>
    <w:rsid w:val="004B59A2"/>
    <w:rsid w:val="004C011C"/>
    <w:rsid w:val="004D4622"/>
    <w:rsid w:val="004D5AD3"/>
    <w:rsid w:val="004E7781"/>
    <w:rsid w:val="005103EA"/>
    <w:rsid w:val="00514435"/>
    <w:rsid w:val="005317EA"/>
    <w:rsid w:val="00567159"/>
    <w:rsid w:val="005736AE"/>
    <w:rsid w:val="0058185E"/>
    <w:rsid w:val="00583444"/>
    <w:rsid w:val="00596440"/>
    <w:rsid w:val="005A6C6E"/>
    <w:rsid w:val="005B4FA3"/>
    <w:rsid w:val="005C02D7"/>
    <w:rsid w:val="005C2CDA"/>
    <w:rsid w:val="00602BD1"/>
    <w:rsid w:val="006055FC"/>
    <w:rsid w:val="006508E2"/>
    <w:rsid w:val="00657C18"/>
    <w:rsid w:val="00682B59"/>
    <w:rsid w:val="006B025D"/>
    <w:rsid w:val="006B626B"/>
    <w:rsid w:val="006C2EFB"/>
    <w:rsid w:val="006C56DE"/>
    <w:rsid w:val="006D4DFB"/>
    <w:rsid w:val="006E10F1"/>
    <w:rsid w:val="006E1445"/>
    <w:rsid w:val="00701EAD"/>
    <w:rsid w:val="00710F2E"/>
    <w:rsid w:val="00713D7B"/>
    <w:rsid w:val="00717A1C"/>
    <w:rsid w:val="00743CAF"/>
    <w:rsid w:val="00756DBD"/>
    <w:rsid w:val="007905B6"/>
    <w:rsid w:val="007A2F97"/>
    <w:rsid w:val="007A52A9"/>
    <w:rsid w:val="007B53B1"/>
    <w:rsid w:val="007C1560"/>
    <w:rsid w:val="007C7298"/>
    <w:rsid w:val="007E1CC7"/>
    <w:rsid w:val="007E2605"/>
    <w:rsid w:val="007F5DA2"/>
    <w:rsid w:val="007F6182"/>
    <w:rsid w:val="00802BAF"/>
    <w:rsid w:val="0088666B"/>
    <w:rsid w:val="00890EDD"/>
    <w:rsid w:val="008976B8"/>
    <w:rsid w:val="008B1539"/>
    <w:rsid w:val="008B37BD"/>
    <w:rsid w:val="008C36BA"/>
    <w:rsid w:val="008E5D40"/>
    <w:rsid w:val="008E6FE6"/>
    <w:rsid w:val="008F75C9"/>
    <w:rsid w:val="009010CF"/>
    <w:rsid w:val="00902FD3"/>
    <w:rsid w:val="0091705D"/>
    <w:rsid w:val="00931A54"/>
    <w:rsid w:val="0096472C"/>
    <w:rsid w:val="0098329B"/>
    <w:rsid w:val="009876DB"/>
    <w:rsid w:val="00994CC1"/>
    <w:rsid w:val="009A47FC"/>
    <w:rsid w:val="009C5800"/>
    <w:rsid w:val="009E57A0"/>
    <w:rsid w:val="009E5E2F"/>
    <w:rsid w:val="009F0111"/>
    <w:rsid w:val="00A03816"/>
    <w:rsid w:val="00A051F3"/>
    <w:rsid w:val="00A1005E"/>
    <w:rsid w:val="00A35098"/>
    <w:rsid w:val="00A43E16"/>
    <w:rsid w:val="00A542DA"/>
    <w:rsid w:val="00A84248"/>
    <w:rsid w:val="00A84564"/>
    <w:rsid w:val="00A86AEE"/>
    <w:rsid w:val="00A86B56"/>
    <w:rsid w:val="00A87F1E"/>
    <w:rsid w:val="00AA7D96"/>
    <w:rsid w:val="00AB4DF2"/>
    <w:rsid w:val="00AC6279"/>
    <w:rsid w:val="00AD3C42"/>
    <w:rsid w:val="00AD54ED"/>
    <w:rsid w:val="00AE42B7"/>
    <w:rsid w:val="00AF2120"/>
    <w:rsid w:val="00AF7E48"/>
    <w:rsid w:val="00B10594"/>
    <w:rsid w:val="00B108D3"/>
    <w:rsid w:val="00B11AEC"/>
    <w:rsid w:val="00B12D98"/>
    <w:rsid w:val="00B16EA6"/>
    <w:rsid w:val="00B23554"/>
    <w:rsid w:val="00B31D95"/>
    <w:rsid w:val="00B65EA0"/>
    <w:rsid w:val="00B77DFB"/>
    <w:rsid w:val="00B805FD"/>
    <w:rsid w:val="00B8102B"/>
    <w:rsid w:val="00B83F5D"/>
    <w:rsid w:val="00B84759"/>
    <w:rsid w:val="00B926AC"/>
    <w:rsid w:val="00B95CE6"/>
    <w:rsid w:val="00BA66C0"/>
    <w:rsid w:val="00BA7163"/>
    <w:rsid w:val="00BA72DB"/>
    <w:rsid w:val="00BB2302"/>
    <w:rsid w:val="00BC238C"/>
    <w:rsid w:val="00BC7F12"/>
    <w:rsid w:val="00BD7A9E"/>
    <w:rsid w:val="00BE3161"/>
    <w:rsid w:val="00BE34ED"/>
    <w:rsid w:val="00BE725C"/>
    <w:rsid w:val="00BF1B3E"/>
    <w:rsid w:val="00C12CCE"/>
    <w:rsid w:val="00C24150"/>
    <w:rsid w:val="00C25797"/>
    <w:rsid w:val="00C3526A"/>
    <w:rsid w:val="00C355F9"/>
    <w:rsid w:val="00C46568"/>
    <w:rsid w:val="00C57817"/>
    <w:rsid w:val="00C6012E"/>
    <w:rsid w:val="00C650CD"/>
    <w:rsid w:val="00C671F9"/>
    <w:rsid w:val="00C710A2"/>
    <w:rsid w:val="00C81CE0"/>
    <w:rsid w:val="00C85D6A"/>
    <w:rsid w:val="00C86F87"/>
    <w:rsid w:val="00C9710A"/>
    <w:rsid w:val="00CC22A0"/>
    <w:rsid w:val="00CD68DC"/>
    <w:rsid w:val="00CE3AAA"/>
    <w:rsid w:val="00CE5AD4"/>
    <w:rsid w:val="00CF5053"/>
    <w:rsid w:val="00CF58E8"/>
    <w:rsid w:val="00D02150"/>
    <w:rsid w:val="00D03976"/>
    <w:rsid w:val="00D039C4"/>
    <w:rsid w:val="00D04377"/>
    <w:rsid w:val="00D116A4"/>
    <w:rsid w:val="00D245DC"/>
    <w:rsid w:val="00D27CEF"/>
    <w:rsid w:val="00D31A26"/>
    <w:rsid w:val="00D378C6"/>
    <w:rsid w:val="00D60387"/>
    <w:rsid w:val="00D72F89"/>
    <w:rsid w:val="00D73A3E"/>
    <w:rsid w:val="00D757DF"/>
    <w:rsid w:val="00DA6158"/>
    <w:rsid w:val="00DB7FEC"/>
    <w:rsid w:val="00DC289C"/>
    <w:rsid w:val="00DC3F0E"/>
    <w:rsid w:val="00DD0A8B"/>
    <w:rsid w:val="00DD1712"/>
    <w:rsid w:val="00DE3332"/>
    <w:rsid w:val="00E1536F"/>
    <w:rsid w:val="00E2666E"/>
    <w:rsid w:val="00E27A2C"/>
    <w:rsid w:val="00E3673A"/>
    <w:rsid w:val="00E446C3"/>
    <w:rsid w:val="00E51112"/>
    <w:rsid w:val="00E60200"/>
    <w:rsid w:val="00E75962"/>
    <w:rsid w:val="00E76BA5"/>
    <w:rsid w:val="00E84BCF"/>
    <w:rsid w:val="00E94A12"/>
    <w:rsid w:val="00E95298"/>
    <w:rsid w:val="00EA6539"/>
    <w:rsid w:val="00EB4EFE"/>
    <w:rsid w:val="00EB5407"/>
    <w:rsid w:val="00ED7931"/>
    <w:rsid w:val="00EE7B00"/>
    <w:rsid w:val="00F01D9A"/>
    <w:rsid w:val="00F07605"/>
    <w:rsid w:val="00F16882"/>
    <w:rsid w:val="00F408D8"/>
    <w:rsid w:val="00F64264"/>
    <w:rsid w:val="00F66451"/>
    <w:rsid w:val="00F67388"/>
    <w:rsid w:val="00F712FA"/>
    <w:rsid w:val="00F82025"/>
    <w:rsid w:val="00F95E63"/>
    <w:rsid w:val="00FC60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D78ED2"/>
  <w15:chartTrackingRefBased/>
  <w15:docId w15:val="{CAC95C9E-9AB3-4270-B3C2-FE2136F6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next w:val="Normal"/>
    <w:link w:val="Heading1Char"/>
    <w:uiPriority w:val="9"/>
    <w:unhideWhenUsed/>
    <w:qFormat/>
    <w:rsid w:val="002E1699"/>
    <w:pPr>
      <w:keepNext/>
      <w:keepLines/>
      <w:spacing w:line="259" w:lineRule="auto"/>
      <w:ind w:left="20" w:hanging="10"/>
      <w:outlineLvl w:val="0"/>
    </w:pPr>
    <w:rPr>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BC238C"/>
    <w:rPr>
      <w:rFonts w:ascii="Tahoma" w:hAnsi="Tahoma" w:cs="Tahoma"/>
      <w:sz w:val="16"/>
      <w:szCs w:val="16"/>
    </w:rPr>
  </w:style>
  <w:style w:type="paragraph" w:styleId="Header">
    <w:name w:val="header"/>
    <w:basedOn w:val="Normal"/>
    <w:link w:val="HeaderChar"/>
    <w:uiPriority w:val="99"/>
    <w:rsid w:val="00BA7163"/>
    <w:pPr>
      <w:tabs>
        <w:tab w:val="center" w:pos="4320"/>
        <w:tab w:val="right" w:pos="8640"/>
      </w:tabs>
    </w:pPr>
  </w:style>
  <w:style w:type="character" w:styleId="CommentReference">
    <w:name w:val="annotation reference"/>
    <w:uiPriority w:val="99"/>
    <w:rsid w:val="00D73A3E"/>
    <w:rPr>
      <w:sz w:val="16"/>
      <w:szCs w:val="16"/>
    </w:rPr>
  </w:style>
  <w:style w:type="paragraph" w:styleId="CommentText">
    <w:name w:val="annotation text"/>
    <w:aliases w:val="t"/>
    <w:basedOn w:val="Normal"/>
    <w:link w:val="CommentTextChar"/>
    <w:uiPriority w:val="99"/>
    <w:qFormat/>
    <w:rsid w:val="00D73A3E"/>
    <w:rPr>
      <w:szCs w:val="20"/>
    </w:rPr>
  </w:style>
  <w:style w:type="character" w:customStyle="1" w:styleId="CommentTextChar">
    <w:name w:val="Comment Text Char"/>
    <w:aliases w:val="t Char"/>
    <w:basedOn w:val="DefaultParagraphFont"/>
    <w:link w:val="CommentText"/>
    <w:uiPriority w:val="99"/>
    <w:rsid w:val="00D73A3E"/>
  </w:style>
  <w:style w:type="paragraph" w:styleId="CommentSubject">
    <w:name w:val="annotation subject"/>
    <w:basedOn w:val="CommentText"/>
    <w:next w:val="CommentText"/>
    <w:link w:val="CommentSubjectChar"/>
    <w:rsid w:val="00D73A3E"/>
    <w:rPr>
      <w:b/>
      <w:bCs/>
    </w:rPr>
  </w:style>
  <w:style w:type="character" w:customStyle="1" w:styleId="CommentSubjectChar">
    <w:name w:val="Comment Subject Char"/>
    <w:link w:val="CommentSubject"/>
    <w:rsid w:val="00D73A3E"/>
    <w:rPr>
      <w:b/>
      <w:bCs/>
    </w:rPr>
  </w:style>
  <w:style w:type="paragraph" w:styleId="PlainText">
    <w:name w:val="Plain Text"/>
    <w:basedOn w:val="Normal"/>
    <w:link w:val="PlainTextChar"/>
    <w:uiPriority w:val="99"/>
    <w:unhideWhenUsed/>
    <w:rsid w:val="00421BD2"/>
    <w:pPr>
      <w:widowControl/>
      <w:autoSpaceDE/>
      <w:autoSpaceDN/>
      <w:adjustRightInd/>
    </w:pPr>
    <w:rPr>
      <w:rFonts w:ascii="Calibri" w:eastAsia="Calibri" w:hAnsi="Calibri" w:cs="Calibri"/>
      <w:sz w:val="22"/>
      <w:szCs w:val="22"/>
    </w:rPr>
  </w:style>
  <w:style w:type="character" w:customStyle="1" w:styleId="PlainTextChar">
    <w:name w:val="Plain Text Char"/>
    <w:link w:val="PlainText"/>
    <w:uiPriority w:val="99"/>
    <w:rsid w:val="00421BD2"/>
    <w:rPr>
      <w:rFonts w:ascii="Calibri" w:eastAsia="Calibri" w:hAnsi="Calibri" w:cs="Calibri"/>
      <w:sz w:val="22"/>
      <w:szCs w:val="22"/>
    </w:rPr>
  </w:style>
  <w:style w:type="character" w:styleId="Hyperlink">
    <w:name w:val="Hyperlink"/>
    <w:rsid w:val="00D039C4"/>
    <w:rPr>
      <w:color w:val="0563C1"/>
      <w:u w:val="single"/>
    </w:rPr>
  </w:style>
  <w:style w:type="character" w:styleId="FollowedHyperlink">
    <w:name w:val="FollowedHyperlink"/>
    <w:rsid w:val="003A12EA"/>
    <w:rPr>
      <w:color w:val="954F72"/>
      <w:u w:val="single"/>
    </w:rPr>
  </w:style>
  <w:style w:type="paragraph" w:styleId="Revision">
    <w:name w:val="Revision"/>
    <w:hidden/>
    <w:uiPriority w:val="99"/>
    <w:semiHidden/>
    <w:rsid w:val="00290292"/>
    <w:rPr>
      <w:szCs w:val="24"/>
    </w:rPr>
  </w:style>
  <w:style w:type="paragraph" w:styleId="Footer">
    <w:name w:val="footer"/>
    <w:basedOn w:val="Normal"/>
    <w:link w:val="FooterChar"/>
    <w:uiPriority w:val="99"/>
    <w:rsid w:val="00EE7B00"/>
    <w:pPr>
      <w:tabs>
        <w:tab w:val="center" w:pos="4680"/>
        <w:tab w:val="right" w:pos="9360"/>
      </w:tabs>
    </w:pPr>
  </w:style>
  <w:style w:type="character" w:customStyle="1" w:styleId="FooterChar">
    <w:name w:val="Footer Char"/>
    <w:basedOn w:val="DefaultParagraphFont"/>
    <w:link w:val="Footer"/>
    <w:uiPriority w:val="99"/>
    <w:rsid w:val="00EE7B00"/>
    <w:rPr>
      <w:szCs w:val="24"/>
    </w:rPr>
  </w:style>
  <w:style w:type="character" w:customStyle="1" w:styleId="HeaderChar">
    <w:name w:val="Header Char"/>
    <w:basedOn w:val="DefaultParagraphFont"/>
    <w:link w:val="Header"/>
    <w:uiPriority w:val="99"/>
    <w:rsid w:val="00DC3F0E"/>
    <w:rPr>
      <w:szCs w:val="24"/>
    </w:rPr>
  </w:style>
  <w:style w:type="character" w:customStyle="1" w:styleId="Heading1Char">
    <w:name w:val="Heading 1 Char"/>
    <w:basedOn w:val="DefaultParagraphFont"/>
    <w:link w:val="Heading1"/>
    <w:uiPriority w:val="9"/>
    <w:rsid w:val="002E1699"/>
    <w:rPr>
      <w:b/>
      <w:color w:val="000000"/>
      <w:sz w:val="24"/>
      <w:szCs w:val="22"/>
    </w:rPr>
  </w:style>
  <w:style w:type="table" w:customStyle="1" w:styleId="TableGrid1">
    <w:name w:val="Table Grid1"/>
    <w:rsid w:val="002E169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EB52D-BDD2-45F0-945A-3E1702D3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1214</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 Disproportionate Share Hospital(DSH) Annual Reporting Requirements</vt:lpstr>
    </vt:vector>
  </TitlesOfParts>
  <Company>CMS</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Disproportionate Share Hospital(DSH) Annual Reporting Requirements</dc:title>
  <dc:creator>CMS</dc:creator>
  <cp:lastModifiedBy>Bryman, Mitch (CMS/OSORA)</cp:lastModifiedBy>
  <cp:revision>45</cp:revision>
  <cp:lastPrinted>2017-03-22T16:13:00Z</cp:lastPrinted>
  <dcterms:created xsi:type="dcterms:W3CDTF">2023-06-29T18:47:00Z</dcterms:created>
  <dcterms:modified xsi:type="dcterms:W3CDTF">2023-09-19T11:59:00Z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