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EF075E" w:rsidP="00EF075E" w14:paraId="77177300" w14:textId="77777777">
      <w:pPr>
        <w:pStyle w:val="NoSpacing"/>
      </w:pPr>
    </w:p>
    <w:p w:rsidR="00EF075E" w:rsidP="00EF075E" w14:paraId="59A3B4B2" w14:textId="77777777">
      <w:pPr>
        <w:pStyle w:val="NoSpacing"/>
      </w:pPr>
    </w:p>
    <w:p w:rsidR="00EF075E" w:rsidP="00EF075E" w14:paraId="7857E781" w14:textId="77777777">
      <w:pPr>
        <w:pStyle w:val="NoSpacing"/>
      </w:pPr>
    </w:p>
    <w:p w:rsidR="00EF075E" w:rsidP="00EF075E" w14:paraId="5F592DB5" w14:textId="77777777">
      <w:pPr>
        <w:pStyle w:val="NoSpacing"/>
      </w:pPr>
    </w:p>
    <w:p w:rsidR="00EF075E" w:rsidP="00EF075E" w14:paraId="7B3B5DAE" w14:textId="77777777">
      <w:pPr>
        <w:pStyle w:val="NoSpacing"/>
      </w:pPr>
    </w:p>
    <w:p w:rsidR="00EF075E" w:rsidP="00EF075E" w14:paraId="2F85CFC0" w14:textId="77777777">
      <w:pPr>
        <w:pStyle w:val="NoSpacing"/>
      </w:pPr>
    </w:p>
    <w:p w:rsidR="00EF075E" w:rsidP="00EF075E" w14:paraId="3B7FD630" w14:textId="77777777">
      <w:pPr>
        <w:pStyle w:val="NoSpacing"/>
      </w:pPr>
    </w:p>
    <w:p w:rsidR="00EF075E" w:rsidP="00EF075E" w14:paraId="3248B652" w14:textId="77777777">
      <w:pPr>
        <w:pStyle w:val="NoSpacing"/>
      </w:pPr>
    </w:p>
    <w:p w:rsidR="00EF075E" w:rsidP="00EF075E" w14:paraId="2A873B30" w14:textId="77777777">
      <w:pPr>
        <w:pStyle w:val="NoSpacing"/>
      </w:pPr>
    </w:p>
    <w:p w:rsidR="00EF075E" w:rsidP="00EF075E" w14:paraId="20F65A49" w14:textId="77777777">
      <w:pPr>
        <w:pStyle w:val="NoSpacing"/>
      </w:pPr>
    </w:p>
    <w:p w:rsidR="00EF075E" w:rsidP="00EF075E" w14:paraId="25F25EB0" w14:textId="77777777">
      <w:pPr>
        <w:pStyle w:val="NoSpacing"/>
      </w:pPr>
    </w:p>
    <w:p w:rsidR="00EF075E" w:rsidP="00EF075E" w14:paraId="5E275A4E" w14:textId="77777777">
      <w:pPr>
        <w:pStyle w:val="NoSpacing"/>
      </w:pPr>
    </w:p>
    <w:p w:rsidR="00EF075E" w:rsidRPr="00EF075E" w:rsidP="00EF075E" w14:paraId="26C05068" w14:textId="77777777">
      <w:pPr>
        <w:pStyle w:val="NoSpacing"/>
        <w:jc w:val="center"/>
        <w:rPr>
          <w:b/>
        </w:rPr>
      </w:pPr>
    </w:p>
    <w:p w:rsidR="00EF075E" w:rsidRPr="00EF075E" w:rsidP="00EF075E" w14:paraId="3AD9791A" w14:textId="77777777">
      <w:pPr>
        <w:pStyle w:val="NoSpacing"/>
        <w:jc w:val="center"/>
        <w:rPr>
          <w:b/>
        </w:rPr>
      </w:pPr>
      <w:r w:rsidRPr="00EF075E">
        <w:rPr>
          <w:b/>
        </w:rPr>
        <w:t>U.S. DEPA</w:t>
      </w:r>
      <w:r w:rsidR="00CF0225">
        <w:rPr>
          <w:b/>
        </w:rPr>
        <w:t>R</w:t>
      </w:r>
      <w:r w:rsidRPr="00EF075E">
        <w:rPr>
          <w:b/>
        </w:rPr>
        <w:t>TMENT OF HE</w:t>
      </w:r>
      <w:r w:rsidR="00AB431D">
        <w:rPr>
          <w:b/>
        </w:rPr>
        <w:t>A</w:t>
      </w:r>
      <w:r w:rsidRPr="00EF075E">
        <w:rPr>
          <w:b/>
        </w:rPr>
        <w:t>LTH AND HUMAN SERVICES</w:t>
      </w:r>
    </w:p>
    <w:p w:rsidR="00EF075E" w:rsidRPr="00EF075E" w:rsidP="00EF075E" w14:paraId="4407B3AF" w14:textId="77777777">
      <w:pPr>
        <w:pStyle w:val="NoSpacing"/>
        <w:jc w:val="center"/>
        <w:rPr>
          <w:b/>
        </w:rPr>
      </w:pPr>
      <w:r w:rsidRPr="00EF075E">
        <w:rPr>
          <w:b/>
        </w:rPr>
        <w:t>CENTERS FOR MEDICARE &amp; MEDICAID SERVICES</w:t>
      </w:r>
    </w:p>
    <w:p w:rsidR="00EF075E" w:rsidRPr="00EF075E" w:rsidP="00EF075E" w14:paraId="76852739" w14:textId="77777777">
      <w:pPr>
        <w:pStyle w:val="NoSpacing"/>
        <w:jc w:val="center"/>
        <w:rPr>
          <w:b/>
        </w:rPr>
      </w:pPr>
    </w:p>
    <w:p w:rsidR="00EF075E" w:rsidRPr="00EF075E" w:rsidP="00EF075E" w14:paraId="6D3EB010" w14:textId="77777777">
      <w:pPr>
        <w:pStyle w:val="NoSpacing"/>
        <w:jc w:val="center"/>
        <w:rPr>
          <w:b/>
        </w:rPr>
      </w:pPr>
    </w:p>
    <w:p w:rsidR="00EF075E" w:rsidRPr="00EF075E" w:rsidP="00EF075E" w14:paraId="18F5477B" w14:textId="77777777">
      <w:pPr>
        <w:pStyle w:val="NoSpacing"/>
        <w:jc w:val="center"/>
        <w:rPr>
          <w:b/>
        </w:rPr>
      </w:pPr>
      <w:r w:rsidRPr="00EF075E">
        <w:rPr>
          <w:b/>
        </w:rPr>
        <w:t>OFFICE OF MANAGEMENT AND BUDGET</w:t>
      </w:r>
    </w:p>
    <w:p w:rsidR="00EF075E" w:rsidRPr="00EF075E" w:rsidP="00EF075E" w14:paraId="14C4024B" w14:textId="77777777">
      <w:pPr>
        <w:pStyle w:val="NoSpacing"/>
        <w:jc w:val="center"/>
        <w:rPr>
          <w:b/>
        </w:rPr>
      </w:pPr>
      <w:r w:rsidRPr="00EF075E">
        <w:rPr>
          <w:b/>
        </w:rPr>
        <w:t>PAPERWORK REDUCTION ACT</w:t>
      </w:r>
    </w:p>
    <w:p w:rsidR="00EF075E" w:rsidRPr="00EF075E" w:rsidP="00EF075E" w14:paraId="3E98AB19" w14:textId="77777777">
      <w:pPr>
        <w:pStyle w:val="NoSpacing"/>
        <w:jc w:val="center"/>
        <w:rPr>
          <w:b/>
        </w:rPr>
      </w:pPr>
      <w:r w:rsidRPr="00EF075E">
        <w:rPr>
          <w:b/>
        </w:rPr>
        <w:t>CLEARANCE PACKAGE</w:t>
      </w:r>
    </w:p>
    <w:p w:rsidR="00EF075E" w:rsidRPr="00F4169E" w:rsidP="00EF075E" w14:paraId="01E8AC3D" w14:textId="77777777">
      <w:pPr>
        <w:pStyle w:val="NoSpacing"/>
      </w:pPr>
    </w:p>
    <w:p w:rsidR="00EF075E" w:rsidRPr="00F4169E" w:rsidP="00EF075E" w14:paraId="56243E94" w14:textId="77777777">
      <w:pPr>
        <w:pStyle w:val="NoSpacing"/>
      </w:pPr>
    </w:p>
    <w:p w:rsidR="00EF075E" w:rsidRPr="00F4169E" w:rsidP="00EF075E" w14:paraId="4781AA3B" w14:textId="77777777">
      <w:pPr>
        <w:pStyle w:val="NoSpacing"/>
      </w:pPr>
    </w:p>
    <w:p w:rsidR="00EF075E" w:rsidRPr="00F4169E" w:rsidP="00EF075E" w14:paraId="546C6A94" w14:textId="77777777">
      <w:pPr>
        <w:pStyle w:val="NoSpacing"/>
      </w:pPr>
    </w:p>
    <w:p w:rsidR="00EF075E" w:rsidRPr="00F4169E" w:rsidP="00EF075E" w14:paraId="5E41A51A" w14:textId="77777777">
      <w:pPr>
        <w:pStyle w:val="NoSpacing"/>
      </w:pPr>
    </w:p>
    <w:p w:rsidR="00EF075E" w:rsidRPr="00F4169E" w:rsidP="00EF075E" w14:paraId="1767C185" w14:textId="77777777">
      <w:pPr>
        <w:pStyle w:val="NoSpacing"/>
      </w:pPr>
    </w:p>
    <w:p w:rsidR="00EF075E" w:rsidRPr="00F4169E" w:rsidP="00EF075E" w14:paraId="0277D473" w14:textId="77777777">
      <w:pPr>
        <w:pStyle w:val="NoSpacing"/>
        <w:rPr>
          <w:i/>
          <w:u w:val="single"/>
        </w:rPr>
      </w:pPr>
    </w:p>
    <w:p w:rsidR="00EF075E" w:rsidRPr="00EF075E" w:rsidP="00A8600F" w14:paraId="4A1DFE0B" w14:textId="77777777">
      <w:pPr>
        <w:pStyle w:val="Heading1title"/>
      </w:pPr>
      <w:r w:rsidRPr="00EF075E">
        <w:t>SUPPORTING STATEMENT-PART A</w:t>
      </w:r>
    </w:p>
    <w:p w:rsidR="00EF075E" w:rsidRPr="00F4169E" w:rsidP="00EF075E" w14:paraId="7BA7C3A9" w14:textId="77777777">
      <w:pPr>
        <w:pStyle w:val="NoSpacing"/>
      </w:pPr>
    </w:p>
    <w:p w:rsidR="00EF075E" w:rsidRPr="00F4169E" w:rsidP="00EF075E" w14:paraId="6E0A2F2A" w14:textId="05289E0D">
      <w:pPr>
        <w:pStyle w:val="NoSpacing"/>
        <w:jc w:val="center"/>
      </w:pPr>
      <w:r>
        <w:t xml:space="preserve">REVISIONS TO </w:t>
      </w:r>
      <w:r w:rsidRPr="00F4169E">
        <w:t>THE LTCH CARE DATA SET</w:t>
      </w:r>
      <w:r w:rsidR="00A022BF">
        <w:t xml:space="preserve"> (LCDS) V5.</w:t>
      </w:r>
      <w:r>
        <w:t>1</w:t>
      </w:r>
      <w:r w:rsidRPr="00F4169E">
        <w:t xml:space="preserve"> </w:t>
      </w:r>
    </w:p>
    <w:p w:rsidR="00EF075E" w:rsidRPr="00F4169E" w:rsidP="00EF075E" w14:paraId="17C0595E" w14:textId="77777777">
      <w:pPr>
        <w:pStyle w:val="NoSpacing"/>
        <w:jc w:val="center"/>
      </w:pPr>
      <w:r w:rsidRPr="00F4169E">
        <w:t>FOR THE COLLECTION OF DATA</w:t>
      </w:r>
    </w:p>
    <w:p w:rsidR="00EF075E" w:rsidRPr="00F4169E" w:rsidP="00EF075E" w14:paraId="49312F68" w14:textId="77777777">
      <w:pPr>
        <w:pStyle w:val="NoSpacing"/>
        <w:jc w:val="center"/>
      </w:pPr>
      <w:r w:rsidRPr="00F4169E">
        <w:t>PERTAINING TO</w:t>
      </w:r>
    </w:p>
    <w:p w:rsidR="00EF075E" w:rsidRPr="00F4169E" w:rsidP="00EF075E" w14:paraId="7EF494D3" w14:textId="77777777">
      <w:pPr>
        <w:pStyle w:val="NoSpacing"/>
        <w:jc w:val="center"/>
      </w:pPr>
      <w:r w:rsidRPr="00F4169E">
        <w:t>LONG-TERM CARE HOSPITAL QUALITY REPORTING PROGRAM</w:t>
      </w:r>
    </w:p>
    <w:p w:rsidR="002219EE" w:rsidP="00EF075E" w14:paraId="07FE6003" w14:textId="77777777">
      <w:pPr>
        <w:pStyle w:val="NoSpacing"/>
      </w:pPr>
    </w:p>
    <w:p w:rsidR="00EF075E" w:rsidP="00EF075E" w14:paraId="44B60238" w14:textId="77777777">
      <w:pPr>
        <w:pStyle w:val="NoSpacing"/>
        <w:sectPr>
          <w:pgSz w:w="12240" w:h="15840"/>
          <w:pgMar w:top="1440" w:right="1440" w:bottom="1440" w:left="1440" w:header="720" w:footer="720" w:gutter="0"/>
          <w:cols w:space="720"/>
          <w:docGrid w:linePitch="360"/>
        </w:sectPr>
      </w:pPr>
    </w:p>
    <w:p w:rsidR="002216DB" w:rsidRPr="00AA14E5" w:rsidP="002216DB" w14:paraId="158001DA" w14:textId="77777777">
      <w:pPr>
        <w:pStyle w:val="NoSpacing"/>
        <w:jc w:val="center"/>
        <w:rPr>
          <w:b/>
          <w:u w:val="single"/>
        </w:rPr>
      </w:pPr>
      <w:r w:rsidRPr="00AA14E5">
        <w:rPr>
          <w:b/>
          <w:u w:val="single"/>
        </w:rPr>
        <w:t>SUPPORTING STATEMENT-PART A</w:t>
      </w:r>
    </w:p>
    <w:p w:rsidR="002216DB" w:rsidRPr="00AA14E5" w:rsidP="002216DB" w14:paraId="6AD3C410" w14:textId="77777777">
      <w:pPr>
        <w:pStyle w:val="NoSpacing"/>
        <w:jc w:val="center"/>
      </w:pPr>
      <w:r w:rsidRPr="00AA14E5">
        <w:t>LTCH CARE DATA SET</w:t>
      </w:r>
    </w:p>
    <w:p w:rsidR="00B3151F" w:rsidP="00B3151F" w14:paraId="591578AC" w14:textId="77777777">
      <w:pPr>
        <w:pStyle w:val="NoSpacing"/>
        <w:jc w:val="center"/>
      </w:pPr>
      <w:r>
        <w:t xml:space="preserve">FOR THE COLLECTION OF DATA </w:t>
      </w:r>
      <w:r w:rsidRPr="00AA14E5" w:rsidR="002216DB">
        <w:t xml:space="preserve">PERTAINING TO </w:t>
      </w:r>
    </w:p>
    <w:p w:rsidR="002216DB" w:rsidRPr="00AA14E5" w:rsidP="00B3151F" w14:paraId="27C336D4" w14:textId="77777777">
      <w:pPr>
        <w:pStyle w:val="NoSpacing"/>
        <w:jc w:val="center"/>
      </w:pPr>
      <w:r w:rsidRPr="00AA14E5">
        <w:t>THE LONG</w:t>
      </w:r>
      <w:r w:rsidRPr="00AA14E5" w:rsidR="002B263F">
        <w:t>-</w:t>
      </w:r>
      <w:r w:rsidRPr="00AA14E5">
        <w:t>TERM CARE HOSPITAL QUALITY REPORTING PROGRAM</w:t>
      </w:r>
    </w:p>
    <w:p w:rsidR="002216DB" w:rsidRPr="00AA14E5" w:rsidP="002216DB" w14:paraId="071B1C6A" w14:textId="77777777">
      <w:pPr>
        <w:pStyle w:val="NoSpacing"/>
        <w:jc w:val="center"/>
      </w:pPr>
    </w:p>
    <w:p w:rsidR="002216DB" w:rsidRPr="00AA14E5" w:rsidP="002216DB" w14:paraId="361DC73B" w14:textId="77777777">
      <w:pPr>
        <w:pStyle w:val="NoSpacing"/>
        <w:jc w:val="center"/>
      </w:pPr>
    </w:p>
    <w:p w:rsidR="002216DB" w:rsidRPr="00AA14E5" w:rsidP="002216DB" w14:paraId="2F70E92B" w14:textId="77777777">
      <w:pPr>
        <w:pStyle w:val="NoSpacing"/>
        <w:jc w:val="center"/>
      </w:pPr>
    </w:p>
    <w:sdt>
      <w:sdtPr>
        <w:rPr>
          <w:rFonts w:eastAsiaTheme="minorHAnsi" w:cstheme="minorBidi"/>
          <w:b w:val="0"/>
          <w:szCs w:val="22"/>
        </w:rPr>
        <w:id w:val="1238985117"/>
        <w:docPartObj>
          <w:docPartGallery w:val="Table of Contents"/>
          <w:docPartUnique/>
        </w:docPartObj>
      </w:sdtPr>
      <w:sdtEndPr>
        <w:rPr>
          <w:bCs/>
          <w:noProof/>
        </w:rPr>
      </w:sdtEndPr>
      <w:sdtContent>
        <w:p w:rsidR="007340AA" w14:paraId="19ADDC15" w14:textId="77777777">
          <w:pPr>
            <w:pStyle w:val="TOCHeading"/>
          </w:pPr>
          <w:r>
            <w:t>Table of Contents</w:t>
          </w:r>
        </w:p>
        <w:p w:rsidR="00C97219" w14:paraId="6BCDA25A" w14:textId="14D226FF">
          <w:pPr>
            <w:pStyle w:val="TOC1"/>
            <w:rPr>
              <w:rFonts w:asciiTheme="minorHAnsi" w:eastAsiaTheme="minorEastAsia" w:hAnsiTheme="minorHAnsi" w:cstheme="minorBidi"/>
              <w:sz w:val="22"/>
              <w:szCs w:val="22"/>
            </w:rPr>
          </w:pPr>
          <w:r>
            <w:fldChar w:fldCharType="begin"/>
          </w:r>
          <w:r>
            <w:instrText xml:space="preserve"> TOC \o "1-3" \h \z \u </w:instrText>
          </w:r>
          <w:r>
            <w:fldChar w:fldCharType="separate"/>
          </w:r>
          <w:hyperlink w:anchor="_Toc144904211" w:history="1">
            <w:r w:rsidRPr="006C04A2">
              <w:rPr>
                <w:rStyle w:val="Hyperlink"/>
              </w:rPr>
              <w:t>A.</w:t>
            </w:r>
            <w:r>
              <w:rPr>
                <w:rFonts w:asciiTheme="minorHAnsi" w:eastAsiaTheme="minorEastAsia" w:hAnsiTheme="minorHAnsi" w:cstheme="minorBidi"/>
                <w:sz w:val="22"/>
                <w:szCs w:val="22"/>
              </w:rPr>
              <w:tab/>
            </w:r>
            <w:r w:rsidRPr="006C04A2">
              <w:rPr>
                <w:rStyle w:val="Hyperlink"/>
              </w:rPr>
              <w:t>Background</w:t>
            </w:r>
            <w:r>
              <w:rPr>
                <w:webHidden/>
              </w:rPr>
              <w:tab/>
            </w:r>
            <w:r>
              <w:rPr>
                <w:webHidden/>
              </w:rPr>
              <w:fldChar w:fldCharType="begin"/>
            </w:r>
            <w:r>
              <w:rPr>
                <w:webHidden/>
              </w:rPr>
              <w:instrText xml:space="preserve"> PAGEREF _Toc144904211 \h </w:instrText>
            </w:r>
            <w:r>
              <w:rPr>
                <w:webHidden/>
              </w:rPr>
              <w:fldChar w:fldCharType="separate"/>
            </w:r>
            <w:r>
              <w:rPr>
                <w:webHidden/>
              </w:rPr>
              <w:t>1</w:t>
            </w:r>
            <w:r>
              <w:rPr>
                <w:webHidden/>
              </w:rPr>
              <w:fldChar w:fldCharType="end"/>
            </w:r>
          </w:hyperlink>
        </w:p>
        <w:p w:rsidR="00C97219" w14:paraId="4ADA4BE2" w14:textId="30EC1981">
          <w:pPr>
            <w:pStyle w:val="TOC2"/>
            <w:tabs>
              <w:tab w:val="left" w:pos="1080"/>
            </w:tabs>
            <w:rPr>
              <w:rFonts w:asciiTheme="minorHAnsi" w:eastAsiaTheme="minorEastAsia" w:hAnsiTheme="minorHAnsi" w:cstheme="minorBidi"/>
              <w:sz w:val="22"/>
              <w:szCs w:val="22"/>
            </w:rPr>
          </w:pPr>
          <w:hyperlink w:anchor="_Toc144904212" w:history="1">
            <w:r w:rsidRPr="006C04A2">
              <w:rPr>
                <w:rStyle w:val="Hyperlink"/>
              </w:rPr>
              <w:t>1.</w:t>
            </w:r>
            <w:r>
              <w:rPr>
                <w:rFonts w:asciiTheme="minorHAnsi" w:eastAsiaTheme="minorEastAsia" w:hAnsiTheme="minorHAnsi" w:cstheme="minorBidi"/>
                <w:sz w:val="22"/>
                <w:szCs w:val="22"/>
              </w:rPr>
              <w:tab/>
            </w:r>
            <w:r w:rsidRPr="006C04A2">
              <w:rPr>
                <w:rStyle w:val="Hyperlink"/>
              </w:rPr>
              <w:t>Background of the LCDS in LTCHs</w:t>
            </w:r>
            <w:r>
              <w:rPr>
                <w:webHidden/>
              </w:rPr>
              <w:tab/>
            </w:r>
            <w:r>
              <w:rPr>
                <w:webHidden/>
              </w:rPr>
              <w:fldChar w:fldCharType="begin"/>
            </w:r>
            <w:r>
              <w:rPr>
                <w:webHidden/>
              </w:rPr>
              <w:instrText xml:space="preserve"> PAGEREF _Toc144904212 \h </w:instrText>
            </w:r>
            <w:r>
              <w:rPr>
                <w:webHidden/>
              </w:rPr>
              <w:fldChar w:fldCharType="separate"/>
            </w:r>
            <w:r>
              <w:rPr>
                <w:webHidden/>
              </w:rPr>
              <w:t>1</w:t>
            </w:r>
            <w:r>
              <w:rPr>
                <w:webHidden/>
              </w:rPr>
              <w:fldChar w:fldCharType="end"/>
            </w:r>
          </w:hyperlink>
        </w:p>
        <w:p w:rsidR="00C97219" w14:paraId="339DFA3D" w14:textId="3D46F91F">
          <w:pPr>
            <w:pStyle w:val="TOC2"/>
            <w:tabs>
              <w:tab w:val="left" w:pos="1080"/>
            </w:tabs>
            <w:rPr>
              <w:rFonts w:asciiTheme="minorHAnsi" w:eastAsiaTheme="minorEastAsia" w:hAnsiTheme="minorHAnsi" w:cstheme="minorBidi"/>
              <w:sz w:val="22"/>
              <w:szCs w:val="22"/>
            </w:rPr>
          </w:pPr>
          <w:hyperlink w:anchor="_Toc144904213" w:history="1">
            <w:r w:rsidRPr="006C04A2">
              <w:rPr>
                <w:rStyle w:val="Hyperlink"/>
              </w:rPr>
              <w:t>2.</w:t>
            </w:r>
            <w:r>
              <w:rPr>
                <w:rFonts w:asciiTheme="minorHAnsi" w:eastAsiaTheme="minorEastAsia" w:hAnsiTheme="minorHAnsi" w:cstheme="minorBidi"/>
                <w:sz w:val="22"/>
                <w:szCs w:val="22"/>
              </w:rPr>
              <w:tab/>
            </w:r>
            <w:r w:rsidRPr="006C04A2">
              <w:rPr>
                <w:rStyle w:val="Hyperlink"/>
              </w:rPr>
              <w:t>Background of this PRA Package</w:t>
            </w:r>
            <w:r>
              <w:rPr>
                <w:webHidden/>
              </w:rPr>
              <w:tab/>
            </w:r>
            <w:r>
              <w:rPr>
                <w:webHidden/>
              </w:rPr>
              <w:fldChar w:fldCharType="begin"/>
            </w:r>
            <w:r>
              <w:rPr>
                <w:webHidden/>
              </w:rPr>
              <w:instrText xml:space="preserve"> PAGEREF _Toc144904213 \h </w:instrText>
            </w:r>
            <w:r>
              <w:rPr>
                <w:webHidden/>
              </w:rPr>
              <w:fldChar w:fldCharType="separate"/>
            </w:r>
            <w:r>
              <w:rPr>
                <w:webHidden/>
              </w:rPr>
              <w:t>2</w:t>
            </w:r>
            <w:r>
              <w:rPr>
                <w:webHidden/>
              </w:rPr>
              <w:fldChar w:fldCharType="end"/>
            </w:r>
          </w:hyperlink>
        </w:p>
        <w:p w:rsidR="00C97219" w14:paraId="4E95C788" w14:textId="340E9FC1">
          <w:pPr>
            <w:pStyle w:val="TOC1"/>
            <w:rPr>
              <w:rFonts w:asciiTheme="minorHAnsi" w:eastAsiaTheme="minorEastAsia" w:hAnsiTheme="minorHAnsi" w:cstheme="minorBidi"/>
              <w:sz w:val="22"/>
              <w:szCs w:val="22"/>
            </w:rPr>
          </w:pPr>
          <w:hyperlink w:anchor="_Toc144904214" w:history="1">
            <w:r w:rsidRPr="006C04A2">
              <w:rPr>
                <w:rStyle w:val="Hyperlink"/>
              </w:rPr>
              <w:t>B.</w:t>
            </w:r>
            <w:r>
              <w:rPr>
                <w:rFonts w:asciiTheme="minorHAnsi" w:eastAsiaTheme="minorEastAsia" w:hAnsiTheme="minorHAnsi" w:cstheme="minorBidi"/>
                <w:sz w:val="22"/>
                <w:szCs w:val="22"/>
              </w:rPr>
              <w:tab/>
            </w:r>
            <w:r w:rsidRPr="006C04A2">
              <w:rPr>
                <w:rStyle w:val="Hyperlink"/>
              </w:rPr>
              <w:t>Justification</w:t>
            </w:r>
            <w:r>
              <w:rPr>
                <w:webHidden/>
              </w:rPr>
              <w:tab/>
            </w:r>
            <w:r>
              <w:rPr>
                <w:webHidden/>
              </w:rPr>
              <w:fldChar w:fldCharType="begin"/>
            </w:r>
            <w:r>
              <w:rPr>
                <w:webHidden/>
              </w:rPr>
              <w:instrText xml:space="preserve"> PAGEREF _Toc144904214 \h </w:instrText>
            </w:r>
            <w:r>
              <w:rPr>
                <w:webHidden/>
              </w:rPr>
              <w:fldChar w:fldCharType="separate"/>
            </w:r>
            <w:r>
              <w:rPr>
                <w:webHidden/>
              </w:rPr>
              <w:t>2</w:t>
            </w:r>
            <w:r>
              <w:rPr>
                <w:webHidden/>
              </w:rPr>
              <w:fldChar w:fldCharType="end"/>
            </w:r>
          </w:hyperlink>
        </w:p>
        <w:p w:rsidR="00C97219" w14:paraId="63149049" w14:textId="51C4619E">
          <w:pPr>
            <w:pStyle w:val="TOC2"/>
            <w:tabs>
              <w:tab w:val="left" w:pos="1080"/>
            </w:tabs>
            <w:rPr>
              <w:rFonts w:asciiTheme="minorHAnsi" w:eastAsiaTheme="minorEastAsia" w:hAnsiTheme="minorHAnsi" w:cstheme="minorBidi"/>
              <w:sz w:val="22"/>
              <w:szCs w:val="22"/>
            </w:rPr>
          </w:pPr>
          <w:hyperlink w:anchor="_Toc144904215" w:history="1">
            <w:r w:rsidRPr="006C04A2">
              <w:rPr>
                <w:rStyle w:val="Hyperlink"/>
                <w:b/>
              </w:rPr>
              <w:t>1.</w:t>
            </w:r>
            <w:r>
              <w:rPr>
                <w:rFonts w:asciiTheme="minorHAnsi" w:eastAsiaTheme="minorEastAsia" w:hAnsiTheme="minorHAnsi" w:cstheme="minorBidi"/>
                <w:sz w:val="22"/>
                <w:szCs w:val="22"/>
              </w:rPr>
              <w:tab/>
            </w:r>
            <w:r w:rsidRPr="006C04A2">
              <w:rPr>
                <w:rStyle w:val="Hyperlink"/>
              </w:rPr>
              <w:t>Need and Legal Basis</w:t>
            </w:r>
            <w:r>
              <w:rPr>
                <w:webHidden/>
              </w:rPr>
              <w:tab/>
            </w:r>
            <w:r>
              <w:rPr>
                <w:webHidden/>
              </w:rPr>
              <w:fldChar w:fldCharType="begin"/>
            </w:r>
            <w:r>
              <w:rPr>
                <w:webHidden/>
              </w:rPr>
              <w:instrText xml:space="preserve"> PAGEREF _Toc144904215 \h </w:instrText>
            </w:r>
            <w:r>
              <w:rPr>
                <w:webHidden/>
              </w:rPr>
              <w:fldChar w:fldCharType="separate"/>
            </w:r>
            <w:r>
              <w:rPr>
                <w:webHidden/>
              </w:rPr>
              <w:t>2</w:t>
            </w:r>
            <w:r>
              <w:rPr>
                <w:webHidden/>
              </w:rPr>
              <w:fldChar w:fldCharType="end"/>
            </w:r>
          </w:hyperlink>
        </w:p>
        <w:p w:rsidR="00C97219" w14:paraId="26F01F3B" w14:textId="50F8BFE7">
          <w:pPr>
            <w:pStyle w:val="TOC2"/>
            <w:tabs>
              <w:tab w:val="left" w:pos="1080"/>
            </w:tabs>
            <w:rPr>
              <w:rFonts w:asciiTheme="minorHAnsi" w:eastAsiaTheme="minorEastAsia" w:hAnsiTheme="minorHAnsi" w:cstheme="minorBidi"/>
              <w:sz w:val="22"/>
              <w:szCs w:val="22"/>
            </w:rPr>
          </w:pPr>
          <w:hyperlink w:anchor="_Toc144904216" w:history="1">
            <w:r w:rsidRPr="006C04A2">
              <w:rPr>
                <w:rStyle w:val="Hyperlink"/>
                <w:b/>
              </w:rPr>
              <w:t>2.</w:t>
            </w:r>
            <w:r>
              <w:rPr>
                <w:rFonts w:asciiTheme="minorHAnsi" w:eastAsiaTheme="minorEastAsia" w:hAnsiTheme="minorHAnsi" w:cstheme="minorBidi"/>
                <w:sz w:val="22"/>
                <w:szCs w:val="22"/>
              </w:rPr>
              <w:tab/>
            </w:r>
            <w:r w:rsidRPr="006C04A2">
              <w:rPr>
                <w:rStyle w:val="Hyperlink"/>
              </w:rPr>
              <w:t>Information Users</w:t>
            </w:r>
            <w:r>
              <w:rPr>
                <w:webHidden/>
              </w:rPr>
              <w:tab/>
            </w:r>
            <w:r>
              <w:rPr>
                <w:webHidden/>
              </w:rPr>
              <w:fldChar w:fldCharType="begin"/>
            </w:r>
            <w:r>
              <w:rPr>
                <w:webHidden/>
              </w:rPr>
              <w:instrText xml:space="preserve"> PAGEREF _Toc144904216 \h </w:instrText>
            </w:r>
            <w:r>
              <w:rPr>
                <w:webHidden/>
              </w:rPr>
              <w:fldChar w:fldCharType="separate"/>
            </w:r>
            <w:r>
              <w:rPr>
                <w:webHidden/>
              </w:rPr>
              <w:t>3</w:t>
            </w:r>
            <w:r>
              <w:rPr>
                <w:webHidden/>
              </w:rPr>
              <w:fldChar w:fldCharType="end"/>
            </w:r>
          </w:hyperlink>
        </w:p>
        <w:p w:rsidR="00C97219" w14:paraId="64EAE4B0" w14:textId="2F089B59">
          <w:pPr>
            <w:pStyle w:val="TOC2"/>
            <w:tabs>
              <w:tab w:val="left" w:pos="1080"/>
            </w:tabs>
            <w:rPr>
              <w:rFonts w:asciiTheme="minorHAnsi" w:eastAsiaTheme="minorEastAsia" w:hAnsiTheme="minorHAnsi" w:cstheme="minorBidi"/>
              <w:sz w:val="22"/>
              <w:szCs w:val="22"/>
            </w:rPr>
          </w:pPr>
          <w:hyperlink w:anchor="_Toc144904217" w:history="1">
            <w:r w:rsidRPr="006C04A2">
              <w:rPr>
                <w:rStyle w:val="Hyperlink"/>
                <w:b/>
              </w:rPr>
              <w:t>3.</w:t>
            </w:r>
            <w:r>
              <w:rPr>
                <w:rFonts w:asciiTheme="minorHAnsi" w:eastAsiaTheme="minorEastAsia" w:hAnsiTheme="minorHAnsi" w:cstheme="minorBidi"/>
                <w:sz w:val="22"/>
                <w:szCs w:val="22"/>
              </w:rPr>
              <w:tab/>
            </w:r>
            <w:r w:rsidRPr="006C04A2">
              <w:rPr>
                <w:rStyle w:val="Hyperlink"/>
              </w:rPr>
              <w:t>Use of Information Technology</w:t>
            </w:r>
            <w:r>
              <w:rPr>
                <w:webHidden/>
              </w:rPr>
              <w:tab/>
            </w:r>
            <w:r>
              <w:rPr>
                <w:webHidden/>
              </w:rPr>
              <w:fldChar w:fldCharType="begin"/>
            </w:r>
            <w:r>
              <w:rPr>
                <w:webHidden/>
              </w:rPr>
              <w:instrText xml:space="preserve"> PAGEREF _Toc144904217 \h </w:instrText>
            </w:r>
            <w:r>
              <w:rPr>
                <w:webHidden/>
              </w:rPr>
              <w:fldChar w:fldCharType="separate"/>
            </w:r>
            <w:r>
              <w:rPr>
                <w:webHidden/>
              </w:rPr>
              <w:t>4</w:t>
            </w:r>
            <w:r>
              <w:rPr>
                <w:webHidden/>
              </w:rPr>
              <w:fldChar w:fldCharType="end"/>
            </w:r>
          </w:hyperlink>
        </w:p>
        <w:p w:rsidR="00C97219" w14:paraId="22540E01" w14:textId="6A000E68">
          <w:pPr>
            <w:pStyle w:val="TOC2"/>
            <w:tabs>
              <w:tab w:val="left" w:pos="1080"/>
            </w:tabs>
            <w:rPr>
              <w:rFonts w:asciiTheme="minorHAnsi" w:eastAsiaTheme="minorEastAsia" w:hAnsiTheme="minorHAnsi" w:cstheme="minorBidi"/>
              <w:sz w:val="22"/>
              <w:szCs w:val="22"/>
            </w:rPr>
          </w:pPr>
          <w:hyperlink w:anchor="_Toc144904218" w:history="1">
            <w:r w:rsidRPr="006C04A2">
              <w:rPr>
                <w:rStyle w:val="Hyperlink"/>
                <w:b/>
              </w:rPr>
              <w:t>4.</w:t>
            </w:r>
            <w:r>
              <w:rPr>
                <w:rFonts w:asciiTheme="minorHAnsi" w:eastAsiaTheme="minorEastAsia" w:hAnsiTheme="minorHAnsi" w:cstheme="minorBidi"/>
                <w:sz w:val="22"/>
                <w:szCs w:val="22"/>
              </w:rPr>
              <w:tab/>
            </w:r>
            <w:r w:rsidRPr="006C04A2">
              <w:rPr>
                <w:rStyle w:val="Hyperlink"/>
              </w:rPr>
              <w:t>Duplication of Efforts</w:t>
            </w:r>
            <w:r>
              <w:rPr>
                <w:webHidden/>
              </w:rPr>
              <w:tab/>
            </w:r>
            <w:r>
              <w:rPr>
                <w:webHidden/>
              </w:rPr>
              <w:fldChar w:fldCharType="begin"/>
            </w:r>
            <w:r>
              <w:rPr>
                <w:webHidden/>
              </w:rPr>
              <w:instrText xml:space="preserve"> PAGEREF _Toc144904218 \h </w:instrText>
            </w:r>
            <w:r>
              <w:rPr>
                <w:webHidden/>
              </w:rPr>
              <w:fldChar w:fldCharType="separate"/>
            </w:r>
            <w:r>
              <w:rPr>
                <w:webHidden/>
              </w:rPr>
              <w:t>4</w:t>
            </w:r>
            <w:r>
              <w:rPr>
                <w:webHidden/>
              </w:rPr>
              <w:fldChar w:fldCharType="end"/>
            </w:r>
          </w:hyperlink>
        </w:p>
        <w:p w:rsidR="00C97219" w14:paraId="0DA9FC95" w14:textId="0E6BBCBA">
          <w:pPr>
            <w:pStyle w:val="TOC2"/>
            <w:tabs>
              <w:tab w:val="left" w:pos="1080"/>
            </w:tabs>
            <w:rPr>
              <w:rFonts w:asciiTheme="minorHAnsi" w:eastAsiaTheme="minorEastAsia" w:hAnsiTheme="minorHAnsi" w:cstheme="minorBidi"/>
              <w:sz w:val="22"/>
              <w:szCs w:val="22"/>
            </w:rPr>
          </w:pPr>
          <w:hyperlink w:anchor="_Toc144904219" w:history="1">
            <w:r w:rsidRPr="006C04A2">
              <w:rPr>
                <w:rStyle w:val="Hyperlink"/>
                <w:b/>
              </w:rPr>
              <w:t>5.</w:t>
            </w:r>
            <w:r>
              <w:rPr>
                <w:rFonts w:asciiTheme="minorHAnsi" w:eastAsiaTheme="minorEastAsia" w:hAnsiTheme="minorHAnsi" w:cstheme="minorBidi"/>
                <w:sz w:val="22"/>
                <w:szCs w:val="22"/>
              </w:rPr>
              <w:tab/>
            </w:r>
            <w:r w:rsidRPr="006C04A2">
              <w:rPr>
                <w:rStyle w:val="Hyperlink"/>
              </w:rPr>
              <w:t>Small Businesses</w:t>
            </w:r>
            <w:r>
              <w:rPr>
                <w:webHidden/>
              </w:rPr>
              <w:tab/>
            </w:r>
            <w:r>
              <w:rPr>
                <w:webHidden/>
              </w:rPr>
              <w:fldChar w:fldCharType="begin"/>
            </w:r>
            <w:r>
              <w:rPr>
                <w:webHidden/>
              </w:rPr>
              <w:instrText xml:space="preserve"> PAGEREF _Toc144904219 \h </w:instrText>
            </w:r>
            <w:r>
              <w:rPr>
                <w:webHidden/>
              </w:rPr>
              <w:fldChar w:fldCharType="separate"/>
            </w:r>
            <w:r>
              <w:rPr>
                <w:webHidden/>
              </w:rPr>
              <w:t>4</w:t>
            </w:r>
            <w:r>
              <w:rPr>
                <w:webHidden/>
              </w:rPr>
              <w:fldChar w:fldCharType="end"/>
            </w:r>
          </w:hyperlink>
        </w:p>
        <w:p w:rsidR="00C97219" w14:paraId="4D4B86CB" w14:textId="17612312">
          <w:pPr>
            <w:pStyle w:val="TOC2"/>
            <w:tabs>
              <w:tab w:val="left" w:pos="1080"/>
            </w:tabs>
            <w:rPr>
              <w:rFonts w:asciiTheme="minorHAnsi" w:eastAsiaTheme="minorEastAsia" w:hAnsiTheme="minorHAnsi" w:cstheme="minorBidi"/>
              <w:sz w:val="22"/>
              <w:szCs w:val="22"/>
            </w:rPr>
          </w:pPr>
          <w:hyperlink w:anchor="_Toc144904220" w:history="1">
            <w:r w:rsidRPr="006C04A2">
              <w:rPr>
                <w:rStyle w:val="Hyperlink"/>
                <w:b/>
              </w:rPr>
              <w:t>6.</w:t>
            </w:r>
            <w:r>
              <w:rPr>
                <w:rFonts w:asciiTheme="minorHAnsi" w:eastAsiaTheme="minorEastAsia" w:hAnsiTheme="minorHAnsi" w:cstheme="minorBidi"/>
                <w:sz w:val="22"/>
                <w:szCs w:val="22"/>
              </w:rPr>
              <w:tab/>
            </w:r>
            <w:r w:rsidRPr="006C04A2">
              <w:rPr>
                <w:rStyle w:val="Hyperlink"/>
              </w:rPr>
              <w:t>Less Frequent Collection</w:t>
            </w:r>
            <w:r>
              <w:rPr>
                <w:webHidden/>
              </w:rPr>
              <w:tab/>
            </w:r>
            <w:r>
              <w:rPr>
                <w:webHidden/>
              </w:rPr>
              <w:fldChar w:fldCharType="begin"/>
            </w:r>
            <w:r>
              <w:rPr>
                <w:webHidden/>
              </w:rPr>
              <w:instrText xml:space="preserve"> PAGEREF _Toc144904220 \h </w:instrText>
            </w:r>
            <w:r>
              <w:rPr>
                <w:webHidden/>
              </w:rPr>
              <w:fldChar w:fldCharType="separate"/>
            </w:r>
            <w:r>
              <w:rPr>
                <w:webHidden/>
              </w:rPr>
              <w:t>5</w:t>
            </w:r>
            <w:r>
              <w:rPr>
                <w:webHidden/>
              </w:rPr>
              <w:fldChar w:fldCharType="end"/>
            </w:r>
          </w:hyperlink>
        </w:p>
        <w:p w:rsidR="00C97219" w14:paraId="657EE918" w14:textId="6E17C7D4">
          <w:pPr>
            <w:pStyle w:val="TOC2"/>
            <w:tabs>
              <w:tab w:val="left" w:pos="1080"/>
            </w:tabs>
            <w:rPr>
              <w:rFonts w:asciiTheme="minorHAnsi" w:eastAsiaTheme="minorEastAsia" w:hAnsiTheme="minorHAnsi" w:cstheme="minorBidi"/>
              <w:sz w:val="22"/>
              <w:szCs w:val="22"/>
            </w:rPr>
          </w:pPr>
          <w:hyperlink w:anchor="_Toc144904221" w:history="1">
            <w:r w:rsidRPr="006C04A2">
              <w:rPr>
                <w:rStyle w:val="Hyperlink"/>
                <w:b/>
              </w:rPr>
              <w:t>7.</w:t>
            </w:r>
            <w:r>
              <w:rPr>
                <w:rFonts w:asciiTheme="minorHAnsi" w:eastAsiaTheme="minorEastAsia" w:hAnsiTheme="minorHAnsi" w:cstheme="minorBidi"/>
                <w:sz w:val="22"/>
                <w:szCs w:val="22"/>
              </w:rPr>
              <w:tab/>
            </w:r>
            <w:r w:rsidRPr="006C04A2">
              <w:rPr>
                <w:rStyle w:val="Hyperlink"/>
              </w:rPr>
              <w:t>Special Circumstances</w:t>
            </w:r>
            <w:r>
              <w:rPr>
                <w:webHidden/>
              </w:rPr>
              <w:tab/>
            </w:r>
            <w:r>
              <w:rPr>
                <w:webHidden/>
              </w:rPr>
              <w:fldChar w:fldCharType="begin"/>
            </w:r>
            <w:r>
              <w:rPr>
                <w:webHidden/>
              </w:rPr>
              <w:instrText xml:space="preserve"> PAGEREF _Toc144904221 \h </w:instrText>
            </w:r>
            <w:r>
              <w:rPr>
                <w:webHidden/>
              </w:rPr>
              <w:fldChar w:fldCharType="separate"/>
            </w:r>
            <w:r>
              <w:rPr>
                <w:webHidden/>
              </w:rPr>
              <w:t>5</w:t>
            </w:r>
            <w:r>
              <w:rPr>
                <w:webHidden/>
              </w:rPr>
              <w:fldChar w:fldCharType="end"/>
            </w:r>
          </w:hyperlink>
        </w:p>
        <w:p w:rsidR="00C97219" w14:paraId="50C12545" w14:textId="6EA98846">
          <w:pPr>
            <w:pStyle w:val="TOC2"/>
            <w:tabs>
              <w:tab w:val="left" w:pos="1080"/>
            </w:tabs>
            <w:rPr>
              <w:rFonts w:asciiTheme="minorHAnsi" w:eastAsiaTheme="minorEastAsia" w:hAnsiTheme="minorHAnsi" w:cstheme="minorBidi"/>
              <w:sz w:val="22"/>
              <w:szCs w:val="22"/>
            </w:rPr>
          </w:pPr>
          <w:hyperlink w:anchor="_Toc144904222" w:history="1">
            <w:r w:rsidRPr="006C04A2">
              <w:rPr>
                <w:rStyle w:val="Hyperlink"/>
                <w:b/>
              </w:rPr>
              <w:t>8.</w:t>
            </w:r>
            <w:r>
              <w:rPr>
                <w:rFonts w:asciiTheme="minorHAnsi" w:eastAsiaTheme="minorEastAsia" w:hAnsiTheme="minorHAnsi" w:cstheme="minorBidi"/>
                <w:sz w:val="22"/>
                <w:szCs w:val="22"/>
              </w:rPr>
              <w:tab/>
            </w:r>
            <w:r w:rsidRPr="006C04A2">
              <w:rPr>
                <w:rStyle w:val="Hyperlink"/>
              </w:rPr>
              <w:t>Federal Register/Outside Consultation</w:t>
            </w:r>
            <w:r>
              <w:rPr>
                <w:webHidden/>
              </w:rPr>
              <w:tab/>
            </w:r>
            <w:r>
              <w:rPr>
                <w:webHidden/>
              </w:rPr>
              <w:fldChar w:fldCharType="begin"/>
            </w:r>
            <w:r>
              <w:rPr>
                <w:webHidden/>
              </w:rPr>
              <w:instrText xml:space="preserve"> PAGEREF _Toc144904222 \h </w:instrText>
            </w:r>
            <w:r>
              <w:rPr>
                <w:webHidden/>
              </w:rPr>
              <w:fldChar w:fldCharType="separate"/>
            </w:r>
            <w:r>
              <w:rPr>
                <w:webHidden/>
              </w:rPr>
              <w:t>5</w:t>
            </w:r>
            <w:r>
              <w:rPr>
                <w:webHidden/>
              </w:rPr>
              <w:fldChar w:fldCharType="end"/>
            </w:r>
          </w:hyperlink>
        </w:p>
        <w:p w:rsidR="00C97219" w14:paraId="1CBFA2F5" w14:textId="082B188A">
          <w:pPr>
            <w:pStyle w:val="TOC2"/>
            <w:tabs>
              <w:tab w:val="left" w:pos="1080"/>
            </w:tabs>
            <w:rPr>
              <w:rFonts w:asciiTheme="minorHAnsi" w:eastAsiaTheme="minorEastAsia" w:hAnsiTheme="minorHAnsi" w:cstheme="minorBidi"/>
              <w:sz w:val="22"/>
              <w:szCs w:val="22"/>
            </w:rPr>
          </w:pPr>
          <w:hyperlink w:anchor="_Toc144904223" w:history="1">
            <w:r w:rsidRPr="006C04A2">
              <w:rPr>
                <w:rStyle w:val="Hyperlink"/>
                <w:b/>
              </w:rPr>
              <w:t>9.</w:t>
            </w:r>
            <w:r>
              <w:rPr>
                <w:rFonts w:asciiTheme="minorHAnsi" w:eastAsiaTheme="minorEastAsia" w:hAnsiTheme="minorHAnsi" w:cstheme="minorBidi"/>
                <w:sz w:val="22"/>
                <w:szCs w:val="22"/>
              </w:rPr>
              <w:tab/>
            </w:r>
            <w:r w:rsidRPr="006C04A2">
              <w:rPr>
                <w:rStyle w:val="Hyperlink"/>
              </w:rPr>
              <w:t>Payment/Gifts to Respondents</w:t>
            </w:r>
            <w:r>
              <w:rPr>
                <w:webHidden/>
              </w:rPr>
              <w:tab/>
            </w:r>
            <w:r>
              <w:rPr>
                <w:webHidden/>
              </w:rPr>
              <w:fldChar w:fldCharType="begin"/>
            </w:r>
            <w:r>
              <w:rPr>
                <w:webHidden/>
              </w:rPr>
              <w:instrText xml:space="preserve"> PAGEREF _Toc144904223 \h </w:instrText>
            </w:r>
            <w:r>
              <w:rPr>
                <w:webHidden/>
              </w:rPr>
              <w:fldChar w:fldCharType="separate"/>
            </w:r>
            <w:r>
              <w:rPr>
                <w:webHidden/>
              </w:rPr>
              <w:t>5</w:t>
            </w:r>
            <w:r>
              <w:rPr>
                <w:webHidden/>
              </w:rPr>
              <w:fldChar w:fldCharType="end"/>
            </w:r>
          </w:hyperlink>
        </w:p>
        <w:p w:rsidR="00C97219" w14:paraId="7EDB5124" w14:textId="270B1820">
          <w:pPr>
            <w:pStyle w:val="TOC2"/>
            <w:tabs>
              <w:tab w:val="left" w:pos="1080"/>
            </w:tabs>
            <w:rPr>
              <w:rFonts w:asciiTheme="minorHAnsi" w:eastAsiaTheme="minorEastAsia" w:hAnsiTheme="minorHAnsi" w:cstheme="minorBidi"/>
              <w:sz w:val="22"/>
              <w:szCs w:val="22"/>
            </w:rPr>
          </w:pPr>
          <w:hyperlink w:anchor="_Toc144904224" w:history="1">
            <w:r w:rsidRPr="006C04A2">
              <w:rPr>
                <w:rStyle w:val="Hyperlink"/>
                <w:b/>
              </w:rPr>
              <w:t>10.</w:t>
            </w:r>
            <w:r>
              <w:rPr>
                <w:rFonts w:asciiTheme="minorHAnsi" w:eastAsiaTheme="minorEastAsia" w:hAnsiTheme="minorHAnsi" w:cstheme="minorBidi"/>
                <w:sz w:val="22"/>
                <w:szCs w:val="22"/>
              </w:rPr>
              <w:tab/>
            </w:r>
            <w:r w:rsidRPr="006C04A2">
              <w:rPr>
                <w:rStyle w:val="Hyperlink"/>
              </w:rPr>
              <w:t>Confidentiality</w:t>
            </w:r>
            <w:r>
              <w:rPr>
                <w:webHidden/>
              </w:rPr>
              <w:tab/>
            </w:r>
            <w:r>
              <w:rPr>
                <w:webHidden/>
              </w:rPr>
              <w:fldChar w:fldCharType="begin"/>
            </w:r>
            <w:r>
              <w:rPr>
                <w:webHidden/>
              </w:rPr>
              <w:instrText xml:space="preserve"> PAGEREF _Toc144904224 \h </w:instrText>
            </w:r>
            <w:r>
              <w:rPr>
                <w:webHidden/>
              </w:rPr>
              <w:fldChar w:fldCharType="separate"/>
            </w:r>
            <w:r>
              <w:rPr>
                <w:webHidden/>
              </w:rPr>
              <w:t>5</w:t>
            </w:r>
            <w:r>
              <w:rPr>
                <w:webHidden/>
              </w:rPr>
              <w:fldChar w:fldCharType="end"/>
            </w:r>
          </w:hyperlink>
        </w:p>
        <w:p w:rsidR="00C97219" w14:paraId="3EC4BE80" w14:textId="72D6FAB2">
          <w:pPr>
            <w:pStyle w:val="TOC2"/>
            <w:tabs>
              <w:tab w:val="left" w:pos="1080"/>
            </w:tabs>
            <w:rPr>
              <w:rFonts w:asciiTheme="minorHAnsi" w:eastAsiaTheme="minorEastAsia" w:hAnsiTheme="minorHAnsi" w:cstheme="minorBidi"/>
              <w:sz w:val="22"/>
              <w:szCs w:val="22"/>
            </w:rPr>
          </w:pPr>
          <w:hyperlink w:anchor="_Toc144904225" w:history="1">
            <w:r w:rsidRPr="006C04A2">
              <w:rPr>
                <w:rStyle w:val="Hyperlink"/>
                <w:b/>
              </w:rPr>
              <w:t>11.</w:t>
            </w:r>
            <w:r>
              <w:rPr>
                <w:rFonts w:asciiTheme="minorHAnsi" w:eastAsiaTheme="minorEastAsia" w:hAnsiTheme="minorHAnsi" w:cstheme="minorBidi"/>
                <w:sz w:val="22"/>
                <w:szCs w:val="22"/>
              </w:rPr>
              <w:tab/>
            </w:r>
            <w:r w:rsidRPr="006C04A2">
              <w:rPr>
                <w:rStyle w:val="Hyperlink"/>
              </w:rPr>
              <w:t>Sensitive Questions</w:t>
            </w:r>
            <w:r>
              <w:rPr>
                <w:webHidden/>
              </w:rPr>
              <w:tab/>
            </w:r>
            <w:r>
              <w:rPr>
                <w:webHidden/>
              </w:rPr>
              <w:fldChar w:fldCharType="begin"/>
            </w:r>
            <w:r>
              <w:rPr>
                <w:webHidden/>
              </w:rPr>
              <w:instrText xml:space="preserve"> PAGEREF _Toc144904225 \h </w:instrText>
            </w:r>
            <w:r>
              <w:rPr>
                <w:webHidden/>
              </w:rPr>
              <w:fldChar w:fldCharType="separate"/>
            </w:r>
            <w:r>
              <w:rPr>
                <w:webHidden/>
              </w:rPr>
              <w:t>5</w:t>
            </w:r>
            <w:r>
              <w:rPr>
                <w:webHidden/>
              </w:rPr>
              <w:fldChar w:fldCharType="end"/>
            </w:r>
          </w:hyperlink>
        </w:p>
        <w:p w:rsidR="00C97219" w14:paraId="1CCD080C" w14:textId="19BB4B50">
          <w:pPr>
            <w:pStyle w:val="TOC2"/>
            <w:tabs>
              <w:tab w:val="left" w:pos="1080"/>
            </w:tabs>
            <w:rPr>
              <w:rFonts w:asciiTheme="minorHAnsi" w:eastAsiaTheme="minorEastAsia" w:hAnsiTheme="minorHAnsi" w:cstheme="minorBidi"/>
              <w:sz w:val="22"/>
              <w:szCs w:val="22"/>
            </w:rPr>
          </w:pPr>
          <w:hyperlink w:anchor="_Toc144904226" w:history="1">
            <w:r w:rsidRPr="006C04A2">
              <w:rPr>
                <w:rStyle w:val="Hyperlink"/>
                <w:b/>
              </w:rPr>
              <w:t>12.</w:t>
            </w:r>
            <w:r>
              <w:rPr>
                <w:rFonts w:asciiTheme="minorHAnsi" w:eastAsiaTheme="minorEastAsia" w:hAnsiTheme="minorHAnsi" w:cstheme="minorBidi"/>
                <w:sz w:val="22"/>
                <w:szCs w:val="22"/>
              </w:rPr>
              <w:tab/>
            </w:r>
            <w:r w:rsidRPr="006C04A2">
              <w:rPr>
                <w:rStyle w:val="Hyperlink"/>
              </w:rPr>
              <w:t>Burden Estimates (Hours &amp; Wages)</w:t>
            </w:r>
            <w:r>
              <w:rPr>
                <w:webHidden/>
              </w:rPr>
              <w:tab/>
            </w:r>
            <w:r>
              <w:rPr>
                <w:webHidden/>
              </w:rPr>
              <w:fldChar w:fldCharType="begin"/>
            </w:r>
            <w:r>
              <w:rPr>
                <w:webHidden/>
              </w:rPr>
              <w:instrText xml:space="preserve"> PAGEREF _Toc144904226 \h </w:instrText>
            </w:r>
            <w:r>
              <w:rPr>
                <w:webHidden/>
              </w:rPr>
              <w:fldChar w:fldCharType="separate"/>
            </w:r>
            <w:r>
              <w:rPr>
                <w:webHidden/>
              </w:rPr>
              <w:t>6</w:t>
            </w:r>
            <w:r>
              <w:rPr>
                <w:webHidden/>
              </w:rPr>
              <w:fldChar w:fldCharType="end"/>
            </w:r>
          </w:hyperlink>
        </w:p>
        <w:p w:rsidR="00C97219" w14:paraId="00BA7C25" w14:textId="29082BAE">
          <w:pPr>
            <w:pStyle w:val="TOC3"/>
            <w:tabs>
              <w:tab w:val="left" w:pos="1080"/>
              <w:tab w:val="right" w:leader="dot" w:pos="9350"/>
            </w:tabs>
            <w:rPr>
              <w:rFonts w:asciiTheme="minorHAnsi" w:eastAsiaTheme="minorEastAsia" w:hAnsiTheme="minorHAnsi"/>
              <w:noProof/>
            </w:rPr>
          </w:pPr>
          <w:hyperlink w:anchor="_Toc144904227" w:history="1">
            <w:r w:rsidRPr="006C04A2">
              <w:rPr>
                <w:rStyle w:val="Hyperlink"/>
                <w:noProof/>
              </w:rPr>
              <w:t>a)</w:t>
            </w:r>
            <w:r>
              <w:rPr>
                <w:rFonts w:asciiTheme="minorHAnsi" w:eastAsiaTheme="minorEastAsia" w:hAnsiTheme="minorHAnsi"/>
                <w:noProof/>
              </w:rPr>
              <w:tab/>
            </w:r>
            <w:r w:rsidRPr="006C04A2">
              <w:rPr>
                <w:rStyle w:val="Hyperlink"/>
                <w:noProof/>
              </w:rPr>
              <w:t>Adoption of the Discharge Function Score Measure Beginning with the FY 2025 LTCH QRP</w:t>
            </w:r>
            <w:r>
              <w:rPr>
                <w:noProof/>
                <w:webHidden/>
              </w:rPr>
              <w:tab/>
            </w:r>
            <w:r>
              <w:rPr>
                <w:noProof/>
                <w:webHidden/>
              </w:rPr>
              <w:fldChar w:fldCharType="begin"/>
            </w:r>
            <w:r>
              <w:rPr>
                <w:noProof/>
                <w:webHidden/>
              </w:rPr>
              <w:instrText xml:space="preserve"> PAGEREF _Toc144904227 \h </w:instrText>
            </w:r>
            <w:r>
              <w:rPr>
                <w:noProof/>
                <w:webHidden/>
              </w:rPr>
              <w:fldChar w:fldCharType="separate"/>
            </w:r>
            <w:r>
              <w:rPr>
                <w:noProof/>
                <w:webHidden/>
              </w:rPr>
              <w:t>6</w:t>
            </w:r>
            <w:r>
              <w:rPr>
                <w:noProof/>
                <w:webHidden/>
              </w:rPr>
              <w:fldChar w:fldCharType="end"/>
            </w:r>
          </w:hyperlink>
        </w:p>
        <w:p w:rsidR="00C97219" w14:paraId="0D394B5F" w14:textId="2E40EF9B">
          <w:pPr>
            <w:pStyle w:val="TOC3"/>
            <w:tabs>
              <w:tab w:val="left" w:pos="1080"/>
              <w:tab w:val="right" w:leader="dot" w:pos="9350"/>
            </w:tabs>
            <w:rPr>
              <w:rFonts w:asciiTheme="minorHAnsi" w:eastAsiaTheme="minorEastAsia" w:hAnsiTheme="minorHAnsi"/>
              <w:noProof/>
            </w:rPr>
          </w:pPr>
          <w:hyperlink w:anchor="_Toc144904228" w:history="1">
            <w:r w:rsidRPr="006C04A2">
              <w:rPr>
                <w:rStyle w:val="Hyperlink"/>
                <w:noProof/>
              </w:rPr>
              <w:t>b)</w:t>
            </w:r>
            <w:r>
              <w:rPr>
                <w:rFonts w:asciiTheme="minorHAnsi" w:eastAsiaTheme="minorEastAsia" w:hAnsiTheme="minorHAnsi"/>
                <w:noProof/>
              </w:rPr>
              <w:tab/>
            </w:r>
            <w:r w:rsidRPr="006C04A2">
              <w:rPr>
                <w:rStyle w:val="Hyperlink"/>
                <w:noProof/>
              </w:rPr>
              <w:t>Removal of  the Percent of Long-Term Care Hospital Patients with an Admission and Discharge Functional Assessment and a Care Plan That Addresses Function measure and the Application of Percent of Long-Term Care Hospital Patients with an Admission and Discharge Functional Assessment and a Care Plan That Addresses Function measure</w:t>
            </w:r>
            <w:r>
              <w:rPr>
                <w:noProof/>
                <w:webHidden/>
              </w:rPr>
              <w:tab/>
            </w:r>
            <w:r>
              <w:rPr>
                <w:noProof/>
                <w:webHidden/>
              </w:rPr>
              <w:fldChar w:fldCharType="begin"/>
            </w:r>
            <w:r>
              <w:rPr>
                <w:noProof/>
                <w:webHidden/>
              </w:rPr>
              <w:instrText xml:space="preserve"> PAGEREF _Toc144904228 \h </w:instrText>
            </w:r>
            <w:r>
              <w:rPr>
                <w:noProof/>
                <w:webHidden/>
              </w:rPr>
              <w:fldChar w:fldCharType="separate"/>
            </w:r>
            <w:r>
              <w:rPr>
                <w:noProof/>
                <w:webHidden/>
              </w:rPr>
              <w:t>6</w:t>
            </w:r>
            <w:r>
              <w:rPr>
                <w:noProof/>
                <w:webHidden/>
              </w:rPr>
              <w:fldChar w:fldCharType="end"/>
            </w:r>
          </w:hyperlink>
        </w:p>
        <w:p w:rsidR="00C97219" w14:paraId="6A0D2A44" w14:textId="323907F3">
          <w:pPr>
            <w:pStyle w:val="TOC3"/>
            <w:tabs>
              <w:tab w:val="left" w:pos="1080"/>
              <w:tab w:val="right" w:leader="dot" w:pos="9350"/>
            </w:tabs>
            <w:rPr>
              <w:rFonts w:asciiTheme="minorHAnsi" w:eastAsiaTheme="minorEastAsia" w:hAnsiTheme="minorHAnsi"/>
              <w:noProof/>
            </w:rPr>
          </w:pPr>
          <w:hyperlink w:anchor="_Toc144904229" w:history="1">
            <w:r w:rsidRPr="006C04A2">
              <w:rPr>
                <w:rStyle w:val="Hyperlink"/>
                <w:noProof/>
              </w:rPr>
              <w:t>c)</w:t>
            </w:r>
            <w:r>
              <w:rPr>
                <w:rFonts w:asciiTheme="minorHAnsi" w:eastAsiaTheme="minorEastAsia" w:hAnsiTheme="minorHAnsi"/>
                <w:noProof/>
              </w:rPr>
              <w:tab/>
            </w:r>
            <w:r w:rsidRPr="006C04A2">
              <w:rPr>
                <w:rStyle w:val="Hyperlink"/>
                <w:noProof/>
              </w:rPr>
              <w:t>Adoption of the COVID-19 Vaccine:  Percent of Patients/Residents Who Are Up to Date measure</w:t>
            </w:r>
            <w:r>
              <w:rPr>
                <w:noProof/>
                <w:webHidden/>
              </w:rPr>
              <w:tab/>
            </w:r>
            <w:r>
              <w:rPr>
                <w:noProof/>
                <w:webHidden/>
              </w:rPr>
              <w:fldChar w:fldCharType="begin"/>
            </w:r>
            <w:r>
              <w:rPr>
                <w:noProof/>
                <w:webHidden/>
              </w:rPr>
              <w:instrText xml:space="preserve"> PAGEREF _Toc144904229 \h </w:instrText>
            </w:r>
            <w:r>
              <w:rPr>
                <w:noProof/>
                <w:webHidden/>
              </w:rPr>
              <w:fldChar w:fldCharType="separate"/>
            </w:r>
            <w:r>
              <w:rPr>
                <w:noProof/>
                <w:webHidden/>
              </w:rPr>
              <w:t>7</w:t>
            </w:r>
            <w:r>
              <w:rPr>
                <w:noProof/>
                <w:webHidden/>
              </w:rPr>
              <w:fldChar w:fldCharType="end"/>
            </w:r>
          </w:hyperlink>
        </w:p>
        <w:p w:rsidR="00C97219" w14:paraId="161B653C" w14:textId="278EE861">
          <w:pPr>
            <w:pStyle w:val="TOC2"/>
            <w:tabs>
              <w:tab w:val="left" w:pos="1080"/>
            </w:tabs>
            <w:rPr>
              <w:rFonts w:asciiTheme="minorHAnsi" w:eastAsiaTheme="minorEastAsia" w:hAnsiTheme="minorHAnsi" w:cstheme="minorBidi"/>
              <w:sz w:val="22"/>
              <w:szCs w:val="22"/>
            </w:rPr>
          </w:pPr>
          <w:hyperlink w:anchor="_Toc144904230" w:history="1">
            <w:r w:rsidRPr="006C04A2">
              <w:rPr>
                <w:rStyle w:val="Hyperlink"/>
                <w:b/>
              </w:rPr>
              <w:t>13.</w:t>
            </w:r>
            <w:r>
              <w:rPr>
                <w:rFonts w:asciiTheme="minorHAnsi" w:eastAsiaTheme="minorEastAsia" w:hAnsiTheme="minorHAnsi" w:cstheme="minorBidi"/>
                <w:sz w:val="22"/>
                <w:szCs w:val="22"/>
              </w:rPr>
              <w:tab/>
            </w:r>
            <w:r w:rsidRPr="006C04A2">
              <w:rPr>
                <w:rStyle w:val="Hyperlink"/>
              </w:rPr>
              <w:t>Capital Costs</w:t>
            </w:r>
            <w:r>
              <w:rPr>
                <w:webHidden/>
              </w:rPr>
              <w:tab/>
            </w:r>
            <w:r>
              <w:rPr>
                <w:webHidden/>
              </w:rPr>
              <w:fldChar w:fldCharType="begin"/>
            </w:r>
            <w:r>
              <w:rPr>
                <w:webHidden/>
              </w:rPr>
              <w:instrText xml:space="preserve"> PAGEREF _Toc144904230 \h </w:instrText>
            </w:r>
            <w:r>
              <w:rPr>
                <w:webHidden/>
              </w:rPr>
              <w:fldChar w:fldCharType="separate"/>
            </w:r>
            <w:r>
              <w:rPr>
                <w:webHidden/>
              </w:rPr>
              <w:t>8</w:t>
            </w:r>
            <w:r>
              <w:rPr>
                <w:webHidden/>
              </w:rPr>
              <w:fldChar w:fldCharType="end"/>
            </w:r>
          </w:hyperlink>
        </w:p>
        <w:p w:rsidR="00C97219" w14:paraId="34076798" w14:textId="727BD4AD">
          <w:pPr>
            <w:pStyle w:val="TOC2"/>
            <w:tabs>
              <w:tab w:val="left" w:pos="1080"/>
            </w:tabs>
            <w:rPr>
              <w:rFonts w:asciiTheme="minorHAnsi" w:eastAsiaTheme="minorEastAsia" w:hAnsiTheme="minorHAnsi" w:cstheme="minorBidi"/>
              <w:sz w:val="22"/>
              <w:szCs w:val="22"/>
            </w:rPr>
          </w:pPr>
          <w:hyperlink w:anchor="_Toc144904231" w:history="1">
            <w:r w:rsidRPr="006C04A2">
              <w:rPr>
                <w:rStyle w:val="Hyperlink"/>
                <w:b/>
              </w:rPr>
              <w:t>14.</w:t>
            </w:r>
            <w:r>
              <w:rPr>
                <w:rFonts w:asciiTheme="minorHAnsi" w:eastAsiaTheme="minorEastAsia" w:hAnsiTheme="minorHAnsi" w:cstheme="minorBidi"/>
                <w:sz w:val="22"/>
                <w:szCs w:val="22"/>
              </w:rPr>
              <w:tab/>
            </w:r>
            <w:r w:rsidRPr="006C04A2">
              <w:rPr>
                <w:rStyle w:val="Hyperlink"/>
              </w:rPr>
              <w:t>Cost to Federal Government</w:t>
            </w:r>
            <w:r>
              <w:rPr>
                <w:webHidden/>
              </w:rPr>
              <w:tab/>
            </w:r>
            <w:r>
              <w:rPr>
                <w:webHidden/>
              </w:rPr>
              <w:fldChar w:fldCharType="begin"/>
            </w:r>
            <w:r>
              <w:rPr>
                <w:webHidden/>
              </w:rPr>
              <w:instrText xml:space="preserve"> PAGEREF _Toc144904231 \h </w:instrText>
            </w:r>
            <w:r>
              <w:rPr>
                <w:webHidden/>
              </w:rPr>
              <w:fldChar w:fldCharType="separate"/>
            </w:r>
            <w:r>
              <w:rPr>
                <w:webHidden/>
              </w:rPr>
              <w:t>8</w:t>
            </w:r>
            <w:r>
              <w:rPr>
                <w:webHidden/>
              </w:rPr>
              <w:fldChar w:fldCharType="end"/>
            </w:r>
          </w:hyperlink>
        </w:p>
        <w:p w:rsidR="00C97219" w14:paraId="1B1DFFEC" w14:textId="4F38EE21">
          <w:pPr>
            <w:pStyle w:val="TOC2"/>
            <w:tabs>
              <w:tab w:val="left" w:pos="1080"/>
            </w:tabs>
            <w:rPr>
              <w:rFonts w:asciiTheme="minorHAnsi" w:eastAsiaTheme="minorEastAsia" w:hAnsiTheme="minorHAnsi" w:cstheme="minorBidi"/>
              <w:sz w:val="22"/>
              <w:szCs w:val="22"/>
            </w:rPr>
          </w:pPr>
          <w:hyperlink w:anchor="_Toc144904232" w:history="1">
            <w:r w:rsidRPr="006C04A2">
              <w:rPr>
                <w:rStyle w:val="Hyperlink"/>
                <w:b/>
              </w:rPr>
              <w:t>15.</w:t>
            </w:r>
            <w:r>
              <w:rPr>
                <w:rFonts w:asciiTheme="minorHAnsi" w:eastAsiaTheme="minorEastAsia" w:hAnsiTheme="minorHAnsi" w:cstheme="minorBidi"/>
                <w:sz w:val="22"/>
                <w:szCs w:val="22"/>
              </w:rPr>
              <w:tab/>
            </w:r>
            <w:r w:rsidRPr="006C04A2">
              <w:rPr>
                <w:rStyle w:val="Hyperlink"/>
              </w:rPr>
              <w:t>Changes to Burden</w:t>
            </w:r>
            <w:r>
              <w:rPr>
                <w:webHidden/>
              </w:rPr>
              <w:tab/>
            </w:r>
            <w:r>
              <w:rPr>
                <w:webHidden/>
              </w:rPr>
              <w:fldChar w:fldCharType="begin"/>
            </w:r>
            <w:r>
              <w:rPr>
                <w:webHidden/>
              </w:rPr>
              <w:instrText xml:space="preserve"> PAGEREF _Toc144904232 \h </w:instrText>
            </w:r>
            <w:r>
              <w:rPr>
                <w:webHidden/>
              </w:rPr>
              <w:fldChar w:fldCharType="separate"/>
            </w:r>
            <w:r>
              <w:rPr>
                <w:webHidden/>
              </w:rPr>
              <w:t>9</w:t>
            </w:r>
            <w:r>
              <w:rPr>
                <w:webHidden/>
              </w:rPr>
              <w:fldChar w:fldCharType="end"/>
            </w:r>
          </w:hyperlink>
        </w:p>
        <w:p w:rsidR="00C97219" w14:paraId="68EFC212" w14:textId="47C2AA88">
          <w:pPr>
            <w:pStyle w:val="TOC2"/>
            <w:tabs>
              <w:tab w:val="left" w:pos="1080"/>
            </w:tabs>
            <w:rPr>
              <w:rFonts w:asciiTheme="minorHAnsi" w:eastAsiaTheme="minorEastAsia" w:hAnsiTheme="minorHAnsi" w:cstheme="minorBidi"/>
              <w:sz w:val="22"/>
              <w:szCs w:val="22"/>
            </w:rPr>
          </w:pPr>
          <w:hyperlink w:anchor="_Toc144904233" w:history="1">
            <w:r w:rsidRPr="006C04A2">
              <w:rPr>
                <w:rStyle w:val="Hyperlink"/>
                <w:b/>
              </w:rPr>
              <w:t>16.</w:t>
            </w:r>
            <w:r>
              <w:rPr>
                <w:rFonts w:asciiTheme="minorHAnsi" w:eastAsiaTheme="minorEastAsia" w:hAnsiTheme="minorHAnsi" w:cstheme="minorBidi"/>
                <w:sz w:val="22"/>
                <w:szCs w:val="22"/>
              </w:rPr>
              <w:tab/>
            </w:r>
            <w:r w:rsidRPr="006C04A2">
              <w:rPr>
                <w:rStyle w:val="Hyperlink"/>
              </w:rPr>
              <w:t>Publication/Tabulation Dates</w:t>
            </w:r>
            <w:r>
              <w:rPr>
                <w:webHidden/>
              </w:rPr>
              <w:tab/>
            </w:r>
            <w:r>
              <w:rPr>
                <w:webHidden/>
              </w:rPr>
              <w:fldChar w:fldCharType="begin"/>
            </w:r>
            <w:r>
              <w:rPr>
                <w:webHidden/>
              </w:rPr>
              <w:instrText xml:space="preserve"> PAGEREF _Toc144904233 \h </w:instrText>
            </w:r>
            <w:r>
              <w:rPr>
                <w:webHidden/>
              </w:rPr>
              <w:fldChar w:fldCharType="separate"/>
            </w:r>
            <w:r>
              <w:rPr>
                <w:webHidden/>
              </w:rPr>
              <w:t>10</w:t>
            </w:r>
            <w:r>
              <w:rPr>
                <w:webHidden/>
              </w:rPr>
              <w:fldChar w:fldCharType="end"/>
            </w:r>
          </w:hyperlink>
        </w:p>
        <w:p w:rsidR="00C97219" w14:paraId="50F5155D" w14:textId="02AB6425">
          <w:pPr>
            <w:pStyle w:val="TOC2"/>
            <w:tabs>
              <w:tab w:val="left" w:pos="1080"/>
            </w:tabs>
            <w:rPr>
              <w:rFonts w:asciiTheme="minorHAnsi" w:eastAsiaTheme="minorEastAsia" w:hAnsiTheme="minorHAnsi" w:cstheme="minorBidi"/>
              <w:sz w:val="22"/>
              <w:szCs w:val="22"/>
            </w:rPr>
          </w:pPr>
          <w:hyperlink w:anchor="_Toc144904234" w:history="1">
            <w:r w:rsidRPr="006C04A2">
              <w:rPr>
                <w:rStyle w:val="Hyperlink"/>
                <w:b/>
              </w:rPr>
              <w:t>17.</w:t>
            </w:r>
            <w:r>
              <w:rPr>
                <w:rFonts w:asciiTheme="minorHAnsi" w:eastAsiaTheme="minorEastAsia" w:hAnsiTheme="minorHAnsi" w:cstheme="minorBidi"/>
                <w:sz w:val="22"/>
                <w:szCs w:val="22"/>
              </w:rPr>
              <w:tab/>
            </w:r>
            <w:r w:rsidRPr="006C04A2">
              <w:rPr>
                <w:rStyle w:val="Hyperlink"/>
              </w:rPr>
              <w:t>Expiration Date</w:t>
            </w:r>
            <w:r>
              <w:rPr>
                <w:webHidden/>
              </w:rPr>
              <w:tab/>
            </w:r>
            <w:r>
              <w:rPr>
                <w:webHidden/>
              </w:rPr>
              <w:fldChar w:fldCharType="begin"/>
            </w:r>
            <w:r>
              <w:rPr>
                <w:webHidden/>
              </w:rPr>
              <w:instrText xml:space="preserve"> PAGEREF _Toc144904234 \h </w:instrText>
            </w:r>
            <w:r>
              <w:rPr>
                <w:webHidden/>
              </w:rPr>
              <w:fldChar w:fldCharType="separate"/>
            </w:r>
            <w:r>
              <w:rPr>
                <w:webHidden/>
              </w:rPr>
              <w:t>10</w:t>
            </w:r>
            <w:r>
              <w:rPr>
                <w:webHidden/>
              </w:rPr>
              <w:fldChar w:fldCharType="end"/>
            </w:r>
          </w:hyperlink>
        </w:p>
        <w:p w:rsidR="00C97219" w14:paraId="65416F0B" w14:textId="2AA7ACB8">
          <w:pPr>
            <w:pStyle w:val="TOC2"/>
            <w:tabs>
              <w:tab w:val="left" w:pos="1080"/>
            </w:tabs>
            <w:rPr>
              <w:rFonts w:asciiTheme="minorHAnsi" w:eastAsiaTheme="minorEastAsia" w:hAnsiTheme="minorHAnsi" w:cstheme="minorBidi"/>
              <w:sz w:val="22"/>
              <w:szCs w:val="22"/>
            </w:rPr>
          </w:pPr>
          <w:hyperlink w:anchor="_Toc144904235" w:history="1">
            <w:r w:rsidRPr="006C04A2">
              <w:rPr>
                <w:rStyle w:val="Hyperlink"/>
                <w:b/>
              </w:rPr>
              <w:t>18.</w:t>
            </w:r>
            <w:r>
              <w:rPr>
                <w:rFonts w:asciiTheme="minorHAnsi" w:eastAsiaTheme="minorEastAsia" w:hAnsiTheme="minorHAnsi" w:cstheme="minorBidi"/>
                <w:sz w:val="22"/>
                <w:szCs w:val="22"/>
              </w:rPr>
              <w:tab/>
            </w:r>
            <w:r w:rsidRPr="006C04A2">
              <w:rPr>
                <w:rStyle w:val="Hyperlink"/>
              </w:rPr>
              <w:t>Certification Statement</w:t>
            </w:r>
            <w:r>
              <w:rPr>
                <w:webHidden/>
              </w:rPr>
              <w:tab/>
            </w:r>
            <w:r>
              <w:rPr>
                <w:webHidden/>
              </w:rPr>
              <w:fldChar w:fldCharType="begin"/>
            </w:r>
            <w:r>
              <w:rPr>
                <w:webHidden/>
              </w:rPr>
              <w:instrText xml:space="preserve"> PAGEREF _Toc144904235 \h </w:instrText>
            </w:r>
            <w:r>
              <w:rPr>
                <w:webHidden/>
              </w:rPr>
              <w:fldChar w:fldCharType="separate"/>
            </w:r>
            <w:r>
              <w:rPr>
                <w:webHidden/>
              </w:rPr>
              <w:t>10</w:t>
            </w:r>
            <w:r>
              <w:rPr>
                <w:webHidden/>
              </w:rPr>
              <w:fldChar w:fldCharType="end"/>
            </w:r>
          </w:hyperlink>
        </w:p>
        <w:p w:rsidR="00C97219" w14:paraId="1A4DE62B" w14:textId="4136D8C1">
          <w:pPr>
            <w:pStyle w:val="TOC1"/>
            <w:rPr>
              <w:rFonts w:asciiTheme="minorHAnsi" w:eastAsiaTheme="minorEastAsia" w:hAnsiTheme="minorHAnsi" w:cstheme="minorBidi"/>
              <w:sz w:val="22"/>
              <w:szCs w:val="22"/>
            </w:rPr>
          </w:pPr>
          <w:hyperlink w:anchor="_Toc144904236" w:history="1">
            <w:r w:rsidRPr="006C04A2">
              <w:rPr>
                <w:rStyle w:val="Hyperlink"/>
              </w:rPr>
              <w:t>Appendices:</w:t>
            </w:r>
            <w:r>
              <w:rPr>
                <w:webHidden/>
              </w:rPr>
              <w:tab/>
            </w:r>
            <w:r>
              <w:rPr>
                <w:webHidden/>
              </w:rPr>
              <w:fldChar w:fldCharType="begin"/>
            </w:r>
            <w:r>
              <w:rPr>
                <w:webHidden/>
              </w:rPr>
              <w:instrText xml:space="preserve"> PAGEREF _Toc144904236 \h </w:instrText>
            </w:r>
            <w:r>
              <w:rPr>
                <w:webHidden/>
              </w:rPr>
              <w:fldChar w:fldCharType="separate"/>
            </w:r>
            <w:r>
              <w:rPr>
                <w:webHidden/>
              </w:rPr>
              <w:t>10</w:t>
            </w:r>
            <w:r>
              <w:rPr>
                <w:webHidden/>
              </w:rPr>
              <w:fldChar w:fldCharType="end"/>
            </w:r>
          </w:hyperlink>
        </w:p>
        <w:p w:rsidR="00C97219" w14:paraId="3983CC0C" w14:textId="7F7ABD19">
          <w:pPr>
            <w:pStyle w:val="TOC2"/>
            <w:rPr>
              <w:rFonts w:asciiTheme="minorHAnsi" w:eastAsiaTheme="minorEastAsia" w:hAnsiTheme="minorHAnsi" w:cstheme="minorBidi"/>
              <w:sz w:val="22"/>
              <w:szCs w:val="22"/>
            </w:rPr>
          </w:pPr>
          <w:hyperlink w:anchor="_Toc144904237" w:history="1">
            <w:r w:rsidRPr="006C04A2">
              <w:rPr>
                <w:rStyle w:val="Hyperlink"/>
              </w:rPr>
              <w:t>Appendix A – LTCH CARE Data Set V 5.1 Item</w:t>
            </w:r>
            <w:r>
              <w:rPr>
                <w:webHidden/>
              </w:rPr>
              <w:tab/>
            </w:r>
            <w:r>
              <w:rPr>
                <w:webHidden/>
              </w:rPr>
              <w:fldChar w:fldCharType="begin"/>
            </w:r>
            <w:r>
              <w:rPr>
                <w:webHidden/>
              </w:rPr>
              <w:instrText xml:space="preserve"> PAGEREF _Toc144904237 \h </w:instrText>
            </w:r>
            <w:r>
              <w:rPr>
                <w:webHidden/>
              </w:rPr>
              <w:fldChar w:fldCharType="separate"/>
            </w:r>
            <w:r>
              <w:rPr>
                <w:webHidden/>
              </w:rPr>
              <w:t>10</w:t>
            </w:r>
            <w:r>
              <w:rPr>
                <w:webHidden/>
              </w:rPr>
              <w:fldChar w:fldCharType="end"/>
            </w:r>
          </w:hyperlink>
        </w:p>
        <w:p w:rsidR="007340AA" w14:paraId="35BF859D" w14:textId="77777777">
          <w:r>
            <w:rPr>
              <w:b/>
              <w:bCs/>
              <w:noProof/>
            </w:rPr>
            <w:fldChar w:fldCharType="end"/>
          </w:r>
        </w:p>
      </w:sdtContent>
    </w:sdt>
    <w:p w:rsidR="002216DB" w:rsidRPr="00AA14E5" w:rsidP="002216DB" w14:paraId="0F75A24B" w14:textId="77777777">
      <w:pPr>
        <w:pStyle w:val="NoSpacing"/>
        <w:jc w:val="center"/>
        <w:rPr>
          <w:b/>
          <w:u w:val="single"/>
        </w:rPr>
      </w:pPr>
    </w:p>
    <w:p w:rsidR="00EA4C90" w:rsidRPr="002216DB" w:rsidP="00EE2E3D" w14:paraId="2EDFCAF3" w14:textId="77777777">
      <w:pPr>
        <w:pStyle w:val="NoSpacing"/>
        <w:outlineLvl w:val="0"/>
        <w:rPr>
          <w:b/>
        </w:rPr>
        <w:sectPr w:rsidSect="00EA4C90">
          <w:headerReference w:type="default" r:id="rId7"/>
          <w:footerReference w:type="default" r:id="rId8"/>
          <w:pgSz w:w="12240" w:h="15840"/>
          <w:pgMar w:top="1440" w:right="1440" w:bottom="1440" w:left="1440" w:header="720" w:footer="720" w:gutter="0"/>
          <w:pgNumType w:fmt="lowerRoman" w:start="1"/>
          <w:cols w:space="720"/>
          <w:docGrid w:linePitch="360"/>
        </w:sectPr>
      </w:pPr>
      <w:r>
        <w:tab/>
      </w:r>
    </w:p>
    <w:p w:rsidR="002C6267" w:rsidP="002C6267" w14:paraId="5A798C7D" w14:textId="77777777">
      <w:pPr>
        <w:pStyle w:val="NoSpacing"/>
        <w:jc w:val="center"/>
        <w:rPr>
          <w:b/>
          <w:bCs/>
          <w:u w:val="single"/>
        </w:rPr>
      </w:pPr>
      <w:r w:rsidRPr="00EA4C90">
        <w:rPr>
          <w:b/>
          <w:u w:val="single"/>
        </w:rPr>
        <w:t xml:space="preserve">Supporting Statement </w:t>
      </w:r>
      <w:r>
        <w:rPr>
          <w:b/>
          <w:bCs/>
          <w:u w:val="single"/>
        </w:rPr>
        <w:t>Part</w:t>
      </w:r>
      <w:r w:rsidRPr="00EA4C90">
        <w:rPr>
          <w:b/>
          <w:bCs/>
          <w:u w:val="single"/>
        </w:rPr>
        <w:t xml:space="preserve"> A</w:t>
      </w:r>
    </w:p>
    <w:p w:rsidR="00EA4C90" w:rsidRPr="00EA4C90" w:rsidP="00EA4C90" w14:paraId="040F8ACE" w14:textId="77777777">
      <w:pPr>
        <w:pStyle w:val="NoSpacing"/>
        <w:jc w:val="center"/>
        <w:rPr>
          <w:b/>
          <w:bCs/>
          <w:u w:val="single"/>
        </w:rPr>
      </w:pPr>
    </w:p>
    <w:p w:rsidR="00B704D4" w:rsidRPr="00EA4C90" w:rsidP="00EA4C90" w14:paraId="634CA9D2" w14:textId="77777777">
      <w:pPr>
        <w:pStyle w:val="NoSpacing"/>
        <w:jc w:val="center"/>
        <w:rPr>
          <w:b/>
          <w:u w:val="single"/>
        </w:rPr>
      </w:pPr>
    </w:p>
    <w:p w:rsidR="00EA4C90" w:rsidP="00B02955" w14:paraId="0F1BC4D8" w14:textId="77777777">
      <w:pPr>
        <w:pStyle w:val="NoSpacing"/>
        <w:spacing w:after="240"/>
        <w:jc w:val="center"/>
        <w:rPr>
          <w:b/>
          <w:i/>
        </w:rPr>
      </w:pPr>
      <w:r w:rsidRPr="00EA4C90">
        <w:rPr>
          <w:b/>
          <w:i/>
        </w:rPr>
        <w:t xml:space="preserve">LTCH CARE Data Set For the Collection of Data Pertaining </w:t>
      </w:r>
      <w:r w:rsidR="00B02955">
        <w:rPr>
          <w:b/>
          <w:i/>
        </w:rPr>
        <w:br/>
      </w:r>
      <w:r w:rsidRPr="00EA4C90">
        <w:rPr>
          <w:b/>
          <w:i/>
        </w:rPr>
        <w:t>to the Long-Term Care Hospital Quality Reporting Program</w:t>
      </w:r>
    </w:p>
    <w:p w:rsidR="00EA4C90" w:rsidP="002216DB" w14:paraId="375B46FF" w14:textId="77777777">
      <w:pPr>
        <w:pStyle w:val="Heading1"/>
        <w:numPr>
          <w:ilvl w:val="0"/>
          <w:numId w:val="2"/>
        </w:numPr>
      </w:pPr>
      <w:bookmarkStart w:id="0" w:name="_Toc88554840"/>
      <w:bookmarkStart w:id="1" w:name="_Toc144904211"/>
      <w:r>
        <w:t>Background</w:t>
      </w:r>
      <w:bookmarkEnd w:id="0"/>
      <w:bookmarkEnd w:id="1"/>
      <w:r>
        <w:t xml:space="preserve"> </w:t>
      </w:r>
    </w:p>
    <w:p w:rsidR="00271B44" w:rsidRPr="00271B44" w:rsidP="00271B44" w14:paraId="43BF64C7" w14:textId="77777777"/>
    <w:p w:rsidR="004618A0" w:rsidRPr="000C4B29" w:rsidP="004618A0" w14:paraId="2089EC5A" w14:textId="5ADC65B2">
      <w:pPr>
        <w:pStyle w:val="ListContinue"/>
        <w:ind w:left="0"/>
        <w:rPr>
          <w:u w:val="single"/>
        </w:rPr>
      </w:pPr>
      <w:r w:rsidRPr="00741D00">
        <w:rPr>
          <w:u w:val="single"/>
        </w:rPr>
        <w:t xml:space="preserve">The Centers for Medicare &amp; Medicaid Services (CMS) is requesting </w:t>
      </w:r>
      <w:r w:rsidR="00796A03">
        <w:rPr>
          <w:u w:val="single"/>
        </w:rPr>
        <w:t xml:space="preserve">approval of revisions </w:t>
      </w:r>
      <w:r w:rsidR="0038644D">
        <w:rPr>
          <w:u w:val="single"/>
        </w:rPr>
        <w:t>to</w:t>
      </w:r>
      <w:r>
        <w:rPr>
          <w:u w:val="single"/>
        </w:rPr>
        <w:t xml:space="preserve"> th</w:t>
      </w:r>
      <w:r w:rsidRPr="000C4B29">
        <w:rPr>
          <w:u w:val="single"/>
        </w:rPr>
        <w:t xml:space="preserve">e </w:t>
      </w:r>
      <w:r w:rsidRPr="00FF1968">
        <w:rPr>
          <w:rFonts w:cs="Times New Roman"/>
          <w:u w:val="single"/>
        </w:rPr>
        <w:t xml:space="preserve">Long-Term Care Hospital </w:t>
      </w:r>
      <w:r w:rsidRPr="00FF1968" w:rsidR="005F53FF">
        <w:rPr>
          <w:rFonts w:cs="Times New Roman"/>
          <w:u w:val="single"/>
        </w:rPr>
        <w:t xml:space="preserve">(LTCH) </w:t>
      </w:r>
      <w:r w:rsidRPr="00FF1968">
        <w:rPr>
          <w:rFonts w:cs="Times New Roman"/>
          <w:u w:val="single"/>
        </w:rPr>
        <w:t xml:space="preserve">Continuity Assessment Record and Evaluation </w:t>
      </w:r>
      <w:r w:rsidRPr="00FF1968" w:rsidR="005F53FF">
        <w:rPr>
          <w:rFonts w:cs="Times New Roman"/>
          <w:u w:val="single"/>
        </w:rPr>
        <w:t xml:space="preserve">(CARE) </w:t>
      </w:r>
      <w:r w:rsidRPr="00FF1968">
        <w:rPr>
          <w:rFonts w:cs="Times New Roman"/>
          <w:u w:val="single"/>
        </w:rPr>
        <w:t>Data Set (LCDS)</w:t>
      </w:r>
      <w:r w:rsidR="00C17CF6">
        <w:rPr>
          <w:rFonts w:cs="Times New Roman"/>
          <w:u w:val="single"/>
        </w:rPr>
        <w:t xml:space="preserve"> Version 5.</w:t>
      </w:r>
      <w:r w:rsidR="006362F0">
        <w:rPr>
          <w:rFonts w:cs="Times New Roman"/>
          <w:u w:val="single"/>
        </w:rPr>
        <w:t>1 that will be effective October 1, 2024</w:t>
      </w:r>
      <w:r w:rsidR="00C17CF6">
        <w:rPr>
          <w:rFonts w:cs="Times New Roman"/>
          <w:u w:val="single"/>
        </w:rPr>
        <w:t>.</w:t>
      </w:r>
      <w:r w:rsidRPr="000C4B29">
        <w:rPr>
          <w:u w:val="single"/>
        </w:rPr>
        <w:t xml:space="preserve"> </w:t>
      </w:r>
    </w:p>
    <w:p w:rsidR="0038644D" w:rsidP="004618A0" w14:paraId="663D0C2A" w14:textId="77777777">
      <w:pPr>
        <w:pStyle w:val="ListContinue"/>
        <w:ind w:left="0"/>
        <w:rPr>
          <w:u w:val="single"/>
        </w:rPr>
      </w:pPr>
    </w:p>
    <w:p w:rsidR="00A73068" w:rsidP="00D74F73" w14:paraId="6CB5D7B0" w14:textId="01A10788">
      <w:pPr>
        <w:pStyle w:val="ListContinue"/>
        <w:ind w:left="0"/>
        <w:rPr>
          <w:rFonts w:cs="Times New Roman"/>
        </w:rPr>
      </w:pPr>
      <w:r w:rsidRPr="002F0D38">
        <w:rPr>
          <w:rFonts w:cs="Times New Roman"/>
          <w:color w:val="000000"/>
          <w:shd w:val="clear" w:color="auto" w:fill="FFFFFF"/>
        </w:rPr>
        <w:t xml:space="preserve">On </w:t>
      </w:r>
      <w:r w:rsidR="006362F0">
        <w:rPr>
          <w:rFonts w:cs="Times New Roman"/>
          <w:color w:val="000000"/>
          <w:shd w:val="clear" w:color="auto" w:fill="FFFFFF"/>
        </w:rPr>
        <w:t>August 28</w:t>
      </w:r>
      <w:r w:rsidRPr="00E827A0">
        <w:rPr>
          <w:rFonts w:cs="Times New Roman"/>
          <w:color w:val="000000"/>
          <w:shd w:val="clear" w:color="auto" w:fill="FFFFFF"/>
        </w:rPr>
        <w:t>, 202</w:t>
      </w:r>
      <w:r w:rsidR="00796A03">
        <w:rPr>
          <w:rFonts w:cs="Times New Roman"/>
          <w:color w:val="000000"/>
          <w:shd w:val="clear" w:color="auto" w:fill="FFFFFF"/>
        </w:rPr>
        <w:t>3</w:t>
      </w:r>
      <w:r w:rsidRPr="00E827A0">
        <w:rPr>
          <w:rFonts w:cs="Times New Roman"/>
          <w:color w:val="000000"/>
          <w:shd w:val="clear" w:color="auto" w:fill="FFFFFF"/>
        </w:rPr>
        <w:t xml:space="preserve"> the Centers for Medicare &amp; Medicaid Services (CMS) </w:t>
      </w:r>
      <w:r w:rsidR="006362F0">
        <w:rPr>
          <w:rFonts w:cs="Times New Roman"/>
          <w:color w:val="000000"/>
          <w:shd w:val="clear" w:color="auto" w:fill="FFFFFF"/>
        </w:rPr>
        <w:t>published the Inpatient Prospective Payment System (IPPS)/LTCH Prospective Payment System (PPS) for Federal Fiscal Year (FY) 2024 final rule</w:t>
      </w:r>
      <w:r w:rsidR="00796A03">
        <w:rPr>
          <w:rFonts w:cs="Times New Roman"/>
          <w:color w:val="000000"/>
          <w:shd w:val="clear" w:color="auto" w:fill="FFFFFF"/>
        </w:rPr>
        <w:t xml:space="preserve"> </w:t>
      </w:r>
      <w:r w:rsidRPr="00E827A0">
        <w:rPr>
          <w:rFonts w:cs="Times New Roman"/>
          <w:color w:val="000000"/>
          <w:shd w:val="clear" w:color="auto" w:fill="FFFFFF"/>
        </w:rPr>
        <w:t>(</w:t>
      </w:r>
      <w:r w:rsidR="00E83B51">
        <w:rPr>
          <w:rFonts w:cs="Times New Roman"/>
          <w:color w:val="000000"/>
          <w:shd w:val="clear" w:color="auto" w:fill="FFFFFF"/>
        </w:rPr>
        <w:t>8</w:t>
      </w:r>
      <w:r w:rsidR="00796A03">
        <w:rPr>
          <w:rFonts w:cs="Times New Roman"/>
          <w:color w:val="000000"/>
          <w:shd w:val="clear" w:color="auto" w:fill="FFFFFF"/>
        </w:rPr>
        <w:t>8</w:t>
      </w:r>
      <w:r w:rsidR="00047747">
        <w:rPr>
          <w:rFonts w:cs="Times New Roman"/>
          <w:color w:val="000000"/>
          <w:shd w:val="clear" w:color="auto" w:fill="FFFFFF"/>
        </w:rPr>
        <w:t xml:space="preserve"> </w:t>
      </w:r>
      <w:r w:rsidR="00E83B51">
        <w:rPr>
          <w:rFonts w:cs="Times New Roman"/>
          <w:color w:val="000000"/>
          <w:shd w:val="clear" w:color="auto" w:fill="FFFFFF"/>
        </w:rPr>
        <w:t xml:space="preserve">FR </w:t>
      </w:r>
      <w:r w:rsidR="006362F0">
        <w:rPr>
          <w:rFonts w:cs="Times New Roman"/>
          <w:color w:val="000000"/>
          <w:shd w:val="clear" w:color="auto" w:fill="FFFFFF"/>
        </w:rPr>
        <w:t>58640</w:t>
      </w:r>
      <w:r w:rsidRPr="00E827A0">
        <w:rPr>
          <w:rFonts w:cs="Times New Roman"/>
          <w:color w:val="000000"/>
          <w:shd w:val="clear" w:color="auto" w:fill="FFFFFF"/>
        </w:rPr>
        <w:t xml:space="preserve">) which </w:t>
      </w:r>
      <w:r w:rsidR="006362F0">
        <w:rPr>
          <w:rFonts w:cs="Times New Roman"/>
          <w:color w:val="000000"/>
          <w:shd w:val="clear" w:color="auto" w:fill="FFFFFF"/>
        </w:rPr>
        <w:t xml:space="preserve">finalizes </w:t>
      </w:r>
      <w:r w:rsidR="007340AA">
        <w:rPr>
          <w:rFonts w:cs="Times New Roman"/>
          <w:color w:val="000000"/>
          <w:shd w:val="clear" w:color="auto" w:fill="FFFFFF"/>
        </w:rPr>
        <w:t xml:space="preserve">modifications to the </w:t>
      </w:r>
      <w:r w:rsidR="00796A03">
        <w:rPr>
          <w:rFonts w:cs="Times New Roman"/>
          <w:color w:val="000000"/>
          <w:shd w:val="clear" w:color="auto" w:fill="FFFFFF"/>
        </w:rPr>
        <w:t xml:space="preserve">collection of quality </w:t>
      </w:r>
      <w:r w:rsidR="007340AA">
        <w:rPr>
          <w:rFonts w:cs="Times New Roman"/>
          <w:color w:val="000000"/>
          <w:shd w:val="clear" w:color="auto" w:fill="FFFFFF"/>
        </w:rPr>
        <w:t>reporting data in the Long-</w:t>
      </w:r>
      <w:r w:rsidR="006362F0">
        <w:rPr>
          <w:rFonts w:cs="Times New Roman"/>
          <w:color w:val="000000"/>
          <w:shd w:val="clear" w:color="auto" w:fill="FFFFFF"/>
        </w:rPr>
        <w:t>T</w:t>
      </w:r>
      <w:r w:rsidR="007340AA">
        <w:rPr>
          <w:rFonts w:cs="Times New Roman"/>
          <w:color w:val="000000"/>
          <w:shd w:val="clear" w:color="auto" w:fill="FFFFFF"/>
        </w:rPr>
        <w:t xml:space="preserve">erm Care Hospital Quality Reporting Program </w:t>
      </w:r>
      <w:r w:rsidRPr="007340AA">
        <w:rPr>
          <w:rFonts w:cs="Times New Roman"/>
          <w:color w:val="000000"/>
          <w:shd w:val="clear" w:color="auto" w:fill="FFFFFF"/>
        </w:rPr>
        <w:t>(LTCH QRP).</w:t>
      </w:r>
      <w:r w:rsidRPr="00766450">
        <w:rPr>
          <w:rFonts w:cs="Times New Roman"/>
          <w:color w:val="000000"/>
        </w:rPr>
        <w:t xml:space="preserve"> </w:t>
      </w:r>
      <w:r w:rsidR="006362F0">
        <w:rPr>
          <w:rFonts w:cs="Times New Roman"/>
          <w:color w:val="000000"/>
        </w:rPr>
        <w:t xml:space="preserve">Specifically, CMS adopted two new measures and removed two measures from the LTCH QRP.  Per the Final Rule, CMS will require LTCHs to start collecting assessment data using the LCDS Version 5.1 for LTCH </w:t>
      </w:r>
      <w:r w:rsidR="006362F0">
        <w:rPr>
          <w:rFonts w:cs="Times New Roman"/>
          <w:color w:val="000000"/>
        </w:rPr>
        <w:t>Paitents</w:t>
      </w:r>
      <w:r w:rsidR="006362F0">
        <w:rPr>
          <w:rFonts w:cs="Times New Roman"/>
          <w:color w:val="000000"/>
        </w:rPr>
        <w:t xml:space="preserve"> beginning October 1, 2024.  The LTCH PPS Final Rule</w:t>
      </w:r>
      <w:r w:rsidR="00796A03">
        <w:rPr>
          <w:rFonts w:cs="Times New Roman"/>
          <w:color w:val="000000"/>
        </w:rPr>
        <w:t xml:space="preserve"> </w:t>
      </w:r>
      <w:r w:rsidR="00D74F73">
        <w:rPr>
          <w:rFonts w:cs="Times New Roman"/>
          <w:color w:val="000000"/>
        </w:rPr>
        <w:t xml:space="preserve">is available here: </w:t>
      </w:r>
      <w:hyperlink r:id="rId9" w:history="1">
        <w:r w:rsidRPr="000170F9" w:rsidR="006362F0">
          <w:rPr>
            <w:rStyle w:val="Hyperlink"/>
          </w:rPr>
          <w:t>https://www.federalregister.gov/documents/2023/08/28/2023-16252/medicare-program-hospital-inpatient-prospective-payment-systems-for-acute-care-hospitals-and-the</w:t>
        </w:r>
      </w:hyperlink>
      <w:r w:rsidR="006362F0">
        <w:t xml:space="preserve">. </w:t>
      </w:r>
    </w:p>
    <w:p w:rsidR="0038644D" w:rsidRPr="00E827A0" w:rsidP="00D74F73" w14:paraId="164D16BD" w14:textId="77777777">
      <w:pPr>
        <w:pStyle w:val="ListContinue"/>
        <w:ind w:left="0"/>
        <w:rPr>
          <w:rFonts w:cs="Times New Roman"/>
        </w:rPr>
      </w:pPr>
    </w:p>
    <w:p w:rsidR="004618A0" w:rsidRPr="00D143CE" w:rsidP="004618A0" w14:paraId="266DFF0B" w14:textId="19AAB0BE">
      <w:pPr>
        <w:pStyle w:val="ListContinue"/>
        <w:ind w:left="0"/>
        <w:rPr>
          <w:color w:val="000000" w:themeColor="text1"/>
        </w:rPr>
      </w:pPr>
      <w:r w:rsidRPr="00802A11">
        <w:rPr>
          <w:u w:val="single"/>
        </w:rPr>
        <w:t xml:space="preserve">CMS is asking for approval of the </w:t>
      </w:r>
      <w:r>
        <w:rPr>
          <w:u w:val="single"/>
        </w:rPr>
        <w:t xml:space="preserve">LCDS </w:t>
      </w:r>
      <w:r w:rsidRPr="00802A11">
        <w:rPr>
          <w:u w:val="single"/>
        </w:rPr>
        <w:t xml:space="preserve">Version </w:t>
      </w:r>
      <w:r>
        <w:rPr>
          <w:u w:val="single"/>
        </w:rPr>
        <w:t>5.1</w:t>
      </w:r>
      <w:r w:rsidRPr="00802A11">
        <w:rPr>
          <w:u w:val="single"/>
        </w:rPr>
        <w:t xml:space="preserve">, which </w:t>
      </w:r>
      <w:r>
        <w:rPr>
          <w:u w:val="single"/>
        </w:rPr>
        <w:t>would</w:t>
      </w:r>
      <w:r w:rsidRPr="00802A11">
        <w:rPr>
          <w:u w:val="single"/>
        </w:rPr>
        <w:t xml:space="preserve"> have an October 1, 2024 implementation date</w:t>
      </w:r>
      <w:r>
        <w:rPr>
          <w:u w:val="single"/>
        </w:rPr>
        <w:t xml:space="preserve">. </w:t>
      </w:r>
      <w:r w:rsidRPr="00D143CE">
        <w:rPr>
          <w:color w:val="000000" w:themeColor="text1"/>
        </w:rPr>
        <w:t xml:space="preserve"> </w:t>
      </w:r>
    </w:p>
    <w:p w:rsidR="005F53FF" w:rsidRPr="001F2665" w:rsidP="005F53FF" w14:paraId="61B6B7F2" w14:textId="4C5A5CF9">
      <w:pPr>
        <w:pStyle w:val="Heading2"/>
        <w:rPr>
          <w:rFonts w:cs="Times New Roman"/>
          <w:sz w:val="24"/>
          <w:szCs w:val="24"/>
          <w:u w:val="single"/>
        </w:rPr>
      </w:pPr>
      <w:bookmarkStart w:id="2" w:name="_Toc125742239"/>
      <w:bookmarkStart w:id="3" w:name="_Toc144904212"/>
      <w:r w:rsidRPr="005E3DEF">
        <w:rPr>
          <w:rFonts w:cs="Times New Roman"/>
          <w:sz w:val="24"/>
          <w:szCs w:val="24"/>
          <w:u w:val="single"/>
        </w:rPr>
        <w:t xml:space="preserve">Background of the </w:t>
      </w:r>
      <w:r>
        <w:rPr>
          <w:rFonts w:cs="Times New Roman"/>
          <w:sz w:val="24"/>
          <w:szCs w:val="24"/>
          <w:u w:val="single"/>
        </w:rPr>
        <w:t xml:space="preserve">LCDS </w:t>
      </w:r>
      <w:r w:rsidRPr="005E3DEF">
        <w:rPr>
          <w:rFonts w:cs="Times New Roman"/>
          <w:sz w:val="24"/>
          <w:szCs w:val="24"/>
          <w:u w:val="single"/>
        </w:rPr>
        <w:t xml:space="preserve">in </w:t>
      </w:r>
      <w:bookmarkEnd w:id="2"/>
      <w:r>
        <w:rPr>
          <w:rFonts w:cs="Times New Roman"/>
          <w:sz w:val="24"/>
          <w:szCs w:val="24"/>
          <w:u w:val="single"/>
        </w:rPr>
        <w:t>LTCHs</w:t>
      </w:r>
      <w:bookmarkEnd w:id="3"/>
    </w:p>
    <w:p w:rsidR="005F53FF" w:rsidP="00FF1968" w14:paraId="39BB9C93" w14:textId="77777777">
      <w:pPr>
        <w:pStyle w:val="BodyText0"/>
        <w:spacing w:after="0"/>
      </w:pPr>
    </w:p>
    <w:p w:rsidR="00961A12" w:rsidP="005F53FF" w14:paraId="64DE0D2E" w14:textId="73F29DA0">
      <w:pPr>
        <w:rPr>
          <w:rFonts w:cs="Times New Roman"/>
        </w:rPr>
      </w:pPr>
      <w:r>
        <w:t xml:space="preserve">The LCDS is a uniform instrument used in every hospital certified as a LTCH under 42 C.F.R. 412.23(e) in the United States to assess resident condition.  </w:t>
      </w:r>
      <w:r w:rsidR="00907845">
        <w:rPr>
          <w:rFonts w:cs="Times New Roman"/>
        </w:rPr>
        <w:t>The</w:t>
      </w:r>
      <w:r w:rsidR="002F71E7">
        <w:rPr>
          <w:rFonts w:cs="Times New Roman"/>
        </w:rPr>
        <w:t xml:space="preserve"> </w:t>
      </w:r>
      <w:r>
        <w:rPr>
          <w:rFonts w:cs="Times New Roman"/>
        </w:rPr>
        <w:t xml:space="preserve">LCDS serves two purposes:  </w:t>
      </w:r>
    </w:p>
    <w:p w:rsidR="005F53FF" w:rsidP="005F53FF" w14:paraId="36886C0F" w14:textId="35D29024">
      <w:pPr>
        <w:pStyle w:val="ListParagraph"/>
        <w:numPr>
          <w:ilvl w:val="0"/>
          <w:numId w:val="27"/>
        </w:numPr>
      </w:pPr>
      <w:r>
        <w:t>Collect data to inform care plans</w:t>
      </w:r>
    </w:p>
    <w:p w:rsidR="005F53FF" w:rsidP="005F53FF" w14:paraId="69F08F11" w14:textId="307807AB">
      <w:pPr>
        <w:pStyle w:val="ListParagraph"/>
        <w:numPr>
          <w:ilvl w:val="0"/>
          <w:numId w:val="27"/>
        </w:numPr>
      </w:pPr>
      <w:r>
        <w:t>To generate quality indicators to evaluate LTCHs and guide improvement interventions</w:t>
      </w:r>
    </w:p>
    <w:p w:rsidR="00785B16" w:rsidP="00785B16" w14:paraId="07CAF96D" w14:textId="777344C7"/>
    <w:p w:rsidR="00961A12" w:rsidP="00961A12" w14:paraId="36225A7F" w14:textId="61458F85">
      <w:r>
        <w:t xml:space="preserve">Regarding the LTCH QRP, </w:t>
      </w:r>
      <w:r>
        <w:rPr>
          <w:b/>
        </w:rPr>
        <w:t xml:space="preserve">Table 1 </w:t>
      </w:r>
      <w:r w:rsidRPr="00961A12">
        <w:t xml:space="preserve">lists </w:t>
      </w:r>
      <w:r>
        <w:t>the quality mea</w:t>
      </w:r>
      <w:r w:rsidR="009C29D1">
        <w:t>s</w:t>
      </w:r>
      <w:r>
        <w:t xml:space="preserve">ures </w:t>
      </w:r>
      <w:r w:rsidR="00531A31">
        <w:t xml:space="preserve">currently </w:t>
      </w:r>
      <w:r>
        <w:t xml:space="preserve">collected via the </w:t>
      </w:r>
      <w:r w:rsidR="00156787">
        <w:t>LCDS</w:t>
      </w:r>
      <w:r w:rsidR="006E0551">
        <w:t xml:space="preserve"> Version 5.0</w:t>
      </w:r>
      <w:r>
        <w:t xml:space="preserve">. </w:t>
      </w:r>
    </w:p>
    <w:p w:rsidR="00CD330A" w:rsidP="002F71E7" w14:paraId="5EF68F2E" w14:textId="77777777"/>
    <w:p w:rsidR="00694D3E" w:rsidP="00305FAC" w14:paraId="33DFB7C5" w14:textId="31732915">
      <w:pPr>
        <w:jc w:val="center"/>
        <w:rPr>
          <w:b/>
          <w:bCs/>
        </w:rPr>
      </w:pPr>
      <w:r w:rsidRPr="00BF7701">
        <w:rPr>
          <w:b/>
          <w:bCs/>
        </w:rPr>
        <w:t>Table 1.</w:t>
      </w:r>
      <w:r w:rsidRPr="00BF7701">
        <w:t xml:space="preserve">     </w:t>
      </w:r>
      <w:r w:rsidRPr="00767CB0">
        <w:rPr>
          <w:b/>
          <w:bCs/>
        </w:rPr>
        <w:t>Quality</w:t>
      </w:r>
      <w:r w:rsidRPr="00BF7701">
        <w:rPr>
          <w:b/>
          <w:bCs/>
        </w:rPr>
        <w:t xml:space="preserve"> Measures</w:t>
      </w:r>
      <w:r w:rsidR="00590EA3">
        <w:rPr>
          <w:b/>
          <w:bCs/>
        </w:rPr>
        <w:t xml:space="preserve"> Currently </w:t>
      </w:r>
      <w:r w:rsidR="007B6036">
        <w:rPr>
          <w:b/>
          <w:bCs/>
        </w:rPr>
        <w:t xml:space="preserve">Collected via the </w:t>
      </w:r>
      <w:r w:rsidR="00156787">
        <w:rPr>
          <w:b/>
          <w:bCs/>
        </w:rPr>
        <w:t>LCDS</w:t>
      </w:r>
      <w:r w:rsidR="006E0551">
        <w:rPr>
          <w:b/>
          <w:bCs/>
        </w:rPr>
        <w:t xml:space="preserve"> V5.0</w:t>
      </w:r>
    </w:p>
    <w:tbl>
      <w:tblPr>
        <w:tblStyle w:val="TableGrid6412"/>
        <w:tblW w:w="10075" w:type="dxa"/>
        <w:jc w:val="center"/>
        <w:tblLayout w:type="fixed"/>
        <w:tblLook w:val="0000"/>
      </w:tblPr>
      <w:tblGrid>
        <w:gridCol w:w="2350"/>
        <w:gridCol w:w="7725"/>
      </w:tblGrid>
      <w:tr w14:paraId="616AFF21" w14:textId="77777777" w:rsidTr="00DB2DBD">
        <w:tblPrEx>
          <w:tblW w:w="10075" w:type="dxa"/>
          <w:jc w:val="center"/>
          <w:tblLayout w:type="fixed"/>
          <w:tblLook w:val="0000"/>
        </w:tblPrEx>
        <w:trPr>
          <w:tblHeader/>
          <w:jc w:val="center"/>
        </w:trPr>
        <w:tc>
          <w:tcPr>
            <w:tcW w:w="2350" w:type="dxa"/>
          </w:tcPr>
          <w:p w:rsidR="00946D32" w:rsidRPr="007246E9" w:rsidP="00DB2DBD" w14:paraId="2B339111" w14:textId="77777777">
            <w:pPr>
              <w:keepNext/>
              <w:adjustRightInd w:val="0"/>
              <w:contextualSpacing/>
              <w:jc w:val="center"/>
              <w:rPr>
                <w:b/>
                <w:bCs/>
              </w:rPr>
            </w:pPr>
            <w:r w:rsidRPr="007246E9">
              <w:rPr>
                <w:b/>
                <w:bCs/>
              </w:rPr>
              <w:t>Short Name</w:t>
            </w:r>
          </w:p>
        </w:tc>
        <w:tc>
          <w:tcPr>
            <w:tcW w:w="7725" w:type="dxa"/>
          </w:tcPr>
          <w:p w:rsidR="00946D32" w:rsidRPr="007246E9" w:rsidP="00DB2DBD" w14:paraId="7450F8F0" w14:textId="77777777">
            <w:pPr>
              <w:adjustRightInd w:val="0"/>
              <w:contextualSpacing/>
              <w:jc w:val="center"/>
              <w:rPr>
                <w:b/>
                <w:bCs/>
              </w:rPr>
            </w:pPr>
            <w:r w:rsidRPr="007246E9">
              <w:rPr>
                <w:b/>
                <w:bCs/>
              </w:rPr>
              <w:t>Measure Name &amp; Data Source</w:t>
            </w:r>
          </w:p>
        </w:tc>
      </w:tr>
      <w:tr w14:paraId="533273DB" w14:textId="77777777" w:rsidTr="00DB2DBD">
        <w:tblPrEx>
          <w:tblW w:w="10075" w:type="dxa"/>
          <w:jc w:val="center"/>
          <w:tblLayout w:type="fixed"/>
          <w:tblLook w:val="0000"/>
        </w:tblPrEx>
        <w:trPr>
          <w:jc w:val="center"/>
        </w:trPr>
        <w:tc>
          <w:tcPr>
            <w:tcW w:w="10075" w:type="dxa"/>
            <w:gridSpan w:val="2"/>
          </w:tcPr>
          <w:p w:rsidR="00946D32" w:rsidRPr="007246E9" w:rsidP="00DB2DBD" w14:paraId="60CA7D36" w14:textId="4BFFD38A">
            <w:pPr>
              <w:keepNext/>
              <w:adjustRightInd w:val="0"/>
              <w:contextualSpacing/>
              <w:jc w:val="center"/>
              <w:rPr>
                <w:b/>
              </w:rPr>
            </w:pPr>
            <w:r>
              <w:rPr>
                <w:b/>
              </w:rPr>
              <w:t>LCDS</w:t>
            </w:r>
          </w:p>
        </w:tc>
      </w:tr>
      <w:tr w14:paraId="35519CA0" w14:textId="77777777" w:rsidTr="00DB2DBD">
        <w:tblPrEx>
          <w:tblW w:w="10075" w:type="dxa"/>
          <w:jc w:val="center"/>
          <w:tblLayout w:type="fixed"/>
          <w:tblLook w:val="0000"/>
        </w:tblPrEx>
        <w:trPr>
          <w:jc w:val="center"/>
        </w:trPr>
        <w:tc>
          <w:tcPr>
            <w:tcW w:w="2350" w:type="dxa"/>
          </w:tcPr>
          <w:p w:rsidR="00946D32" w:rsidRPr="007246E9" w:rsidP="00DB2DBD" w14:paraId="51938055" w14:textId="77777777">
            <w:pPr>
              <w:adjustRightInd w:val="0"/>
              <w:contextualSpacing/>
            </w:pPr>
            <w:r w:rsidRPr="007246E9">
              <w:t>Pressure Ulcer/Injury</w:t>
            </w:r>
          </w:p>
        </w:tc>
        <w:tc>
          <w:tcPr>
            <w:tcW w:w="7725" w:type="dxa"/>
          </w:tcPr>
          <w:p w:rsidR="00946D32" w:rsidRPr="007246E9" w:rsidP="00DB2DBD" w14:paraId="22AF2CAD" w14:textId="77777777">
            <w:pPr>
              <w:adjustRightInd w:val="0"/>
              <w:contextualSpacing/>
            </w:pPr>
            <w:r w:rsidRPr="007246E9">
              <w:t>Changes in Skin Integrity Post-Acute Care: Pressure Ulcer/Injury</w:t>
            </w:r>
          </w:p>
        </w:tc>
      </w:tr>
      <w:tr w14:paraId="6C806208" w14:textId="77777777" w:rsidTr="00DB2DBD">
        <w:tblPrEx>
          <w:tblW w:w="10075" w:type="dxa"/>
          <w:jc w:val="center"/>
          <w:tblLayout w:type="fixed"/>
          <w:tblLook w:val="0000"/>
        </w:tblPrEx>
        <w:trPr>
          <w:jc w:val="center"/>
        </w:trPr>
        <w:tc>
          <w:tcPr>
            <w:tcW w:w="2350" w:type="dxa"/>
          </w:tcPr>
          <w:p w:rsidR="00946D32" w:rsidRPr="007246E9" w:rsidP="00DB2DBD" w14:paraId="16F26D4F" w14:textId="77777777">
            <w:pPr>
              <w:adjustRightInd w:val="0"/>
              <w:contextualSpacing/>
            </w:pPr>
            <w:r w:rsidRPr="007246E9">
              <w:t xml:space="preserve">Application of Falls </w:t>
            </w:r>
          </w:p>
        </w:tc>
        <w:tc>
          <w:tcPr>
            <w:tcW w:w="7725" w:type="dxa"/>
          </w:tcPr>
          <w:p w:rsidR="00946D32" w:rsidRPr="007246E9" w:rsidP="00DB2DBD" w14:paraId="6D58389A" w14:textId="77777777">
            <w:pPr>
              <w:adjustRightInd w:val="0"/>
              <w:contextualSpacing/>
            </w:pPr>
            <w:r w:rsidRPr="007246E9">
              <w:t xml:space="preserve">Application of Percent of Residents Experiencing One or More Falls with Major Injury (Long Stay) </w:t>
            </w:r>
          </w:p>
        </w:tc>
      </w:tr>
      <w:tr w14:paraId="77439CD6" w14:textId="77777777" w:rsidTr="00DB2DBD">
        <w:tblPrEx>
          <w:tblW w:w="10075" w:type="dxa"/>
          <w:jc w:val="center"/>
          <w:tblLayout w:type="fixed"/>
          <w:tblLook w:val="0000"/>
        </w:tblPrEx>
        <w:trPr>
          <w:jc w:val="center"/>
        </w:trPr>
        <w:tc>
          <w:tcPr>
            <w:tcW w:w="2350" w:type="dxa"/>
          </w:tcPr>
          <w:p w:rsidR="00946D32" w:rsidRPr="007246E9" w:rsidP="00DB2DBD" w14:paraId="143DB0F0" w14:textId="77777777">
            <w:pPr>
              <w:adjustRightInd w:val="0"/>
              <w:contextualSpacing/>
            </w:pPr>
            <w:r w:rsidRPr="007246E9">
              <w:t xml:space="preserve">Functional Assessment </w:t>
            </w:r>
          </w:p>
        </w:tc>
        <w:tc>
          <w:tcPr>
            <w:tcW w:w="7725" w:type="dxa"/>
          </w:tcPr>
          <w:p w:rsidR="00946D32" w:rsidRPr="007246E9" w:rsidP="00DB2DBD" w14:paraId="1DB9AD8C" w14:textId="77777777">
            <w:pPr>
              <w:adjustRightInd w:val="0"/>
              <w:contextualSpacing/>
            </w:pPr>
            <w:r w:rsidRPr="007246E9">
              <w:t>Percent of Long-Term Care Hospital (LTCH) Patients with an Admission and Discharge Functional Assessment and a Care Plan That Addresses Function</w:t>
            </w:r>
          </w:p>
        </w:tc>
      </w:tr>
      <w:tr w14:paraId="32ACDA6C" w14:textId="77777777" w:rsidTr="00DB2DBD">
        <w:tblPrEx>
          <w:tblW w:w="10075" w:type="dxa"/>
          <w:jc w:val="center"/>
          <w:tblLayout w:type="fixed"/>
          <w:tblLook w:val="0000"/>
        </w:tblPrEx>
        <w:trPr>
          <w:jc w:val="center"/>
        </w:trPr>
        <w:tc>
          <w:tcPr>
            <w:tcW w:w="2350" w:type="dxa"/>
          </w:tcPr>
          <w:p w:rsidR="00946D32" w:rsidRPr="007246E9" w:rsidP="00DB2DBD" w14:paraId="77E4BACB" w14:textId="77777777">
            <w:pPr>
              <w:adjustRightInd w:val="0"/>
              <w:contextualSpacing/>
            </w:pPr>
            <w:r w:rsidRPr="007246E9">
              <w:t>Application of Functional Assessment/Care Plan</w:t>
            </w:r>
          </w:p>
        </w:tc>
        <w:tc>
          <w:tcPr>
            <w:tcW w:w="7725" w:type="dxa"/>
          </w:tcPr>
          <w:p w:rsidR="00946D32" w:rsidRPr="007246E9" w:rsidP="00DB2DBD" w14:paraId="1CDF0418" w14:textId="77777777">
            <w:pPr>
              <w:adjustRightInd w:val="0"/>
              <w:contextualSpacing/>
            </w:pPr>
            <w:r w:rsidRPr="007246E9">
              <w:t xml:space="preserve">Application of Percent of Long-Term Care Hospital (LTCH) Patients with an Admission and Discharge Functional Assessment and a Care Plan That Addresses Function </w:t>
            </w:r>
          </w:p>
        </w:tc>
      </w:tr>
      <w:tr w14:paraId="0D3FB38C" w14:textId="77777777" w:rsidTr="00DB2DBD">
        <w:tblPrEx>
          <w:tblW w:w="10075" w:type="dxa"/>
          <w:jc w:val="center"/>
          <w:tblLayout w:type="fixed"/>
          <w:tblLook w:val="0000"/>
        </w:tblPrEx>
        <w:trPr>
          <w:jc w:val="center"/>
        </w:trPr>
        <w:tc>
          <w:tcPr>
            <w:tcW w:w="2350" w:type="dxa"/>
          </w:tcPr>
          <w:p w:rsidR="00946D32" w:rsidRPr="007246E9" w:rsidP="00DB2DBD" w14:paraId="2C442293" w14:textId="77777777">
            <w:pPr>
              <w:adjustRightInd w:val="0"/>
              <w:contextualSpacing/>
            </w:pPr>
            <w:r w:rsidRPr="007246E9">
              <w:t xml:space="preserve">Change in Mobility </w:t>
            </w:r>
          </w:p>
        </w:tc>
        <w:tc>
          <w:tcPr>
            <w:tcW w:w="7725" w:type="dxa"/>
          </w:tcPr>
          <w:p w:rsidR="00946D32" w:rsidRPr="007246E9" w:rsidP="00DB2DBD" w14:paraId="4CEF23DD" w14:textId="77777777">
            <w:pPr>
              <w:adjustRightInd w:val="0"/>
              <w:contextualSpacing/>
            </w:pPr>
            <w:r w:rsidRPr="007246E9">
              <w:t xml:space="preserve">Functional Outcome Measure: Change in Mobility Among Long-Term Care Hospital (LTCH) Patients Requiring Ventilator Support  </w:t>
            </w:r>
          </w:p>
        </w:tc>
      </w:tr>
      <w:tr w14:paraId="73332330" w14:textId="77777777" w:rsidTr="00DB2DBD">
        <w:tblPrEx>
          <w:tblW w:w="10075" w:type="dxa"/>
          <w:jc w:val="center"/>
          <w:tblLayout w:type="fixed"/>
          <w:tblLook w:val="0000"/>
        </w:tblPrEx>
        <w:trPr>
          <w:jc w:val="center"/>
        </w:trPr>
        <w:tc>
          <w:tcPr>
            <w:tcW w:w="2350" w:type="dxa"/>
          </w:tcPr>
          <w:p w:rsidR="00946D32" w:rsidRPr="007246E9" w:rsidP="00DB2DBD" w14:paraId="5FD7C8AA" w14:textId="77777777">
            <w:pPr>
              <w:adjustRightInd w:val="0"/>
              <w:contextualSpacing/>
            </w:pPr>
            <w:r w:rsidRPr="007246E9">
              <w:t xml:space="preserve">DRR </w:t>
            </w:r>
          </w:p>
        </w:tc>
        <w:tc>
          <w:tcPr>
            <w:tcW w:w="7725" w:type="dxa"/>
          </w:tcPr>
          <w:p w:rsidR="00946D32" w:rsidRPr="007246E9" w:rsidP="00DB2DBD" w14:paraId="743A148C" w14:textId="77777777">
            <w:pPr>
              <w:adjustRightInd w:val="0"/>
              <w:contextualSpacing/>
            </w:pPr>
            <w:r w:rsidRPr="007246E9">
              <w:t>Drug Regimen Review Conducted With Follow-Up for Identified Issues–Post Acute Care (PAC) Long-Term Care Hospital (LTCH) Quality Reporting Program (QRP)</w:t>
            </w:r>
          </w:p>
        </w:tc>
      </w:tr>
      <w:tr w14:paraId="7D06B53E" w14:textId="77777777" w:rsidTr="00DB2DBD">
        <w:tblPrEx>
          <w:tblW w:w="10075" w:type="dxa"/>
          <w:jc w:val="center"/>
          <w:tblLayout w:type="fixed"/>
          <w:tblLook w:val="0000"/>
        </w:tblPrEx>
        <w:trPr>
          <w:jc w:val="center"/>
        </w:trPr>
        <w:tc>
          <w:tcPr>
            <w:tcW w:w="2350" w:type="dxa"/>
          </w:tcPr>
          <w:p w:rsidR="00946D32" w:rsidRPr="007246E9" w:rsidP="00DB2DBD" w14:paraId="0BD9CAAC" w14:textId="77777777">
            <w:pPr>
              <w:adjustRightInd w:val="0"/>
              <w:contextualSpacing/>
            </w:pPr>
            <w:r w:rsidRPr="007246E9">
              <w:t>Compliance with SBT</w:t>
            </w:r>
          </w:p>
        </w:tc>
        <w:tc>
          <w:tcPr>
            <w:tcW w:w="7725" w:type="dxa"/>
          </w:tcPr>
          <w:p w:rsidR="00946D32" w:rsidRPr="007246E9" w:rsidP="00DB2DBD" w14:paraId="3D40E10E" w14:textId="77777777">
            <w:pPr>
              <w:adjustRightInd w:val="0"/>
              <w:contextualSpacing/>
            </w:pPr>
            <w:r w:rsidRPr="007246E9">
              <w:t>Compliance with Spontaneous Breathing Trial (SBT) by Day 2 of the LTCH Stay</w:t>
            </w:r>
          </w:p>
        </w:tc>
      </w:tr>
      <w:tr w14:paraId="0743F180" w14:textId="77777777" w:rsidTr="00DB2DBD">
        <w:tblPrEx>
          <w:tblW w:w="10075" w:type="dxa"/>
          <w:jc w:val="center"/>
          <w:tblLayout w:type="fixed"/>
          <w:tblLook w:val="0000"/>
        </w:tblPrEx>
        <w:trPr>
          <w:jc w:val="center"/>
        </w:trPr>
        <w:tc>
          <w:tcPr>
            <w:tcW w:w="2350" w:type="dxa"/>
          </w:tcPr>
          <w:p w:rsidR="00946D32" w:rsidRPr="007246E9" w:rsidP="00DB2DBD" w14:paraId="0563FF97" w14:textId="77777777">
            <w:pPr>
              <w:adjustRightInd w:val="0"/>
              <w:contextualSpacing/>
            </w:pPr>
            <w:r w:rsidRPr="007246E9">
              <w:t>Ventilator Liberation</w:t>
            </w:r>
          </w:p>
        </w:tc>
        <w:tc>
          <w:tcPr>
            <w:tcW w:w="7725" w:type="dxa"/>
          </w:tcPr>
          <w:p w:rsidR="00946D32" w:rsidRPr="007246E9" w:rsidP="00DB2DBD" w14:paraId="68510544" w14:textId="77777777">
            <w:pPr>
              <w:adjustRightInd w:val="0"/>
              <w:contextualSpacing/>
            </w:pPr>
            <w:r w:rsidRPr="007246E9">
              <w:t>Ventilator Liberation Rate</w:t>
            </w:r>
          </w:p>
        </w:tc>
      </w:tr>
      <w:tr w14:paraId="3BEDE8BA" w14:textId="77777777" w:rsidTr="00DB2DBD">
        <w:tblPrEx>
          <w:tblW w:w="10075" w:type="dxa"/>
          <w:jc w:val="center"/>
          <w:tblLayout w:type="fixed"/>
          <w:tblLook w:val="0000"/>
        </w:tblPrEx>
        <w:trPr>
          <w:jc w:val="center"/>
        </w:trPr>
        <w:tc>
          <w:tcPr>
            <w:tcW w:w="2350" w:type="dxa"/>
          </w:tcPr>
          <w:p w:rsidR="00946D32" w:rsidRPr="007246E9" w:rsidP="00DB2DBD" w14:paraId="54946F46" w14:textId="77777777">
            <w:pPr>
              <w:adjustRightInd w:val="0"/>
              <w:contextualSpacing/>
            </w:pPr>
            <w:r w:rsidRPr="007246E9">
              <w:t xml:space="preserve">TOH–Provider  </w:t>
            </w:r>
          </w:p>
        </w:tc>
        <w:tc>
          <w:tcPr>
            <w:tcW w:w="7725" w:type="dxa"/>
          </w:tcPr>
          <w:p w:rsidR="00946D32" w:rsidRPr="007246E9" w:rsidP="00DB2DBD" w14:paraId="5D7DBDF9" w14:textId="77777777">
            <w:pPr>
              <w:adjustRightInd w:val="0"/>
              <w:contextualSpacing/>
            </w:pPr>
            <w:r w:rsidRPr="007246E9">
              <w:t>Transfer of Health Information to the Provider Post-Acute Care (PAC)</w:t>
            </w:r>
          </w:p>
        </w:tc>
      </w:tr>
      <w:tr w14:paraId="35CB5614" w14:textId="77777777" w:rsidTr="00DB2DBD">
        <w:tblPrEx>
          <w:tblW w:w="10075" w:type="dxa"/>
          <w:jc w:val="center"/>
          <w:tblLayout w:type="fixed"/>
          <w:tblLook w:val="0000"/>
        </w:tblPrEx>
        <w:trPr>
          <w:jc w:val="center"/>
        </w:trPr>
        <w:tc>
          <w:tcPr>
            <w:tcW w:w="2350" w:type="dxa"/>
          </w:tcPr>
          <w:p w:rsidR="00946D32" w:rsidRPr="007246E9" w:rsidP="00DB2DBD" w14:paraId="3105F74C" w14:textId="77777777">
            <w:pPr>
              <w:adjustRightInd w:val="0"/>
              <w:contextualSpacing/>
            </w:pPr>
            <w:r w:rsidRPr="007246E9">
              <w:t xml:space="preserve">TOH–Patient  </w:t>
            </w:r>
          </w:p>
        </w:tc>
        <w:tc>
          <w:tcPr>
            <w:tcW w:w="7725" w:type="dxa"/>
          </w:tcPr>
          <w:p w:rsidR="00946D32" w:rsidRPr="007246E9" w:rsidP="00DB2DBD" w14:paraId="4CECDC46" w14:textId="77777777">
            <w:pPr>
              <w:adjustRightInd w:val="0"/>
              <w:contextualSpacing/>
            </w:pPr>
            <w:r w:rsidRPr="007246E9">
              <w:t>Transfer of Health Information to the Patient Post-Acute Care (PAC)</w:t>
            </w:r>
          </w:p>
        </w:tc>
      </w:tr>
      <w:tr w14:paraId="563121F4" w14:textId="77777777" w:rsidTr="00DB2DBD">
        <w:tblPrEx>
          <w:tblW w:w="10075" w:type="dxa"/>
          <w:jc w:val="center"/>
          <w:tblLayout w:type="fixed"/>
          <w:tblLook w:val="0000"/>
        </w:tblPrEx>
        <w:trPr>
          <w:jc w:val="center"/>
        </w:trPr>
        <w:tc>
          <w:tcPr>
            <w:tcW w:w="2350" w:type="dxa"/>
          </w:tcPr>
          <w:p w:rsidR="006E0551" w:rsidRPr="007246E9" w:rsidP="00DB2DBD" w14:paraId="370D8C25" w14:textId="2FBDE9C1">
            <w:pPr>
              <w:adjustRightInd w:val="0"/>
              <w:contextualSpacing/>
            </w:pPr>
            <w:r>
              <w:t>DC Function</w:t>
            </w:r>
          </w:p>
        </w:tc>
        <w:tc>
          <w:tcPr>
            <w:tcW w:w="7725" w:type="dxa"/>
          </w:tcPr>
          <w:p w:rsidR="006E0551" w:rsidRPr="007246E9" w:rsidP="00DB2DBD" w14:paraId="1DC62975" w14:textId="195A7A8C">
            <w:pPr>
              <w:adjustRightInd w:val="0"/>
              <w:contextualSpacing/>
            </w:pPr>
            <w:r>
              <w:t>Discharge Function Score</w:t>
            </w:r>
          </w:p>
        </w:tc>
      </w:tr>
    </w:tbl>
    <w:p w:rsidR="00946D32" w:rsidP="00946D32" w14:paraId="45D825FD" w14:textId="77777777">
      <w:pPr>
        <w:rPr>
          <w:rFonts w:cs="Times New Roman"/>
          <w:sz w:val="20"/>
          <w:szCs w:val="20"/>
        </w:rPr>
      </w:pPr>
    </w:p>
    <w:p w:rsidR="00622A9D" w:rsidP="002F71E7" w14:paraId="62438067" w14:textId="114F3997">
      <w:pPr>
        <w:rPr>
          <w:szCs w:val="24"/>
        </w:rPr>
      </w:pPr>
      <w:r w:rsidRPr="006E0551">
        <w:rPr>
          <w:b/>
          <w:szCs w:val="24"/>
        </w:rPr>
        <w:t>Table 2</w:t>
      </w:r>
      <w:r w:rsidRPr="006E0551">
        <w:rPr>
          <w:szCs w:val="24"/>
        </w:rPr>
        <w:t xml:space="preserve"> lists the quality measures that will be collected via the LCDS Version 5.1.</w:t>
      </w:r>
    </w:p>
    <w:p w:rsidR="006E0551" w:rsidP="002F71E7" w14:paraId="2761219C" w14:textId="545329A6">
      <w:pPr>
        <w:rPr>
          <w:szCs w:val="24"/>
        </w:rPr>
      </w:pPr>
    </w:p>
    <w:p w:rsidR="006E0551" w:rsidP="006E0551" w14:paraId="440153F5" w14:textId="0F3E8A59">
      <w:pPr>
        <w:jc w:val="center"/>
        <w:rPr>
          <w:b/>
          <w:bCs/>
        </w:rPr>
      </w:pPr>
      <w:r w:rsidRPr="00BF7701">
        <w:rPr>
          <w:b/>
          <w:bCs/>
        </w:rPr>
        <w:t xml:space="preserve">Table </w:t>
      </w:r>
      <w:r>
        <w:rPr>
          <w:b/>
          <w:bCs/>
        </w:rPr>
        <w:t>2</w:t>
      </w:r>
      <w:r w:rsidRPr="00BF7701">
        <w:rPr>
          <w:b/>
          <w:bCs/>
        </w:rPr>
        <w:t>.</w:t>
      </w:r>
      <w:r w:rsidRPr="00BF7701">
        <w:t xml:space="preserve">     </w:t>
      </w:r>
      <w:r w:rsidRPr="00767CB0">
        <w:rPr>
          <w:b/>
          <w:bCs/>
        </w:rPr>
        <w:t>Quality</w:t>
      </w:r>
      <w:r w:rsidRPr="00BF7701">
        <w:rPr>
          <w:b/>
          <w:bCs/>
        </w:rPr>
        <w:t xml:space="preserve"> Measures</w:t>
      </w:r>
      <w:r>
        <w:rPr>
          <w:b/>
          <w:bCs/>
        </w:rPr>
        <w:t xml:space="preserve"> Currently Collected via the LCDS V5.1</w:t>
      </w:r>
    </w:p>
    <w:tbl>
      <w:tblPr>
        <w:tblStyle w:val="TableGrid6412"/>
        <w:tblW w:w="10075" w:type="dxa"/>
        <w:jc w:val="center"/>
        <w:tblLayout w:type="fixed"/>
        <w:tblLook w:val="0000"/>
      </w:tblPr>
      <w:tblGrid>
        <w:gridCol w:w="2695"/>
        <w:gridCol w:w="7380"/>
      </w:tblGrid>
      <w:tr w14:paraId="374E3398" w14:textId="77777777" w:rsidTr="00345D73">
        <w:tblPrEx>
          <w:tblW w:w="10075" w:type="dxa"/>
          <w:jc w:val="center"/>
          <w:tblLayout w:type="fixed"/>
          <w:tblLook w:val="0000"/>
        </w:tblPrEx>
        <w:trPr>
          <w:tblHeader/>
          <w:jc w:val="center"/>
        </w:trPr>
        <w:tc>
          <w:tcPr>
            <w:tcW w:w="2695" w:type="dxa"/>
          </w:tcPr>
          <w:p w:rsidR="006E0551" w:rsidRPr="007246E9" w:rsidP="003A5AA3" w14:paraId="01FEB3A7" w14:textId="77777777">
            <w:pPr>
              <w:keepNext/>
              <w:adjustRightInd w:val="0"/>
              <w:contextualSpacing/>
              <w:jc w:val="center"/>
              <w:rPr>
                <w:b/>
                <w:bCs/>
              </w:rPr>
            </w:pPr>
            <w:r w:rsidRPr="007246E9">
              <w:rPr>
                <w:b/>
                <w:bCs/>
              </w:rPr>
              <w:t>Short Name</w:t>
            </w:r>
          </w:p>
        </w:tc>
        <w:tc>
          <w:tcPr>
            <w:tcW w:w="7380" w:type="dxa"/>
          </w:tcPr>
          <w:p w:rsidR="006E0551" w:rsidRPr="007246E9" w:rsidP="003A5AA3" w14:paraId="233EB263" w14:textId="77777777">
            <w:pPr>
              <w:adjustRightInd w:val="0"/>
              <w:contextualSpacing/>
              <w:jc w:val="center"/>
              <w:rPr>
                <w:b/>
                <w:bCs/>
              </w:rPr>
            </w:pPr>
            <w:r w:rsidRPr="007246E9">
              <w:rPr>
                <w:b/>
                <w:bCs/>
              </w:rPr>
              <w:t>Measure Name &amp; Data Source</w:t>
            </w:r>
          </w:p>
        </w:tc>
      </w:tr>
      <w:tr w14:paraId="7483A9AC" w14:textId="77777777" w:rsidTr="003A5AA3">
        <w:tblPrEx>
          <w:tblW w:w="10075" w:type="dxa"/>
          <w:jc w:val="center"/>
          <w:tblLayout w:type="fixed"/>
          <w:tblLook w:val="0000"/>
        </w:tblPrEx>
        <w:trPr>
          <w:jc w:val="center"/>
        </w:trPr>
        <w:tc>
          <w:tcPr>
            <w:tcW w:w="10075" w:type="dxa"/>
            <w:gridSpan w:val="2"/>
          </w:tcPr>
          <w:p w:rsidR="006E0551" w:rsidRPr="007246E9" w:rsidP="003A5AA3" w14:paraId="4E1E1E77" w14:textId="77777777">
            <w:pPr>
              <w:keepNext/>
              <w:adjustRightInd w:val="0"/>
              <w:contextualSpacing/>
              <w:jc w:val="center"/>
              <w:rPr>
                <w:b/>
              </w:rPr>
            </w:pPr>
            <w:r>
              <w:rPr>
                <w:b/>
              </w:rPr>
              <w:t>LCDS</w:t>
            </w:r>
          </w:p>
        </w:tc>
      </w:tr>
      <w:tr w14:paraId="2A083CA9" w14:textId="77777777" w:rsidTr="00345D73">
        <w:tblPrEx>
          <w:tblW w:w="10075" w:type="dxa"/>
          <w:jc w:val="center"/>
          <w:tblLayout w:type="fixed"/>
          <w:tblLook w:val="0000"/>
        </w:tblPrEx>
        <w:trPr>
          <w:jc w:val="center"/>
        </w:trPr>
        <w:tc>
          <w:tcPr>
            <w:tcW w:w="2695" w:type="dxa"/>
          </w:tcPr>
          <w:p w:rsidR="006E0551" w:rsidRPr="007246E9" w:rsidP="003A5AA3" w14:paraId="7A1121A5" w14:textId="77777777">
            <w:pPr>
              <w:adjustRightInd w:val="0"/>
              <w:contextualSpacing/>
            </w:pPr>
            <w:r w:rsidRPr="007246E9">
              <w:t>Pressure Ulcer/Injury</w:t>
            </w:r>
          </w:p>
        </w:tc>
        <w:tc>
          <w:tcPr>
            <w:tcW w:w="7380" w:type="dxa"/>
          </w:tcPr>
          <w:p w:rsidR="006E0551" w:rsidRPr="007246E9" w:rsidP="003A5AA3" w14:paraId="7E44A203" w14:textId="77777777">
            <w:pPr>
              <w:adjustRightInd w:val="0"/>
              <w:contextualSpacing/>
            </w:pPr>
            <w:r w:rsidRPr="007246E9">
              <w:t>Changes in Skin Integrity Post-Acute Care: Pressure Ulcer/Injury</w:t>
            </w:r>
          </w:p>
        </w:tc>
      </w:tr>
      <w:tr w14:paraId="6FA332F0" w14:textId="77777777" w:rsidTr="00345D73">
        <w:tblPrEx>
          <w:tblW w:w="10075" w:type="dxa"/>
          <w:jc w:val="center"/>
          <w:tblLayout w:type="fixed"/>
          <w:tblLook w:val="0000"/>
        </w:tblPrEx>
        <w:trPr>
          <w:jc w:val="center"/>
        </w:trPr>
        <w:tc>
          <w:tcPr>
            <w:tcW w:w="2695" w:type="dxa"/>
          </w:tcPr>
          <w:p w:rsidR="006E0551" w:rsidRPr="007246E9" w:rsidP="003A5AA3" w14:paraId="190BE4B5" w14:textId="77777777">
            <w:pPr>
              <w:adjustRightInd w:val="0"/>
              <w:contextualSpacing/>
            </w:pPr>
            <w:r w:rsidRPr="007246E9">
              <w:t xml:space="preserve">Application of Falls </w:t>
            </w:r>
          </w:p>
        </w:tc>
        <w:tc>
          <w:tcPr>
            <w:tcW w:w="7380" w:type="dxa"/>
          </w:tcPr>
          <w:p w:rsidR="006E0551" w:rsidRPr="007246E9" w:rsidP="003A5AA3" w14:paraId="7851A7E7" w14:textId="77777777">
            <w:pPr>
              <w:adjustRightInd w:val="0"/>
              <w:contextualSpacing/>
            </w:pPr>
            <w:r w:rsidRPr="007246E9">
              <w:t xml:space="preserve">Application of Percent of Residents Experiencing One or More Falls with Major Injury (Long Stay) </w:t>
            </w:r>
          </w:p>
        </w:tc>
      </w:tr>
      <w:tr w14:paraId="7AC44E0C" w14:textId="77777777" w:rsidTr="00345D73">
        <w:tblPrEx>
          <w:tblW w:w="10075" w:type="dxa"/>
          <w:jc w:val="center"/>
          <w:tblLayout w:type="fixed"/>
          <w:tblLook w:val="0000"/>
        </w:tblPrEx>
        <w:trPr>
          <w:jc w:val="center"/>
        </w:trPr>
        <w:tc>
          <w:tcPr>
            <w:tcW w:w="2695" w:type="dxa"/>
          </w:tcPr>
          <w:p w:rsidR="006E0551" w:rsidRPr="007246E9" w:rsidP="003A5AA3" w14:paraId="540739A9" w14:textId="77777777">
            <w:pPr>
              <w:adjustRightInd w:val="0"/>
              <w:contextualSpacing/>
            </w:pPr>
            <w:r w:rsidRPr="007246E9">
              <w:t xml:space="preserve">Change in Mobility </w:t>
            </w:r>
          </w:p>
        </w:tc>
        <w:tc>
          <w:tcPr>
            <w:tcW w:w="7380" w:type="dxa"/>
          </w:tcPr>
          <w:p w:rsidR="006E0551" w:rsidRPr="007246E9" w:rsidP="003A5AA3" w14:paraId="343BF21F" w14:textId="77777777">
            <w:pPr>
              <w:adjustRightInd w:val="0"/>
              <w:contextualSpacing/>
            </w:pPr>
            <w:r w:rsidRPr="007246E9">
              <w:t xml:space="preserve">Functional Outcome Measure: Change in Mobility Among Long-Term Care Hospital (LTCH) Patients Requiring Ventilator Support  </w:t>
            </w:r>
          </w:p>
        </w:tc>
      </w:tr>
      <w:tr w14:paraId="5FF35FC7" w14:textId="77777777" w:rsidTr="00345D73">
        <w:tblPrEx>
          <w:tblW w:w="10075" w:type="dxa"/>
          <w:jc w:val="center"/>
          <w:tblLayout w:type="fixed"/>
          <w:tblLook w:val="0000"/>
        </w:tblPrEx>
        <w:trPr>
          <w:jc w:val="center"/>
        </w:trPr>
        <w:tc>
          <w:tcPr>
            <w:tcW w:w="2695" w:type="dxa"/>
          </w:tcPr>
          <w:p w:rsidR="006E0551" w:rsidRPr="007246E9" w:rsidP="003A5AA3" w14:paraId="57F32ACD" w14:textId="77777777">
            <w:pPr>
              <w:adjustRightInd w:val="0"/>
              <w:contextualSpacing/>
            </w:pPr>
            <w:r w:rsidRPr="007246E9">
              <w:t xml:space="preserve">DRR </w:t>
            </w:r>
          </w:p>
        </w:tc>
        <w:tc>
          <w:tcPr>
            <w:tcW w:w="7380" w:type="dxa"/>
          </w:tcPr>
          <w:p w:rsidR="006E0551" w:rsidRPr="007246E9" w:rsidP="003A5AA3" w14:paraId="26BDF1D6" w14:textId="77777777">
            <w:pPr>
              <w:adjustRightInd w:val="0"/>
              <w:contextualSpacing/>
            </w:pPr>
            <w:r w:rsidRPr="007246E9">
              <w:t>Drug Regimen Review Conducted With Follow-Up for Identified Issues–Post Acute Care (PAC) Long-Term Care Hospital (LTCH) Quality Reporting Program (QRP)</w:t>
            </w:r>
          </w:p>
        </w:tc>
      </w:tr>
      <w:tr w14:paraId="07464B66" w14:textId="77777777" w:rsidTr="00345D73">
        <w:tblPrEx>
          <w:tblW w:w="10075" w:type="dxa"/>
          <w:jc w:val="center"/>
          <w:tblLayout w:type="fixed"/>
          <w:tblLook w:val="0000"/>
        </w:tblPrEx>
        <w:trPr>
          <w:jc w:val="center"/>
        </w:trPr>
        <w:tc>
          <w:tcPr>
            <w:tcW w:w="2695" w:type="dxa"/>
          </w:tcPr>
          <w:p w:rsidR="006E0551" w:rsidRPr="007246E9" w:rsidP="003A5AA3" w14:paraId="16AE489C" w14:textId="77777777">
            <w:pPr>
              <w:adjustRightInd w:val="0"/>
              <w:contextualSpacing/>
            </w:pPr>
            <w:r w:rsidRPr="007246E9">
              <w:t>Compliance with SBT</w:t>
            </w:r>
          </w:p>
        </w:tc>
        <w:tc>
          <w:tcPr>
            <w:tcW w:w="7380" w:type="dxa"/>
          </w:tcPr>
          <w:p w:rsidR="006E0551" w:rsidRPr="007246E9" w:rsidP="003A5AA3" w14:paraId="3724510E" w14:textId="77777777">
            <w:pPr>
              <w:adjustRightInd w:val="0"/>
              <w:contextualSpacing/>
            </w:pPr>
            <w:r w:rsidRPr="007246E9">
              <w:t>Compliance with Spontaneous Breathing Trial (SBT) by Day 2 of the LTCH Stay</w:t>
            </w:r>
          </w:p>
        </w:tc>
      </w:tr>
      <w:tr w14:paraId="1A276BAC" w14:textId="77777777" w:rsidTr="00345D73">
        <w:tblPrEx>
          <w:tblW w:w="10075" w:type="dxa"/>
          <w:jc w:val="center"/>
          <w:tblLayout w:type="fixed"/>
          <w:tblLook w:val="0000"/>
        </w:tblPrEx>
        <w:trPr>
          <w:jc w:val="center"/>
        </w:trPr>
        <w:tc>
          <w:tcPr>
            <w:tcW w:w="2695" w:type="dxa"/>
          </w:tcPr>
          <w:p w:rsidR="006E0551" w:rsidRPr="007246E9" w:rsidP="003A5AA3" w14:paraId="2EC73C35" w14:textId="77777777">
            <w:pPr>
              <w:adjustRightInd w:val="0"/>
              <w:contextualSpacing/>
            </w:pPr>
            <w:r w:rsidRPr="007246E9">
              <w:t>Ventilator Liberation</w:t>
            </w:r>
          </w:p>
        </w:tc>
        <w:tc>
          <w:tcPr>
            <w:tcW w:w="7380" w:type="dxa"/>
          </w:tcPr>
          <w:p w:rsidR="006E0551" w:rsidRPr="007246E9" w:rsidP="003A5AA3" w14:paraId="2C5D80EA" w14:textId="77777777">
            <w:pPr>
              <w:adjustRightInd w:val="0"/>
              <w:contextualSpacing/>
            </w:pPr>
            <w:r w:rsidRPr="007246E9">
              <w:t>Ventilator Liberation Rate</w:t>
            </w:r>
          </w:p>
        </w:tc>
      </w:tr>
      <w:tr w14:paraId="058E4C13" w14:textId="77777777" w:rsidTr="00345D73">
        <w:tblPrEx>
          <w:tblW w:w="10075" w:type="dxa"/>
          <w:jc w:val="center"/>
          <w:tblLayout w:type="fixed"/>
          <w:tblLook w:val="0000"/>
        </w:tblPrEx>
        <w:trPr>
          <w:jc w:val="center"/>
        </w:trPr>
        <w:tc>
          <w:tcPr>
            <w:tcW w:w="2695" w:type="dxa"/>
          </w:tcPr>
          <w:p w:rsidR="006E0551" w:rsidRPr="007246E9" w:rsidP="003A5AA3" w14:paraId="755A7714" w14:textId="77777777">
            <w:pPr>
              <w:adjustRightInd w:val="0"/>
              <w:contextualSpacing/>
            </w:pPr>
            <w:r w:rsidRPr="007246E9">
              <w:t xml:space="preserve">TOH–Provider  </w:t>
            </w:r>
          </w:p>
        </w:tc>
        <w:tc>
          <w:tcPr>
            <w:tcW w:w="7380" w:type="dxa"/>
          </w:tcPr>
          <w:p w:rsidR="006E0551" w:rsidRPr="007246E9" w:rsidP="003A5AA3" w14:paraId="2A97330D" w14:textId="77777777">
            <w:pPr>
              <w:adjustRightInd w:val="0"/>
              <w:contextualSpacing/>
            </w:pPr>
            <w:r w:rsidRPr="007246E9">
              <w:t>Transfer of Health Information to the Provider Post-Acute Care (PAC)</w:t>
            </w:r>
          </w:p>
        </w:tc>
      </w:tr>
      <w:tr w14:paraId="791E0922" w14:textId="77777777" w:rsidTr="00345D73">
        <w:tblPrEx>
          <w:tblW w:w="10075" w:type="dxa"/>
          <w:jc w:val="center"/>
          <w:tblLayout w:type="fixed"/>
          <w:tblLook w:val="0000"/>
        </w:tblPrEx>
        <w:trPr>
          <w:jc w:val="center"/>
        </w:trPr>
        <w:tc>
          <w:tcPr>
            <w:tcW w:w="2695" w:type="dxa"/>
          </w:tcPr>
          <w:p w:rsidR="006E0551" w:rsidRPr="007246E9" w:rsidP="003A5AA3" w14:paraId="3F0919EB" w14:textId="77777777">
            <w:pPr>
              <w:adjustRightInd w:val="0"/>
              <w:contextualSpacing/>
            </w:pPr>
            <w:r w:rsidRPr="007246E9">
              <w:t xml:space="preserve">TOH–Patient  </w:t>
            </w:r>
          </w:p>
        </w:tc>
        <w:tc>
          <w:tcPr>
            <w:tcW w:w="7380" w:type="dxa"/>
          </w:tcPr>
          <w:p w:rsidR="006E0551" w:rsidRPr="007246E9" w:rsidP="003A5AA3" w14:paraId="5B341BDE" w14:textId="77777777">
            <w:pPr>
              <w:adjustRightInd w:val="0"/>
              <w:contextualSpacing/>
            </w:pPr>
            <w:r w:rsidRPr="007246E9">
              <w:t>Transfer of Health Information to the Patient Post-Acute Care (PAC)</w:t>
            </w:r>
          </w:p>
        </w:tc>
      </w:tr>
      <w:tr w14:paraId="7ABB8F53" w14:textId="77777777" w:rsidTr="00345D73">
        <w:tblPrEx>
          <w:tblW w:w="10075" w:type="dxa"/>
          <w:jc w:val="center"/>
          <w:tblLayout w:type="fixed"/>
          <w:tblLook w:val="0000"/>
        </w:tblPrEx>
        <w:trPr>
          <w:jc w:val="center"/>
        </w:trPr>
        <w:tc>
          <w:tcPr>
            <w:tcW w:w="2695" w:type="dxa"/>
          </w:tcPr>
          <w:p w:rsidR="006E0551" w:rsidRPr="007246E9" w:rsidP="003A5AA3" w14:paraId="7A10D5C6" w14:textId="0AECA74F">
            <w:pPr>
              <w:adjustRightInd w:val="0"/>
              <w:contextualSpacing/>
            </w:pPr>
            <w:r>
              <w:t>DC Function</w:t>
            </w:r>
          </w:p>
        </w:tc>
        <w:tc>
          <w:tcPr>
            <w:tcW w:w="7380" w:type="dxa"/>
          </w:tcPr>
          <w:p w:rsidR="006E0551" w:rsidRPr="007246E9" w:rsidP="003A5AA3" w14:paraId="72E5F381" w14:textId="1A5D49C1">
            <w:pPr>
              <w:adjustRightInd w:val="0"/>
              <w:contextualSpacing/>
            </w:pPr>
            <w:r>
              <w:t>Discharge Function Score</w:t>
            </w:r>
          </w:p>
        </w:tc>
      </w:tr>
      <w:tr w14:paraId="6E3B909E" w14:textId="77777777" w:rsidTr="00345D73">
        <w:tblPrEx>
          <w:tblW w:w="10075" w:type="dxa"/>
          <w:jc w:val="center"/>
          <w:tblLayout w:type="fixed"/>
          <w:tblLook w:val="0000"/>
        </w:tblPrEx>
        <w:trPr>
          <w:jc w:val="center"/>
        </w:trPr>
        <w:tc>
          <w:tcPr>
            <w:tcW w:w="2695" w:type="dxa"/>
          </w:tcPr>
          <w:p w:rsidR="006E0551" w:rsidRPr="003A5AA3" w:rsidP="006E0551" w14:paraId="2A6E2927" w14:textId="2881B51A">
            <w:pPr>
              <w:adjustRightInd w:val="0"/>
              <w:contextualSpacing/>
              <w:jc w:val="center"/>
              <w:rPr>
                <w:b/>
              </w:rPr>
            </w:pPr>
            <w:r w:rsidRPr="003A5AA3">
              <w:rPr>
                <w:b/>
              </w:rPr>
              <w:t>Additional Quality Measure Adopted for the FY 2026 SNF QRP Short Name</w:t>
            </w:r>
          </w:p>
        </w:tc>
        <w:tc>
          <w:tcPr>
            <w:tcW w:w="7380" w:type="dxa"/>
            <w:vAlign w:val="center"/>
          </w:tcPr>
          <w:p w:rsidR="006E0551" w:rsidRPr="003A5AA3" w:rsidP="006E0551" w14:paraId="5F2D7703" w14:textId="246B6704">
            <w:pPr>
              <w:adjustRightInd w:val="0"/>
              <w:contextualSpacing/>
              <w:jc w:val="center"/>
              <w:rPr>
                <w:b/>
              </w:rPr>
            </w:pPr>
            <w:r>
              <w:rPr>
                <w:b/>
              </w:rPr>
              <w:t>Measure Name</w:t>
            </w:r>
          </w:p>
        </w:tc>
      </w:tr>
      <w:tr w14:paraId="6E00B281" w14:textId="77777777" w:rsidTr="006E0551">
        <w:tblPrEx>
          <w:tblW w:w="10075" w:type="dxa"/>
          <w:jc w:val="center"/>
          <w:tblLayout w:type="fixed"/>
          <w:tblLook w:val="0000"/>
        </w:tblPrEx>
        <w:trPr>
          <w:jc w:val="center"/>
        </w:trPr>
        <w:tc>
          <w:tcPr>
            <w:tcW w:w="2695" w:type="dxa"/>
          </w:tcPr>
          <w:p w:rsidR="003A5AA3" w:rsidP="00345D73" w14:paraId="66912E5B" w14:textId="02649686">
            <w:pPr>
              <w:adjustRightInd w:val="0"/>
              <w:contextualSpacing/>
            </w:pPr>
            <w:r>
              <w:t>Patient/Resident COVID-19 Vaccine</w:t>
            </w:r>
          </w:p>
        </w:tc>
        <w:tc>
          <w:tcPr>
            <w:tcW w:w="7380" w:type="dxa"/>
            <w:vAlign w:val="center"/>
          </w:tcPr>
          <w:p w:rsidR="003A5AA3" w:rsidP="003A5AA3" w14:paraId="6AAC45DA" w14:textId="5F2B2881">
            <w:pPr>
              <w:adjustRightInd w:val="0"/>
              <w:contextualSpacing/>
            </w:pPr>
            <w:r>
              <w:t>COVID-19 Vaccine:  Percentage of Patients/Residents Who Are Up to Date</w:t>
            </w:r>
          </w:p>
        </w:tc>
      </w:tr>
    </w:tbl>
    <w:p w:rsidR="006E0551" w:rsidRPr="006E0551" w:rsidP="002F71E7" w14:paraId="1571A631" w14:textId="77777777">
      <w:pPr>
        <w:rPr>
          <w:szCs w:val="24"/>
        </w:rPr>
      </w:pPr>
    </w:p>
    <w:p w:rsidR="003A5AA3" w:rsidRPr="001F2665" w:rsidP="003A5AA3" w14:paraId="1BCF7A5E" w14:textId="0074E647">
      <w:pPr>
        <w:pStyle w:val="Heading2"/>
        <w:rPr>
          <w:rFonts w:cs="Times New Roman"/>
          <w:sz w:val="24"/>
          <w:szCs w:val="24"/>
          <w:u w:val="single"/>
        </w:rPr>
      </w:pPr>
      <w:bookmarkStart w:id="4" w:name="_Toc144904213"/>
      <w:r w:rsidRPr="005E3DEF">
        <w:rPr>
          <w:rFonts w:cs="Times New Roman"/>
          <w:sz w:val="24"/>
          <w:szCs w:val="24"/>
          <w:u w:val="single"/>
        </w:rPr>
        <w:t xml:space="preserve">Background of </w:t>
      </w:r>
      <w:r>
        <w:rPr>
          <w:rFonts w:cs="Times New Roman"/>
          <w:sz w:val="24"/>
          <w:szCs w:val="24"/>
          <w:u w:val="single"/>
        </w:rPr>
        <w:t>this PRA Package</w:t>
      </w:r>
      <w:bookmarkEnd w:id="4"/>
    </w:p>
    <w:p w:rsidR="003A5AA3" w:rsidP="003A5AA3" w14:paraId="01962212" w14:textId="77777777">
      <w:pPr>
        <w:pStyle w:val="BodyText0"/>
        <w:spacing w:after="0"/>
      </w:pPr>
    </w:p>
    <w:p w:rsidR="006E0551" w:rsidP="003A5AA3" w14:paraId="16FDB597" w14:textId="47677C36">
      <w:r>
        <w:t xml:space="preserve">This package is a request for a revision to the current LCDS assessment instrument for the LTCH and is associated with the August, 28, 2023 (88 FR 58640) “Medicare Program; Hospital Inpatient Prospective Payment Systems for Acute Care Hospitals and the Long-Term Care Hospital Prospective Payment System and Policy Changes and Fiscal Year 2024 Rates; Quality Programs and Medicare Promoting Interoperability Program Requirements for Eligible Hospitals and Critical Access Hospitals; Rural Emergency Hospital and Physician-Owned Hospital Requirements; and Provider and Supplier Disclosure of Ownership; and Medicare Disproportionate Share Hospital (DSH) Payments:  Counting Certain Days Associated with Section 1115 Demonstrations in the Medicaid Fraction” final rule (CMS-1785-F, RINS 0938-AV08 and 0938-AV17) that finalized policies for adoption of two LTCH QRP measures and the removal of two LTCH QRP measures.  As a result of these changes, the </w:t>
      </w:r>
      <w:r w:rsidR="00CC65C6">
        <w:t xml:space="preserve">average burden per LCDS has decreased, but since the LCDS V5.0 was approved, new information demonstrates a change in both the number of LTCHs and the number of LCDS assessments completed per LTCH.  Therefore, as described in Section 15, the overall </w:t>
      </w:r>
      <w:r w:rsidRPr="00CC65C6" w:rsidR="00CC65C6">
        <w:t xml:space="preserve">burden </w:t>
      </w:r>
      <w:r w:rsidRPr="00CC65C6">
        <w:t xml:space="preserve">across </w:t>
      </w:r>
      <w:r w:rsidRPr="00CC65C6" w:rsidR="00CC65C6">
        <w:t>LTCHs increased.</w:t>
      </w:r>
    </w:p>
    <w:p w:rsidR="003A5AA3" w:rsidRPr="00010E37" w:rsidP="003A5AA3" w14:paraId="2A40DA34" w14:textId="77777777"/>
    <w:p w:rsidR="00961A12" w:rsidP="002216DB" w14:paraId="52A1E820" w14:textId="77777777">
      <w:pPr>
        <w:pStyle w:val="Heading1"/>
        <w:numPr>
          <w:ilvl w:val="0"/>
          <w:numId w:val="2"/>
        </w:numPr>
      </w:pPr>
      <w:bookmarkStart w:id="5" w:name="_Toc479873742"/>
      <w:bookmarkStart w:id="6" w:name="_Toc479873743"/>
      <w:bookmarkStart w:id="7" w:name="_Toc479873744"/>
      <w:bookmarkStart w:id="8" w:name="_Toc479873745"/>
      <w:bookmarkStart w:id="9" w:name="_Toc479873746"/>
      <w:bookmarkStart w:id="10" w:name="_Toc479873747"/>
      <w:bookmarkStart w:id="11" w:name="_Toc479873748"/>
      <w:bookmarkStart w:id="12" w:name="_Toc479873749"/>
      <w:bookmarkStart w:id="13" w:name="_Toc479873750"/>
      <w:bookmarkStart w:id="14" w:name="_Toc479873751"/>
      <w:bookmarkStart w:id="15" w:name="_Toc479873752"/>
      <w:bookmarkStart w:id="16" w:name="_Toc479873753"/>
      <w:bookmarkStart w:id="17" w:name="_Toc479873754"/>
      <w:bookmarkStart w:id="18" w:name="_Toc479873755"/>
      <w:bookmarkStart w:id="19" w:name="_Toc479873756"/>
      <w:bookmarkStart w:id="20" w:name="_Toc479873757"/>
      <w:bookmarkStart w:id="21" w:name="_Toc479873758"/>
      <w:bookmarkStart w:id="22" w:name="_Toc479873759"/>
      <w:bookmarkStart w:id="23" w:name="_Toc479873760"/>
      <w:bookmarkStart w:id="24" w:name="_Toc479873761"/>
      <w:bookmarkStart w:id="25" w:name="_Toc479873762"/>
      <w:bookmarkStart w:id="26" w:name="_Toc479873763"/>
      <w:bookmarkStart w:id="27" w:name="_Toc479873764"/>
      <w:bookmarkStart w:id="28" w:name="_Toc479873765"/>
      <w:bookmarkStart w:id="29" w:name="_Toc479873766"/>
      <w:bookmarkStart w:id="30" w:name="_Toc479873767"/>
      <w:bookmarkStart w:id="31" w:name="_Toc479873768"/>
      <w:bookmarkStart w:id="32" w:name="_Toc479873769"/>
      <w:bookmarkStart w:id="33" w:name="_Toc479873770"/>
      <w:bookmarkStart w:id="34" w:name="_Toc479873771"/>
      <w:bookmarkStart w:id="35" w:name="_Toc479873772"/>
      <w:bookmarkStart w:id="36" w:name="_Toc479873773"/>
      <w:bookmarkStart w:id="37" w:name="_Toc479873774"/>
      <w:bookmarkStart w:id="38" w:name="_Toc479873775"/>
      <w:bookmarkStart w:id="39" w:name="_Toc479873776"/>
      <w:bookmarkStart w:id="40" w:name="_Toc479873777"/>
      <w:bookmarkStart w:id="41" w:name="_Toc479873778"/>
      <w:bookmarkStart w:id="42" w:name="_Toc479873779"/>
      <w:bookmarkStart w:id="43" w:name="_Toc479873780"/>
      <w:bookmarkStart w:id="44" w:name="_Toc479873781"/>
      <w:bookmarkStart w:id="45" w:name="_Toc479873782"/>
      <w:bookmarkStart w:id="46" w:name="_Toc479873783"/>
      <w:bookmarkStart w:id="47" w:name="_Toc479873784"/>
      <w:bookmarkStart w:id="48" w:name="_Toc479873785"/>
      <w:bookmarkStart w:id="49" w:name="_Toc479873786"/>
      <w:bookmarkStart w:id="50" w:name="_Toc479873787"/>
      <w:bookmarkStart w:id="51" w:name="_Toc479873788"/>
      <w:bookmarkStart w:id="52" w:name="_Toc479873789"/>
      <w:bookmarkStart w:id="53" w:name="_Toc479873790"/>
      <w:bookmarkStart w:id="54" w:name="_Toc479873791"/>
      <w:bookmarkStart w:id="55" w:name="_Toc479873792"/>
      <w:bookmarkStart w:id="56" w:name="_Toc479873793"/>
      <w:bookmarkStart w:id="57" w:name="_Toc479873794"/>
      <w:bookmarkStart w:id="58" w:name="_Toc479873795"/>
      <w:bookmarkStart w:id="59" w:name="_Toc479873796"/>
      <w:bookmarkStart w:id="60" w:name="_Toc479873797"/>
      <w:bookmarkStart w:id="61" w:name="_Toc479873798"/>
      <w:bookmarkStart w:id="62" w:name="_Toc479873799"/>
      <w:bookmarkStart w:id="63" w:name="_Toc479873800"/>
      <w:bookmarkStart w:id="64" w:name="_Toc479873801"/>
      <w:bookmarkStart w:id="65" w:name="_Toc479873802"/>
      <w:bookmarkStart w:id="66" w:name="_Toc479873803"/>
      <w:bookmarkStart w:id="67" w:name="_Toc479873804"/>
      <w:bookmarkStart w:id="68" w:name="_Toc479873805"/>
      <w:bookmarkStart w:id="69" w:name="_Toc479873806"/>
      <w:bookmarkStart w:id="70" w:name="_Toc479873807"/>
      <w:bookmarkStart w:id="71" w:name="_Toc479873808"/>
      <w:bookmarkStart w:id="72" w:name="_Toc479873809"/>
      <w:bookmarkStart w:id="73" w:name="_Toc479873810"/>
      <w:bookmarkStart w:id="74" w:name="_Toc479873811"/>
      <w:bookmarkStart w:id="75" w:name="_Toc479873812"/>
      <w:bookmarkStart w:id="76" w:name="_Toc479873813"/>
      <w:bookmarkStart w:id="77" w:name="_Toc479873814"/>
      <w:bookmarkStart w:id="78" w:name="_Toc479873815"/>
      <w:bookmarkStart w:id="79" w:name="_Toc479873816"/>
      <w:bookmarkStart w:id="80" w:name="_Toc479873817"/>
      <w:bookmarkStart w:id="81" w:name="_Toc479873818"/>
      <w:bookmarkStart w:id="82" w:name="_Toc479873819"/>
      <w:bookmarkStart w:id="83" w:name="_Toc479873820"/>
      <w:bookmarkStart w:id="84" w:name="_Toc479873821"/>
      <w:bookmarkStart w:id="85" w:name="_Toc479873822"/>
      <w:bookmarkStart w:id="86" w:name="_Toc479873823"/>
      <w:bookmarkStart w:id="87" w:name="_Toc479873824"/>
      <w:bookmarkStart w:id="88" w:name="_Toc88554841"/>
      <w:bookmarkStart w:id="89" w:name="_Toc14490421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t>Justification</w:t>
      </w:r>
      <w:bookmarkEnd w:id="88"/>
      <w:bookmarkEnd w:id="89"/>
    </w:p>
    <w:p w:rsidR="00961A12" w:rsidP="00961A12" w14:paraId="2853055E" w14:textId="77777777"/>
    <w:p w:rsidR="00801933" w:rsidRPr="00CC0258" w:rsidP="00CC0258" w14:paraId="1401B6A6" w14:textId="77777777">
      <w:pPr>
        <w:pStyle w:val="Heading2"/>
        <w:numPr>
          <w:ilvl w:val="0"/>
          <w:numId w:val="29"/>
        </w:numPr>
        <w:rPr>
          <w:b/>
        </w:rPr>
      </w:pPr>
      <w:bookmarkStart w:id="90" w:name="_Toc88554842"/>
      <w:bookmarkStart w:id="91" w:name="_Toc144904215"/>
      <w:r>
        <w:t>Need and Legal Basis</w:t>
      </w:r>
      <w:bookmarkEnd w:id="90"/>
      <w:bookmarkEnd w:id="91"/>
    </w:p>
    <w:p w:rsidR="00801933" w:rsidP="00961A12" w14:paraId="20C8CD6E" w14:textId="77777777"/>
    <w:p w:rsidR="00961A12" w:rsidP="00FF1968" w14:paraId="527DC79B" w14:textId="2796B8ED">
      <w:pPr>
        <w:pStyle w:val="ListContinue"/>
        <w:spacing w:after="240"/>
        <w:ind w:left="0"/>
      </w:pPr>
      <w:r w:rsidRPr="00802A11">
        <w:rPr>
          <w:color w:val="000000" w:themeColor="text1"/>
        </w:rPr>
        <w:t>This instrument with its supporting manual is needed to permit the Secretary of Health and Human Services, and CMS, to implement Section 1886(</w:t>
      </w:r>
      <w:r w:rsidR="00167BF0">
        <w:rPr>
          <w:color w:val="000000" w:themeColor="text1"/>
        </w:rPr>
        <w:t>m</w:t>
      </w:r>
      <w:r w:rsidRPr="00802A11">
        <w:rPr>
          <w:color w:val="000000" w:themeColor="text1"/>
        </w:rPr>
        <w:t>)</w:t>
      </w:r>
      <w:r w:rsidR="00167BF0">
        <w:rPr>
          <w:color w:val="000000" w:themeColor="text1"/>
        </w:rPr>
        <w:t>(5)</w:t>
      </w:r>
      <w:r w:rsidRPr="00802A11">
        <w:rPr>
          <w:color w:val="000000" w:themeColor="text1"/>
        </w:rPr>
        <w:t xml:space="preserve"> of the Social Security Act, as enacted by </w:t>
      </w:r>
      <w:r w:rsidRPr="005D36CC" w:rsidR="00167BF0">
        <w:t xml:space="preserve">Section 3004 of </w:t>
      </w:r>
      <w:r w:rsidR="00167BF0">
        <w:t xml:space="preserve">the </w:t>
      </w:r>
      <w:r w:rsidRPr="003B53C7" w:rsidR="00167BF0">
        <w:t>Patient Protection and Affordable Care Act of 2010</w:t>
      </w:r>
      <w:r w:rsidR="00167BF0">
        <w:t xml:space="preserve"> (</w:t>
      </w:r>
      <w:r w:rsidRPr="003B53C7" w:rsidR="00167BF0">
        <w:t>Affordable Care Act</w:t>
      </w:r>
      <w:r w:rsidR="00167BF0">
        <w:t>)</w:t>
      </w:r>
      <w:r w:rsidRPr="00802A11">
        <w:rPr>
          <w:color w:val="000000" w:themeColor="text1"/>
        </w:rPr>
        <w:t xml:space="preserve">. </w:t>
      </w:r>
      <w:r w:rsidR="00167BF0">
        <w:rPr>
          <w:color w:val="000000" w:themeColor="text1"/>
        </w:rPr>
        <w:t xml:space="preserve"> </w:t>
      </w:r>
      <w:r w:rsidRPr="00802A11">
        <w:rPr>
          <w:color w:val="000000" w:themeColor="text1"/>
        </w:rPr>
        <w:t xml:space="preserve">The statute </w:t>
      </w:r>
      <w:r w:rsidRPr="005D36CC" w:rsidR="00167BF0">
        <w:t xml:space="preserve">authorizes the establishment of </w:t>
      </w:r>
      <w:r w:rsidR="00167BF0">
        <w:t xml:space="preserve">the LTCH QRP.  </w:t>
      </w:r>
      <w:r w:rsidRPr="005D36CC">
        <w:t>The LTCH</w:t>
      </w:r>
      <w:r>
        <w:t xml:space="preserve"> </w:t>
      </w:r>
      <w:r w:rsidRPr="005D36CC">
        <w:t xml:space="preserve">QRP was implemented in section </w:t>
      </w:r>
      <w:smartTag w:uri="urn:schemas-microsoft-com:office:smarttags" w:element="stockticker">
        <w:r w:rsidRPr="005D36CC">
          <w:t>VII</w:t>
        </w:r>
      </w:smartTag>
      <w:r w:rsidRPr="005D36CC">
        <w:t xml:space="preserve">.C. of the </w:t>
      </w:r>
      <w:r w:rsidR="009F4256">
        <w:t>fiscal year (</w:t>
      </w:r>
      <w:r w:rsidRPr="005D36CC">
        <w:t>FY</w:t>
      </w:r>
      <w:r w:rsidR="009F4256">
        <w:t>)</w:t>
      </w:r>
      <w:r w:rsidRPr="005D36CC">
        <w:t xml:space="preserve"> 2012 I</w:t>
      </w:r>
      <w:smartTag w:uri="urn:schemas-microsoft-com:office:smarttags" w:element="stockticker">
        <w:r w:rsidRPr="005D36CC">
          <w:t>PPS</w:t>
        </w:r>
      </w:smartTag>
      <w:r w:rsidRPr="005D36CC">
        <w:t>/LTCH PPS final rule (76 FR 51743 through 51756)</w:t>
      </w:r>
      <w:r>
        <w:rPr>
          <w:rStyle w:val="FootnoteReference"/>
          <w:szCs w:val="18"/>
        </w:rPr>
        <w:footnoteReference w:id="2"/>
      </w:r>
      <w:r w:rsidRPr="005D36CC">
        <w:rPr>
          <w:sz w:val="18"/>
          <w:szCs w:val="18"/>
        </w:rPr>
        <w:t xml:space="preserve"> </w:t>
      </w:r>
      <w:r w:rsidRPr="005D36CC">
        <w:t xml:space="preserve">pursuant to Section 3004 of the </w:t>
      </w:r>
      <w:r w:rsidRPr="003B53C7">
        <w:t>Affordable Care Act</w:t>
      </w:r>
      <w:r w:rsidRPr="005D36CC">
        <w:t>.</w:t>
      </w:r>
      <w:r>
        <w:rPr>
          <w:rStyle w:val="FootnoteReference"/>
          <w:szCs w:val="18"/>
        </w:rPr>
        <w:footnoteReference w:id="3"/>
      </w:r>
      <w:r w:rsidRPr="005D36CC">
        <w:rPr>
          <w:sz w:val="18"/>
          <w:szCs w:val="18"/>
        </w:rPr>
        <w:t xml:space="preserve"> </w:t>
      </w:r>
      <w:r>
        <w:t xml:space="preserve"> </w:t>
      </w:r>
      <w:r w:rsidRPr="005D36CC">
        <w:t xml:space="preserve">Beginning in FY 2014, LTCHs that fail to submit quality data to CMS </w:t>
      </w:r>
      <w:r>
        <w:t>were</w:t>
      </w:r>
      <w:r w:rsidRPr="005D36CC">
        <w:t xml:space="preserve"> subject to a 2 percentage point reduction in their annual </w:t>
      </w:r>
      <w:r>
        <w:t xml:space="preserve">payment </w:t>
      </w:r>
      <w:r w:rsidRPr="005D36CC">
        <w:t>update</w:t>
      </w:r>
      <w:r>
        <w:t xml:space="preserve">. </w:t>
      </w:r>
    </w:p>
    <w:p w:rsidR="00167BF0" w:rsidP="002F71E7" w14:paraId="5F0F6E56" w14:textId="77777777">
      <w:pPr>
        <w:pStyle w:val="ListContinue"/>
        <w:spacing w:after="240"/>
        <w:ind w:left="0"/>
      </w:pPr>
    </w:p>
    <w:p w:rsidR="002F71E7" w:rsidP="002F71E7" w14:paraId="6DD48F53" w14:textId="45C2AD4C">
      <w:pPr>
        <w:pStyle w:val="ListContinue"/>
        <w:spacing w:after="240"/>
        <w:ind w:left="0"/>
      </w:pPr>
      <w:r w:rsidRPr="00010E37">
        <w:t xml:space="preserve">Section 2(a) of the Improving Medicare Post-Acute Care Transformation Act of 2014 (IMPACT Act) (Pub. L. 113-185, enacted on Oct. 6, 2014), requires that the Secretary specify not later than the applicable specified application date, as defined in section 1899B(a)(2)(E), quality measures on which </w:t>
      </w:r>
      <w:r>
        <w:t>LTCH</w:t>
      </w:r>
      <w:r w:rsidRPr="00010E37">
        <w:t xml:space="preserve"> providers are required to submit standardized patient </w:t>
      </w:r>
      <w:r w:rsidRPr="00010E37">
        <w:t xml:space="preserve">assessment data described in section 1899B(b)(1) and other necessary data specified by the Secretary. Section 1899B(c)(2)(A) requires, to the extent possible, the submission of the such quality measure data through the use of a PAC assessment instrument and the modification of such instrument as necessary to enable such use; for </w:t>
      </w:r>
      <w:r>
        <w:t>LTCHs</w:t>
      </w:r>
      <w:r w:rsidRPr="00010E37">
        <w:t xml:space="preserve">, this requirement refers to the </w:t>
      </w:r>
      <w:r w:rsidR="00167BF0">
        <w:t>LCDS</w:t>
      </w:r>
      <w:r w:rsidRPr="00010E37">
        <w:t>.</w:t>
      </w:r>
    </w:p>
    <w:p w:rsidR="00EA4C90" w:rsidRPr="00D321D4" w:rsidP="00D72E1D" w14:paraId="739A465F" w14:textId="77777777">
      <w:pPr>
        <w:pStyle w:val="Heading2"/>
        <w:rPr>
          <w:b/>
        </w:rPr>
      </w:pPr>
      <w:bookmarkStart w:id="92" w:name="_Toc88554843"/>
      <w:bookmarkStart w:id="93" w:name="_Toc144904216"/>
      <w:r w:rsidRPr="00D321D4">
        <w:t>Information Users</w:t>
      </w:r>
      <w:bookmarkEnd w:id="92"/>
      <w:bookmarkEnd w:id="93"/>
    </w:p>
    <w:p w:rsidR="001C6F19" w:rsidRPr="000D1F68" w:rsidP="000D1F68" w14:paraId="008AA8B2" w14:textId="77777777">
      <w:pPr>
        <w:pStyle w:val="NoSpacing"/>
      </w:pPr>
    </w:p>
    <w:p w:rsidR="00945F6E" w:rsidRPr="00273EC9" w:rsidP="00273EC9" w14:paraId="627663A4" w14:textId="77777777">
      <w:pPr>
        <w:pStyle w:val="NoSpacing"/>
        <w:rPr>
          <w:rFonts w:eastAsia="Calibri" w:cs="Times New Roman"/>
        </w:rPr>
      </w:pPr>
      <w:r w:rsidRPr="00AA14E5">
        <w:t>The LTCH CARE Data Set is used to collect data for the LTCH QRP.</w:t>
      </w:r>
      <w:bookmarkStart w:id="94" w:name="_Hlk504988691"/>
      <w:r w:rsidRPr="00AA14E5">
        <w:rPr>
          <w:rFonts w:eastAsia="Calibri" w:cs="Times New Roman"/>
        </w:rPr>
        <w:t xml:space="preserve"> The LTCH QRP is authorized by section 1886(m)(5) of the Social Security Act</w:t>
      </w:r>
      <w:r w:rsidR="009F4256">
        <w:rPr>
          <w:rFonts w:eastAsia="Calibri" w:cs="Times New Roman"/>
        </w:rPr>
        <w:t xml:space="preserve"> (the Act)</w:t>
      </w:r>
      <w:r w:rsidRPr="00AA14E5">
        <w:rPr>
          <w:rFonts w:eastAsia="Calibri" w:cs="Times New Roman"/>
        </w:rPr>
        <w:t xml:space="preserve">, and it applies to all hospitals certified by Medicare as LTCHs.  </w:t>
      </w:r>
      <w:bookmarkEnd w:id="94"/>
      <w:r w:rsidRPr="00AA14E5">
        <w:rPr>
          <w:rFonts w:eastAsia="Calibri" w:cs="Times New Roman"/>
        </w:rPr>
        <w:t xml:space="preserve">Under the LTCH QRP, the Secretary reduces the annual update to the LTCH PPS standard Federal rate for discharges for an LTCH during a fiscal year by 2 percentage points if the LTCH has not complied with the LTCH QRP requirements specified for that fiscal year.  </w:t>
      </w:r>
      <w:r w:rsidRPr="00AA14E5">
        <w:t xml:space="preserve">The IMPACT Act enacted new data reporting requirements for LTCHs. </w:t>
      </w:r>
      <w:r w:rsidRPr="009A4C02" w:rsidR="009A4C02">
        <w:t xml:space="preserve">All of the data that must be reported in accordance with section 1899B(a)(1)(A) must be standardized and interoperable so as to allow for the exchange of the information among PAC providers and other providers and the use of such data in order to enable access to longitudinal information and to facilitate coordinated care. </w:t>
      </w:r>
    </w:p>
    <w:p w:rsidR="00945F6E" w:rsidRPr="00AA14E5" w:rsidP="00945F6E" w14:paraId="72D98682" w14:textId="77777777">
      <w:pPr>
        <w:pStyle w:val="ListContinue"/>
        <w:ind w:left="0"/>
      </w:pPr>
    </w:p>
    <w:p w:rsidR="00945F6E" w:rsidRPr="00AA14E5" w:rsidP="00945F6E" w14:paraId="1E0A1F2B" w14:textId="77777777">
      <w:pPr>
        <w:pStyle w:val="ListContinue"/>
        <w:ind w:left="0"/>
      </w:pPr>
      <w:r w:rsidRPr="00AA14E5">
        <w:t xml:space="preserve">In addition, the public/consumer is a data user, as CMS is required to make LTCH QRP data available to the public after ensuring that an LTCH has the opportunity to review its data prior to public display. Measure data is currently displayed on Long-Term Care Hospital Compare (LTCH Compare): </w:t>
      </w:r>
      <w:hyperlink r:id="rId10" w:history="1">
        <w:r w:rsidRPr="00AA14E5">
          <w:rPr>
            <w:rStyle w:val="Hyperlink"/>
          </w:rPr>
          <w:t>https://www.medicare.gov/longtermcarehospitalcompare/</w:t>
        </w:r>
      </w:hyperlink>
    </w:p>
    <w:p w:rsidR="00E01F16" w:rsidRPr="00FF1968" w:rsidP="00E01F16" w14:paraId="6EA31D30" w14:textId="77777777">
      <w:pPr>
        <w:pStyle w:val="Heading4"/>
        <w:keepLines w:val="0"/>
        <w:numPr>
          <w:ilvl w:val="0"/>
          <w:numId w:val="34"/>
        </w:numPr>
        <w:spacing w:before="240" w:after="180"/>
        <w:rPr>
          <w:rFonts w:ascii="Times New Roman" w:hAnsi="Times New Roman" w:cs="Times New Roman"/>
          <w:i w:val="0"/>
          <w:color w:val="auto"/>
        </w:rPr>
      </w:pPr>
      <w:r w:rsidRPr="00FF1968">
        <w:rPr>
          <w:rFonts w:ascii="Times New Roman" w:hAnsi="Times New Roman" w:cs="Times New Roman"/>
          <w:i w:val="0"/>
          <w:color w:val="auto"/>
        </w:rPr>
        <w:t>Consideration of Burden of Information Collection Requests</w:t>
      </w:r>
    </w:p>
    <w:p w:rsidR="00E01F16" w:rsidP="00E01F16" w14:paraId="02A3B52D" w14:textId="13D0053C">
      <w:pPr>
        <w:pStyle w:val="ListContinue"/>
        <w:ind w:left="0"/>
        <w:rPr>
          <w:color w:val="000000" w:themeColor="text1"/>
        </w:rPr>
      </w:pPr>
      <w:r>
        <w:rPr>
          <w:color w:val="000000" w:themeColor="text1"/>
        </w:rPr>
        <w:t>CMS continually looks for opportunities to minimize burden associated with collection of the LCDS for information users through strategies that (1) simplify collection and submission requirements, (2) improve LCDS comprehension, and (3) enhance communication, navigation, and outreach, (4) minimize learning costs, and (5) provide flexible time frames for data submission.</w:t>
      </w:r>
    </w:p>
    <w:p w:rsidR="00E01F16" w:rsidP="00FF1968" w14:paraId="2F8A9010" w14:textId="77777777">
      <w:pPr>
        <w:pStyle w:val="ListContinue"/>
        <w:ind w:left="0"/>
        <w:rPr>
          <w:color w:val="000000" w:themeColor="text1"/>
        </w:rPr>
      </w:pPr>
    </w:p>
    <w:p w:rsidR="00E01F16" w:rsidP="00FF1968" w14:paraId="5D6A20D7" w14:textId="090F6B0D">
      <w:pPr>
        <w:pStyle w:val="ListContinue"/>
        <w:ind w:left="0"/>
        <w:rPr>
          <w:color w:val="000000" w:themeColor="text1"/>
        </w:rPr>
      </w:pPr>
      <w:r>
        <w:rPr>
          <w:color w:val="000000" w:themeColor="text1"/>
        </w:rPr>
        <w:t xml:space="preserve">First, interviews are conducted with information users before new items are introduced. The interviews provide valuable evidence in order to ensure the item(s) are precise and result in meaningful information. </w:t>
      </w:r>
    </w:p>
    <w:p w:rsidR="00E01F16" w:rsidP="00FF1968" w14:paraId="43DCC310" w14:textId="77777777">
      <w:pPr>
        <w:pStyle w:val="ListContinue"/>
        <w:ind w:left="0"/>
        <w:rPr>
          <w:color w:val="000000" w:themeColor="text1"/>
        </w:rPr>
      </w:pPr>
    </w:p>
    <w:p w:rsidR="00E01F16" w:rsidP="00FF1968" w14:paraId="4B7AB95D" w14:textId="78107791">
      <w:pPr>
        <w:pStyle w:val="ListContinue"/>
        <w:ind w:left="0"/>
        <w:rPr>
          <w:color w:val="000000" w:themeColor="text1"/>
        </w:rPr>
      </w:pPr>
      <w:r>
        <w:rPr>
          <w:color w:val="000000" w:themeColor="text1"/>
        </w:rPr>
        <w:t xml:space="preserve">Second, improving LCDS comprehension is a priority.  A number of strategies are used, including standardizing the collection instructions across all LTCHs, ensuring that all instructions and notices are written in plain language, and by providing step-by-step examples for completing the LCDS.  Human-centered design best practices are used, such as prioritizing key communication in headings, text boxes, and bold text.  Close attention is paid to the amount of information required in the forms so that only the necessary data is collected on the LCDS. </w:t>
      </w:r>
    </w:p>
    <w:p w:rsidR="00E01F16" w:rsidP="00FF1968" w14:paraId="75024E94" w14:textId="77777777">
      <w:pPr>
        <w:pStyle w:val="ListContinue"/>
        <w:ind w:left="0"/>
        <w:rPr>
          <w:color w:val="000000" w:themeColor="text1"/>
        </w:rPr>
      </w:pPr>
    </w:p>
    <w:p w:rsidR="00E01F16" w:rsidP="00FF1968" w14:paraId="3E260CC9" w14:textId="554FFD8D">
      <w:pPr>
        <w:pStyle w:val="ListContinue"/>
        <w:ind w:left="0"/>
        <w:rPr>
          <w:color w:val="000000" w:themeColor="text1"/>
        </w:rPr>
      </w:pPr>
      <w:r>
        <w:rPr>
          <w:color w:val="000000" w:themeColor="text1"/>
        </w:rPr>
        <w:t>Third, CMS looks for opportunities to improve communication with users and conducts outreach.  CMS provides a dedicated help desk to support users and respond to questions about the data collection.  Additionally, a dedicated LTCH QRP webpage houses multiple modes of tools, such as instructional videos, case studies, user manuals, and frequently asked questions which support understanding of the LCDS, and can be used by current and assist new users of the LCDS.  CMS utilizes a listserv to facilitate outreach to users, such as communicating timely and important new material(s), as well as reminders and alerts related to the LCDS completion. Finally, CMS provides a free internet-based system through which  users can access on-demand reports for feedback on the collection of the LCDS associated with their facility.</w:t>
      </w:r>
    </w:p>
    <w:p w:rsidR="00E01F16" w:rsidP="00FF1968" w14:paraId="716BF11A" w14:textId="77777777">
      <w:pPr>
        <w:pStyle w:val="ListContinue"/>
        <w:ind w:left="0"/>
        <w:rPr>
          <w:color w:val="000000" w:themeColor="text1"/>
        </w:rPr>
      </w:pPr>
    </w:p>
    <w:p w:rsidR="00E01F16" w:rsidP="00FF1968" w14:paraId="54C5595A" w14:textId="7AA3085D">
      <w:pPr>
        <w:pStyle w:val="ListContinue"/>
        <w:ind w:left="0"/>
        <w:rPr>
          <w:color w:val="000000" w:themeColor="text1"/>
        </w:rPr>
      </w:pPr>
      <w:r>
        <w:rPr>
          <w:color w:val="000000" w:themeColor="text1"/>
        </w:rPr>
        <w:t>Fourth, CMS is aware of the learning costs that LTCHs may incur when new data collection is required.  CMS provides multiple free training resources and opportunities for LTCHs to use, reducing the burden to LTCHs in creating their own training resources.  These training resources include live training, online learning modules, tip sheets, and/or recorded webinars and videos.  Having the materials online and on-demand gives LTCHs the flexibility to use the materials in a group setting or on an individual basis at times that work for them.</w:t>
      </w:r>
    </w:p>
    <w:p w:rsidR="00E01F16" w:rsidP="00FF1968" w14:paraId="7BFA89D4" w14:textId="77777777">
      <w:pPr>
        <w:pStyle w:val="ListContinue"/>
        <w:ind w:left="0"/>
        <w:rPr>
          <w:color w:val="000000" w:themeColor="text1"/>
        </w:rPr>
      </w:pPr>
    </w:p>
    <w:p w:rsidR="00E01F16" w:rsidRPr="00802A11" w:rsidP="00FF1968" w14:paraId="3201C5D6" w14:textId="2A0E7831">
      <w:pPr>
        <w:pStyle w:val="ListContinue"/>
        <w:ind w:left="0"/>
        <w:rPr>
          <w:color w:val="000000" w:themeColor="text1"/>
        </w:rPr>
      </w:pPr>
      <w:r>
        <w:rPr>
          <w:color w:val="000000" w:themeColor="text1"/>
        </w:rPr>
        <w:t xml:space="preserve">Fifth, CMS allows up to 4.5 months for LTCHs to submit all data required in this information collection, providing ample time for data submission.  CMS </w:t>
      </w:r>
      <w:r w:rsidRPr="2451E3EA">
        <w:rPr>
          <w:color w:val="000000" w:themeColor="text1"/>
        </w:rPr>
        <w:t>acknowledg</w:t>
      </w:r>
      <w:r>
        <w:rPr>
          <w:color w:val="000000" w:themeColor="text1"/>
        </w:rPr>
        <w:t>es</w:t>
      </w:r>
      <w:r w:rsidRPr="2451E3EA">
        <w:rPr>
          <w:color w:val="000000" w:themeColor="text1"/>
        </w:rPr>
        <w:t xml:space="preserve"> that some small providers may experience difficulties complying with </w:t>
      </w:r>
      <w:r>
        <w:rPr>
          <w:color w:val="000000" w:themeColor="text1"/>
        </w:rPr>
        <w:t xml:space="preserve">data </w:t>
      </w:r>
      <w:r w:rsidRPr="2451E3EA">
        <w:rPr>
          <w:color w:val="000000" w:themeColor="text1"/>
        </w:rPr>
        <w:t>collection requirements</w:t>
      </w:r>
      <w:r>
        <w:rPr>
          <w:color w:val="000000" w:themeColor="text1"/>
        </w:rPr>
        <w:t>, and having additional time may reduce the stress and anxiety LTCH providers may experience.</w:t>
      </w:r>
    </w:p>
    <w:p w:rsidR="001C6F19" w:rsidP="00D2685F" w14:paraId="055A6481" w14:textId="77777777">
      <w:pPr>
        <w:pStyle w:val="NoSpacing"/>
        <w:rPr>
          <w:b/>
        </w:rPr>
      </w:pPr>
    </w:p>
    <w:p w:rsidR="00EA4C90" w:rsidRPr="00801933" w:rsidP="000B556A" w14:paraId="77CE5EF5" w14:textId="77777777">
      <w:pPr>
        <w:pStyle w:val="Heading2"/>
        <w:rPr>
          <w:b/>
        </w:rPr>
      </w:pPr>
      <w:bookmarkStart w:id="95" w:name="_Toc88554844"/>
      <w:bookmarkStart w:id="96" w:name="_Toc144904217"/>
      <w:r w:rsidRPr="00801933">
        <w:t>Use of Information Technology</w:t>
      </w:r>
      <w:bookmarkEnd w:id="95"/>
      <w:bookmarkEnd w:id="96"/>
    </w:p>
    <w:p w:rsidR="00D2685F" w:rsidP="00D2685F" w14:paraId="431DE2C0" w14:textId="77777777">
      <w:pPr>
        <w:pStyle w:val="NoSpacing"/>
        <w:ind w:left="360"/>
        <w:rPr>
          <w:b/>
        </w:rPr>
      </w:pPr>
    </w:p>
    <w:p w:rsidR="00E01F16" w:rsidP="00FF1968" w14:paraId="0D6EA9A3" w14:textId="58A9723D">
      <w:pPr>
        <w:pStyle w:val="ListContinue"/>
        <w:ind w:left="0"/>
        <w:rPr>
          <w:color w:val="000000" w:themeColor="text1"/>
        </w:rPr>
      </w:pPr>
      <w:r>
        <w:rPr>
          <w:color w:val="000000" w:themeColor="text1"/>
        </w:rPr>
        <w:t xml:space="preserve">CMS uses information technology to decrease the burden associated with data collection of the </w:t>
      </w:r>
      <w:r w:rsidR="003620BD">
        <w:rPr>
          <w:color w:val="000000" w:themeColor="text1"/>
        </w:rPr>
        <w:t>LCDS</w:t>
      </w:r>
      <w:r>
        <w:rPr>
          <w:color w:val="000000" w:themeColor="text1"/>
        </w:rPr>
        <w:t>. This is accomplished through strategies that (1) streamline information and submission processes, (2) minimize costly documentation requirements, and (3) utilize information technology for improving communication.</w:t>
      </w:r>
    </w:p>
    <w:p w:rsidR="00E01F16" w:rsidP="00E01F16" w14:paraId="246C05D7" w14:textId="77777777">
      <w:pPr>
        <w:pStyle w:val="ListContinue"/>
        <w:ind w:left="0"/>
        <w:rPr>
          <w:color w:val="000000" w:themeColor="text1"/>
        </w:rPr>
      </w:pPr>
    </w:p>
    <w:p w:rsidR="00E01F16" w:rsidP="00FF1968" w14:paraId="696E77E7" w14:textId="358F28AC">
      <w:pPr>
        <w:pStyle w:val="ListContinue"/>
        <w:ind w:left="0"/>
        <w:rPr>
          <w:color w:val="000000" w:themeColor="text1"/>
        </w:rPr>
      </w:pPr>
      <w:r>
        <w:rPr>
          <w:color w:val="000000" w:themeColor="text1"/>
        </w:rPr>
        <w:t xml:space="preserve">First, CMS creates data collection specifications for </w:t>
      </w:r>
      <w:r w:rsidR="003620BD">
        <w:rPr>
          <w:color w:val="000000" w:themeColor="text1"/>
        </w:rPr>
        <w:t>LTCH</w:t>
      </w:r>
      <w:r>
        <w:rPr>
          <w:color w:val="000000" w:themeColor="text1"/>
        </w:rPr>
        <w:t xml:space="preserve"> electronic health record (</w:t>
      </w:r>
      <w:r w:rsidR="00766450">
        <w:rPr>
          <w:color w:val="000000" w:themeColor="text1"/>
        </w:rPr>
        <w:t>EHR</w:t>
      </w:r>
      <w:r>
        <w:rPr>
          <w:color w:val="000000" w:themeColor="text1"/>
        </w:rPr>
        <w:t xml:space="preserve">) software with ‘skip’ patterns to ensure the </w:t>
      </w:r>
      <w:r w:rsidR="003620BD">
        <w:rPr>
          <w:color w:val="000000" w:themeColor="text1"/>
        </w:rPr>
        <w:t>LCDS</w:t>
      </w:r>
      <w:r>
        <w:rPr>
          <w:color w:val="000000" w:themeColor="text1"/>
        </w:rPr>
        <w:t xml:space="preserve"> is limited to the minimum data required to meet quality reporting requirements and to calculate </w:t>
      </w:r>
      <w:r w:rsidR="003620BD">
        <w:rPr>
          <w:color w:val="000000" w:themeColor="text1"/>
        </w:rPr>
        <w:t>LTCH</w:t>
      </w:r>
      <w:r>
        <w:rPr>
          <w:color w:val="000000" w:themeColor="text1"/>
        </w:rPr>
        <w:t xml:space="preserve"> payment.  These specifications are available free of charge to all </w:t>
      </w:r>
      <w:r w:rsidR="003620BD">
        <w:rPr>
          <w:color w:val="000000" w:themeColor="text1"/>
        </w:rPr>
        <w:t>LTCH</w:t>
      </w:r>
      <w:r>
        <w:rPr>
          <w:color w:val="000000" w:themeColor="text1"/>
        </w:rPr>
        <w:t xml:space="preserve">s and their technology partners. Further, these minimum requirements are standardized for all users of the </w:t>
      </w:r>
      <w:r w:rsidR="003620BD">
        <w:rPr>
          <w:color w:val="000000" w:themeColor="text1"/>
        </w:rPr>
        <w:t>LCDS</w:t>
      </w:r>
      <w:r>
        <w:rPr>
          <w:color w:val="000000" w:themeColor="text1"/>
        </w:rPr>
        <w:t xml:space="preserve"> assessment forms.  CMS also provides flexibility to </w:t>
      </w:r>
      <w:r w:rsidR="003620BD">
        <w:rPr>
          <w:color w:val="000000" w:themeColor="text1"/>
        </w:rPr>
        <w:t>LTCH</w:t>
      </w:r>
      <w:r>
        <w:rPr>
          <w:color w:val="000000" w:themeColor="text1"/>
        </w:rPr>
        <w:t xml:space="preserve">s by giving them </w:t>
      </w:r>
      <w:r w:rsidRPr="00802A11">
        <w:rPr>
          <w:color w:val="000000" w:themeColor="text1"/>
        </w:rPr>
        <w:t xml:space="preserve">the option of recording the required data on a printed form and later transferring the data to electronic format or they can choose to directly enter the required data electronically to the </w:t>
      </w:r>
      <w:bookmarkStart w:id="97" w:name="_Hlk130391248"/>
      <w:r>
        <w:rPr>
          <w:color w:val="000000" w:themeColor="text1"/>
        </w:rPr>
        <w:t>CMS designated submission</w:t>
      </w:r>
      <w:r w:rsidRPr="00802A11">
        <w:rPr>
          <w:color w:val="000000" w:themeColor="text1"/>
        </w:rPr>
        <w:t xml:space="preserve"> system</w:t>
      </w:r>
      <w:bookmarkEnd w:id="97"/>
      <w:r w:rsidRPr="00802A11">
        <w:rPr>
          <w:color w:val="000000" w:themeColor="text1"/>
        </w:rPr>
        <w:t xml:space="preserve">, which is currently used by Inpatient Rehabilitation Facilities (IRFs), </w:t>
      </w:r>
      <w:r>
        <w:rPr>
          <w:color w:val="000000" w:themeColor="text1"/>
        </w:rPr>
        <w:t xml:space="preserve">Long-Term Care Hospitals (LTCHs), and </w:t>
      </w:r>
      <w:r w:rsidRPr="00802A11">
        <w:rPr>
          <w:color w:val="000000" w:themeColor="text1"/>
        </w:rPr>
        <w:t>Home Health Agencies (HHAs)</w:t>
      </w:r>
      <w:r>
        <w:rPr>
          <w:color w:val="000000" w:themeColor="text1"/>
        </w:rPr>
        <w:t xml:space="preserve">, and will be used by </w:t>
      </w:r>
      <w:r w:rsidRPr="00802A11">
        <w:rPr>
          <w:color w:val="000000" w:themeColor="text1"/>
        </w:rPr>
        <w:t>Skilled Nursing Facilities (SNFs)</w:t>
      </w:r>
      <w:r>
        <w:rPr>
          <w:color w:val="000000" w:themeColor="text1"/>
        </w:rPr>
        <w:t xml:space="preserve"> beginning in calendar year 2023</w:t>
      </w:r>
      <w:r w:rsidRPr="00802A11">
        <w:rPr>
          <w:color w:val="000000" w:themeColor="text1"/>
        </w:rPr>
        <w:t>.</w:t>
      </w:r>
    </w:p>
    <w:p w:rsidR="00E01F16" w:rsidP="00E01F16" w14:paraId="3D74DCA6" w14:textId="77777777">
      <w:pPr>
        <w:pStyle w:val="ListContinue"/>
        <w:ind w:left="0"/>
        <w:rPr>
          <w:color w:val="000000" w:themeColor="text1"/>
        </w:rPr>
      </w:pPr>
    </w:p>
    <w:p w:rsidR="00E01F16" w:rsidP="00F23B4A" w14:paraId="4DFAC0C5" w14:textId="6D5EE17E">
      <w:pPr>
        <w:pStyle w:val="ListContinue"/>
        <w:ind w:left="0"/>
        <w:rPr>
          <w:color w:val="000000" w:themeColor="text1"/>
        </w:rPr>
      </w:pPr>
      <w:r>
        <w:rPr>
          <w:color w:val="000000" w:themeColor="text1"/>
        </w:rPr>
        <w:t>Second, CMS has minimized costly documentation requirements by allowing</w:t>
      </w:r>
      <w:r>
        <w:rPr>
          <w:color w:val="000000" w:themeColor="text1"/>
        </w:rPr>
        <w:t xml:space="preserve"> </w:t>
      </w:r>
      <w:r w:rsidR="003620BD">
        <w:rPr>
          <w:color w:val="000000" w:themeColor="text1"/>
        </w:rPr>
        <w:t>LTCH</w:t>
      </w:r>
      <w:r>
        <w:rPr>
          <w:color w:val="000000" w:themeColor="text1"/>
        </w:rPr>
        <w:t xml:space="preserve">s to electronically self-attest to the accuracy of the data in the </w:t>
      </w:r>
      <w:r w:rsidR="003620BD">
        <w:rPr>
          <w:color w:val="000000" w:themeColor="text1"/>
        </w:rPr>
        <w:t>LCDS</w:t>
      </w:r>
      <w:r>
        <w:rPr>
          <w:color w:val="000000" w:themeColor="text1"/>
        </w:rPr>
        <w:t xml:space="preserve"> prior to transmitting the </w:t>
      </w:r>
      <w:r w:rsidR="003620BD">
        <w:rPr>
          <w:color w:val="000000" w:themeColor="text1"/>
        </w:rPr>
        <w:t>LCDS</w:t>
      </w:r>
      <w:r>
        <w:rPr>
          <w:color w:val="000000" w:themeColor="text1"/>
        </w:rPr>
        <w:t xml:space="preserve">, eliminating the need for supportive documentation to be submitted with the </w:t>
      </w:r>
      <w:r w:rsidR="003620BD">
        <w:rPr>
          <w:color w:val="000000" w:themeColor="text1"/>
        </w:rPr>
        <w:t>LCDS</w:t>
      </w:r>
      <w:r>
        <w:rPr>
          <w:color w:val="000000" w:themeColor="text1"/>
        </w:rPr>
        <w:t xml:space="preserve">.  CMS has also </w:t>
      </w:r>
      <w:r w:rsidRPr="00802A11">
        <w:rPr>
          <w:color w:val="000000" w:themeColor="text1"/>
        </w:rPr>
        <w:t xml:space="preserve">developed customized software that allows </w:t>
      </w:r>
      <w:r w:rsidR="003620BD">
        <w:rPr>
          <w:color w:val="000000" w:themeColor="text1"/>
        </w:rPr>
        <w:t>LTCH</w:t>
      </w:r>
      <w:r w:rsidRPr="00802A11">
        <w:rPr>
          <w:color w:val="000000" w:themeColor="text1"/>
        </w:rPr>
        <w:t xml:space="preserve">s to encode, store and transmit the </w:t>
      </w:r>
      <w:r w:rsidR="003620BD">
        <w:rPr>
          <w:color w:val="000000" w:themeColor="text1"/>
        </w:rPr>
        <w:t>LCDS</w:t>
      </w:r>
      <w:r w:rsidRPr="00802A11">
        <w:rPr>
          <w:color w:val="000000" w:themeColor="text1"/>
        </w:rPr>
        <w:t xml:space="preserve"> data. The software is available free of charge on the CMS Website at </w:t>
      </w:r>
      <w:hyperlink r:id="rId11" w:history="1">
        <w:r w:rsidRPr="00D35195" w:rsidR="00766450">
          <w:rPr>
            <w:rStyle w:val="Hyperlink"/>
          </w:rPr>
          <w:t>https://www.cms.gov/medicare/quality-initiatives-patient-assessment-instruments/ltch-quality-reporting/ltch-technical-information</w:t>
        </w:r>
      </w:hyperlink>
      <w:r w:rsidR="00766450">
        <w:rPr>
          <w:color w:val="000000" w:themeColor="text1"/>
        </w:rPr>
        <w:t xml:space="preserve">. </w:t>
      </w:r>
      <w:r w:rsidRPr="00802A11">
        <w:rPr>
          <w:color w:val="000000" w:themeColor="text1"/>
        </w:rPr>
        <w:t xml:space="preserve"> </w:t>
      </w:r>
      <w:r>
        <w:rPr>
          <w:color w:val="000000" w:themeColor="text1"/>
        </w:rPr>
        <w:t xml:space="preserve">Additionally, the software delivers real-time warnings to the </w:t>
      </w:r>
      <w:r w:rsidR="003620BD">
        <w:rPr>
          <w:color w:val="000000" w:themeColor="text1"/>
        </w:rPr>
        <w:t>LTCH</w:t>
      </w:r>
      <w:r>
        <w:rPr>
          <w:color w:val="000000" w:themeColor="text1"/>
        </w:rPr>
        <w:t xml:space="preserve"> when the data is incomplete. </w:t>
      </w:r>
      <w:r w:rsidR="003620BD">
        <w:rPr>
          <w:color w:val="000000" w:themeColor="text1"/>
        </w:rPr>
        <w:t>LTCH</w:t>
      </w:r>
      <w:r>
        <w:rPr>
          <w:color w:val="000000" w:themeColor="text1"/>
        </w:rPr>
        <w:t xml:space="preserve">s receive warnings when the data is accepted by the system but may be incomplete for purposes of quality reporting submission. </w:t>
      </w:r>
      <w:r w:rsidR="003620BD">
        <w:rPr>
          <w:color w:val="000000" w:themeColor="text1"/>
        </w:rPr>
        <w:t>LTCH</w:t>
      </w:r>
      <w:r>
        <w:rPr>
          <w:color w:val="000000" w:themeColor="text1"/>
        </w:rPr>
        <w:t xml:space="preserve">s receive fatal warnings when the data collection form is not accepted by the system for any reason. </w:t>
      </w:r>
    </w:p>
    <w:p w:rsidR="00E01F16" w:rsidP="00E01F16" w14:paraId="3BA115D9" w14:textId="77777777">
      <w:pPr>
        <w:pStyle w:val="ListContinue"/>
        <w:ind w:left="0"/>
        <w:rPr>
          <w:color w:val="000000" w:themeColor="text1"/>
        </w:rPr>
      </w:pPr>
    </w:p>
    <w:p w:rsidR="00E01F16" w:rsidRPr="00802A11" w:rsidP="00F23B4A" w14:paraId="27C215F7" w14:textId="6F4E2F32">
      <w:pPr>
        <w:pStyle w:val="ListContinue"/>
        <w:ind w:left="0"/>
        <w:rPr>
          <w:color w:val="000000" w:themeColor="text1"/>
        </w:rPr>
      </w:pPr>
      <w:r>
        <w:rPr>
          <w:color w:val="000000" w:themeColor="text1"/>
        </w:rPr>
        <w:t>Third, we</w:t>
      </w:r>
      <w:r w:rsidRPr="00802A11">
        <w:rPr>
          <w:color w:val="000000" w:themeColor="text1"/>
        </w:rPr>
        <w:t xml:space="preserve"> provide customer support for software and transmission problems encountered by the providers. </w:t>
      </w:r>
      <w:r w:rsidR="003620BD">
        <w:rPr>
          <w:color w:val="000000" w:themeColor="text1"/>
        </w:rPr>
        <w:t>LTCH</w:t>
      </w:r>
      <w:r>
        <w:rPr>
          <w:color w:val="000000" w:themeColor="text1"/>
        </w:rPr>
        <w:t xml:space="preserve">s have the ability to self-select their preferred method of communication. For example, we have dedicated help desks to respond to questions about issues </w:t>
      </w:r>
      <w:r w:rsidR="003620BD">
        <w:rPr>
          <w:color w:val="000000" w:themeColor="text1"/>
        </w:rPr>
        <w:t>LTCH</w:t>
      </w:r>
      <w:r>
        <w:rPr>
          <w:color w:val="000000" w:themeColor="text1"/>
        </w:rPr>
        <w:t xml:space="preserve">s may encounter with the software. We also offer </w:t>
      </w:r>
      <w:r w:rsidR="003620BD">
        <w:rPr>
          <w:color w:val="000000" w:themeColor="text1"/>
        </w:rPr>
        <w:t>LTCH</w:t>
      </w:r>
      <w:r>
        <w:rPr>
          <w:color w:val="000000" w:themeColor="text1"/>
        </w:rPr>
        <w:t xml:space="preserve">s the ability to sign up for listservs that send out timely and important new information, reminders, and alerts via electronic mail related to the software. CMS has also </w:t>
      </w:r>
      <w:r w:rsidRPr="00802A11">
        <w:rPr>
          <w:color w:val="000000" w:themeColor="text1"/>
        </w:rPr>
        <w:t xml:space="preserve">established a website to assist providers with questions regarding the </w:t>
      </w:r>
      <w:r w:rsidR="003620BD">
        <w:rPr>
          <w:color w:val="000000" w:themeColor="text1"/>
        </w:rPr>
        <w:t>LCDS</w:t>
      </w:r>
      <w:r w:rsidRPr="00802A11">
        <w:rPr>
          <w:color w:val="000000" w:themeColor="text1"/>
        </w:rPr>
        <w:t xml:space="preserve">, at </w:t>
      </w:r>
      <w:r w:rsidRPr="00E01F16">
        <w:rPr>
          <w:color w:val="000000" w:themeColor="text1"/>
        </w:rPr>
        <w:t>https://www.cms.gov/medicare/quality-initiatives-patient-assessment-instruments/ltch-quality-reporting/ltch-care-data-set-and-ltch-qrp-manual</w:t>
      </w:r>
      <w:r w:rsidRPr="00802A11">
        <w:rPr>
          <w:color w:val="000000" w:themeColor="text1"/>
        </w:rPr>
        <w:t xml:space="preserve">. </w:t>
      </w:r>
      <w:r>
        <w:rPr>
          <w:color w:val="000000" w:themeColor="text1"/>
        </w:rPr>
        <w:t xml:space="preserve">This website publishes new information related to the </w:t>
      </w:r>
      <w:r w:rsidR="003620BD">
        <w:rPr>
          <w:color w:val="000000" w:themeColor="text1"/>
        </w:rPr>
        <w:t>LCDS</w:t>
      </w:r>
      <w:r>
        <w:rPr>
          <w:color w:val="000000" w:themeColor="text1"/>
        </w:rPr>
        <w:t xml:space="preserve">, houses archived versions of the tool, and is available at all times to </w:t>
      </w:r>
      <w:r w:rsidR="003620BD">
        <w:rPr>
          <w:color w:val="000000" w:themeColor="text1"/>
        </w:rPr>
        <w:t>LTCH</w:t>
      </w:r>
      <w:r>
        <w:rPr>
          <w:color w:val="000000" w:themeColor="text1"/>
        </w:rPr>
        <w:t xml:space="preserve">s.  </w:t>
      </w:r>
    </w:p>
    <w:p w:rsidR="00EA4C90" w:rsidRPr="00801933" w:rsidP="00EA614E" w14:paraId="31AAD985" w14:textId="77777777">
      <w:pPr>
        <w:pStyle w:val="Heading2"/>
        <w:rPr>
          <w:b/>
        </w:rPr>
      </w:pPr>
      <w:bookmarkStart w:id="98" w:name="_Toc534884334"/>
      <w:bookmarkStart w:id="99" w:name="_Toc3281487"/>
      <w:bookmarkStart w:id="100" w:name="_Toc88554845"/>
      <w:bookmarkStart w:id="101" w:name="_Toc144904218"/>
      <w:bookmarkEnd w:id="98"/>
      <w:bookmarkEnd w:id="99"/>
      <w:r w:rsidRPr="00801933">
        <w:t>Duplicatio</w:t>
      </w:r>
      <w:r w:rsidRPr="00801933" w:rsidR="00D2685F">
        <w:t>n of Efforts</w:t>
      </w:r>
      <w:bookmarkEnd w:id="100"/>
      <w:bookmarkEnd w:id="101"/>
    </w:p>
    <w:p w:rsidR="00D2685F" w:rsidP="00D2685F" w14:paraId="026780C3" w14:textId="77777777">
      <w:pPr>
        <w:pStyle w:val="NoSpacing"/>
        <w:rPr>
          <w:b/>
        </w:rPr>
      </w:pPr>
    </w:p>
    <w:p w:rsidR="00D2685F" w:rsidP="00D2685F" w14:paraId="57C36A37" w14:textId="77777777">
      <w:pPr>
        <w:pStyle w:val="NoSpacing"/>
      </w:pPr>
      <w:r w:rsidRPr="0099020C">
        <w:t xml:space="preserve">This information collection does not duplicate any other effort and the standardized information cannot be </w:t>
      </w:r>
      <w:r w:rsidR="004B5E6C">
        <w:t xml:space="preserve">obtained from any other source. </w:t>
      </w:r>
      <w:r w:rsidRPr="0099020C">
        <w:t>There are no other data sets that will provide comparable information on patients admitted to LTCHs.</w:t>
      </w:r>
    </w:p>
    <w:p w:rsidR="0099020C" w:rsidRPr="0099020C" w:rsidP="00D2685F" w14:paraId="7ECEB4B8" w14:textId="77777777">
      <w:pPr>
        <w:pStyle w:val="NoSpacing"/>
      </w:pPr>
    </w:p>
    <w:p w:rsidR="00EA4C90" w:rsidRPr="00801933" w:rsidP="00EA614E" w14:paraId="5AF7E789" w14:textId="77777777">
      <w:pPr>
        <w:pStyle w:val="Heading2"/>
        <w:rPr>
          <w:b/>
        </w:rPr>
      </w:pPr>
      <w:bookmarkStart w:id="102" w:name="_Toc88554846"/>
      <w:bookmarkStart w:id="103" w:name="_Toc144904219"/>
      <w:r w:rsidRPr="00801933">
        <w:t>Small Businesses</w:t>
      </w:r>
      <w:bookmarkEnd w:id="102"/>
      <w:bookmarkEnd w:id="103"/>
    </w:p>
    <w:p w:rsidR="00D2685F" w:rsidP="00D2685F" w14:paraId="737A53CD" w14:textId="77777777">
      <w:pPr>
        <w:pStyle w:val="NoSpacing"/>
        <w:ind w:left="360"/>
        <w:rPr>
          <w:b/>
        </w:rPr>
      </w:pPr>
    </w:p>
    <w:p w:rsidR="00835093" w:rsidRPr="00010E37" w:rsidP="00835093" w14:paraId="36EDC1EE" w14:textId="62F98964">
      <w:pPr>
        <w:pStyle w:val="NoSpacing"/>
      </w:pPr>
      <w:r w:rsidRPr="00010E37">
        <w:t xml:space="preserve">As part of our PRA analysis for an update of our existing approval, we considered whether the change impacts a significant number of small entities.  Out </w:t>
      </w:r>
      <w:r w:rsidRPr="000F60D8">
        <w:t xml:space="preserve">of a total of </w:t>
      </w:r>
      <w:r w:rsidR="0070567A">
        <w:t>330</w:t>
      </w:r>
      <w:r w:rsidR="00E236EB">
        <w:t xml:space="preserve"> </w:t>
      </w:r>
      <w:r w:rsidRPr="000F60D8" w:rsidR="00B51FA2">
        <w:t>LTCHs</w:t>
      </w:r>
      <w:r w:rsidRPr="000F60D8">
        <w:t>,</w:t>
      </w:r>
      <w:r w:rsidR="00991DDC">
        <w:t xml:space="preserve"> approximately</w:t>
      </w:r>
      <w:r w:rsidRPr="000F60D8">
        <w:t xml:space="preserve"> </w:t>
      </w:r>
      <w:r w:rsidRPr="00843FA8" w:rsidR="00843FA8">
        <w:t>27</w:t>
      </w:r>
      <w:r w:rsidRPr="00F33FFB">
        <w:t xml:space="preserve"> </w:t>
      </w:r>
      <w:r w:rsidRPr="000F60D8">
        <w:t xml:space="preserve">are </w:t>
      </w:r>
      <w:r w:rsidRPr="000F60D8" w:rsidR="00B51FA2">
        <w:t xml:space="preserve">considered </w:t>
      </w:r>
      <w:r w:rsidRPr="000F60D8">
        <w:t xml:space="preserve">small </w:t>
      </w:r>
      <w:r w:rsidRPr="000F60D8" w:rsidR="00B51FA2">
        <w:t>LTCHs</w:t>
      </w:r>
      <w:r w:rsidR="00620D2B">
        <w:t xml:space="preserve"> (that is, less than 25 beds)</w:t>
      </w:r>
      <w:r w:rsidRPr="000F60D8" w:rsidR="00B51FA2">
        <w:t>.</w:t>
      </w:r>
      <w:r w:rsidRPr="000F60D8">
        <w:t xml:space="preserve"> T</w:t>
      </w:r>
      <w:r w:rsidRPr="000F60D8" w:rsidR="00B51FA2">
        <w:t>he average number of assessment sets</w:t>
      </w:r>
      <w:r w:rsidRPr="000F60D8">
        <w:t xml:space="preserve"> completed </w:t>
      </w:r>
      <w:r w:rsidR="0035451E">
        <w:t xml:space="preserve">annually by each LTCH </w:t>
      </w:r>
      <w:r w:rsidRPr="000F60D8">
        <w:t xml:space="preserve"> is </w:t>
      </w:r>
      <w:r w:rsidRPr="0035451E" w:rsidR="0035451E">
        <w:t>449 admission assessments and 451 discharge assessments (that is planned, unplanned, and expired)</w:t>
      </w:r>
      <w:r w:rsidRPr="0035451E">
        <w:t>,</w:t>
      </w:r>
      <w:r w:rsidRPr="000F60D8">
        <w:t xml:space="preserve"> and is the same across all respondents based on </w:t>
      </w:r>
      <w:r w:rsidRPr="000F60D8" w:rsidR="00B51FA2">
        <w:t>the number of actual assessment sets</w:t>
      </w:r>
      <w:r w:rsidRPr="000F60D8">
        <w:t xml:space="preserve"> completed by </w:t>
      </w:r>
      <w:r w:rsidRPr="000F60D8" w:rsidR="00B51FA2">
        <w:t>LTCH</w:t>
      </w:r>
      <w:r w:rsidRPr="000F60D8">
        <w:t xml:space="preserve">s </w:t>
      </w:r>
      <w:r w:rsidRPr="00F33FFB">
        <w:t xml:space="preserve">in </w:t>
      </w:r>
      <w:r w:rsidR="0035451E">
        <w:t>C</w:t>
      </w:r>
      <w:r w:rsidR="009F4256">
        <w:t>Y</w:t>
      </w:r>
      <w:r w:rsidRPr="00F33FFB">
        <w:t xml:space="preserve"> </w:t>
      </w:r>
      <w:r w:rsidRPr="00F33FFB" w:rsidR="00B51FA2">
        <w:t>20</w:t>
      </w:r>
      <w:r w:rsidR="0035451E">
        <w:t>21</w:t>
      </w:r>
      <w:r w:rsidRPr="000F60D8">
        <w:t>.</w:t>
      </w:r>
      <w:r w:rsidRPr="00010E37">
        <w:t xml:space="preserve">  </w:t>
      </w:r>
    </w:p>
    <w:p w:rsidR="00835093" w:rsidP="0099020C" w14:paraId="5A359503" w14:textId="77777777">
      <w:pPr>
        <w:pStyle w:val="NoSpacing"/>
      </w:pPr>
    </w:p>
    <w:p w:rsidR="00D2685F" w:rsidP="0099020C" w14:paraId="54A26DDA" w14:textId="1A18BEFC">
      <w:pPr>
        <w:pStyle w:val="NoSpacing"/>
      </w:pPr>
      <w:r w:rsidRPr="0099020C">
        <w:t xml:space="preserve">CMS requests authorization for LTCHs to use the updated </w:t>
      </w:r>
      <w:r w:rsidR="00721EB1">
        <w:t xml:space="preserve">LCDS </w:t>
      </w:r>
      <w:r w:rsidRPr="0099020C">
        <w:t>for the submission o</w:t>
      </w:r>
      <w:r w:rsidR="004B5E6C">
        <w:t xml:space="preserve">f quality measure </w:t>
      </w:r>
      <w:r w:rsidR="001349F5">
        <w:t xml:space="preserve">and standardized patient assessment data </w:t>
      </w:r>
      <w:r w:rsidR="004B5E6C">
        <w:t xml:space="preserve">information. </w:t>
      </w:r>
      <w:r w:rsidRPr="0099020C">
        <w:t>Provider participation in the submission of quality</w:t>
      </w:r>
      <w:r w:rsidR="001349F5">
        <w:t xml:space="preserve"> measure and standardized patient assessment</w:t>
      </w:r>
      <w:r w:rsidRPr="0099020C">
        <w:t xml:space="preserve"> data is mandated by Section 3004 of the Affordable Care Act</w:t>
      </w:r>
      <w:r w:rsidR="001349F5">
        <w:t xml:space="preserve"> and </w:t>
      </w:r>
      <w:r w:rsidR="00273EC9">
        <w:t>Section 1899B</w:t>
      </w:r>
      <w:r w:rsidR="00801933">
        <w:t>(c)(2)(A)</w:t>
      </w:r>
      <w:r w:rsidR="00273EC9">
        <w:t xml:space="preserve"> of </w:t>
      </w:r>
      <w:r w:rsidR="001349F5">
        <w:t>the IMPACT Act</w:t>
      </w:r>
      <w:r w:rsidRPr="0099020C">
        <w:t>.  Small business providers viewing the data collection as a burden</w:t>
      </w:r>
      <w:r w:rsidR="004B5E6C">
        <w:t xml:space="preserve"> can elect not to participate. </w:t>
      </w:r>
      <w:r w:rsidRPr="0099020C">
        <w:t>However, if an LTCH does not submit the required data, this p</w:t>
      </w:r>
      <w:r w:rsidR="00F90083">
        <w:t>rovider shall be subject to a 2 percentage point</w:t>
      </w:r>
      <w:r w:rsidRPr="0099020C">
        <w:t xml:space="preserve"> re</w:t>
      </w:r>
      <w:r w:rsidR="00501253">
        <w:t>duction in their annual payment update.</w:t>
      </w:r>
    </w:p>
    <w:p w:rsidR="0099020C" w:rsidRPr="0099020C" w:rsidP="0099020C" w14:paraId="765D3542" w14:textId="77777777">
      <w:pPr>
        <w:pStyle w:val="NoSpacing"/>
      </w:pPr>
    </w:p>
    <w:p w:rsidR="00D2685F" w:rsidRPr="00801933" w:rsidP="00EA614E" w14:paraId="70D128D9" w14:textId="77777777">
      <w:pPr>
        <w:pStyle w:val="Heading2"/>
        <w:rPr>
          <w:b/>
        </w:rPr>
      </w:pPr>
      <w:bookmarkStart w:id="104" w:name="_Toc88554847"/>
      <w:bookmarkStart w:id="105" w:name="_Toc144904220"/>
      <w:r w:rsidRPr="00801933">
        <w:t>Less Frequent Collection</w:t>
      </w:r>
      <w:bookmarkEnd w:id="104"/>
      <w:bookmarkEnd w:id="105"/>
    </w:p>
    <w:p w:rsidR="00D2685F" w:rsidP="00D2685F" w14:paraId="2319010C" w14:textId="77777777">
      <w:pPr>
        <w:pStyle w:val="NoSpacing"/>
        <w:ind w:left="360"/>
        <w:rPr>
          <w:b/>
        </w:rPr>
      </w:pPr>
    </w:p>
    <w:p w:rsidR="00D2685F" w:rsidP="0099020C" w14:paraId="1149F8B6" w14:textId="7FDF926A">
      <w:pPr>
        <w:pStyle w:val="NoSpacing"/>
      </w:pPr>
      <w:r w:rsidRPr="00802A11">
        <w:rPr>
          <w:color w:val="000000" w:themeColor="text1"/>
        </w:rPr>
        <w:t xml:space="preserve">We need to collect the </w:t>
      </w:r>
      <w:r>
        <w:rPr>
          <w:color w:val="000000" w:themeColor="text1"/>
        </w:rPr>
        <w:t>data</w:t>
      </w:r>
      <w:r w:rsidRPr="00802A11">
        <w:rPr>
          <w:color w:val="000000" w:themeColor="text1"/>
        </w:rPr>
        <w:t xml:space="preserve"> on the </w:t>
      </w:r>
      <w:r>
        <w:rPr>
          <w:color w:val="000000" w:themeColor="text1"/>
        </w:rPr>
        <w:t xml:space="preserve">LCDS </w:t>
      </w:r>
      <w:r w:rsidRPr="00802A11">
        <w:rPr>
          <w:color w:val="000000" w:themeColor="text1"/>
        </w:rPr>
        <w:t xml:space="preserve">at the required frequency (that is, at admission and at discharge from the </w:t>
      </w:r>
      <w:r>
        <w:rPr>
          <w:color w:val="000000" w:themeColor="text1"/>
        </w:rPr>
        <w:t>LTCH</w:t>
      </w:r>
      <w:r w:rsidRPr="00802A11">
        <w:rPr>
          <w:color w:val="000000" w:themeColor="text1"/>
        </w:rPr>
        <w:t xml:space="preserve">) in order to calculate any possible payment penalty under the </w:t>
      </w:r>
      <w:r>
        <w:rPr>
          <w:color w:val="000000" w:themeColor="text1"/>
        </w:rPr>
        <w:t>LTCH QRP</w:t>
      </w:r>
      <w:r w:rsidRPr="00802A11">
        <w:rPr>
          <w:color w:val="000000" w:themeColor="text1"/>
        </w:rPr>
        <w:t xml:space="preserve">. </w:t>
      </w:r>
      <w:r w:rsidR="00835093">
        <w:t xml:space="preserve">According to the LTCH QRP requirements, </w:t>
      </w:r>
      <w:r w:rsidRPr="0099020C" w:rsidR="0099020C">
        <w:t xml:space="preserve">LTCHs </w:t>
      </w:r>
      <w:r w:rsidR="00F63B63">
        <w:t>are</w:t>
      </w:r>
      <w:r w:rsidRPr="0099020C" w:rsidR="0099020C">
        <w:t xml:space="preserve"> required to submit this data to CMS on a</w:t>
      </w:r>
      <w:r w:rsidR="00073ECE">
        <w:t xml:space="preserve"> quarterly basis</w:t>
      </w:r>
      <w:r w:rsidR="00E23890">
        <w:t xml:space="preserve"> </w:t>
      </w:r>
      <w:r w:rsidR="008F53AD">
        <w:t>in order to calculate the quality measures adopted under the LTCH QRP and to obtain standardized patient assessment data</w:t>
      </w:r>
      <w:r>
        <w:t>.</w:t>
      </w:r>
      <w:r w:rsidR="00E23890">
        <w:t xml:space="preserve"> </w:t>
      </w:r>
    </w:p>
    <w:p w:rsidR="0099020C" w:rsidRPr="0099020C" w:rsidP="0099020C" w14:paraId="5DD71F4E" w14:textId="77777777">
      <w:pPr>
        <w:pStyle w:val="NoSpacing"/>
      </w:pPr>
    </w:p>
    <w:p w:rsidR="00EA4C90" w:rsidRPr="00D321D4" w:rsidP="00EA614E" w14:paraId="20D8CE3A" w14:textId="77777777">
      <w:pPr>
        <w:pStyle w:val="Heading2"/>
        <w:rPr>
          <w:b/>
        </w:rPr>
      </w:pPr>
      <w:bookmarkStart w:id="106" w:name="_Toc88554848"/>
      <w:bookmarkStart w:id="107" w:name="_Toc144904221"/>
      <w:r w:rsidRPr="00D321D4">
        <w:t>Special Circumstances</w:t>
      </w:r>
      <w:bookmarkEnd w:id="106"/>
      <w:bookmarkEnd w:id="107"/>
    </w:p>
    <w:p w:rsidR="00D2685F" w:rsidP="00D2685F" w14:paraId="386C4736" w14:textId="77777777">
      <w:pPr>
        <w:pStyle w:val="NoSpacing"/>
        <w:ind w:left="360"/>
        <w:rPr>
          <w:b/>
        </w:rPr>
      </w:pPr>
    </w:p>
    <w:p w:rsidR="0099020C" w:rsidP="0099020C" w14:paraId="2CF4A8AD" w14:textId="29F312DC">
      <w:pPr>
        <w:pStyle w:val="NoSpacing"/>
      </w:pPr>
      <w:r>
        <w:t>There are no special circumstances</w:t>
      </w:r>
      <w:r w:rsidR="00B36331">
        <w:t xml:space="preserve"> that would require the LCDS Assessment and LCDS Discharge assessments to be conducted more than once during a patient’s stay</w:t>
      </w:r>
      <w:r>
        <w:t>.</w:t>
      </w:r>
      <w:r w:rsidR="000A5751">
        <w:t xml:space="preserve"> </w:t>
      </w:r>
    </w:p>
    <w:p w:rsidR="007173FF" w:rsidP="0099020C" w14:paraId="40F7C851" w14:textId="77777777">
      <w:pPr>
        <w:pStyle w:val="NoSpacing"/>
      </w:pPr>
    </w:p>
    <w:p w:rsidR="00D2685F" w:rsidRPr="00801933" w:rsidP="00EA614E" w14:paraId="7CCCB299" w14:textId="77777777">
      <w:pPr>
        <w:pStyle w:val="Heading2"/>
        <w:rPr>
          <w:b/>
        </w:rPr>
      </w:pPr>
      <w:bookmarkStart w:id="108" w:name="_Toc88554849"/>
      <w:bookmarkStart w:id="109" w:name="_Toc144904222"/>
      <w:r w:rsidRPr="00801933">
        <w:t>Federal Register/Outside Consultation</w:t>
      </w:r>
      <w:bookmarkEnd w:id="108"/>
      <w:bookmarkEnd w:id="109"/>
    </w:p>
    <w:p w:rsidR="00D2685F" w:rsidP="00D2685F" w14:paraId="53EC9C5B" w14:textId="77777777">
      <w:pPr>
        <w:pStyle w:val="NoSpacing"/>
        <w:ind w:left="360"/>
        <w:rPr>
          <w:b/>
        </w:rPr>
      </w:pPr>
    </w:p>
    <w:p w:rsidR="0035451E" w:rsidP="0035451E" w14:paraId="2ECEB705" w14:textId="46349C6C">
      <w:pPr>
        <w:pStyle w:val="ListContinue"/>
      </w:pPr>
    </w:p>
    <w:p w:rsidR="004632DE" w:rsidP="00F23B4A" w14:paraId="4167A1C9" w14:textId="5A7919A2">
      <w:pPr>
        <w:pStyle w:val="ListContinue"/>
        <w:ind w:left="0"/>
        <w:rPr>
          <w:color w:val="000000" w:themeColor="text1"/>
        </w:rPr>
      </w:pPr>
      <w:r>
        <w:rPr>
          <w:color w:val="000000" w:themeColor="text1"/>
        </w:rPr>
        <w:t xml:space="preserve">The FY 2024 IPPS/LTCH PPS Notice of </w:t>
      </w:r>
      <w:r w:rsidRPr="00802A11">
        <w:rPr>
          <w:color w:val="000000" w:themeColor="text1"/>
        </w:rPr>
        <w:t>Proposed Rule</w:t>
      </w:r>
      <w:r>
        <w:rPr>
          <w:color w:val="000000" w:themeColor="text1"/>
        </w:rPr>
        <w:t>making</w:t>
      </w:r>
      <w:r w:rsidRPr="00802A11">
        <w:rPr>
          <w:color w:val="000000" w:themeColor="text1"/>
        </w:rPr>
        <w:t xml:space="preserve"> (</w:t>
      </w:r>
      <w:r w:rsidRPr="00802A11">
        <w:t>8</w:t>
      </w:r>
      <w:r>
        <w:t>8</w:t>
      </w:r>
      <w:r w:rsidRPr="00802A11">
        <w:t xml:space="preserve"> FR</w:t>
      </w:r>
      <w:r w:rsidR="00A73068">
        <w:t xml:space="preserve"> 26658)</w:t>
      </w:r>
      <w:r w:rsidRPr="00802A11">
        <w:rPr>
          <w:color w:val="000000" w:themeColor="text1"/>
        </w:rPr>
        <w:t xml:space="preserve"> published on </w:t>
      </w:r>
      <w:r w:rsidR="00A73068">
        <w:rPr>
          <w:color w:val="000000" w:themeColor="text1"/>
        </w:rPr>
        <w:t>May 1</w:t>
      </w:r>
      <w:r w:rsidRPr="00FF1968">
        <w:rPr>
          <w:color w:val="000000" w:themeColor="text1"/>
        </w:rPr>
        <w:t>, 2023</w:t>
      </w:r>
      <w:r w:rsidR="00B36331">
        <w:rPr>
          <w:color w:val="000000" w:themeColor="text1"/>
        </w:rPr>
        <w:t>.</w:t>
      </w:r>
      <w:r w:rsidRPr="00802A11">
        <w:rPr>
          <w:color w:val="000000" w:themeColor="text1"/>
        </w:rPr>
        <w:t xml:space="preserve"> </w:t>
      </w:r>
      <w:r>
        <w:rPr>
          <w:color w:val="000000" w:themeColor="text1"/>
        </w:rPr>
        <w:t xml:space="preserve"> In response to the NPRM, CMS received one comment related to the proposed burden estimate.  The commenter suggested that CMS’ burden estimates for the two measure proposals underestimated the burden on providers to complete the LCDS.  Specifically they pointed to the fact that the burden of training and educating personnel was not included, and provided the time it takes them to complete an LCDS which was more than the estimate CMS provided.  Finally the commenter referenced a 2018 General Accounting Office report that found calculation errors in previous CMS estimates of time cost.  CMS responded to these comments in the FY 2024 IPPS/LTCH Final Rule.</w:t>
      </w:r>
      <w:r w:rsidR="009B5D15">
        <w:rPr>
          <w:color w:val="000000" w:themeColor="text1"/>
        </w:rPr>
        <w:t xml:space="preserve">  Please see the response to comments document.</w:t>
      </w:r>
    </w:p>
    <w:p w:rsidR="004632DE" w:rsidP="00F23B4A" w14:paraId="69F3E7C7" w14:textId="77777777">
      <w:pPr>
        <w:pStyle w:val="ListContinue"/>
        <w:ind w:left="0"/>
        <w:rPr>
          <w:color w:val="000000" w:themeColor="text1"/>
        </w:rPr>
      </w:pPr>
    </w:p>
    <w:p w:rsidR="0035451E" w:rsidRPr="00802A11" w:rsidP="00F23B4A" w14:paraId="4A6C4189" w14:textId="5647D82A">
      <w:pPr>
        <w:pStyle w:val="ListContinue"/>
        <w:ind w:left="0"/>
        <w:rPr>
          <w:color w:val="000000" w:themeColor="text1"/>
        </w:rPr>
      </w:pPr>
      <w:r>
        <w:rPr>
          <w:color w:val="000000" w:themeColor="text1"/>
        </w:rPr>
        <w:t xml:space="preserve">The FY 2024 IPPS/LTCH PPS Final Rule (88 FR 58640) was published on August 28, 2023.  The two new measures </w:t>
      </w:r>
      <w:r>
        <w:rPr>
          <w:color w:val="000000" w:themeColor="text1"/>
        </w:rPr>
        <w:t>(see B.1.a. and B.1.c.) and two measure removals (see B.1.b.</w:t>
      </w:r>
      <w:r w:rsidR="00C0238E">
        <w:rPr>
          <w:color w:val="000000" w:themeColor="text1"/>
        </w:rPr>
        <w:t>)</w:t>
      </w:r>
      <w:r>
        <w:rPr>
          <w:color w:val="000000" w:themeColor="text1"/>
        </w:rPr>
        <w:t xml:space="preserve"> </w:t>
      </w:r>
      <w:r>
        <w:rPr>
          <w:color w:val="000000" w:themeColor="text1"/>
        </w:rPr>
        <w:t>were finalized.  As a result,</w:t>
      </w:r>
      <w:r>
        <w:rPr>
          <w:color w:val="000000" w:themeColor="text1"/>
        </w:rPr>
        <w:t xml:space="preserve"> </w:t>
      </w:r>
      <w:r w:rsidR="00C0238E">
        <w:rPr>
          <w:color w:val="000000" w:themeColor="text1"/>
        </w:rPr>
        <w:t>LTCH</w:t>
      </w:r>
      <w:r w:rsidRPr="00802A11">
        <w:rPr>
          <w:color w:val="000000" w:themeColor="text1"/>
        </w:rPr>
        <w:t xml:space="preserve">s </w:t>
      </w:r>
      <w:r>
        <w:rPr>
          <w:color w:val="000000" w:themeColor="text1"/>
        </w:rPr>
        <w:t xml:space="preserve">will collect </w:t>
      </w:r>
      <w:r w:rsidR="00C0238E">
        <w:rPr>
          <w:color w:val="000000" w:themeColor="text1"/>
        </w:rPr>
        <w:t xml:space="preserve">LCDS </w:t>
      </w:r>
      <w:r w:rsidRPr="00802A11">
        <w:rPr>
          <w:color w:val="000000" w:themeColor="text1"/>
        </w:rPr>
        <w:t xml:space="preserve">data using the </w:t>
      </w:r>
      <w:r w:rsidR="00C0238E">
        <w:rPr>
          <w:color w:val="000000" w:themeColor="text1"/>
        </w:rPr>
        <w:t xml:space="preserve">LCDS </w:t>
      </w:r>
      <w:r w:rsidR="00A21C1F">
        <w:rPr>
          <w:color w:val="000000" w:themeColor="text1"/>
        </w:rPr>
        <w:t>V5.1</w:t>
      </w:r>
      <w:r>
        <w:rPr>
          <w:color w:val="000000" w:themeColor="text1"/>
        </w:rPr>
        <w:t xml:space="preserve"> beginning with patients discharged October 1, 2024</w:t>
      </w:r>
      <w:r w:rsidRPr="00802A11">
        <w:rPr>
          <w:color w:val="000000" w:themeColor="text1"/>
        </w:rPr>
        <w:t xml:space="preserve">. This </w:t>
      </w:r>
      <w:r>
        <w:rPr>
          <w:color w:val="000000" w:themeColor="text1"/>
        </w:rPr>
        <w:t>final</w:t>
      </w:r>
      <w:r w:rsidRPr="00802A11">
        <w:rPr>
          <w:color w:val="000000" w:themeColor="text1"/>
        </w:rPr>
        <w:t xml:space="preserve"> rule can be found here:</w:t>
      </w:r>
      <w:r w:rsidR="00A73068">
        <w:rPr>
          <w:color w:val="000000" w:themeColor="text1"/>
        </w:rPr>
        <w:t xml:space="preserve"> </w:t>
      </w:r>
      <w:r w:rsidRPr="004632DE">
        <w:t>https://www.federalregister.gov/documents/2023/08/28/2023-16252/medicare-program-hospital-inpatient-prospective-payment-systems-for-acute-care-hospitals-and-the#h-851</w:t>
      </w:r>
      <w:r w:rsidR="00A73068">
        <w:rPr>
          <w:color w:val="000000" w:themeColor="text1"/>
        </w:rPr>
        <w:t xml:space="preserve">. </w:t>
      </w:r>
    </w:p>
    <w:p w:rsidR="00BE1A53" w:rsidP="00BE1A53" w14:paraId="5C16B84E" w14:textId="77777777">
      <w:pPr>
        <w:pStyle w:val="ListContinue"/>
        <w:ind w:left="0"/>
        <w:rPr>
          <w:color w:val="000000" w:themeColor="text1"/>
        </w:rPr>
      </w:pPr>
    </w:p>
    <w:p w:rsidR="004618A0" w:rsidP="00FF1968" w14:paraId="59655A05" w14:textId="3B5AA31F">
      <w:pPr>
        <w:pStyle w:val="ListContinue"/>
        <w:ind w:left="0"/>
      </w:pPr>
      <w:r w:rsidRPr="00802A11">
        <w:rPr>
          <w:color w:val="000000" w:themeColor="text1"/>
        </w:rPr>
        <w:t xml:space="preserve">CMS informed the provider community </w:t>
      </w:r>
      <w:r w:rsidRPr="002F0D38">
        <w:rPr>
          <w:color w:val="000000" w:themeColor="text1"/>
        </w:rPr>
        <w:t xml:space="preserve">on </w:t>
      </w:r>
      <w:r w:rsidRPr="00FF1968">
        <w:rPr>
          <w:color w:val="000000" w:themeColor="text1"/>
        </w:rPr>
        <w:t>A</w:t>
      </w:r>
      <w:r w:rsidR="00360B90">
        <w:rPr>
          <w:color w:val="000000" w:themeColor="text1"/>
        </w:rPr>
        <w:t>ugust 1</w:t>
      </w:r>
      <w:r w:rsidRPr="00FF1968">
        <w:rPr>
          <w:color w:val="000000" w:themeColor="text1"/>
        </w:rPr>
        <w:t>, 2023</w:t>
      </w:r>
      <w:r w:rsidR="00A73068">
        <w:rPr>
          <w:color w:val="000000" w:themeColor="text1"/>
        </w:rPr>
        <w:t xml:space="preserve"> as the rule went out on public display</w:t>
      </w:r>
      <w:r w:rsidRPr="002F0D38">
        <w:rPr>
          <w:color w:val="000000" w:themeColor="text1"/>
        </w:rPr>
        <w:t>.</w:t>
      </w:r>
      <w:r>
        <w:rPr>
          <w:color w:val="000000" w:themeColor="text1"/>
        </w:rPr>
        <w:t xml:space="preserve"> </w:t>
      </w:r>
      <w:r w:rsidRPr="00802A11">
        <w:rPr>
          <w:color w:val="000000" w:themeColor="text1"/>
        </w:rPr>
        <w:t xml:space="preserve">A reference to the announcement can be found on the </w:t>
      </w:r>
      <w:r w:rsidR="00C0238E">
        <w:rPr>
          <w:color w:val="000000" w:themeColor="text1"/>
        </w:rPr>
        <w:t>LTCH</w:t>
      </w:r>
      <w:r w:rsidRPr="00802A11">
        <w:rPr>
          <w:color w:val="000000" w:themeColor="text1"/>
        </w:rPr>
        <w:t xml:space="preserve"> QRP webpage found here</w:t>
      </w:r>
      <w:r>
        <w:rPr>
          <w:color w:val="000000" w:themeColor="text1"/>
        </w:rPr>
        <w:t xml:space="preserve"> </w:t>
      </w:r>
      <w:hyperlink r:id="rId12" w:history="1">
        <w:r w:rsidRPr="00D00499" w:rsidR="00A73068">
          <w:rPr>
            <w:rStyle w:val="Hyperlink"/>
          </w:rPr>
          <w:t>https://www.cms.gov/medicare/quality-initiatives-patient-assessment-instruments/ltch-quality-reporting/ltch-quality-reporting-spotlight-announcements</w:t>
        </w:r>
      </w:hyperlink>
      <w:r w:rsidRPr="00802A11">
        <w:rPr>
          <w:color w:val="000000" w:themeColor="text1"/>
        </w:rPr>
        <w:t>.</w:t>
      </w:r>
    </w:p>
    <w:p w:rsidR="00D274C2" w:rsidP="006E2AC3" w14:paraId="2207F450" w14:textId="2954CE94">
      <w:pPr>
        <w:pStyle w:val="NoSpacing"/>
        <w:rPr>
          <w:b/>
        </w:rPr>
      </w:pPr>
    </w:p>
    <w:p w:rsidR="00EA4C90" w:rsidRPr="00801933" w:rsidP="00EA614E" w14:paraId="26347429" w14:textId="77777777">
      <w:pPr>
        <w:pStyle w:val="Heading2"/>
        <w:rPr>
          <w:b/>
        </w:rPr>
      </w:pPr>
      <w:bookmarkStart w:id="110" w:name="_Toc88554850"/>
      <w:bookmarkStart w:id="111" w:name="_Toc144904223"/>
      <w:r w:rsidRPr="00801933">
        <w:t>Payment/Gifts to Respondents</w:t>
      </w:r>
      <w:bookmarkEnd w:id="110"/>
      <w:bookmarkEnd w:id="111"/>
    </w:p>
    <w:p w:rsidR="00D2685F" w:rsidP="00D2685F" w14:paraId="45590D3B" w14:textId="77777777">
      <w:pPr>
        <w:pStyle w:val="NoSpacing"/>
        <w:ind w:left="360"/>
        <w:rPr>
          <w:b/>
        </w:rPr>
      </w:pPr>
    </w:p>
    <w:p w:rsidR="00D2685F" w:rsidRPr="006763E0" w:rsidP="006763E0" w14:paraId="045D5D17" w14:textId="65170CE7">
      <w:pPr>
        <w:pStyle w:val="NoSpacing"/>
      </w:pPr>
      <w:r w:rsidRPr="002B0AA1">
        <w:t xml:space="preserve">There will be no payments/gifts to respondents for the use of the </w:t>
      </w:r>
      <w:r w:rsidR="003229F9">
        <w:t>LCDS</w:t>
      </w:r>
      <w:r w:rsidRPr="002B0AA1">
        <w:t>.</w:t>
      </w:r>
      <w:r w:rsidR="006763E0">
        <w:t xml:space="preserve"> </w:t>
      </w:r>
    </w:p>
    <w:p w:rsidR="002B0AA1" w:rsidRPr="006763E0" w:rsidP="006763E0" w14:paraId="0CC8E7DE" w14:textId="77777777">
      <w:pPr>
        <w:pStyle w:val="NoSpacing"/>
      </w:pPr>
    </w:p>
    <w:p w:rsidR="00EA4C90" w:rsidRPr="00801933" w:rsidP="00EA614E" w14:paraId="1273DF15" w14:textId="77777777">
      <w:pPr>
        <w:pStyle w:val="Heading2"/>
        <w:rPr>
          <w:b/>
        </w:rPr>
      </w:pPr>
      <w:bookmarkStart w:id="112" w:name="_Toc88554851"/>
      <w:bookmarkStart w:id="113" w:name="_Toc144904224"/>
      <w:r w:rsidRPr="00801933">
        <w:t>Confidentiality</w:t>
      </w:r>
      <w:bookmarkEnd w:id="112"/>
      <w:bookmarkEnd w:id="113"/>
    </w:p>
    <w:p w:rsidR="00D2685F" w:rsidRPr="006763E0" w:rsidP="006763E0" w14:paraId="0241DB49" w14:textId="77777777">
      <w:pPr>
        <w:pStyle w:val="NoSpacing"/>
      </w:pPr>
    </w:p>
    <w:p w:rsidR="002B0AA1" w:rsidP="002B0AA1" w14:paraId="3D28C047" w14:textId="41595286">
      <w:pPr>
        <w:pStyle w:val="NoSpacing"/>
        <w:rPr>
          <w:color w:val="000000" w:themeColor="text1"/>
        </w:rPr>
      </w:pPr>
      <w:r w:rsidRPr="00802A11">
        <w:rPr>
          <w:color w:val="000000" w:themeColor="text1"/>
        </w:rPr>
        <w:t xml:space="preserve">The system of records (SOR) establishes privacy stringent requirements. The </w:t>
      </w:r>
      <w:r>
        <w:rPr>
          <w:color w:val="000000" w:themeColor="text1"/>
        </w:rPr>
        <w:t xml:space="preserve">LCDS </w:t>
      </w:r>
      <w:r w:rsidRPr="00802A11">
        <w:rPr>
          <w:color w:val="000000" w:themeColor="text1"/>
        </w:rPr>
        <w:t xml:space="preserve">SOR was published in the Federal Register on </w:t>
      </w:r>
      <w:r>
        <w:rPr>
          <w:color w:val="000000" w:themeColor="text1"/>
        </w:rPr>
        <w:t xml:space="preserve">February 6, 2013 </w:t>
      </w:r>
      <w:r w:rsidRPr="00802A11">
        <w:rPr>
          <w:color w:val="000000" w:themeColor="text1"/>
        </w:rPr>
        <w:t>(</w:t>
      </w:r>
      <w:r>
        <w:rPr>
          <w:color w:val="000000" w:themeColor="text1"/>
        </w:rPr>
        <w:t>78</w:t>
      </w:r>
      <w:r w:rsidRPr="00802A11">
        <w:rPr>
          <w:color w:val="000000" w:themeColor="text1"/>
        </w:rPr>
        <w:t xml:space="preserve"> FR </w:t>
      </w:r>
      <w:r>
        <w:rPr>
          <w:color w:val="000000" w:themeColor="text1"/>
        </w:rPr>
        <w:t>8536</w:t>
      </w:r>
      <w:r w:rsidRPr="00802A11">
        <w:rPr>
          <w:color w:val="000000" w:themeColor="text1"/>
        </w:rPr>
        <w:t>).</w:t>
      </w:r>
      <w:r>
        <w:rPr>
          <w:color w:val="000000" w:themeColor="text1"/>
        </w:rPr>
        <w:t xml:space="preserve">  A SOR modification notice as published in the Federal Register on February 14, 2018 (83 FR 6591).</w:t>
      </w:r>
    </w:p>
    <w:p w:rsidR="00620D2B" w:rsidP="002B0AA1" w14:paraId="11F66917" w14:textId="77777777">
      <w:pPr>
        <w:pStyle w:val="NoSpacing"/>
      </w:pPr>
    </w:p>
    <w:p w:rsidR="00D2685F" w:rsidP="002B0AA1" w14:paraId="5F6544E6" w14:textId="37DB24D7">
      <w:pPr>
        <w:pStyle w:val="NoSpacing"/>
      </w:pPr>
      <w:r>
        <w:t xml:space="preserve">All patient-level data is protected from public dissemination in accordance with the Privacy Act of 1974, as amended. The </w:t>
      </w:r>
      <w:r w:rsidR="00C0238E">
        <w:t xml:space="preserve">data </w:t>
      </w:r>
      <w:r>
        <w:t>collected is protected and held confidential in accordance with 20 CFR 401.3. Data will be treated in a confidential manner, unless otherwise compelled by law.</w:t>
      </w:r>
    </w:p>
    <w:p w:rsidR="002B0AA1" w:rsidRPr="002B0AA1" w:rsidP="002B0AA1" w14:paraId="4B1114FA" w14:textId="77777777">
      <w:pPr>
        <w:pStyle w:val="NoSpacing"/>
      </w:pPr>
    </w:p>
    <w:p w:rsidR="00EA4C90" w:rsidRPr="00801933" w:rsidP="00EA614E" w14:paraId="695EAA76" w14:textId="77777777">
      <w:pPr>
        <w:pStyle w:val="Heading2"/>
        <w:rPr>
          <w:b/>
        </w:rPr>
      </w:pPr>
      <w:bookmarkStart w:id="114" w:name="_Toc88554852"/>
      <w:bookmarkStart w:id="115" w:name="_Toc144904225"/>
      <w:r w:rsidRPr="00801933">
        <w:t>Sensitive Questions</w:t>
      </w:r>
      <w:bookmarkEnd w:id="114"/>
      <w:bookmarkEnd w:id="115"/>
    </w:p>
    <w:p w:rsidR="00D2685F" w:rsidP="00D2685F" w14:paraId="6FBE636E" w14:textId="77777777">
      <w:pPr>
        <w:pStyle w:val="NoSpacing"/>
        <w:rPr>
          <w:b/>
        </w:rPr>
      </w:pPr>
    </w:p>
    <w:p w:rsidR="00F23B4A" w:rsidP="00FF1968" w14:paraId="7B029B1C" w14:textId="3BD8136F">
      <w:pPr>
        <w:pStyle w:val="ListContinue"/>
        <w:ind w:left="0"/>
        <w:rPr>
          <w:color w:val="000000" w:themeColor="text1"/>
        </w:rPr>
      </w:pPr>
      <w:r w:rsidRPr="00802A11">
        <w:rPr>
          <w:color w:val="000000" w:themeColor="text1"/>
        </w:rPr>
        <w:t xml:space="preserve">There are no sensitive questions on the </w:t>
      </w:r>
      <w:r w:rsidR="003620BD">
        <w:rPr>
          <w:color w:val="000000" w:themeColor="text1"/>
        </w:rPr>
        <w:t>LCDS</w:t>
      </w:r>
      <w:r w:rsidRPr="00802A11">
        <w:rPr>
          <w:color w:val="000000" w:themeColor="text1"/>
        </w:rPr>
        <w:t xml:space="preserve">. </w:t>
      </w:r>
    </w:p>
    <w:p w:rsidR="009127D6" w:rsidRPr="009127D6" w:rsidP="00D2685F" w14:paraId="7C3455E7" w14:textId="3BCBE625">
      <w:pPr>
        <w:pStyle w:val="NoSpacing"/>
      </w:pPr>
    </w:p>
    <w:p w:rsidR="00EA4C90" w:rsidRPr="00801933" w:rsidP="00EA614E" w14:paraId="7ED07C1F" w14:textId="77777777">
      <w:pPr>
        <w:pStyle w:val="Heading2"/>
        <w:rPr>
          <w:b/>
        </w:rPr>
      </w:pPr>
      <w:bookmarkStart w:id="116" w:name="_Toc88554853"/>
      <w:bookmarkStart w:id="117" w:name="_Toc144904226"/>
      <w:r w:rsidRPr="00801933">
        <w:t>Burden Estimates (Hours &amp; Wages)</w:t>
      </w:r>
      <w:bookmarkEnd w:id="116"/>
      <w:bookmarkEnd w:id="117"/>
    </w:p>
    <w:p w:rsidR="00D2685F" w:rsidRPr="001D5F5D" w:rsidP="00D2685F" w14:paraId="1F369F2F" w14:textId="77777777">
      <w:pPr>
        <w:pStyle w:val="NoSpacing"/>
      </w:pPr>
    </w:p>
    <w:p w:rsidR="00F23B4A" w:rsidP="00F23B4A" w14:paraId="06AF00EF" w14:textId="7701EB93">
      <w:pPr>
        <w:pStyle w:val="ListContinue"/>
        <w:ind w:left="0"/>
        <w:rPr>
          <w:color w:val="000000" w:themeColor="text1"/>
        </w:rPr>
      </w:pPr>
      <w:r w:rsidRPr="00802A11">
        <w:rPr>
          <w:color w:val="000000" w:themeColor="text1"/>
        </w:rPr>
        <w:t xml:space="preserve">In this section, we provide burden estimates, </w:t>
      </w:r>
      <w:bookmarkStart w:id="118" w:name="_Toc484012091"/>
      <w:r w:rsidRPr="00802A11">
        <w:rPr>
          <w:bCs/>
          <w:color w:val="000000" w:themeColor="text1"/>
        </w:rPr>
        <w:t xml:space="preserve">provided in the </w:t>
      </w:r>
      <w:r>
        <w:rPr>
          <w:bCs/>
          <w:color w:val="000000" w:themeColor="text1"/>
        </w:rPr>
        <w:t>FY 2024 IPPS/LTCH notice of proposed rulemaking</w:t>
      </w:r>
      <w:r w:rsidRPr="00802A11">
        <w:rPr>
          <w:bCs/>
          <w:color w:val="000000" w:themeColor="text1"/>
        </w:rPr>
        <w:t xml:space="preserve">, associated with the </w:t>
      </w:r>
      <w:r>
        <w:rPr>
          <w:bCs/>
          <w:color w:val="000000" w:themeColor="text1"/>
        </w:rPr>
        <w:t xml:space="preserve">proposed </w:t>
      </w:r>
      <w:r w:rsidRPr="00802A11">
        <w:rPr>
          <w:bCs/>
          <w:color w:val="000000" w:themeColor="text1"/>
        </w:rPr>
        <w:t xml:space="preserve">collection of </w:t>
      </w:r>
      <w:r>
        <w:rPr>
          <w:bCs/>
          <w:color w:val="000000" w:themeColor="text1"/>
        </w:rPr>
        <w:t xml:space="preserve">new </w:t>
      </w:r>
      <w:r w:rsidRPr="00802A11">
        <w:rPr>
          <w:bCs/>
          <w:color w:val="000000" w:themeColor="text1"/>
        </w:rPr>
        <w:t xml:space="preserve">information requirements for the </w:t>
      </w:r>
      <w:r>
        <w:rPr>
          <w:bCs/>
          <w:color w:val="000000" w:themeColor="text1"/>
        </w:rPr>
        <w:t>LTCH</w:t>
      </w:r>
      <w:r w:rsidRPr="00802A11">
        <w:rPr>
          <w:bCs/>
          <w:color w:val="000000" w:themeColor="text1"/>
        </w:rPr>
        <w:t xml:space="preserve"> QRP using the </w:t>
      </w:r>
      <w:r>
        <w:rPr>
          <w:bCs/>
          <w:color w:val="000000" w:themeColor="text1"/>
        </w:rPr>
        <w:t xml:space="preserve">LCDS </w:t>
      </w:r>
      <w:bookmarkEnd w:id="118"/>
      <w:r w:rsidR="00A21C1F">
        <w:rPr>
          <w:bCs/>
          <w:color w:val="000000" w:themeColor="text1"/>
        </w:rPr>
        <w:t>V5.1</w:t>
      </w:r>
      <w:r w:rsidRPr="00802A11">
        <w:rPr>
          <w:b/>
          <w:bCs/>
          <w:color w:val="000000" w:themeColor="text1"/>
        </w:rPr>
        <w:t xml:space="preserve">. </w:t>
      </w:r>
    </w:p>
    <w:p w:rsidR="00F23B4A" w:rsidP="00F23B4A" w14:paraId="23553D06" w14:textId="77777777">
      <w:pPr>
        <w:pStyle w:val="ListContinue"/>
        <w:ind w:left="0"/>
        <w:rPr>
          <w:color w:val="000000" w:themeColor="text1"/>
        </w:rPr>
      </w:pPr>
    </w:p>
    <w:p w:rsidR="00F23B4A" w:rsidP="00F23B4A" w14:paraId="1DA6E859" w14:textId="77777777">
      <w:pPr>
        <w:pStyle w:val="ListContinue"/>
        <w:ind w:left="0"/>
        <w:rPr>
          <w:color w:val="000000" w:themeColor="text1"/>
        </w:rPr>
      </w:pPr>
      <w:r w:rsidRPr="00802A11">
        <w:rPr>
          <w:color w:val="000000" w:themeColor="text1"/>
        </w:rPr>
        <w:t xml:space="preserve">We note that the burden associated with the measures and data elements related to the IMPACT Act of 2014 have been exempt from the PRA. Section 1899B(m) and the sections referenced in section 1899B(a)(2)(B) of the Act exempt modifications that are intended to achieve the standardization of patient assessment data. </w:t>
      </w:r>
    </w:p>
    <w:p w:rsidR="00F23B4A" w:rsidP="00F23B4A" w14:paraId="6CBB07CE" w14:textId="77777777">
      <w:pPr>
        <w:pStyle w:val="ListContinue"/>
        <w:ind w:left="0"/>
        <w:rPr>
          <w:color w:val="000000" w:themeColor="text1"/>
        </w:rPr>
      </w:pPr>
    </w:p>
    <w:p w:rsidR="00E91DDB" w:rsidP="00E91DDB" w14:paraId="6E1631BE" w14:textId="1F30BD5F">
      <w:pPr>
        <w:pStyle w:val="Heading3"/>
        <w:numPr>
          <w:ilvl w:val="0"/>
          <w:numId w:val="32"/>
        </w:numPr>
        <w:rPr>
          <w:rFonts w:ascii="Times New Roman" w:hAnsi="Times New Roman" w:eastAsiaTheme="minorHAnsi" w:cstheme="minorBidi"/>
          <w:color w:val="000000" w:themeColor="text1"/>
          <w:sz w:val="22"/>
          <w:szCs w:val="22"/>
        </w:rPr>
      </w:pPr>
      <w:bookmarkStart w:id="119" w:name="_Toc144904227"/>
      <w:r w:rsidRPr="00CC0258">
        <w:rPr>
          <w:rFonts w:ascii="Times New Roman" w:hAnsi="Times New Roman" w:eastAsiaTheme="minorHAnsi" w:cstheme="minorBidi"/>
          <w:color w:val="000000" w:themeColor="text1"/>
          <w:sz w:val="22"/>
          <w:szCs w:val="22"/>
        </w:rPr>
        <w:t>Adopt</w:t>
      </w:r>
      <w:r w:rsidR="004A7EDB">
        <w:rPr>
          <w:rFonts w:ascii="Times New Roman" w:hAnsi="Times New Roman" w:eastAsiaTheme="minorHAnsi" w:cstheme="minorBidi"/>
          <w:color w:val="000000" w:themeColor="text1"/>
          <w:sz w:val="22"/>
          <w:szCs w:val="22"/>
        </w:rPr>
        <w:t>ion of</w:t>
      </w:r>
      <w:r w:rsidRPr="00CC0258">
        <w:rPr>
          <w:rFonts w:ascii="Times New Roman" w:hAnsi="Times New Roman" w:eastAsiaTheme="minorHAnsi" w:cstheme="minorBidi"/>
          <w:color w:val="000000" w:themeColor="text1"/>
          <w:sz w:val="22"/>
          <w:szCs w:val="22"/>
        </w:rPr>
        <w:t xml:space="preserve"> the Discharge Function Score Measure Beginning with the FY 2025 </w:t>
      </w:r>
      <w:r>
        <w:rPr>
          <w:rFonts w:ascii="Times New Roman" w:hAnsi="Times New Roman" w:eastAsiaTheme="minorHAnsi" w:cstheme="minorBidi"/>
          <w:color w:val="000000" w:themeColor="text1"/>
          <w:sz w:val="22"/>
          <w:szCs w:val="22"/>
        </w:rPr>
        <w:t>LTCH</w:t>
      </w:r>
      <w:r w:rsidRPr="00CC0258">
        <w:rPr>
          <w:rFonts w:ascii="Times New Roman" w:hAnsi="Times New Roman" w:eastAsiaTheme="minorHAnsi" w:cstheme="minorBidi"/>
          <w:color w:val="000000" w:themeColor="text1"/>
          <w:sz w:val="22"/>
          <w:szCs w:val="22"/>
        </w:rPr>
        <w:t xml:space="preserve"> QRP</w:t>
      </w:r>
      <w:bookmarkEnd w:id="119"/>
      <w:r w:rsidRPr="00CC0258">
        <w:rPr>
          <w:rFonts w:ascii="Times New Roman" w:hAnsi="Times New Roman" w:eastAsiaTheme="minorHAnsi" w:cstheme="minorBidi"/>
          <w:color w:val="000000" w:themeColor="text1"/>
          <w:sz w:val="22"/>
          <w:szCs w:val="22"/>
        </w:rPr>
        <w:t xml:space="preserve">  </w:t>
      </w:r>
    </w:p>
    <w:p w:rsidR="00E91DDB" w:rsidRPr="00432895" w:rsidP="00E91DDB" w14:paraId="647F2B06" w14:textId="77777777"/>
    <w:p w:rsidR="00E91DDB" w:rsidRPr="00AF6FA7" w:rsidP="00E91DDB" w14:paraId="7DA27FAF" w14:textId="225AB183">
      <w:pPr>
        <w:pStyle w:val="ListContinue"/>
        <w:spacing w:after="0"/>
        <w:rPr>
          <w:color w:val="000000" w:themeColor="text1"/>
        </w:rPr>
      </w:pPr>
      <w:r w:rsidRPr="00AF6FA7">
        <w:rPr>
          <w:color w:val="000000" w:themeColor="text1"/>
        </w:rPr>
        <w:t xml:space="preserve">In the FY 2024 </w:t>
      </w:r>
      <w:r>
        <w:rPr>
          <w:color w:val="000000" w:themeColor="text1"/>
        </w:rPr>
        <w:t xml:space="preserve">LTCH </w:t>
      </w:r>
      <w:r w:rsidRPr="00AF6FA7">
        <w:rPr>
          <w:color w:val="000000" w:themeColor="text1"/>
        </w:rPr>
        <w:t xml:space="preserve">PPS </w:t>
      </w:r>
      <w:r w:rsidR="00360B90">
        <w:rPr>
          <w:color w:val="000000" w:themeColor="text1"/>
        </w:rPr>
        <w:t xml:space="preserve">Final </w:t>
      </w:r>
      <w:r w:rsidRPr="00AF6FA7">
        <w:rPr>
          <w:color w:val="000000" w:themeColor="text1"/>
        </w:rPr>
        <w:t>Rule (88 FR</w:t>
      </w:r>
      <w:r w:rsidR="00A73068">
        <w:rPr>
          <w:color w:val="000000" w:themeColor="text1"/>
        </w:rPr>
        <w:t xml:space="preserve"> </w:t>
      </w:r>
      <w:r w:rsidR="00360B90">
        <w:rPr>
          <w:color w:val="000000" w:themeColor="text1"/>
        </w:rPr>
        <w:t>59234 to 59242</w:t>
      </w:r>
      <w:r w:rsidRPr="00AF6FA7">
        <w:rPr>
          <w:color w:val="000000" w:themeColor="text1"/>
        </w:rPr>
        <w:t xml:space="preserve">), CMS </w:t>
      </w:r>
      <w:r w:rsidR="00360B90">
        <w:rPr>
          <w:color w:val="000000" w:themeColor="text1"/>
        </w:rPr>
        <w:t xml:space="preserve">adopted </w:t>
      </w:r>
      <w:r w:rsidRPr="00AF6FA7">
        <w:rPr>
          <w:color w:val="000000" w:themeColor="text1"/>
        </w:rPr>
        <w:t>the</w:t>
      </w:r>
      <w:r w:rsidRPr="00AF6FA7">
        <w:t xml:space="preserve"> </w:t>
      </w:r>
      <w:r>
        <w:t xml:space="preserve">Discharge Function Score </w:t>
      </w:r>
      <w:r w:rsidRPr="00AF6FA7">
        <w:t xml:space="preserve">measure </w:t>
      </w:r>
      <w:r w:rsidRPr="00AF6FA7">
        <w:rPr>
          <w:color w:val="000000" w:themeColor="text1"/>
        </w:rPr>
        <w:t xml:space="preserve">beginning with the FY 2025 </w:t>
      </w:r>
      <w:r>
        <w:rPr>
          <w:color w:val="000000" w:themeColor="text1"/>
        </w:rPr>
        <w:t>LTCH</w:t>
      </w:r>
      <w:r w:rsidRPr="00AF6FA7">
        <w:rPr>
          <w:color w:val="000000" w:themeColor="text1"/>
        </w:rPr>
        <w:t xml:space="preserve"> QRP.  </w:t>
      </w:r>
      <w:r>
        <w:rPr>
          <w:color w:val="000000" w:themeColor="text1"/>
        </w:rPr>
        <w:t xml:space="preserve">This new measure </w:t>
      </w:r>
      <w:r w:rsidR="00360B90">
        <w:rPr>
          <w:color w:val="000000" w:themeColor="text1"/>
        </w:rPr>
        <w:t xml:space="preserve">will </w:t>
      </w:r>
      <w:r>
        <w:rPr>
          <w:color w:val="000000" w:themeColor="text1"/>
        </w:rPr>
        <w:t>be</w:t>
      </w:r>
      <w:r w:rsidRPr="00AF6FA7">
        <w:rPr>
          <w:color w:val="000000" w:themeColor="text1"/>
        </w:rPr>
        <w:t xml:space="preserve"> </w:t>
      </w:r>
      <w:r>
        <w:rPr>
          <w:color w:val="000000" w:themeColor="text1"/>
        </w:rPr>
        <w:t xml:space="preserve">calculated with existing </w:t>
      </w:r>
      <w:r w:rsidRPr="00AF6FA7">
        <w:rPr>
          <w:color w:val="000000" w:themeColor="text1"/>
        </w:rPr>
        <w:t xml:space="preserve">data elements reported by </w:t>
      </w:r>
      <w:r>
        <w:rPr>
          <w:color w:val="000000" w:themeColor="text1"/>
        </w:rPr>
        <w:t>LTCH</w:t>
      </w:r>
      <w:r w:rsidRPr="00AF6FA7">
        <w:rPr>
          <w:color w:val="000000" w:themeColor="text1"/>
        </w:rPr>
        <w:t xml:space="preserve">s for other quality reporting purposes.  As a result, the </w:t>
      </w:r>
      <w:r>
        <w:rPr>
          <w:color w:val="000000" w:themeColor="text1"/>
        </w:rPr>
        <w:t xml:space="preserve">adoption </w:t>
      </w:r>
      <w:r w:rsidRPr="00AF6FA7">
        <w:rPr>
          <w:color w:val="000000" w:themeColor="text1"/>
        </w:rPr>
        <w:t>of th</w:t>
      </w:r>
      <w:r>
        <w:rPr>
          <w:color w:val="000000" w:themeColor="text1"/>
        </w:rPr>
        <w:t>is</w:t>
      </w:r>
      <w:r w:rsidRPr="00AF6FA7">
        <w:rPr>
          <w:color w:val="000000" w:themeColor="text1"/>
        </w:rPr>
        <w:t xml:space="preserve"> measure </w:t>
      </w:r>
      <w:r w:rsidR="004A7EDB">
        <w:rPr>
          <w:color w:val="000000" w:themeColor="text1"/>
        </w:rPr>
        <w:t xml:space="preserve">has </w:t>
      </w:r>
      <w:r w:rsidRPr="00AF6FA7">
        <w:rPr>
          <w:color w:val="000000" w:themeColor="text1"/>
        </w:rPr>
        <w:t xml:space="preserve">no effect on </w:t>
      </w:r>
      <w:r>
        <w:rPr>
          <w:color w:val="000000" w:themeColor="text1"/>
        </w:rPr>
        <w:t xml:space="preserve">burden and costs </w:t>
      </w:r>
      <w:r w:rsidRPr="00AF6FA7">
        <w:rPr>
          <w:color w:val="000000" w:themeColor="text1"/>
        </w:rPr>
        <w:t xml:space="preserve">for </w:t>
      </w:r>
      <w:r>
        <w:rPr>
          <w:color w:val="000000" w:themeColor="text1"/>
        </w:rPr>
        <w:t>LTCH</w:t>
      </w:r>
      <w:r w:rsidRPr="00AF6FA7">
        <w:rPr>
          <w:color w:val="000000" w:themeColor="text1"/>
        </w:rPr>
        <w:t>s.</w:t>
      </w:r>
    </w:p>
    <w:p w:rsidR="00E91DDB" w:rsidP="00E91DDB" w14:paraId="1B332488" w14:textId="77777777">
      <w:pPr>
        <w:pStyle w:val="ListContinue"/>
        <w:ind w:left="0"/>
        <w:rPr>
          <w:color w:val="000000" w:themeColor="text1"/>
        </w:rPr>
      </w:pPr>
    </w:p>
    <w:p w:rsidR="00927F35" w:rsidRPr="00E91DDB" w:rsidP="00FF1968" w14:paraId="1CE6AD79" w14:textId="0F03F073">
      <w:pPr>
        <w:pStyle w:val="Heading3"/>
        <w:numPr>
          <w:ilvl w:val="0"/>
          <w:numId w:val="32"/>
        </w:numPr>
        <w:rPr>
          <w:color w:val="000000" w:themeColor="text1"/>
        </w:rPr>
      </w:pPr>
      <w:bookmarkStart w:id="120" w:name="_Toc144904228"/>
      <w:r>
        <w:rPr>
          <w:rFonts w:ascii="Times New Roman" w:hAnsi="Times New Roman" w:eastAsiaTheme="minorHAnsi" w:cstheme="minorBidi"/>
          <w:color w:val="000000" w:themeColor="text1"/>
          <w:sz w:val="22"/>
          <w:szCs w:val="22"/>
        </w:rPr>
        <w:t xml:space="preserve">Removal of </w:t>
      </w:r>
      <w:r w:rsidRPr="00E91DDB">
        <w:rPr>
          <w:rFonts w:ascii="Times New Roman" w:hAnsi="Times New Roman" w:eastAsiaTheme="minorHAnsi" w:cstheme="minorBidi"/>
          <w:color w:val="000000" w:themeColor="text1"/>
          <w:sz w:val="22"/>
          <w:szCs w:val="22"/>
        </w:rPr>
        <w:t xml:space="preserve"> the </w:t>
      </w:r>
      <w:r w:rsidRPr="00FF1968">
        <w:rPr>
          <w:rFonts w:ascii="Times New Roman" w:hAnsi="Times New Roman" w:eastAsiaTheme="minorHAnsi" w:cstheme="minorBidi"/>
          <w:color w:val="000000" w:themeColor="text1"/>
          <w:sz w:val="22"/>
          <w:szCs w:val="22"/>
        </w:rPr>
        <w:t>Percent of Long-Term Care Hospital Patients with an Admission and Discharge Functional Assessment and a Care Plan That Addresses Function measure and the Application of Percent of Long-Term Care Hospital Patients with an Admission and Discharge Functional Assessment and a Care Plan That Addresses Function measure</w:t>
      </w:r>
      <w:bookmarkEnd w:id="120"/>
    </w:p>
    <w:p w:rsidR="00927F35" w:rsidP="00F23B4A" w14:paraId="1CDF31D1" w14:textId="77777777">
      <w:pPr>
        <w:pStyle w:val="ListContinue"/>
        <w:ind w:left="0"/>
        <w:rPr>
          <w:color w:val="000000" w:themeColor="text1"/>
        </w:rPr>
      </w:pPr>
    </w:p>
    <w:p w:rsidR="0058324F" w:rsidP="0058324F" w14:paraId="1E578D68" w14:textId="574C1151">
      <w:pPr>
        <w:pStyle w:val="ListContinue"/>
        <w:spacing w:after="0"/>
        <w:rPr>
          <w:color w:val="000000" w:themeColor="text1"/>
        </w:rPr>
      </w:pPr>
      <w:r w:rsidRPr="00AF6FA7">
        <w:rPr>
          <w:color w:val="000000" w:themeColor="text1"/>
        </w:rPr>
        <w:t xml:space="preserve">In the FY 2024 </w:t>
      </w:r>
      <w:r>
        <w:rPr>
          <w:color w:val="000000" w:themeColor="text1"/>
        </w:rPr>
        <w:t>LTCH</w:t>
      </w:r>
      <w:r w:rsidRPr="00AF6FA7">
        <w:rPr>
          <w:color w:val="000000" w:themeColor="text1"/>
        </w:rPr>
        <w:t xml:space="preserve"> PPS </w:t>
      </w:r>
      <w:r w:rsidR="00250A0A">
        <w:rPr>
          <w:color w:val="000000" w:themeColor="text1"/>
        </w:rPr>
        <w:t xml:space="preserve">Final </w:t>
      </w:r>
      <w:r w:rsidRPr="00AF6FA7">
        <w:rPr>
          <w:color w:val="000000" w:themeColor="text1"/>
        </w:rPr>
        <w:t>Rule (88 FR</w:t>
      </w:r>
      <w:r w:rsidR="009B689F">
        <w:rPr>
          <w:color w:val="000000" w:themeColor="text1"/>
        </w:rPr>
        <w:t xml:space="preserve"> </w:t>
      </w:r>
      <w:r w:rsidR="00360B90">
        <w:rPr>
          <w:color w:val="000000" w:themeColor="text1"/>
        </w:rPr>
        <w:t>592</w:t>
      </w:r>
      <w:r w:rsidR="00250A0A">
        <w:rPr>
          <w:color w:val="000000" w:themeColor="text1"/>
        </w:rPr>
        <w:t>42</w:t>
      </w:r>
      <w:r w:rsidR="00360B90">
        <w:rPr>
          <w:color w:val="000000" w:themeColor="text1"/>
        </w:rPr>
        <w:t xml:space="preserve"> to 5924</w:t>
      </w:r>
      <w:r w:rsidR="00250A0A">
        <w:rPr>
          <w:color w:val="000000" w:themeColor="text1"/>
        </w:rPr>
        <w:t>3</w:t>
      </w:r>
      <w:r w:rsidRPr="00AF6FA7">
        <w:rPr>
          <w:color w:val="000000" w:themeColor="text1"/>
        </w:rPr>
        <w:t xml:space="preserve">), CMS </w:t>
      </w:r>
      <w:r w:rsidR="00250A0A">
        <w:rPr>
          <w:color w:val="000000" w:themeColor="text1"/>
        </w:rPr>
        <w:t xml:space="preserve">finalized the </w:t>
      </w:r>
      <w:r w:rsidRPr="00AF6FA7">
        <w:rPr>
          <w:color w:val="000000" w:themeColor="text1"/>
        </w:rPr>
        <w:t>remov</w:t>
      </w:r>
      <w:r w:rsidR="00250A0A">
        <w:rPr>
          <w:color w:val="000000" w:themeColor="text1"/>
        </w:rPr>
        <w:t>al  of</w:t>
      </w:r>
      <w:r w:rsidRPr="00AF6FA7">
        <w:rPr>
          <w:color w:val="000000" w:themeColor="text1"/>
        </w:rPr>
        <w:t xml:space="preserve"> the</w:t>
      </w:r>
      <w:r w:rsidRPr="00AF6FA7">
        <w:t xml:space="preserve"> </w:t>
      </w:r>
      <w:r w:rsidRPr="00B67F6C">
        <w:t xml:space="preserve">Percent of Long-Term Care Hospital Patients with an Admission and Discharge Functional Assessment and a Care Plan That Addresses Function </w:t>
      </w:r>
      <w:r w:rsidRPr="00AF6FA7">
        <w:t>measure</w:t>
      </w:r>
      <w:r>
        <w:t xml:space="preserve"> and the Application of Percent of Long-Term Care Hospital Patients with an Admission and Discharge Functional Assessment and a Care Plan That Addresses Function measure</w:t>
      </w:r>
      <w:r w:rsidRPr="00AF6FA7">
        <w:t xml:space="preserve"> </w:t>
      </w:r>
      <w:r w:rsidRPr="00AF6FA7">
        <w:rPr>
          <w:color w:val="000000" w:themeColor="text1"/>
        </w:rPr>
        <w:t xml:space="preserve">beginning with the FY 2025 </w:t>
      </w:r>
      <w:r>
        <w:rPr>
          <w:color w:val="000000" w:themeColor="text1"/>
        </w:rPr>
        <w:t>LTCH</w:t>
      </w:r>
      <w:r w:rsidRPr="00AF6FA7">
        <w:rPr>
          <w:color w:val="000000" w:themeColor="text1"/>
        </w:rPr>
        <w:t xml:space="preserve"> QRP.  </w:t>
      </w:r>
      <w:r>
        <w:rPr>
          <w:color w:val="000000" w:themeColor="text1"/>
        </w:rPr>
        <w:t>LTCH</w:t>
      </w:r>
      <w:r w:rsidRPr="00AF6FA7">
        <w:rPr>
          <w:color w:val="000000" w:themeColor="text1"/>
        </w:rPr>
        <w:t xml:space="preserve">s </w:t>
      </w:r>
      <w:r w:rsidR="00250A0A">
        <w:rPr>
          <w:color w:val="000000" w:themeColor="text1"/>
        </w:rPr>
        <w:t xml:space="preserve">are </w:t>
      </w:r>
      <w:r w:rsidRPr="00AF6FA7">
        <w:rPr>
          <w:color w:val="000000" w:themeColor="text1"/>
        </w:rPr>
        <w:t>no longer required to submit data on th</w:t>
      </w:r>
      <w:r>
        <w:rPr>
          <w:color w:val="000000" w:themeColor="text1"/>
        </w:rPr>
        <w:t xml:space="preserve">ese two </w:t>
      </w:r>
      <w:r w:rsidRPr="00AF6FA7">
        <w:rPr>
          <w:color w:val="000000" w:themeColor="text1"/>
        </w:rPr>
        <w:t>measure</w:t>
      </w:r>
      <w:r>
        <w:rPr>
          <w:color w:val="000000" w:themeColor="text1"/>
        </w:rPr>
        <w:t>s</w:t>
      </w:r>
      <w:r w:rsidRPr="00AF6FA7">
        <w:rPr>
          <w:color w:val="000000" w:themeColor="text1"/>
        </w:rPr>
        <w:t xml:space="preserve"> beginning with patients </w:t>
      </w:r>
      <w:r w:rsidR="00250A0A">
        <w:rPr>
          <w:color w:val="000000" w:themeColor="text1"/>
        </w:rPr>
        <w:t xml:space="preserve">admitted or </w:t>
      </w:r>
      <w:r w:rsidRPr="00AF6FA7">
        <w:rPr>
          <w:color w:val="000000" w:themeColor="text1"/>
        </w:rPr>
        <w:t xml:space="preserve">discharged on October 1, 2023.  </w:t>
      </w:r>
      <w:r w:rsidR="00250A0A">
        <w:rPr>
          <w:color w:val="000000" w:themeColor="text1"/>
        </w:rPr>
        <w:t xml:space="preserve">Although </w:t>
      </w:r>
      <w:r>
        <w:rPr>
          <w:color w:val="000000" w:themeColor="text1"/>
        </w:rPr>
        <w:t xml:space="preserve">these measures are </w:t>
      </w:r>
      <w:r w:rsidRPr="00AF6FA7">
        <w:rPr>
          <w:color w:val="000000" w:themeColor="text1"/>
        </w:rPr>
        <w:t>remov</w:t>
      </w:r>
      <w:r w:rsidR="00250A0A">
        <w:rPr>
          <w:color w:val="000000" w:themeColor="text1"/>
        </w:rPr>
        <w:t>ed from the LTCH QRP</w:t>
      </w:r>
      <w:r w:rsidRPr="00AF6FA7">
        <w:rPr>
          <w:color w:val="000000" w:themeColor="text1"/>
        </w:rPr>
        <w:t>, some of the data elements used to calculate the measure</w:t>
      </w:r>
      <w:r>
        <w:rPr>
          <w:color w:val="000000" w:themeColor="text1"/>
        </w:rPr>
        <w:t>s</w:t>
      </w:r>
      <w:r w:rsidRPr="00AF6FA7">
        <w:rPr>
          <w:color w:val="000000" w:themeColor="text1"/>
        </w:rPr>
        <w:t xml:space="preserve"> w</w:t>
      </w:r>
      <w:r w:rsidR="00250A0A">
        <w:rPr>
          <w:color w:val="000000" w:themeColor="text1"/>
        </w:rPr>
        <w:t>ill</w:t>
      </w:r>
      <w:r w:rsidRPr="00AF6FA7">
        <w:rPr>
          <w:color w:val="000000" w:themeColor="text1"/>
        </w:rPr>
        <w:t xml:space="preserve"> still be reported by </w:t>
      </w:r>
      <w:r>
        <w:rPr>
          <w:color w:val="000000" w:themeColor="text1"/>
        </w:rPr>
        <w:t>LTCH</w:t>
      </w:r>
      <w:r w:rsidRPr="00AF6FA7">
        <w:rPr>
          <w:color w:val="000000" w:themeColor="text1"/>
        </w:rPr>
        <w:t xml:space="preserve">s for other quality reporting purposes.  As a result, the estimated burden and cost for </w:t>
      </w:r>
      <w:r>
        <w:rPr>
          <w:color w:val="000000" w:themeColor="text1"/>
        </w:rPr>
        <w:t xml:space="preserve">LTCHs </w:t>
      </w:r>
      <w:r w:rsidRPr="00AF6FA7">
        <w:rPr>
          <w:color w:val="000000" w:themeColor="text1"/>
        </w:rPr>
        <w:t xml:space="preserve">for complying with requirements of the FY 2025 </w:t>
      </w:r>
      <w:r>
        <w:rPr>
          <w:color w:val="000000" w:themeColor="text1"/>
        </w:rPr>
        <w:t>LTCH</w:t>
      </w:r>
      <w:r w:rsidRPr="00AF6FA7">
        <w:rPr>
          <w:color w:val="000000" w:themeColor="text1"/>
        </w:rPr>
        <w:t xml:space="preserve"> QRP will decrease. Specifically, we believe there </w:t>
      </w:r>
      <w:r w:rsidRPr="00286ABA">
        <w:rPr>
          <w:color w:val="000000" w:themeColor="text1"/>
        </w:rPr>
        <w:t xml:space="preserve">will be a 0.01 hour decrease </w:t>
      </w:r>
      <w:r w:rsidR="009B689F">
        <w:rPr>
          <w:color w:val="000000" w:themeColor="text1"/>
        </w:rPr>
        <w:t>[</w:t>
      </w:r>
      <w:r>
        <w:rPr>
          <w:color w:val="000000" w:themeColor="text1"/>
        </w:rPr>
        <w:t>(0.3 minutes per item x 2 items)</w:t>
      </w:r>
      <w:r w:rsidR="009B689F">
        <w:rPr>
          <w:color w:val="000000" w:themeColor="text1"/>
        </w:rPr>
        <w:t>/60 minutes]</w:t>
      </w:r>
      <w:r>
        <w:rPr>
          <w:color w:val="000000" w:themeColor="text1"/>
        </w:rPr>
        <w:t xml:space="preserve"> </w:t>
      </w:r>
      <w:r w:rsidRPr="00286ABA">
        <w:rPr>
          <w:color w:val="000000" w:themeColor="text1"/>
        </w:rPr>
        <w:t>in clinical staff time to report data for each LCDS completed at admission and a 0.005 hour decrease</w:t>
      </w:r>
      <w:r>
        <w:rPr>
          <w:color w:val="000000" w:themeColor="text1"/>
        </w:rPr>
        <w:t xml:space="preserve"> </w:t>
      </w:r>
      <w:r w:rsidR="009B689F">
        <w:rPr>
          <w:color w:val="000000" w:themeColor="text1"/>
        </w:rPr>
        <w:t>[</w:t>
      </w:r>
      <w:r>
        <w:rPr>
          <w:color w:val="000000" w:themeColor="text1"/>
        </w:rPr>
        <w:t>(0.3 minutes per item x 1 item)</w:t>
      </w:r>
      <w:r w:rsidR="009B689F">
        <w:rPr>
          <w:color w:val="000000" w:themeColor="text1"/>
        </w:rPr>
        <w:t>/60 minutes]</w:t>
      </w:r>
      <w:r w:rsidRPr="00286ABA">
        <w:rPr>
          <w:color w:val="000000" w:themeColor="text1"/>
        </w:rPr>
        <w:t xml:space="preserve"> in clinical staff time to report data for each LCDS completed for planned discharges</w:t>
      </w:r>
      <w:r w:rsidRPr="00AF6FA7">
        <w:rPr>
          <w:color w:val="000000" w:themeColor="text1"/>
        </w:rPr>
        <w:t>.</w:t>
      </w:r>
    </w:p>
    <w:p w:rsidR="0058324F" w:rsidP="00E91DDB" w14:paraId="68519F42" w14:textId="77777777">
      <w:pPr>
        <w:pStyle w:val="ListContinue"/>
        <w:rPr>
          <w:color w:val="000000" w:themeColor="text1"/>
        </w:rPr>
      </w:pPr>
    </w:p>
    <w:p w:rsidR="0058324F" w:rsidP="0058324F" w14:paraId="2A109D0C" w14:textId="0157FF08">
      <w:pPr>
        <w:pStyle w:val="ListContinue"/>
        <w:rPr>
          <w:color w:val="000000" w:themeColor="text1"/>
        </w:rPr>
      </w:pPr>
      <w:r>
        <w:rPr>
          <w:color w:val="000000" w:themeColor="text1"/>
        </w:rPr>
        <w:t xml:space="preserve">Using data from calendar year 2021, </w:t>
      </w:r>
      <w:r w:rsidR="00927F35">
        <w:rPr>
          <w:color w:val="000000" w:themeColor="text1"/>
        </w:rPr>
        <w:t xml:space="preserve">we estimate </w:t>
      </w:r>
      <w:r w:rsidRPr="00286ABA" w:rsidR="00927F35">
        <w:rPr>
          <w:color w:val="000000" w:themeColor="text1"/>
        </w:rPr>
        <w:t>148,088 admissions and 111,251 planned discharges from 330 LTCHs annually</w:t>
      </w:r>
      <w:r>
        <w:rPr>
          <w:color w:val="000000" w:themeColor="text1"/>
        </w:rPr>
        <w:t xml:space="preserve">. </w:t>
      </w:r>
      <w:r w:rsidR="001E3451">
        <w:rPr>
          <w:color w:val="000000" w:themeColor="text1"/>
        </w:rPr>
        <w:t>This equates to an estimated 785.88 total assessments per LTCH per year (148,088 + 111,251 / 330).  As a result, we e</w:t>
      </w:r>
      <w:r w:rsidR="00237C23">
        <w:rPr>
          <w:color w:val="000000" w:themeColor="text1"/>
        </w:rPr>
        <w:t>s</w:t>
      </w:r>
      <w:r w:rsidR="001E3451">
        <w:rPr>
          <w:color w:val="000000" w:themeColor="text1"/>
        </w:rPr>
        <w:t>timate</w:t>
      </w:r>
      <w:r w:rsidRPr="00286ABA" w:rsidR="00927F35">
        <w:rPr>
          <w:color w:val="000000" w:themeColor="text1"/>
        </w:rPr>
        <w:t xml:space="preserve"> a decrease of 1,48</w:t>
      </w:r>
      <w:r w:rsidR="00C17CF6">
        <w:rPr>
          <w:color w:val="000000" w:themeColor="text1"/>
        </w:rPr>
        <w:t>0.88</w:t>
      </w:r>
      <w:r w:rsidRPr="00286ABA" w:rsidR="00927F35">
        <w:rPr>
          <w:color w:val="000000" w:themeColor="text1"/>
        </w:rPr>
        <w:t xml:space="preserve"> hours in burden at admission for all LTCHs (0.01 hour</w:t>
      </w:r>
      <w:r w:rsidR="00927F35">
        <w:rPr>
          <w:color w:val="000000" w:themeColor="text1"/>
        </w:rPr>
        <w:t xml:space="preserve"> clinical time at admission</w:t>
      </w:r>
      <w:r w:rsidRPr="00286ABA" w:rsidR="00927F35">
        <w:rPr>
          <w:color w:val="000000" w:themeColor="text1"/>
        </w:rPr>
        <w:t xml:space="preserve"> × 148,088 admissions), and a decrease of 556</w:t>
      </w:r>
      <w:r w:rsidR="00C17CF6">
        <w:rPr>
          <w:color w:val="000000" w:themeColor="text1"/>
        </w:rPr>
        <w:t>.26</w:t>
      </w:r>
      <w:r w:rsidRPr="00286ABA" w:rsidR="00927F35">
        <w:rPr>
          <w:color w:val="000000" w:themeColor="text1"/>
        </w:rPr>
        <w:t xml:space="preserve"> hours in burden for planned discharges for all LTCHs (0.005 hour</w:t>
      </w:r>
      <w:r w:rsidR="00927F35">
        <w:rPr>
          <w:color w:val="000000" w:themeColor="text1"/>
        </w:rPr>
        <w:t xml:space="preserve"> clinical time at discharge</w:t>
      </w:r>
      <w:r w:rsidRPr="00286ABA" w:rsidR="00927F35">
        <w:rPr>
          <w:color w:val="000000" w:themeColor="text1"/>
        </w:rPr>
        <w:t xml:space="preserve"> × 111,251 planned discharges). </w:t>
      </w:r>
      <w:r w:rsidR="00237C23">
        <w:rPr>
          <w:color w:val="000000" w:themeColor="text1"/>
        </w:rPr>
        <w:t>This equates to an estimated reduction</w:t>
      </w:r>
      <w:r w:rsidR="00C17CF6">
        <w:rPr>
          <w:color w:val="000000" w:themeColor="text1"/>
        </w:rPr>
        <w:t xml:space="preserve"> in burden of 2,037.14 hours for all LTCHs (1,480.88 + 556.26) and an estimated reduction</w:t>
      </w:r>
      <w:r w:rsidR="00237C23">
        <w:rPr>
          <w:color w:val="000000" w:themeColor="text1"/>
        </w:rPr>
        <w:t xml:space="preserve"> of 6.17 hours per LTCH per year (</w:t>
      </w:r>
      <w:r w:rsidR="00C17CF6">
        <w:rPr>
          <w:color w:val="000000" w:themeColor="text1"/>
        </w:rPr>
        <w:t>2037.14</w:t>
      </w:r>
      <w:r w:rsidR="00237C23">
        <w:rPr>
          <w:color w:val="000000" w:themeColor="text1"/>
        </w:rPr>
        <w:t xml:space="preserve">/ 330).  </w:t>
      </w:r>
    </w:p>
    <w:p w:rsidR="0058324F" w:rsidP="0058324F" w14:paraId="363A4110" w14:textId="23FD18FA">
      <w:pPr>
        <w:pStyle w:val="ListContinue"/>
        <w:rPr>
          <w:color w:val="000000" w:themeColor="text1"/>
        </w:rPr>
      </w:pPr>
    </w:p>
    <w:p w:rsidR="0058324F" w:rsidP="0058324F" w14:paraId="74A3DC44" w14:textId="4808E6DF">
      <w:pPr>
        <w:pStyle w:val="ListContinue"/>
        <w:spacing w:after="0"/>
      </w:pPr>
      <w:r w:rsidRPr="00286ABA">
        <w:rPr>
          <w:color w:val="000000" w:themeColor="text1"/>
        </w:rPr>
        <w:t>We believe the LCDS item affected by the proposed removal of the Application of Functional Assessment/Care Plan measure is completed by Occupational Therapists (OT), Physical Therapists (PT), Registered Nurses (RN), Licensed Practical</w:t>
      </w:r>
      <w:r w:rsidRPr="00AF6FA7">
        <w:t xml:space="preserve"> and Licensed Vocational Nurses (LVN), and/or Speech-Language Pathologists (SLP) depending on the </w:t>
      </w:r>
      <w:r>
        <w:t xml:space="preserve">assessment and </w:t>
      </w:r>
      <w:r w:rsidRPr="00AF6FA7">
        <w:t>functional goal selected.  Therefore, we averaged the national average for these labor types and established a composite cost estimate of $86.2</w:t>
      </w:r>
      <w:r w:rsidR="00047A38">
        <w:t>085</w:t>
      </w:r>
      <w:r w:rsidRPr="00AF6FA7">
        <w:t xml:space="preserve">.  This composite estimate was calculated by weighting each salary based on the following breakdown regarding provider types most likely to collect this data:  OT 45 percent; PT 45 percent; RN 5 percent; LVN 2.5 percent; SLP 2.5 percent.  For the purposes of calculating the costs associated with the collection of information requirements, we obtained mean hourly wages for these staff from the U.S. Bureau of </w:t>
      </w:r>
      <w:r w:rsidRPr="00AF6FA7">
        <w:t>Labor Statistics’ (BLS) May 2021 National Occupational Employment and Wage Estimates.</w:t>
      </w:r>
      <w:r>
        <w:rPr>
          <w:rStyle w:val="FootnoteReference"/>
        </w:rPr>
        <w:footnoteReference w:id="4"/>
      </w:r>
      <w:r w:rsidRPr="00AF6FA7">
        <w:rPr>
          <w:vertAlign w:val="superscript"/>
        </w:rPr>
        <w:t xml:space="preserve"> </w:t>
      </w:r>
      <w:r w:rsidRPr="00AF6FA7">
        <w:t xml:space="preserve"> To account for overhead and fringe benefits, we have doubled the hourly wage.  These amounts are detailed in Table 1</w:t>
      </w:r>
      <w:r>
        <w:t>.</w:t>
      </w:r>
    </w:p>
    <w:p w:rsidR="0058324F" w:rsidP="0058324F" w14:paraId="3FB3ED50" w14:textId="5CB320A5">
      <w:pPr>
        <w:pStyle w:val="ListContinue"/>
        <w:rPr>
          <w:color w:val="000000" w:themeColor="text1"/>
        </w:rPr>
      </w:pPr>
    </w:p>
    <w:p w:rsidR="0058324F" w:rsidRPr="00AF6FA7" w:rsidP="0058324F" w14:paraId="76D28431" w14:textId="77777777">
      <w:pPr>
        <w:pStyle w:val="ListContinue"/>
        <w:keepNext/>
        <w:keepLines/>
        <w:rPr>
          <w:b/>
          <w:sz w:val="24"/>
        </w:rPr>
      </w:pPr>
      <w:r w:rsidRPr="00AF6FA7">
        <w:rPr>
          <w:b/>
        </w:rPr>
        <w:t>Table</w:t>
      </w:r>
      <w:r>
        <w:rPr>
          <w:b/>
        </w:rPr>
        <w:t xml:space="preserve"> </w:t>
      </w:r>
      <w:r w:rsidRPr="00AF6FA7">
        <w:rPr>
          <w:b/>
        </w:rPr>
        <w:t>1. U.S. Bureau of Labor and Statistics’ May 2021 National Occupational Employment and Wage Estimates.</w:t>
      </w:r>
    </w:p>
    <w:tbl>
      <w:tblPr>
        <w:tblStyle w:val="TableGrid"/>
        <w:tblW w:w="0" w:type="auto"/>
        <w:tblLook w:val="04A0"/>
      </w:tblPr>
      <w:tblGrid>
        <w:gridCol w:w="2141"/>
        <w:gridCol w:w="2141"/>
        <w:gridCol w:w="2141"/>
        <w:gridCol w:w="2141"/>
        <w:gridCol w:w="2141"/>
      </w:tblGrid>
      <w:tr w14:paraId="09E791B7" w14:textId="77777777" w:rsidTr="006F6AC3">
        <w:tblPrEx>
          <w:tblW w:w="0" w:type="auto"/>
          <w:tblLook w:val="04A0"/>
        </w:tblPrEx>
        <w:tc>
          <w:tcPr>
            <w:tcW w:w="2141" w:type="dxa"/>
          </w:tcPr>
          <w:p w:rsidR="0058324F" w:rsidRPr="00AF6FA7" w:rsidP="006F6AC3" w14:paraId="052638C0" w14:textId="77777777">
            <w:pPr>
              <w:keepNext/>
              <w:keepLines/>
              <w:adjustRightInd w:val="0"/>
              <w:contextualSpacing/>
              <w:jc w:val="center"/>
              <w:rPr>
                <w:b/>
                <w:sz w:val="20"/>
                <w:szCs w:val="20"/>
              </w:rPr>
            </w:pPr>
            <w:r w:rsidRPr="00AF6FA7">
              <w:rPr>
                <w:b/>
                <w:sz w:val="20"/>
                <w:szCs w:val="20"/>
              </w:rPr>
              <w:t>Occupation title</w:t>
            </w:r>
          </w:p>
        </w:tc>
        <w:tc>
          <w:tcPr>
            <w:tcW w:w="2141" w:type="dxa"/>
          </w:tcPr>
          <w:p w:rsidR="0058324F" w:rsidRPr="00AF6FA7" w:rsidP="006F6AC3" w14:paraId="265BD56C" w14:textId="77777777">
            <w:pPr>
              <w:keepNext/>
              <w:keepLines/>
              <w:adjustRightInd w:val="0"/>
              <w:contextualSpacing/>
              <w:jc w:val="center"/>
              <w:rPr>
                <w:b/>
                <w:sz w:val="20"/>
                <w:szCs w:val="20"/>
              </w:rPr>
            </w:pPr>
            <w:r w:rsidRPr="00AF6FA7">
              <w:rPr>
                <w:b/>
                <w:sz w:val="20"/>
                <w:szCs w:val="20"/>
              </w:rPr>
              <w:t>Occupation code</w:t>
            </w:r>
          </w:p>
        </w:tc>
        <w:tc>
          <w:tcPr>
            <w:tcW w:w="2141" w:type="dxa"/>
          </w:tcPr>
          <w:p w:rsidR="0058324F" w:rsidRPr="00AF6FA7" w:rsidP="006F6AC3" w14:paraId="2C176880" w14:textId="77777777">
            <w:pPr>
              <w:keepNext/>
              <w:keepLines/>
              <w:adjustRightInd w:val="0"/>
              <w:contextualSpacing/>
              <w:jc w:val="center"/>
              <w:rPr>
                <w:b/>
                <w:sz w:val="20"/>
                <w:szCs w:val="20"/>
              </w:rPr>
            </w:pPr>
            <w:r w:rsidRPr="00AF6FA7">
              <w:rPr>
                <w:b/>
                <w:sz w:val="20"/>
                <w:szCs w:val="20"/>
              </w:rPr>
              <w:t>Mean Hourly Wage ($/</w:t>
            </w:r>
            <w:r w:rsidRPr="00AF6FA7">
              <w:rPr>
                <w:b/>
                <w:sz w:val="20"/>
                <w:szCs w:val="20"/>
              </w:rPr>
              <w:t>hr</w:t>
            </w:r>
            <w:r w:rsidRPr="00AF6FA7">
              <w:rPr>
                <w:b/>
                <w:sz w:val="20"/>
                <w:szCs w:val="20"/>
              </w:rPr>
              <w:t>)</w:t>
            </w:r>
          </w:p>
        </w:tc>
        <w:tc>
          <w:tcPr>
            <w:tcW w:w="2141" w:type="dxa"/>
          </w:tcPr>
          <w:p w:rsidR="0058324F" w:rsidRPr="00AF6FA7" w:rsidP="006F6AC3" w14:paraId="1910CF4B" w14:textId="77777777">
            <w:pPr>
              <w:keepNext/>
              <w:keepLines/>
              <w:adjustRightInd w:val="0"/>
              <w:contextualSpacing/>
              <w:jc w:val="center"/>
              <w:rPr>
                <w:b/>
                <w:sz w:val="20"/>
                <w:szCs w:val="20"/>
              </w:rPr>
            </w:pPr>
            <w:r w:rsidRPr="00AF6FA7">
              <w:rPr>
                <w:b/>
                <w:sz w:val="20"/>
                <w:szCs w:val="20"/>
              </w:rPr>
              <w:t>Overhead and Fringe Benefit ($/</w:t>
            </w:r>
            <w:r w:rsidRPr="00AF6FA7">
              <w:rPr>
                <w:b/>
                <w:sz w:val="20"/>
                <w:szCs w:val="20"/>
              </w:rPr>
              <w:t>hr</w:t>
            </w:r>
            <w:r w:rsidRPr="00AF6FA7">
              <w:rPr>
                <w:b/>
                <w:sz w:val="20"/>
                <w:szCs w:val="20"/>
              </w:rPr>
              <w:t>)</w:t>
            </w:r>
          </w:p>
        </w:tc>
        <w:tc>
          <w:tcPr>
            <w:tcW w:w="2141" w:type="dxa"/>
          </w:tcPr>
          <w:p w:rsidR="0058324F" w:rsidRPr="00AF6FA7" w:rsidP="006F6AC3" w14:paraId="34ED2D17" w14:textId="77777777">
            <w:pPr>
              <w:keepNext/>
              <w:keepLines/>
              <w:adjustRightInd w:val="0"/>
              <w:contextualSpacing/>
              <w:jc w:val="center"/>
              <w:rPr>
                <w:b/>
                <w:sz w:val="20"/>
                <w:szCs w:val="20"/>
              </w:rPr>
            </w:pPr>
            <w:r w:rsidRPr="00AF6FA7">
              <w:rPr>
                <w:b/>
                <w:sz w:val="20"/>
                <w:szCs w:val="20"/>
              </w:rPr>
              <w:t>Adjusted Hourly Wage ($/</w:t>
            </w:r>
            <w:r w:rsidRPr="00AF6FA7">
              <w:rPr>
                <w:b/>
                <w:sz w:val="20"/>
                <w:szCs w:val="20"/>
              </w:rPr>
              <w:t>hr</w:t>
            </w:r>
            <w:r w:rsidRPr="00AF6FA7">
              <w:rPr>
                <w:b/>
                <w:sz w:val="20"/>
                <w:szCs w:val="20"/>
              </w:rPr>
              <w:t>)</w:t>
            </w:r>
          </w:p>
        </w:tc>
      </w:tr>
      <w:tr w14:paraId="0391A1F9" w14:textId="77777777" w:rsidTr="006F6AC3">
        <w:tblPrEx>
          <w:tblW w:w="0" w:type="auto"/>
          <w:tblLook w:val="04A0"/>
        </w:tblPrEx>
        <w:tc>
          <w:tcPr>
            <w:tcW w:w="2141" w:type="dxa"/>
          </w:tcPr>
          <w:p w:rsidR="0058324F" w:rsidRPr="00AF6FA7" w:rsidP="006F6AC3" w14:paraId="13CDE277" w14:textId="77777777">
            <w:pPr>
              <w:keepNext/>
              <w:keepLines/>
              <w:adjustRightInd w:val="0"/>
              <w:contextualSpacing/>
              <w:rPr>
                <w:sz w:val="20"/>
                <w:szCs w:val="20"/>
              </w:rPr>
            </w:pPr>
            <w:r w:rsidRPr="00AF6FA7">
              <w:rPr>
                <w:sz w:val="20"/>
                <w:szCs w:val="20"/>
              </w:rPr>
              <w:t>Registered Nurse (RN)</w:t>
            </w:r>
          </w:p>
        </w:tc>
        <w:tc>
          <w:tcPr>
            <w:tcW w:w="2141" w:type="dxa"/>
            <w:vAlign w:val="center"/>
          </w:tcPr>
          <w:p w:rsidR="0058324F" w:rsidRPr="00AF6FA7" w:rsidP="006F6AC3" w14:paraId="5C759F8F" w14:textId="77777777">
            <w:pPr>
              <w:keepNext/>
              <w:keepLines/>
              <w:adjustRightInd w:val="0"/>
              <w:contextualSpacing/>
              <w:jc w:val="center"/>
              <w:rPr>
                <w:sz w:val="20"/>
                <w:szCs w:val="20"/>
              </w:rPr>
            </w:pPr>
            <w:r w:rsidRPr="00AF6FA7">
              <w:rPr>
                <w:sz w:val="20"/>
                <w:szCs w:val="20"/>
              </w:rPr>
              <w:t>29-1141</w:t>
            </w:r>
          </w:p>
        </w:tc>
        <w:tc>
          <w:tcPr>
            <w:tcW w:w="2141" w:type="dxa"/>
            <w:vAlign w:val="center"/>
          </w:tcPr>
          <w:p w:rsidR="0058324F" w:rsidRPr="00AF6FA7" w:rsidP="006F6AC3" w14:paraId="277710DC" w14:textId="77777777">
            <w:pPr>
              <w:keepNext/>
              <w:keepLines/>
              <w:adjustRightInd w:val="0"/>
              <w:contextualSpacing/>
              <w:jc w:val="center"/>
              <w:rPr>
                <w:sz w:val="20"/>
                <w:szCs w:val="20"/>
              </w:rPr>
            </w:pPr>
            <w:r w:rsidRPr="00AF6FA7">
              <w:rPr>
                <w:sz w:val="20"/>
                <w:szCs w:val="20"/>
              </w:rPr>
              <w:t>$39.78</w:t>
            </w:r>
          </w:p>
        </w:tc>
        <w:tc>
          <w:tcPr>
            <w:tcW w:w="2141" w:type="dxa"/>
            <w:vAlign w:val="center"/>
          </w:tcPr>
          <w:p w:rsidR="0058324F" w:rsidRPr="00AF6FA7" w:rsidP="006F6AC3" w14:paraId="1DCE8E95" w14:textId="77777777">
            <w:pPr>
              <w:keepNext/>
              <w:keepLines/>
              <w:adjustRightInd w:val="0"/>
              <w:contextualSpacing/>
              <w:jc w:val="center"/>
              <w:rPr>
                <w:sz w:val="20"/>
                <w:szCs w:val="20"/>
              </w:rPr>
            </w:pPr>
            <w:r w:rsidRPr="00AF6FA7">
              <w:rPr>
                <w:sz w:val="20"/>
                <w:szCs w:val="20"/>
              </w:rPr>
              <w:t>$39.78</w:t>
            </w:r>
          </w:p>
        </w:tc>
        <w:tc>
          <w:tcPr>
            <w:tcW w:w="2141" w:type="dxa"/>
            <w:vAlign w:val="center"/>
          </w:tcPr>
          <w:p w:rsidR="0058324F" w:rsidRPr="00AF6FA7" w:rsidP="006F6AC3" w14:paraId="1840A89F" w14:textId="77777777">
            <w:pPr>
              <w:keepNext/>
              <w:keepLines/>
              <w:adjustRightInd w:val="0"/>
              <w:contextualSpacing/>
              <w:jc w:val="center"/>
              <w:rPr>
                <w:sz w:val="20"/>
                <w:szCs w:val="20"/>
              </w:rPr>
            </w:pPr>
            <w:r w:rsidRPr="00AF6FA7">
              <w:rPr>
                <w:sz w:val="20"/>
                <w:szCs w:val="20"/>
              </w:rPr>
              <w:t>$79.56</w:t>
            </w:r>
          </w:p>
        </w:tc>
      </w:tr>
      <w:tr w14:paraId="02603BD2" w14:textId="77777777" w:rsidTr="006F6AC3">
        <w:tblPrEx>
          <w:tblW w:w="0" w:type="auto"/>
          <w:tblLook w:val="04A0"/>
        </w:tblPrEx>
        <w:tc>
          <w:tcPr>
            <w:tcW w:w="2141" w:type="dxa"/>
          </w:tcPr>
          <w:p w:rsidR="0058324F" w:rsidRPr="00AF6FA7" w:rsidP="006F6AC3" w14:paraId="04FF8881" w14:textId="77777777">
            <w:pPr>
              <w:keepNext/>
              <w:keepLines/>
              <w:adjustRightInd w:val="0"/>
              <w:contextualSpacing/>
              <w:rPr>
                <w:sz w:val="20"/>
                <w:szCs w:val="20"/>
              </w:rPr>
            </w:pPr>
            <w:r w:rsidRPr="00AF6FA7">
              <w:rPr>
                <w:sz w:val="20"/>
                <w:szCs w:val="20"/>
              </w:rPr>
              <w:t>Licensed Vocational Nurse (LVN)</w:t>
            </w:r>
          </w:p>
        </w:tc>
        <w:tc>
          <w:tcPr>
            <w:tcW w:w="2141" w:type="dxa"/>
            <w:vAlign w:val="center"/>
          </w:tcPr>
          <w:p w:rsidR="0058324F" w:rsidRPr="00AF6FA7" w:rsidP="006F6AC3" w14:paraId="5A24756F" w14:textId="77777777">
            <w:pPr>
              <w:keepNext/>
              <w:keepLines/>
              <w:adjustRightInd w:val="0"/>
              <w:contextualSpacing/>
              <w:jc w:val="center"/>
              <w:rPr>
                <w:sz w:val="20"/>
                <w:szCs w:val="20"/>
              </w:rPr>
            </w:pPr>
            <w:r w:rsidRPr="00AF6FA7">
              <w:rPr>
                <w:sz w:val="20"/>
                <w:szCs w:val="20"/>
              </w:rPr>
              <w:t>29-2061</w:t>
            </w:r>
          </w:p>
        </w:tc>
        <w:tc>
          <w:tcPr>
            <w:tcW w:w="2141" w:type="dxa"/>
            <w:vAlign w:val="center"/>
          </w:tcPr>
          <w:p w:rsidR="0058324F" w:rsidRPr="00AF6FA7" w:rsidP="006F6AC3" w14:paraId="43BA027C" w14:textId="77777777">
            <w:pPr>
              <w:keepNext/>
              <w:keepLines/>
              <w:adjustRightInd w:val="0"/>
              <w:contextualSpacing/>
              <w:jc w:val="center"/>
              <w:rPr>
                <w:sz w:val="20"/>
                <w:szCs w:val="20"/>
              </w:rPr>
            </w:pPr>
            <w:r w:rsidRPr="00AF6FA7">
              <w:rPr>
                <w:sz w:val="20"/>
                <w:szCs w:val="20"/>
              </w:rPr>
              <w:t>$24.93</w:t>
            </w:r>
          </w:p>
        </w:tc>
        <w:tc>
          <w:tcPr>
            <w:tcW w:w="2141" w:type="dxa"/>
            <w:vAlign w:val="center"/>
          </w:tcPr>
          <w:p w:rsidR="0058324F" w:rsidRPr="00AF6FA7" w:rsidP="006F6AC3" w14:paraId="51FE1CBF" w14:textId="77777777">
            <w:pPr>
              <w:keepNext/>
              <w:keepLines/>
              <w:adjustRightInd w:val="0"/>
              <w:contextualSpacing/>
              <w:jc w:val="center"/>
              <w:rPr>
                <w:sz w:val="20"/>
                <w:szCs w:val="20"/>
              </w:rPr>
            </w:pPr>
            <w:r w:rsidRPr="00AF6FA7">
              <w:rPr>
                <w:sz w:val="20"/>
                <w:szCs w:val="20"/>
              </w:rPr>
              <w:t>$24.93</w:t>
            </w:r>
          </w:p>
        </w:tc>
        <w:tc>
          <w:tcPr>
            <w:tcW w:w="2141" w:type="dxa"/>
            <w:vAlign w:val="center"/>
          </w:tcPr>
          <w:p w:rsidR="0058324F" w:rsidRPr="00AF6FA7" w:rsidP="006F6AC3" w14:paraId="1CA1B317" w14:textId="77777777">
            <w:pPr>
              <w:keepNext/>
              <w:keepLines/>
              <w:adjustRightInd w:val="0"/>
              <w:contextualSpacing/>
              <w:jc w:val="center"/>
              <w:rPr>
                <w:sz w:val="20"/>
                <w:szCs w:val="20"/>
              </w:rPr>
            </w:pPr>
            <w:r w:rsidRPr="00AF6FA7">
              <w:rPr>
                <w:sz w:val="20"/>
                <w:szCs w:val="20"/>
              </w:rPr>
              <w:t>$49.86</w:t>
            </w:r>
          </w:p>
        </w:tc>
      </w:tr>
      <w:tr w14:paraId="1D4E303B" w14:textId="77777777" w:rsidTr="006F6AC3">
        <w:tblPrEx>
          <w:tblW w:w="0" w:type="auto"/>
          <w:tblLook w:val="04A0"/>
        </w:tblPrEx>
        <w:tc>
          <w:tcPr>
            <w:tcW w:w="2141" w:type="dxa"/>
          </w:tcPr>
          <w:p w:rsidR="0058324F" w:rsidRPr="00AF6FA7" w:rsidP="006F6AC3" w14:paraId="40E39F30" w14:textId="77777777">
            <w:pPr>
              <w:keepNext/>
              <w:keepLines/>
              <w:adjustRightInd w:val="0"/>
              <w:contextualSpacing/>
              <w:rPr>
                <w:sz w:val="20"/>
                <w:szCs w:val="20"/>
              </w:rPr>
            </w:pPr>
            <w:r w:rsidRPr="00AF6FA7">
              <w:rPr>
                <w:sz w:val="20"/>
                <w:szCs w:val="20"/>
              </w:rPr>
              <w:t>Speech Language Pathologist (SLP)</w:t>
            </w:r>
          </w:p>
        </w:tc>
        <w:tc>
          <w:tcPr>
            <w:tcW w:w="2141" w:type="dxa"/>
            <w:vAlign w:val="center"/>
          </w:tcPr>
          <w:p w:rsidR="0058324F" w:rsidRPr="00AF6FA7" w:rsidP="006F6AC3" w14:paraId="775EBB3E" w14:textId="77777777">
            <w:pPr>
              <w:keepNext/>
              <w:keepLines/>
              <w:adjustRightInd w:val="0"/>
              <w:contextualSpacing/>
              <w:jc w:val="center"/>
              <w:rPr>
                <w:sz w:val="20"/>
                <w:szCs w:val="20"/>
              </w:rPr>
            </w:pPr>
            <w:r w:rsidRPr="00AF6FA7">
              <w:rPr>
                <w:sz w:val="20"/>
                <w:szCs w:val="20"/>
              </w:rPr>
              <w:t>29-1127</w:t>
            </w:r>
          </w:p>
        </w:tc>
        <w:tc>
          <w:tcPr>
            <w:tcW w:w="2141" w:type="dxa"/>
            <w:vAlign w:val="center"/>
          </w:tcPr>
          <w:p w:rsidR="0058324F" w:rsidRPr="00AF6FA7" w:rsidP="006F6AC3" w14:paraId="08424352" w14:textId="77777777">
            <w:pPr>
              <w:keepNext/>
              <w:keepLines/>
              <w:adjustRightInd w:val="0"/>
              <w:contextualSpacing/>
              <w:jc w:val="center"/>
              <w:rPr>
                <w:sz w:val="20"/>
                <w:szCs w:val="20"/>
              </w:rPr>
            </w:pPr>
            <w:r w:rsidRPr="00AF6FA7">
              <w:rPr>
                <w:sz w:val="20"/>
                <w:szCs w:val="20"/>
              </w:rPr>
              <w:t>$41.26</w:t>
            </w:r>
          </w:p>
        </w:tc>
        <w:tc>
          <w:tcPr>
            <w:tcW w:w="2141" w:type="dxa"/>
            <w:vAlign w:val="center"/>
          </w:tcPr>
          <w:p w:rsidR="0058324F" w:rsidRPr="00AF6FA7" w:rsidP="006F6AC3" w14:paraId="711D55C3" w14:textId="77777777">
            <w:pPr>
              <w:keepNext/>
              <w:keepLines/>
              <w:adjustRightInd w:val="0"/>
              <w:contextualSpacing/>
              <w:jc w:val="center"/>
              <w:rPr>
                <w:sz w:val="20"/>
                <w:szCs w:val="20"/>
              </w:rPr>
            </w:pPr>
            <w:r w:rsidRPr="00AF6FA7">
              <w:rPr>
                <w:sz w:val="20"/>
                <w:szCs w:val="20"/>
              </w:rPr>
              <w:t>$41.26</w:t>
            </w:r>
          </w:p>
        </w:tc>
        <w:tc>
          <w:tcPr>
            <w:tcW w:w="2141" w:type="dxa"/>
            <w:vAlign w:val="center"/>
          </w:tcPr>
          <w:p w:rsidR="0058324F" w:rsidRPr="00AF6FA7" w:rsidP="006F6AC3" w14:paraId="0D7003CB" w14:textId="77777777">
            <w:pPr>
              <w:keepNext/>
              <w:keepLines/>
              <w:adjustRightInd w:val="0"/>
              <w:contextualSpacing/>
              <w:jc w:val="center"/>
              <w:rPr>
                <w:sz w:val="20"/>
                <w:szCs w:val="20"/>
              </w:rPr>
            </w:pPr>
            <w:r w:rsidRPr="00AF6FA7">
              <w:rPr>
                <w:sz w:val="20"/>
                <w:szCs w:val="20"/>
              </w:rPr>
              <w:t>$82.52</w:t>
            </w:r>
          </w:p>
        </w:tc>
      </w:tr>
      <w:tr w14:paraId="35A59775" w14:textId="77777777" w:rsidTr="006F6AC3">
        <w:tblPrEx>
          <w:tblW w:w="0" w:type="auto"/>
          <w:tblLook w:val="04A0"/>
        </w:tblPrEx>
        <w:tc>
          <w:tcPr>
            <w:tcW w:w="2141" w:type="dxa"/>
          </w:tcPr>
          <w:p w:rsidR="0058324F" w:rsidRPr="00AF6FA7" w:rsidP="006F6AC3" w14:paraId="5B9D04B9" w14:textId="77777777">
            <w:pPr>
              <w:keepNext/>
              <w:keepLines/>
              <w:adjustRightInd w:val="0"/>
              <w:contextualSpacing/>
              <w:rPr>
                <w:sz w:val="20"/>
                <w:szCs w:val="20"/>
              </w:rPr>
            </w:pPr>
            <w:r w:rsidRPr="00AF6FA7">
              <w:rPr>
                <w:sz w:val="20"/>
                <w:szCs w:val="20"/>
              </w:rPr>
              <w:t>Physical Therapist (PT)</w:t>
            </w:r>
          </w:p>
        </w:tc>
        <w:tc>
          <w:tcPr>
            <w:tcW w:w="2141" w:type="dxa"/>
            <w:vAlign w:val="center"/>
          </w:tcPr>
          <w:p w:rsidR="0058324F" w:rsidRPr="00AF6FA7" w:rsidP="006F6AC3" w14:paraId="31CB1D60" w14:textId="77777777">
            <w:pPr>
              <w:keepNext/>
              <w:keepLines/>
              <w:adjustRightInd w:val="0"/>
              <w:contextualSpacing/>
              <w:jc w:val="center"/>
              <w:rPr>
                <w:sz w:val="20"/>
                <w:szCs w:val="20"/>
              </w:rPr>
            </w:pPr>
            <w:r w:rsidRPr="00AF6FA7">
              <w:rPr>
                <w:sz w:val="20"/>
                <w:szCs w:val="20"/>
              </w:rPr>
              <w:t>29-1123</w:t>
            </w:r>
          </w:p>
        </w:tc>
        <w:tc>
          <w:tcPr>
            <w:tcW w:w="2141" w:type="dxa"/>
            <w:vAlign w:val="center"/>
          </w:tcPr>
          <w:p w:rsidR="0058324F" w:rsidRPr="00AF6FA7" w:rsidP="006F6AC3" w14:paraId="5832C27E" w14:textId="77777777">
            <w:pPr>
              <w:keepNext/>
              <w:keepLines/>
              <w:adjustRightInd w:val="0"/>
              <w:contextualSpacing/>
              <w:jc w:val="center"/>
              <w:rPr>
                <w:sz w:val="20"/>
                <w:szCs w:val="20"/>
              </w:rPr>
            </w:pPr>
            <w:r w:rsidRPr="00AF6FA7">
              <w:rPr>
                <w:sz w:val="20"/>
                <w:szCs w:val="20"/>
              </w:rPr>
              <w:t>$44.67</w:t>
            </w:r>
          </w:p>
        </w:tc>
        <w:tc>
          <w:tcPr>
            <w:tcW w:w="2141" w:type="dxa"/>
            <w:vAlign w:val="center"/>
          </w:tcPr>
          <w:p w:rsidR="0058324F" w:rsidRPr="00AF6FA7" w:rsidP="006F6AC3" w14:paraId="2E5C34B7" w14:textId="77777777">
            <w:pPr>
              <w:keepNext/>
              <w:keepLines/>
              <w:adjustRightInd w:val="0"/>
              <w:contextualSpacing/>
              <w:jc w:val="center"/>
              <w:rPr>
                <w:sz w:val="20"/>
                <w:szCs w:val="20"/>
              </w:rPr>
            </w:pPr>
            <w:r w:rsidRPr="00AF6FA7">
              <w:rPr>
                <w:sz w:val="20"/>
                <w:szCs w:val="20"/>
              </w:rPr>
              <w:t>$44.67</w:t>
            </w:r>
          </w:p>
        </w:tc>
        <w:tc>
          <w:tcPr>
            <w:tcW w:w="2141" w:type="dxa"/>
            <w:vAlign w:val="center"/>
          </w:tcPr>
          <w:p w:rsidR="0058324F" w:rsidRPr="00AF6FA7" w:rsidP="006F6AC3" w14:paraId="225F1B43" w14:textId="77777777">
            <w:pPr>
              <w:keepNext/>
              <w:keepLines/>
              <w:adjustRightInd w:val="0"/>
              <w:contextualSpacing/>
              <w:jc w:val="center"/>
              <w:rPr>
                <w:sz w:val="20"/>
                <w:szCs w:val="20"/>
              </w:rPr>
            </w:pPr>
            <w:r w:rsidRPr="00AF6FA7">
              <w:rPr>
                <w:sz w:val="20"/>
                <w:szCs w:val="20"/>
              </w:rPr>
              <w:t>$89.34</w:t>
            </w:r>
          </w:p>
        </w:tc>
      </w:tr>
      <w:tr w14:paraId="420C025F" w14:textId="77777777" w:rsidTr="006F6AC3">
        <w:tblPrEx>
          <w:tblW w:w="0" w:type="auto"/>
          <w:tblLook w:val="04A0"/>
        </w:tblPrEx>
        <w:tc>
          <w:tcPr>
            <w:tcW w:w="2141" w:type="dxa"/>
          </w:tcPr>
          <w:p w:rsidR="0058324F" w:rsidRPr="00AF6FA7" w:rsidP="006F6AC3" w14:paraId="2CB02D3C" w14:textId="77777777">
            <w:pPr>
              <w:keepNext/>
              <w:keepLines/>
              <w:adjustRightInd w:val="0"/>
              <w:contextualSpacing/>
              <w:rPr>
                <w:sz w:val="20"/>
                <w:szCs w:val="20"/>
              </w:rPr>
            </w:pPr>
            <w:r w:rsidRPr="00AF6FA7">
              <w:rPr>
                <w:sz w:val="20"/>
                <w:szCs w:val="20"/>
              </w:rPr>
              <w:t>Occupational Therapist (OT)</w:t>
            </w:r>
          </w:p>
        </w:tc>
        <w:tc>
          <w:tcPr>
            <w:tcW w:w="2141" w:type="dxa"/>
            <w:vAlign w:val="center"/>
          </w:tcPr>
          <w:p w:rsidR="0058324F" w:rsidRPr="00AF6FA7" w:rsidP="006F6AC3" w14:paraId="7DC42671" w14:textId="77777777">
            <w:pPr>
              <w:keepNext/>
              <w:keepLines/>
              <w:adjustRightInd w:val="0"/>
              <w:contextualSpacing/>
              <w:jc w:val="center"/>
              <w:rPr>
                <w:sz w:val="20"/>
                <w:szCs w:val="20"/>
              </w:rPr>
            </w:pPr>
            <w:r w:rsidRPr="00AF6FA7">
              <w:rPr>
                <w:sz w:val="20"/>
                <w:szCs w:val="20"/>
              </w:rPr>
              <w:t>29-1122</w:t>
            </w:r>
          </w:p>
        </w:tc>
        <w:tc>
          <w:tcPr>
            <w:tcW w:w="2141" w:type="dxa"/>
            <w:vAlign w:val="center"/>
          </w:tcPr>
          <w:p w:rsidR="0058324F" w:rsidRPr="00AF6FA7" w:rsidP="006F6AC3" w14:paraId="6903C079" w14:textId="77777777">
            <w:pPr>
              <w:keepNext/>
              <w:keepLines/>
              <w:adjustRightInd w:val="0"/>
              <w:contextualSpacing/>
              <w:jc w:val="center"/>
              <w:rPr>
                <w:sz w:val="20"/>
                <w:szCs w:val="20"/>
              </w:rPr>
            </w:pPr>
            <w:r w:rsidRPr="00AF6FA7">
              <w:rPr>
                <w:sz w:val="20"/>
                <w:szCs w:val="20"/>
              </w:rPr>
              <w:t>$43.02</w:t>
            </w:r>
          </w:p>
        </w:tc>
        <w:tc>
          <w:tcPr>
            <w:tcW w:w="2141" w:type="dxa"/>
            <w:vAlign w:val="center"/>
          </w:tcPr>
          <w:p w:rsidR="0058324F" w:rsidRPr="00AF6FA7" w:rsidP="006F6AC3" w14:paraId="4FFBD2E0" w14:textId="77777777">
            <w:pPr>
              <w:keepNext/>
              <w:keepLines/>
              <w:adjustRightInd w:val="0"/>
              <w:contextualSpacing/>
              <w:jc w:val="center"/>
              <w:rPr>
                <w:sz w:val="20"/>
                <w:szCs w:val="20"/>
              </w:rPr>
            </w:pPr>
            <w:r w:rsidRPr="00AF6FA7">
              <w:rPr>
                <w:sz w:val="20"/>
                <w:szCs w:val="20"/>
              </w:rPr>
              <w:t>$43.02</w:t>
            </w:r>
          </w:p>
        </w:tc>
        <w:tc>
          <w:tcPr>
            <w:tcW w:w="2141" w:type="dxa"/>
            <w:vAlign w:val="center"/>
          </w:tcPr>
          <w:p w:rsidR="0058324F" w:rsidRPr="00AF6FA7" w:rsidP="006F6AC3" w14:paraId="0AD5AAF4" w14:textId="77777777">
            <w:pPr>
              <w:keepNext/>
              <w:keepLines/>
              <w:adjustRightInd w:val="0"/>
              <w:contextualSpacing/>
              <w:jc w:val="center"/>
              <w:rPr>
                <w:sz w:val="20"/>
                <w:szCs w:val="20"/>
              </w:rPr>
            </w:pPr>
            <w:r w:rsidRPr="00AF6FA7">
              <w:rPr>
                <w:sz w:val="20"/>
                <w:szCs w:val="20"/>
              </w:rPr>
              <w:t>$86.04</w:t>
            </w:r>
          </w:p>
        </w:tc>
      </w:tr>
    </w:tbl>
    <w:p w:rsidR="0058324F" w:rsidP="0058324F" w14:paraId="5EF84DEE" w14:textId="61C3C509">
      <w:pPr>
        <w:pStyle w:val="ListContinue"/>
        <w:rPr>
          <w:color w:val="000000" w:themeColor="text1"/>
        </w:rPr>
      </w:pPr>
    </w:p>
    <w:p w:rsidR="0058324F" w:rsidP="0058324F" w14:paraId="58DE7890" w14:textId="16544A8C">
      <w:pPr>
        <w:pStyle w:val="ListContinue"/>
        <w:keepNext/>
        <w:keepLines/>
      </w:pPr>
      <w:r w:rsidRPr="00AF6FA7">
        <w:t>We estimate that the total cost would be reduced by $</w:t>
      </w:r>
      <w:r w:rsidRPr="00432895">
        <w:rPr>
          <w:rFonts w:cs="Times New Roman"/>
        </w:rPr>
        <w:t>175,618.35</w:t>
      </w:r>
      <w:r w:rsidR="00047A38">
        <w:rPr>
          <w:rFonts w:cs="Times New Roman"/>
        </w:rPr>
        <w:t>3</w:t>
      </w:r>
      <w:r w:rsidR="00C17CF6">
        <w:rPr>
          <w:rFonts w:cs="Times New Roman"/>
        </w:rPr>
        <w:t xml:space="preserve"> </w:t>
      </w:r>
      <w:r w:rsidRPr="00AF6FA7">
        <w:t xml:space="preserve">for all </w:t>
      </w:r>
      <w:r>
        <w:t xml:space="preserve">LTCHs </w:t>
      </w:r>
      <w:r w:rsidRPr="00AF6FA7">
        <w:t>annually ($86.2</w:t>
      </w:r>
      <w:r w:rsidR="00047A38">
        <w:t>085</w:t>
      </w:r>
      <w:r w:rsidRPr="00AF6FA7">
        <w:t>/</w:t>
      </w:r>
      <w:r w:rsidRPr="00AF6FA7">
        <w:t>hr</w:t>
      </w:r>
      <w:r w:rsidRPr="00AF6FA7">
        <w:t xml:space="preserve"> composite hourly rate x 2,</w:t>
      </w:r>
      <w:r>
        <w:t>037</w:t>
      </w:r>
      <w:r w:rsidRPr="00AF6FA7">
        <w:t xml:space="preserve"> hours), or $</w:t>
      </w:r>
      <w:r>
        <w:t>532.1</w:t>
      </w:r>
      <w:r w:rsidR="00047A38">
        <w:t>768</w:t>
      </w:r>
      <w:r w:rsidRPr="00AF6FA7">
        <w:t xml:space="preserve"> per </w:t>
      </w:r>
      <w:r>
        <w:t>LTCH</w:t>
      </w:r>
      <w:r w:rsidRPr="00AF6FA7">
        <w:t xml:space="preserve"> annually ($</w:t>
      </w:r>
      <w:r w:rsidRPr="00D74205">
        <w:rPr>
          <w:rFonts w:cs="Times New Roman"/>
        </w:rPr>
        <w:t>175,618.35</w:t>
      </w:r>
      <w:r w:rsidR="00047A38">
        <w:rPr>
          <w:rFonts w:cs="Times New Roman"/>
        </w:rPr>
        <w:t>3</w:t>
      </w:r>
      <w:r>
        <w:t xml:space="preserve"> </w:t>
      </w:r>
      <w:r w:rsidRPr="00AF6FA7">
        <w:t>total reduction/</w:t>
      </w:r>
      <w:r>
        <w:t>330</w:t>
      </w:r>
      <w:r w:rsidRPr="00AF6FA7">
        <w:t xml:space="preserve"> </w:t>
      </w:r>
      <w:r>
        <w:t>LTCH</w:t>
      </w:r>
      <w:r w:rsidRPr="00AF6FA7">
        <w:t>s) based on the proposed removal of the Percent of Long-Term Care Hospital Patients with an Admission and Discharge Functional Assessment and a Care Plan That Addresses Function measur</w:t>
      </w:r>
      <w:r>
        <w:t xml:space="preserve">e and the </w:t>
      </w:r>
      <w:r w:rsidRPr="00AF6FA7">
        <w:t>Application of Percent of Long-Term Care Hospital Patients with an Admission and Discharge Functional Assessment and a Care Plan That Addresses Function measure.</w:t>
      </w:r>
    </w:p>
    <w:p w:rsidR="00D558AF" w:rsidP="0058324F" w14:paraId="6EBE9840" w14:textId="20E3B24F">
      <w:pPr>
        <w:pStyle w:val="ListContinue"/>
        <w:keepNext/>
        <w:keepLines/>
      </w:pPr>
    </w:p>
    <w:p w:rsidR="00D558AF" w:rsidRPr="00802A11" w:rsidP="00D558AF" w14:paraId="536DEB39" w14:textId="53946FE8">
      <w:pPr>
        <w:pStyle w:val="ListContinue"/>
        <w:rPr>
          <w:b/>
          <w:bCs/>
          <w:color w:val="000000" w:themeColor="text1"/>
          <w:u w:val="single"/>
        </w:rPr>
      </w:pPr>
      <w:r w:rsidRPr="00802A11">
        <w:rPr>
          <w:b/>
          <w:bCs/>
          <w:color w:val="000000" w:themeColor="text1"/>
          <w:u w:val="single"/>
        </w:rPr>
        <w:t xml:space="preserve">Burden </w:t>
      </w:r>
      <w:r>
        <w:rPr>
          <w:b/>
          <w:bCs/>
          <w:color w:val="000000" w:themeColor="text1"/>
          <w:u w:val="single"/>
        </w:rPr>
        <w:t xml:space="preserve">Hours and Cost </w:t>
      </w:r>
      <w:r w:rsidRPr="00802A11">
        <w:rPr>
          <w:b/>
          <w:bCs/>
          <w:color w:val="000000" w:themeColor="text1"/>
          <w:u w:val="single"/>
        </w:rPr>
        <w:t xml:space="preserve">Calculation for </w:t>
      </w:r>
      <w:r>
        <w:rPr>
          <w:b/>
          <w:bCs/>
          <w:color w:val="000000" w:themeColor="text1"/>
          <w:u w:val="single"/>
        </w:rPr>
        <w:t xml:space="preserve">LCDS </w:t>
      </w:r>
      <w:r w:rsidRPr="00802A11">
        <w:rPr>
          <w:b/>
          <w:bCs/>
          <w:color w:val="000000" w:themeColor="text1"/>
          <w:u w:val="single"/>
        </w:rPr>
        <w:t>V</w:t>
      </w:r>
      <w:r>
        <w:rPr>
          <w:b/>
          <w:bCs/>
          <w:color w:val="000000" w:themeColor="text1"/>
          <w:u w:val="single"/>
        </w:rPr>
        <w:t>5</w:t>
      </w:r>
      <w:r w:rsidRPr="00802A11">
        <w:rPr>
          <w:b/>
          <w:bCs/>
          <w:color w:val="000000" w:themeColor="text1"/>
          <w:u w:val="single"/>
        </w:rPr>
        <w:t>.</w:t>
      </w:r>
      <w:r w:rsidR="00EA2048">
        <w:rPr>
          <w:b/>
          <w:bCs/>
          <w:color w:val="000000" w:themeColor="text1"/>
          <w:u w:val="single"/>
        </w:rPr>
        <w:t>0</w:t>
      </w:r>
      <w:r>
        <w:rPr>
          <w:b/>
          <w:bCs/>
          <w:color w:val="000000" w:themeColor="text1"/>
          <w:u w:val="single"/>
        </w:rPr>
        <w:t xml:space="preserve"> for the FY 2025 LTCH QRP</w:t>
      </w:r>
      <w:r w:rsidRPr="00802A11">
        <w:rPr>
          <w:b/>
          <w:bCs/>
          <w:color w:val="000000" w:themeColor="text1"/>
          <w:u w:val="single"/>
        </w:rPr>
        <w:t>:</w:t>
      </w:r>
    </w:p>
    <w:tbl>
      <w:tblPr>
        <w:tblStyle w:val="TableGrid"/>
        <w:tblW w:w="0" w:type="auto"/>
        <w:tblInd w:w="445" w:type="dxa"/>
        <w:tblLook w:val="04A0"/>
      </w:tblPr>
      <w:tblGrid>
        <w:gridCol w:w="6599"/>
        <w:gridCol w:w="2306"/>
      </w:tblGrid>
      <w:tr w14:paraId="1B523788" w14:textId="77777777" w:rsidTr="006F6AC3">
        <w:tblPrEx>
          <w:tblW w:w="0" w:type="auto"/>
          <w:tblInd w:w="445" w:type="dxa"/>
          <w:tblLook w:val="04A0"/>
        </w:tblPrEx>
        <w:tc>
          <w:tcPr>
            <w:tcW w:w="6599" w:type="dxa"/>
          </w:tcPr>
          <w:p w:rsidR="00D558AF" w:rsidRPr="00802A11" w:rsidP="006F6AC3" w14:paraId="3AE5DDC6" w14:textId="16671CD5">
            <w:pPr>
              <w:pStyle w:val="ListContinue"/>
              <w:spacing w:after="0"/>
              <w:ind w:left="0"/>
              <w:rPr>
                <w:color w:val="000000" w:themeColor="text1"/>
              </w:rPr>
            </w:pPr>
            <w:r w:rsidRPr="00802A11">
              <w:rPr>
                <w:color w:val="000000" w:themeColor="text1"/>
              </w:rPr>
              <w:t xml:space="preserve">Average number of </w:t>
            </w:r>
            <w:r w:rsidR="00851250">
              <w:rPr>
                <w:color w:val="000000" w:themeColor="text1"/>
              </w:rPr>
              <w:t>LTCH</w:t>
            </w:r>
            <w:r w:rsidRPr="00802A11">
              <w:rPr>
                <w:color w:val="000000" w:themeColor="text1"/>
              </w:rPr>
              <w:t>s in U.S. in 2022</w:t>
            </w:r>
          </w:p>
        </w:tc>
        <w:tc>
          <w:tcPr>
            <w:tcW w:w="2306" w:type="dxa"/>
          </w:tcPr>
          <w:p w:rsidR="00D558AF" w:rsidRPr="00802A11" w:rsidP="006F6AC3" w14:paraId="1F79B645" w14:textId="3F5F1C48">
            <w:pPr>
              <w:pStyle w:val="ListContinue"/>
              <w:spacing w:after="0"/>
              <w:ind w:left="0"/>
              <w:jc w:val="right"/>
              <w:rPr>
                <w:color w:val="000000" w:themeColor="text1"/>
              </w:rPr>
            </w:pPr>
            <w:r>
              <w:rPr>
                <w:color w:val="000000" w:themeColor="text1"/>
              </w:rPr>
              <w:t>330</w:t>
            </w:r>
          </w:p>
        </w:tc>
      </w:tr>
      <w:tr w14:paraId="10A446DF" w14:textId="77777777" w:rsidTr="006F6AC3">
        <w:tblPrEx>
          <w:tblW w:w="0" w:type="auto"/>
          <w:tblInd w:w="445" w:type="dxa"/>
          <w:tblLook w:val="04A0"/>
        </w:tblPrEx>
        <w:tc>
          <w:tcPr>
            <w:tcW w:w="6599" w:type="dxa"/>
          </w:tcPr>
          <w:p w:rsidR="00D558AF" w:rsidRPr="00802A11" w:rsidP="006F6AC3" w14:paraId="3C29144E" w14:textId="5C6C1AE6">
            <w:pPr>
              <w:pStyle w:val="ListContinue"/>
              <w:spacing w:after="0"/>
              <w:ind w:left="0"/>
              <w:rPr>
                <w:color w:val="000000" w:themeColor="text1"/>
              </w:rPr>
            </w:pPr>
            <w:r>
              <w:rPr>
                <w:color w:val="000000" w:themeColor="text1"/>
              </w:rPr>
              <w:t>Average</w:t>
            </w:r>
            <w:r w:rsidRPr="00802A11">
              <w:rPr>
                <w:color w:val="000000" w:themeColor="text1"/>
              </w:rPr>
              <w:t xml:space="preserve"> number of </w:t>
            </w:r>
            <w:r w:rsidR="00851250">
              <w:rPr>
                <w:color w:val="000000" w:themeColor="text1"/>
              </w:rPr>
              <w:t>LCDS</w:t>
            </w:r>
            <w:r w:rsidRPr="00802A11">
              <w:rPr>
                <w:color w:val="000000" w:themeColor="text1"/>
              </w:rPr>
              <w:t xml:space="preserve"> </w:t>
            </w:r>
            <w:r>
              <w:rPr>
                <w:color w:val="000000" w:themeColor="text1"/>
              </w:rPr>
              <w:t xml:space="preserve">admission </w:t>
            </w:r>
            <w:r w:rsidR="00C2395F">
              <w:rPr>
                <w:color w:val="000000" w:themeColor="text1"/>
              </w:rPr>
              <w:t>assessments</w:t>
            </w:r>
            <w:r w:rsidRPr="00802A11">
              <w:rPr>
                <w:color w:val="000000" w:themeColor="text1"/>
              </w:rPr>
              <w:t xml:space="preserve"> submitted per each </w:t>
            </w:r>
            <w:r w:rsidR="00851250">
              <w:rPr>
                <w:color w:val="000000" w:themeColor="text1"/>
              </w:rPr>
              <w:t xml:space="preserve">LTCH </w:t>
            </w:r>
            <w:r>
              <w:rPr>
                <w:color w:val="000000" w:themeColor="text1"/>
              </w:rPr>
              <w:t xml:space="preserve">for the FY 2025 </w:t>
            </w:r>
            <w:r w:rsidR="00C2395F">
              <w:rPr>
                <w:color w:val="000000" w:themeColor="text1"/>
              </w:rPr>
              <w:t>LTCH</w:t>
            </w:r>
            <w:r>
              <w:rPr>
                <w:color w:val="000000" w:themeColor="text1"/>
              </w:rPr>
              <w:t xml:space="preserve"> QRP</w:t>
            </w:r>
          </w:p>
        </w:tc>
        <w:tc>
          <w:tcPr>
            <w:tcW w:w="2306" w:type="dxa"/>
            <w:vAlign w:val="center"/>
          </w:tcPr>
          <w:p w:rsidR="00D558AF" w:rsidRPr="00802A11" w:rsidP="006F6AC3" w14:paraId="0EFCBB26" w14:textId="69818781">
            <w:pPr>
              <w:pStyle w:val="ListContinue"/>
              <w:spacing w:after="0"/>
              <w:ind w:left="0"/>
              <w:jc w:val="right"/>
              <w:rPr>
                <w:color w:val="000000" w:themeColor="text1"/>
              </w:rPr>
            </w:pPr>
            <w:r>
              <w:rPr>
                <w:color w:val="000000" w:themeColor="text1"/>
              </w:rPr>
              <w:t>448.75</w:t>
            </w:r>
          </w:p>
        </w:tc>
      </w:tr>
      <w:tr w14:paraId="0215CDA1" w14:textId="77777777" w:rsidTr="006F6AC3">
        <w:tblPrEx>
          <w:tblW w:w="0" w:type="auto"/>
          <w:tblInd w:w="445" w:type="dxa"/>
          <w:tblLook w:val="04A0"/>
        </w:tblPrEx>
        <w:tc>
          <w:tcPr>
            <w:tcW w:w="6599" w:type="dxa"/>
          </w:tcPr>
          <w:p w:rsidR="00C2395F" w:rsidP="006F6AC3" w14:paraId="4288341A" w14:textId="113FD5D7">
            <w:pPr>
              <w:pStyle w:val="ListContinue"/>
              <w:spacing w:after="0"/>
              <w:ind w:left="0"/>
              <w:rPr>
                <w:color w:val="000000" w:themeColor="text1"/>
              </w:rPr>
            </w:pPr>
            <w:r>
              <w:rPr>
                <w:color w:val="000000" w:themeColor="text1"/>
              </w:rPr>
              <w:t>Average</w:t>
            </w:r>
            <w:r w:rsidRPr="00802A11">
              <w:rPr>
                <w:color w:val="000000" w:themeColor="text1"/>
              </w:rPr>
              <w:t xml:space="preserve"> number of </w:t>
            </w:r>
            <w:r>
              <w:rPr>
                <w:color w:val="000000" w:themeColor="text1"/>
              </w:rPr>
              <w:t>LCDS</w:t>
            </w:r>
            <w:r w:rsidRPr="00802A11">
              <w:rPr>
                <w:color w:val="000000" w:themeColor="text1"/>
              </w:rPr>
              <w:t xml:space="preserve"> </w:t>
            </w:r>
            <w:r>
              <w:rPr>
                <w:color w:val="000000" w:themeColor="text1"/>
              </w:rPr>
              <w:t>planned discharge assessments</w:t>
            </w:r>
            <w:r w:rsidRPr="00802A11">
              <w:rPr>
                <w:color w:val="000000" w:themeColor="text1"/>
              </w:rPr>
              <w:t xml:space="preserve"> submitted per each </w:t>
            </w:r>
            <w:r>
              <w:rPr>
                <w:color w:val="000000" w:themeColor="text1"/>
              </w:rPr>
              <w:t>LTCH for the FY 2025 LTCH QRP</w:t>
            </w:r>
          </w:p>
        </w:tc>
        <w:tc>
          <w:tcPr>
            <w:tcW w:w="2306" w:type="dxa"/>
            <w:vAlign w:val="center"/>
          </w:tcPr>
          <w:p w:rsidR="00C2395F" w:rsidRPr="00286ABA" w:rsidP="006F6AC3" w14:paraId="7E439771" w14:textId="1752DCF6">
            <w:pPr>
              <w:pStyle w:val="ListContinue"/>
              <w:spacing w:after="0"/>
              <w:ind w:left="0"/>
              <w:jc w:val="right"/>
              <w:rPr>
                <w:color w:val="000000" w:themeColor="text1"/>
              </w:rPr>
            </w:pPr>
            <w:r>
              <w:rPr>
                <w:color w:val="000000" w:themeColor="text1"/>
              </w:rPr>
              <w:t>337.12</w:t>
            </w:r>
          </w:p>
        </w:tc>
      </w:tr>
      <w:tr w14:paraId="14370CB7" w14:textId="77777777" w:rsidTr="006F6AC3">
        <w:tblPrEx>
          <w:tblW w:w="0" w:type="auto"/>
          <w:tblInd w:w="445" w:type="dxa"/>
          <w:tblLook w:val="04A0"/>
        </w:tblPrEx>
        <w:tc>
          <w:tcPr>
            <w:tcW w:w="6599" w:type="dxa"/>
          </w:tcPr>
          <w:p w:rsidR="00D558AF" w:rsidRPr="00802A11" w:rsidP="006F6AC3" w14:paraId="093F96FB" w14:textId="3E44BEB8">
            <w:pPr>
              <w:pStyle w:val="ListContinue"/>
              <w:spacing w:after="0"/>
              <w:ind w:left="0"/>
              <w:rPr>
                <w:color w:val="000000" w:themeColor="text1"/>
              </w:rPr>
            </w:pPr>
            <w:r>
              <w:rPr>
                <w:color w:val="000000" w:themeColor="text1"/>
              </w:rPr>
              <w:t xml:space="preserve">Average </w:t>
            </w:r>
            <w:r w:rsidRPr="00802A11">
              <w:rPr>
                <w:color w:val="000000" w:themeColor="text1"/>
              </w:rPr>
              <w:t xml:space="preserve">number of </w:t>
            </w:r>
            <w:r w:rsidR="00851250">
              <w:rPr>
                <w:color w:val="000000" w:themeColor="text1"/>
              </w:rPr>
              <w:t>LCDS</w:t>
            </w:r>
            <w:r w:rsidRPr="00802A11">
              <w:rPr>
                <w:color w:val="000000" w:themeColor="text1"/>
              </w:rPr>
              <w:t xml:space="preserve"> </w:t>
            </w:r>
            <w:r>
              <w:rPr>
                <w:color w:val="000000" w:themeColor="text1"/>
              </w:rPr>
              <w:t xml:space="preserve">admission </w:t>
            </w:r>
            <w:r w:rsidR="00EA2048">
              <w:rPr>
                <w:color w:val="000000" w:themeColor="text1"/>
              </w:rPr>
              <w:t xml:space="preserve">assessments </w:t>
            </w:r>
            <w:r w:rsidRPr="00802A11">
              <w:rPr>
                <w:color w:val="000000" w:themeColor="text1"/>
              </w:rPr>
              <w:t xml:space="preserve">submitted for all </w:t>
            </w:r>
            <w:r w:rsidR="00851250">
              <w:rPr>
                <w:color w:val="000000" w:themeColor="text1"/>
              </w:rPr>
              <w:t>LTCH</w:t>
            </w:r>
            <w:r w:rsidRPr="00802A11">
              <w:rPr>
                <w:color w:val="000000" w:themeColor="text1"/>
              </w:rPr>
              <w:t xml:space="preserve">s </w:t>
            </w:r>
            <w:r>
              <w:rPr>
                <w:color w:val="000000" w:themeColor="text1"/>
              </w:rPr>
              <w:t xml:space="preserve">for the FY 2025 </w:t>
            </w:r>
            <w:r w:rsidR="00851250">
              <w:rPr>
                <w:color w:val="000000" w:themeColor="text1"/>
              </w:rPr>
              <w:t>LTCH</w:t>
            </w:r>
            <w:r>
              <w:rPr>
                <w:color w:val="000000" w:themeColor="text1"/>
              </w:rPr>
              <w:t xml:space="preserve"> QRP</w:t>
            </w:r>
          </w:p>
        </w:tc>
        <w:tc>
          <w:tcPr>
            <w:tcW w:w="2306" w:type="dxa"/>
            <w:vAlign w:val="center"/>
          </w:tcPr>
          <w:p w:rsidR="00D558AF" w:rsidRPr="00802A11" w:rsidP="006F6AC3" w14:paraId="678FD6F9" w14:textId="435B7DCF">
            <w:pPr>
              <w:pStyle w:val="ListContinue"/>
              <w:spacing w:after="0"/>
              <w:ind w:left="0"/>
              <w:jc w:val="right"/>
              <w:rPr>
                <w:color w:val="000000" w:themeColor="text1"/>
              </w:rPr>
            </w:pPr>
            <w:r w:rsidRPr="00286ABA">
              <w:rPr>
                <w:color w:val="000000" w:themeColor="text1"/>
              </w:rPr>
              <w:t>148,088</w:t>
            </w:r>
          </w:p>
        </w:tc>
      </w:tr>
      <w:tr w14:paraId="7B6CCA30" w14:textId="77777777" w:rsidTr="006F6AC3">
        <w:tblPrEx>
          <w:tblW w:w="0" w:type="auto"/>
          <w:tblInd w:w="445" w:type="dxa"/>
          <w:tblLook w:val="04A0"/>
        </w:tblPrEx>
        <w:tc>
          <w:tcPr>
            <w:tcW w:w="6599" w:type="dxa"/>
          </w:tcPr>
          <w:p w:rsidR="00EA2048" w:rsidP="006F6AC3" w14:paraId="06600466" w14:textId="13AB6EA6">
            <w:pPr>
              <w:pStyle w:val="ListContinue"/>
              <w:spacing w:after="0"/>
              <w:ind w:left="0"/>
              <w:rPr>
                <w:color w:val="000000" w:themeColor="text1"/>
              </w:rPr>
            </w:pPr>
            <w:r>
              <w:rPr>
                <w:color w:val="000000" w:themeColor="text1"/>
              </w:rPr>
              <w:t xml:space="preserve">Average </w:t>
            </w:r>
            <w:r w:rsidRPr="00802A11">
              <w:rPr>
                <w:color w:val="000000" w:themeColor="text1"/>
              </w:rPr>
              <w:t xml:space="preserve">number of </w:t>
            </w:r>
            <w:r>
              <w:rPr>
                <w:color w:val="000000" w:themeColor="text1"/>
              </w:rPr>
              <w:t>LCDS</w:t>
            </w:r>
            <w:r w:rsidRPr="00802A11">
              <w:rPr>
                <w:color w:val="000000" w:themeColor="text1"/>
              </w:rPr>
              <w:t xml:space="preserve"> </w:t>
            </w:r>
            <w:r>
              <w:rPr>
                <w:color w:val="000000" w:themeColor="text1"/>
              </w:rPr>
              <w:t xml:space="preserve">planned discharge assessments </w:t>
            </w:r>
            <w:r w:rsidRPr="00802A11">
              <w:rPr>
                <w:color w:val="000000" w:themeColor="text1"/>
              </w:rPr>
              <w:t xml:space="preserve">submitted for all </w:t>
            </w:r>
            <w:r>
              <w:rPr>
                <w:color w:val="000000" w:themeColor="text1"/>
              </w:rPr>
              <w:t>LTCH</w:t>
            </w:r>
            <w:r w:rsidRPr="00802A11">
              <w:rPr>
                <w:color w:val="000000" w:themeColor="text1"/>
              </w:rPr>
              <w:t xml:space="preserve">s </w:t>
            </w:r>
            <w:r>
              <w:rPr>
                <w:color w:val="000000" w:themeColor="text1"/>
              </w:rPr>
              <w:t>for the FY 2025 LTCH QRP</w:t>
            </w:r>
          </w:p>
        </w:tc>
        <w:tc>
          <w:tcPr>
            <w:tcW w:w="2306" w:type="dxa"/>
            <w:vAlign w:val="center"/>
          </w:tcPr>
          <w:p w:rsidR="00EA2048" w:rsidP="006F6AC3" w14:paraId="2C956C69" w14:textId="4B6E61AE">
            <w:pPr>
              <w:pStyle w:val="ListContinue"/>
              <w:spacing w:after="0"/>
              <w:ind w:left="0"/>
              <w:jc w:val="right"/>
              <w:rPr>
                <w:color w:val="000000" w:themeColor="text1"/>
              </w:rPr>
            </w:pPr>
            <w:r w:rsidRPr="00286ABA">
              <w:rPr>
                <w:color w:val="000000" w:themeColor="text1"/>
              </w:rPr>
              <w:t>111,251</w:t>
            </w:r>
          </w:p>
        </w:tc>
      </w:tr>
      <w:tr w14:paraId="2ACE42BC" w14:textId="77777777" w:rsidTr="006F6AC3">
        <w:tblPrEx>
          <w:tblW w:w="0" w:type="auto"/>
          <w:tblInd w:w="445" w:type="dxa"/>
          <w:tblLook w:val="04A0"/>
        </w:tblPrEx>
        <w:tc>
          <w:tcPr>
            <w:tcW w:w="6599" w:type="dxa"/>
          </w:tcPr>
          <w:p w:rsidR="00D558AF" w:rsidP="006F6AC3" w14:paraId="1D776614" w14:textId="10CD279A">
            <w:pPr>
              <w:pStyle w:val="ListContinue"/>
              <w:spacing w:after="0"/>
              <w:ind w:left="0"/>
              <w:rPr>
                <w:color w:val="000000" w:themeColor="text1"/>
              </w:rPr>
            </w:pPr>
            <w:r>
              <w:rPr>
                <w:color w:val="000000" w:themeColor="text1"/>
              </w:rPr>
              <w:t>Decrease in Hours for each</w:t>
            </w:r>
            <w:r w:rsidR="00C2395F">
              <w:rPr>
                <w:color w:val="000000" w:themeColor="text1"/>
              </w:rPr>
              <w:t xml:space="preserve"> LTCH</w:t>
            </w:r>
            <w:r>
              <w:rPr>
                <w:color w:val="000000" w:themeColor="text1"/>
              </w:rPr>
              <w:t xml:space="preserve"> annually</w:t>
            </w:r>
            <w:r w:rsidR="00EA2048">
              <w:rPr>
                <w:color w:val="000000" w:themeColor="text1"/>
              </w:rPr>
              <w:t xml:space="preserve"> resulting from the proposed removal of the </w:t>
            </w:r>
            <w:r w:rsidRPr="00AF6FA7" w:rsidR="00EA2048">
              <w:t>Percent of Long-Term Care Hospital Patients with an Admission and Discharge Functional Assessment and a Care Plan That Addresses Function measure</w:t>
            </w:r>
            <w:r w:rsidR="00EA2048">
              <w:t xml:space="preserve"> beginning with the FY 2025 LTCH QRP</w:t>
            </w:r>
          </w:p>
        </w:tc>
        <w:tc>
          <w:tcPr>
            <w:tcW w:w="2306" w:type="dxa"/>
            <w:vAlign w:val="center"/>
          </w:tcPr>
          <w:p w:rsidR="00D558AF" w:rsidP="006F6AC3" w14:paraId="0893D7E6" w14:textId="58163865">
            <w:pPr>
              <w:pStyle w:val="ListContinue"/>
              <w:spacing w:after="0"/>
              <w:ind w:left="0"/>
              <w:jc w:val="right"/>
              <w:rPr>
                <w:color w:val="000000" w:themeColor="text1"/>
              </w:rPr>
            </w:pPr>
            <w:r>
              <w:rPr>
                <w:color w:val="000000" w:themeColor="text1"/>
              </w:rPr>
              <w:t>(</w:t>
            </w:r>
            <w:r w:rsidR="00EA2048">
              <w:rPr>
                <w:color w:val="000000" w:themeColor="text1"/>
              </w:rPr>
              <w:t>6.17</w:t>
            </w:r>
            <w:r>
              <w:rPr>
                <w:color w:val="000000" w:themeColor="text1"/>
              </w:rPr>
              <w:t>)</w:t>
            </w:r>
          </w:p>
        </w:tc>
      </w:tr>
      <w:tr w14:paraId="5A6510D5" w14:textId="77777777" w:rsidTr="006F6AC3">
        <w:tblPrEx>
          <w:tblW w:w="0" w:type="auto"/>
          <w:tblInd w:w="445" w:type="dxa"/>
          <w:tblLook w:val="04A0"/>
        </w:tblPrEx>
        <w:tc>
          <w:tcPr>
            <w:tcW w:w="6599" w:type="dxa"/>
          </w:tcPr>
          <w:p w:rsidR="00D558AF" w:rsidP="006F6AC3" w14:paraId="45E2F845" w14:textId="09C3A589">
            <w:pPr>
              <w:pStyle w:val="ListContinue"/>
              <w:spacing w:after="0"/>
              <w:ind w:left="0"/>
              <w:rPr>
                <w:color w:val="000000" w:themeColor="text1"/>
              </w:rPr>
            </w:pPr>
            <w:r>
              <w:rPr>
                <w:color w:val="000000" w:themeColor="text1"/>
              </w:rPr>
              <w:t xml:space="preserve">Decrease in Hours for all </w:t>
            </w:r>
            <w:r w:rsidR="00C2395F">
              <w:rPr>
                <w:color w:val="000000" w:themeColor="text1"/>
              </w:rPr>
              <w:t>LTCH</w:t>
            </w:r>
            <w:r>
              <w:rPr>
                <w:color w:val="000000" w:themeColor="text1"/>
              </w:rPr>
              <w:t>s annually</w:t>
            </w:r>
            <w:r w:rsidR="00EA2048">
              <w:rPr>
                <w:color w:val="000000" w:themeColor="text1"/>
              </w:rPr>
              <w:t xml:space="preserve"> resulting from the proposed removal of the </w:t>
            </w:r>
            <w:r w:rsidRPr="00AF6FA7" w:rsidR="00EA2048">
              <w:t>Percent of Long-Term Care Hospital Patients with an Admission and Discharge Functional Assessment and a Care Plan That Addresses Function measure</w:t>
            </w:r>
            <w:r w:rsidR="00EA2048">
              <w:t xml:space="preserve"> beginning with the FY 2025 LTCH QRP</w:t>
            </w:r>
          </w:p>
        </w:tc>
        <w:tc>
          <w:tcPr>
            <w:tcW w:w="2306" w:type="dxa"/>
            <w:vAlign w:val="center"/>
          </w:tcPr>
          <w:p w:rsidR="00D558AF" w:rsidP="006F6AC3" w14:paraId="2F5B3DF8" w14:textId="3ABCA218">
            <w:pPr>
              <w:pStyle w:val="ListContinue"/>
              <w:spacing w:after="0"/>
              <w:ind w:left="0"/>
              <w:jc w:val="right"/>
              <w:rPr>
                <w:color w:val="000000" w:themeColor="text1"/>
              </w:rPr>
            </w:pPr>
            <w:r>
              <w:rPr>
                <w:color w:val="000000" w:themeColor="text1"/>
              </w:rPr>
              <w:t>(</w:t>
            </w:r>
            <w:r w:rsidR="00EA2048">
              <w:rPr>
                <w:color w:val="000000" w:themeColor="text1"/>
              </w:rPr>
              <w:t>2,037.1</w:t>
            </w:r>
            <w:r w:rsidR="00047A38">
              <w:rPr>
                <w:color w:val="000000" w:themeColor="text1"/>
              </w:rPr>
              <w:t>35</w:t>
            </w:r>
            <w:r>
              <w:rPr>
                <w:color w:val="000000" w:themeColor="text1"/>
              </w:rPr>
              <w:t>)</w:t>
            </w:r>
          </w:p>
        </w:tc>
      </w:tr>
      <w:tr w14:paraId="0D755862" w14:textId="77777777" w:rsidTr="006F6AC3">
        <w:tblPrEx>
          <w:tblW w:w="0" w:type="auto"/>
          <w:tblInd w:w="445" w:type="dxa"/>
          <w:tblLook w:val="04A0"/>
        </w:tblPrEx>
        <w:tc>
          <w:tcPr>
            <w:tcW w:w="6599" w:type="dxa"/>
            <w:shd w:val="clear" w:color="auto" w:fill="000000" w:themeFill="text1"/>
          </w:tcPr>
          <w:p w:rsidR="00D558AF" w:rsidRPr="00864FD4" w:rsidP="006F6AC3" w14:paraId="7243AEFE" w14:textId="1157291E">
            <w:pPr>
              <w:pStyle w:val="ListContinue"/>
              <w:spacing w:after="0"/>
              <w:ind w:left="0"/>
              <w:rPr>
                <w:color w:val="FF0000"/>
                <w:sz w:val="10"/>
              </w:rPr>
            </w:pPr>
            <w:r w:rsidRPr="00864FD4">
              <w:rPr>
                <w:color w:val="000000" w:themeColor="text1"/>
                <w:sz w:val="10"/>
              </w:rPr>
              <w:t>No data</w:t>
            </w:r>
          </w:p>
        </w:tc>
        <w:tc>
          <w:tcPr>
            <w:tcW w:w="2306" w:type="dxa"/>
            <w:shd w:val="clear" w:color="auto" w:fill="000000" w:themeFill="text1"/>
          </w:tcPr>
          <w:p w:rsidR="00D558AF" w:rsidRPr="00864FD4" w:rsidP="006F6AC3" w14:paraId="299D2A87" w14:textId="2DB9A4E5">
            <w:pPr>
              <w:pStyle w:val="ListContinue"/>
              <w:spacing w:after="0"/>
              <w:ind w:left="0"/>
              <w:rPr>
                <w:color w:val="FF0000"/>
                <w:sz w:val="10"/>
              </w:rPr>
            </w:pPr>
            <w:r w:rsidRPr="00864FD4">
              <w:rPr>
                <w:color w:val="000000" w:themeColor="text1"/>
                <w:sz w:val="10"/>
              </w:rPr>
              <w:t>No data</w:t>
            </w:r>
          </w:p>
        </w:tc>
      </w:tr>
      <w:tr w14:paraId="3B94C212" w14:textId="77777777" w:rsidTr="00FF1968">
        <w:tblPrEx>
          <w:tblW w:w="0" w:type="auto"/>
          <w:tblInd w:w="445" w:type="dxa"/>
          <w:tblLook w:val="04A0"/>
        </w:tblPrEx>
        <w:tc>
          <w:tcPr>
            <w:tcW w:w="6599" w:type="dxa"/>
          </w:tcPr>
          <w:p w:rsidR="00EA2048" w:rsidRPr="00802A11" w:rsidP="00EA2048" w14:paraId="69CC6B2F" w14:textId="60583A67">
            <w:pPr>
              <w:pStyle w:val="ListContinue"/>
              <w:spacing w:after="0"/>
              <w:ind w:left="0"/>
              <w:rPr>
                <w:color w:val="000000" w:themeColor="text1"/>
              </w:rPr>
            </w:pPr>
            <w:r>
              <w:rPr>
                <w:color w:val="000000" w:themeColor="text1"/>
              </w:rPr>
              <w:t>Change in Annual Cost</w:t>
            </w:r>
            <w:r w:rsidRPr="00802A11">
              <w:rPr>
                <w:color w:val="000000" w:themeColor="text1"/>
              </w:rPr>
              <w:t xml:space="preserve"> for each </w:t>
            </w:r>
            <w:r>
              <w:rPr>
                <w:color w:val="000000" w:themeColor="text1"/>
              </w:rPr>
              <w:t>LTCH for the FY 2025 LTCH QRP</w:t>
            </w:r>
          </w:p>
        </w:tc>
        <w:tc>
          <w:tcPr>
            <w:tcW w:w="2306" w:type="dxa"/>
            <w:vAlign w:val="center"/>
          </w:tcPr>
          <w:p w:rsidR="00EA2048" w:rsidRPr="00802A11" w:rsidP="00EA2048" w14:paraId="6238E421" w14:textId="0D6CE4E4">
            <w:pPr>
              <w:pStyle w:val="ListContinue"/>
              <w:spacing w:after="0"/>
              <w:ind w:left="0"/>
              <w:jc w:val="right"/>
              <w:rPr>
                <w:color w:val="000000" w:themeColor="text1"/>
              </w:rPr>
            </w:pPr>
            <w:r>
              <w:rPr>
                <w:color w:val="000000" w:themeColor="text1"/>
              </w:rPr>
              <w:t>($532.1</w:t>
            </w:r>
            <w:r w:rsidR="00047A38">
              <w:rPr>
                <w:color w:val="000000" w:themeColor="text1"/>
              </w:rPr>
              <w:t>76</w:t>
            </w:r>
            <w:r>
              <w:rPr>
                <w:color w:val="000000" w:themeColor="text1"/>
              </w:rPr>
              <w:t>8)</w:t>
            </w:r>
          </w:p>
        </w:tc>
      </w:tr>
      <w:tr w14:paraId="2BE92768" w14:textId="77777777" w:rsidTr="00FF1968">
        <w:tblPrEx>
          <w:tblW w:w="0" w:type="auto"/>
          <w:tblInd w:w="445" w:type="dxa"/>
          <w:tblLook w:val="04A0"/>
        </w:tblPrEx>
        <w:tc>
          <w:tcPr>
            <w:tcW w:w="6599" w:type="dxa"/>
          </w:tcPr>
          <w:p w:rsidR="00EA2048" w:rsidP="00EA2048" w14:paraId="54E5FE96" w14:textId="0FCAE757">
            <w:pPr>
              <w:pStyle w:val="ListContinue"/>
              <w:spacing w:after="0"/>
              <w:ind w:left="0"/>
              <w:rPr>
                <w:color w:val="000000" w:themeColor="text1"/>
              </w:rPr>
            </w:pPr>
            <w:r>
              <w:rPr>
                <w:color w:val="000000" w:themeColor="text1"/>
              </w:rPr>
              <w:t xml:space="preserve">Change in Annual Cost </w:t>
            </w:r>
            <w:r w:rsidRPr="00802A11">
              <w:rPr>
                <w:color w:val="000000" w:themeColor="text1"/>
              </w:rPr>
              <w:t xml:space="preserve">for all </w:t>
            </w:r>
            <w:r>
              <w:rPr>
                <w:color w:val="000000" w:themeColor="text1"/>
              </w:rPr>
              <w:t>LTCH</w:t>
            </w:r>
            <w:r w:rsidRPr="00802A11">
              <w:rPr>
                <w:color w:val="000000" w:themeColor="text1"/>
              </w:rPr>
              <w:t>s</w:t>
            </w:r>
            <w:r>
              <w:rPr>
                <w:color w:val="000000" w:themeColor="text1"/>
              </w:rPr>
              <w:t xml:space="preserve"> for the FY 2025 LTCH QRP</w:t>
            </w:r>
          </w:p>
        </w:tc>
        <w:tc>
          <w:tcPr>
            <w:tcW w:w="2306" w:type="dxa"/>
            <w:vAlign w:val="center"/>
          </w:tcPr>
          <w:p w:rsidR="00EA2048" w:rsidP="00EA2048" w14:paraId="1664965D" w14:textId="67EED377">
            <w:pPr>
              <w:pStyle w:val="ListContinue"/>
              <w:spacing w:after="0"/>
              <w:ind w:left="0"/>
              <w:jc w:val="right"/>
              <w:rPr>
                <w:color w:val="000000" w:themeColor="text1"/>
              </w:rPr>
            </w:pPr>
            <w:r>
              <w:rPr>
                <w:color w:val="000000" w:themeColor="text1"/>
              </w:rPr>
              <w:t>($175,618.35</w:t>
            </w:r>
            <w:r w:rsidR="00047A38">
              <w:rPr>
                <w:color w:val="000000" w:themeColor="text1"/>
              </w:rPr>
              <w:t>3</w:t>
            </w:r>
            <w:r>
              <w:rPr>
                <w:color w:val="000000" w:themeColor="text1"/>
              </w:rPr>
              <w:t>)</w:t>
            </w:r>
          </w:p>
        </w:tc>
      </w:tr>
    </w:tbl>
    <w:p w:rsidR="0058324F" w:rsidP="00FF1968" w14:paraId="62C565DF" w14:textId="77777777">
      <w:pPr>
        <w:pStyle w:val="ListContinue"/>
        <w:spacing w:after="0"/>
        <w:ind w:left="0"/>
        <w:rPr>
          <w:color w:val="000000" w:themeColor="text1"/>
        </w:rPr>
      </w:pPr>
    </w:p>
    <w:p w:rsidR="0058324F" w:rsidRPr="00432895" w:rsidP="0058324F" w14:paraId="49E1FB52" w14:textId="1C412300">
      <w:pPr>
        <w:pStyle w:val="Heading3"/>
        <w:numPr>
          <w:ilvl w:val="0"/>
          <w:numId w:val="32"/>
        </w:numPr>
        <w:rPr>
          <w:rFonts w:ascii="Times New Roman" w:hAnsi="Times New Roman" w:eastAsiaTheme="minorHAnsi" w:cstheme="minorBidi"/>
          <w:color w:val="000000" w:themeColor="text1"/>
          <w:sz w:val="22"/>
          <w:szCs w:val="22"/>
        </w:rPr>
      </w:pPr>
      <w:bookmarkStart w:id="121" w:name="_Toc144904229"/>
      <w:r>
        <w:rPr>
          <w:rFonts w:ascii="Times New Roman" w:hAnsi="Times New Roman" w:eastAsiaTheme="minorHAnsi" w:cstheme="minorBidi"/>
          <w:color w:val="000000" w:themeColor="text1"/>
          <w:sz w:val="22"/>
          <w:szCs w:val="22"/>
        </w:rPr>
        <w:t>Adopt</w:t>
      </w:r>
      <w:r w:rsidR="00056C62">
        <w:rPr>
          <w:rFonts w:ascii="Times New Roman" w:hAnsi="Times New Roman" w:eastAsiaTheme="minorHAnsi" w:cstheme="minorBidi"/>
          <w:color w:val="000000" w:themeColor="text1"/>
          <w:sz w:val="22"/>
          <w:szCs w:val="22"/>
        </w:rPr>
        <w:t>ion of</w:t>
      </w:r>
      <w:r>
        <w:rPr>
          <w:rFonts w:ascii="Times New Roman" w:hAnsi="Times New Roman" w:eastAsiaTheme="minorHAnsi" w:cstheme="minorBidi"/>
          <w:color w:val="000000" w:themeColor="text1"/>
          <w:sz w:val="22"/>
          <w:szCs w:val="22"/>
        </w:rPr>
        <w:t xml:space="preserve"> </w:t>
      </w:r>
      <w:r w:rsidRPr="00432895">
        <w:rPr>
          <w:rFonts w:ascii="Times New Roman" w:hAnsi="Times New Roman" w:eastAsiaTheme="minorHAnsi" w:cstheme="minorBidi"/>
          <w:color w:val="000000" w:themeColor="text1"/>
          <w:sz w:val="22"/>
          <w:szCs w:val="22"/>
        </w:rPr>
        <w:t xml:space="preserve">the </w:t>
      </w:r>
      <w:r w:rsidRPr="00FF1968">
        <w:rPr>
          <w:rFonts w:ascii="Times New Roman" w:hAnsi="Times New Roman" w:eastAsiaTheme="minorHAnsi" w:cstheme="minorBidi"/>
          <w:color w:val="000000" w:themeColor="text1"/>
          <w:sz w:val="22"/>
          <w:szCs w:val="22"/>
        </w:rPr>
        <w:t>COVID-19 Vaccine:  Percent of Patients/Residents Who Are Up to Date measure</w:t>
      </w:r>
      <w:bookmarkEnd w:id="121"/>
    </w:p>
    <w:p w:rsidR="0058324F" w:rsidP="0058324F" w14:paraId="7D73546C" w14:textId="77777777">
      <w:pPr>
        <w:pStyle w:val="ListContinue"/>
        <w:ind w:left="0"/>
        <w:rPr>
          <w:color w:val="000000" w:themeColor="text1"/>
        </w:rPr>
      </w:pPr>
    </w:p>
    <w:p w:rsidR="0058324F" w:rsidP="0058324F" w14:paraId="0B92B3B3" w14:textId="40A05155">
      <w:pPr>
        <w:pStyle w:val="ListContinue"/>
        <w:spacing w:after="0"/>
        <w:rPr>
          <w:color w:val="000000" w:themeColor="text1"/>
        </w:rPr>
      </w:pPr>
      <w:r w:rsidRPr="00AF6FA7">
        <w:rPr>
          <w:color w:val="000000" w:themeColor="text1"/>
        </w:rPr>
        <w:t xml:space="preserve">In the FY 2024 </w:t>
      </w:r>
      <w:r>
        <w:rPr>
          <w:color w:val="000000" w:themeColor="text1"/>
        </w:rPr>
        <w:t>LTCH</w:t>
      </w:r>
      <w:r w:rsidRPr="00AF6FA7">
        <w:rPr>
          <w:color w:val="000000" w:themeColor="text1"/>
        </w:rPr>
        <w:t xml:space="preserve"> PPS </w:t>
      </w:r>
      <w:r w:rsidR="00056C62">
        <w:rPr>
          <w:color w:val="000000" w:themeColor="text1"/>
        </w:rPr>
        <w:t>Final</w:t>
      </w:r>
      <w:r w:rsidRPr="00AF6FA7">
        <w:rPr>
          <w:color w:val="000000" w:themeColor="text1"/>
        </w:rPr>
        <w:t xml:space="preserve"> Rule (88 FR</w:t>
      </w:r>
      <w:r w:rsidR="00047A38">
        <w:rPr>
          <w:color w:val="000000" w:themeColor="text1"/>
        </w:rPr>
        <w:t xml:space="preserve"> </w:t>
      </w:r>
      <w:r w:rsidR="00056C62">
        <w:rPr>
          <w:color w:val="000000" w:themeColor="text1"/>
        </w:rPr>
        <w:t>59243 to 59250</w:t>
      </w:r>
      <w:r w:rsidRPr="00AF6FA7">
        <w:rPr>
          <w:color w:val="000000" w:themeColor="text1"/>
        </w:rPr>
        <w:t xml:space="preserve">), CMS </w:t>
      </w:r>
      <w:r>
        <w:rPr>
          <w:color w:val="000000" w:themeColor="text1"/>
        </w:rPr>
        <w:t>adopt</w:t>
      </w:r>
      <w:r w:rsidR="00056C62">
        <w:rPr>
          <w:color w:val="000000" w:themeColor="text1"/>
        </w:rPr>
        <w:t>ed</w:t>
      </w:r>
      <w:r>
        <w:rPr>
          <w:color w:val="000000" w:themeColor="text1"/>
        </w:rPr>
        <w:t xml:space="preserve"> </w:t>
      </w:r>
      <w:r w:rsidRPr="00AF6FA7">
        <w:rPr>
          <w:color w:val="000000" w:themeColor="text1"/>
        </w:rPr>
        <w:t>the</w:t>
      </w:r>
      <w:r w:rsidRPr="00AF6FA7">
        <w:t xml:space="preserve"> </w:t>
      </w:r>
      <w:r>
        <w:t>COVID-19 Vaccine:  Percent of Patients/Residents Who Are Up to Date measure</w:t>
      </w:r>
      <w:r w:rsidRPr="00AF6FA7">
        <w:t xml:space="preserve"> </w:t>
      </w:r>
      <w:r w:rsidRPr="00AF6FA7">
        <w:rPr>
          <w:color w:val="000000" w:themeColor="text1"/>
        </w:rPr>
        <w:t>beginning with the FY 202</w:t>
      </w:r>
      <w:r>
        <w:rPr>
          <w:color w:val="000000" w:themeColor="text1"/>
        </w:rPr>
        <w:t>6</w:t>
      </w:r>
      <w:r w:rsidRPr="00AF6FA7">
        <w:rPr>
          <w:color w:val="000000" w:themeColor="text1"/>
        </w:rPr>
        <w:t xml:space="preserve"> </w:t>
      </w:r>
      <w:r>
        <w:rPr>
          <w:color w:val="000000" w:themeColor="text1"/>
        </w:rPr>
        <w:t>LTCH</w:t>
      </w:r>
      <w:r w:rsidRPr="00AF6FA7">
        <w:rPr>
          <w:color w:val="000000" w:themeColor="text1"/>
        </w:rPr>
        <w:t xml:space="preserve"> QRP.  As a result, the estimated burden and cost for </w:t>
      </w:r>
      <w:r>
        <w:rPr>
          <w:color w:val="000000" w:themeColor="text1"/>
        </w:rPr>
        <w:t>LTCH</w:t>
      </w:r>
      <w:r w:rsidRPr="00AF6FA7">
        <w:rPr>
          <w:color w:val="000000" w:themeColor="text1"/>
        </w:rPr>
        <w:t>s for complying with requirements of the FY 202</w:t>
      </w:r>
      <w:r>
        <w:rPr>
          <w:color w:val="000000" w:themeColor="text1"/>
        </w:rPr>
        <w:t>6</w:t>
      </w:r>
      <w:r w:rsidRPr="00AF6FA7">
        <w:rPr>
          <w:color w:val="000000" w:themeColor="text1"/>
        </w:rPr>
        <w:t xml:space="preserve"> </w:t>
      </w:r>
      <w:r>
        <w:rPr>
          <w:color w:val="000000" w:themeColor="text1"/>
        </w:rPr>
        <w:t>LTCH</w:t>
      </w:r>
      <w:r w:rsidRPr="00AF6FA7">
        <w:rPr>
          <w:color w:val="000000" w:themeColor="text1"/>
        </w:rPr>
        <w:t xml:space="preserve"> QRP will increase.</w:t>
      </w:r>
      <w:r w:rsidRPr="00AF6FA7">
        <w:rPr>
          <w:snapToGrid w:val="0"/>
          <w:color w:val="000000" w:themeColor="text1"/>
        </w:rPr>
        <w:t xml:space="preserve"> </w:t>
      </w:r>
      <w:r w:rsidRPr="00AF6FA7">
        <w:rPr>
          <w:color w:val="000000" w:themeColor="text1"/>
        </w:rPr>
        <w:t xml:space="preserve">Specifically, </w:t>
      </w:r>
      <w:r w:rsidRPr="00AF6FA7">
        <w:rPr>
          <w:color w:val="000000" w:themeColor="text1"/>
        </w:rPr>
        <w:t xml:space="preserve">we believe that there will be a </w:t>
      </w:r>
      <w:r>
        <w:rPr>
          <w:color w:val="000000" w:themeColor="text1"/>
        </w:rPr>
        <w:t>0.005</w:t>
      </w:r>
      <w:r w:rsidRPr="00AF6FA7">
        <w:rPr>
          <w:color w:val="000000" w:themeColor="text1"/>
        </w:rPr>
        <w:t xml:space="preserve"> </w:t>
      </w:r>
      <w:r>
        <w:rPr>
          <w:color w:val="000000" w:themeColor="text1"/>
        </w:rPr>
        <w:t>hour increase (0.3 minutes per item x 1 item) in</w:t>
      </w:r>
      <w:r w:rsidRPr="00AF6FA7">
        <w:rPr>
          <w:color w:val="000000" w:themeColor="text1"/>
        </w:rPr>
        <w:t xml:space="preserve"> clinical staff time to report data </w:t>
      </w:r>
      <w:r>
        <w:rPr>
          <w:color w:val="000000" w:themeColor="text1"/>
        </w:rPr>
        <w:t xml:space="preserve">at discharge </w:t>
      </w:r>
      <w:r w:rsidRPr="00AF6FA7">
        <w:rPr>
          <w:color w:val="000000" w:themeColor="text1"/>
        </w:rPr>
        <w:t>per patient stay.</w:t>
      </w:r>
    </w:p>
    <w:p w:rsidR="0058324F" w:rsidP="0058324F" w14:paraId="16048244" w14:textId="77777777">
      <w:pPr>
        <w:pStyle w:val="ListContinue"/>
        <w:spacing w:after="0"/>
        <w:rPr>
          <w:color w:val="000000" w:themeColor="text1"/>
        </w:rPr>
      </w:pPr>
    </w:p>
    <w:p w:rsidR="0058324F" w:rsidRPr="00AF6FA7" w:rsidP="0058324F" w14:paraId="09466D6B" w14:textId="7622D575">
      <w:pPr>
        <w:pStyle w:val="ListContinue"/>
        <w:rPr>
          <w:color w:val="000000" w:themeColor="text1"/>
        </w:rPr>
      </w:pPr>
      <w:r>
        <w:rPr>
          <w:color w:val="000000" w:themeColor="text1"/>
        </w:rPr>
        <w:t xml:space="preserve">Using data from calendar year 2021, </w:t>
      </w:r>
      <w:r w:rsidR="003620BD">
        <w:rPr>
          <w:color w:val="000000" w:themeColor="text1"/>
        </w:rPr>
        <w:t xml:space="preserve">we estimate </w:t>
      </w:r>
      <w:r w:rsidRPr="005A7516" w:rsidR="003620BD">
        <w:t xml:space="preserve">148,965 </w:t>
      </w:r>
      <w:r w:rsidRPr="00AF6FA7" w:rsidR="003620BD">
        <w:rPr>
          <w:color w:val="000000" w:themeColor="text1"/>
        </w:rPr>
        <w:t xml:space="preserve">discharges from </w:t>
      </w:r>
      <w:r w:rsidR="003620BD">
        <w:rPr>
          <w:color w:val="000000" w:themeColor="text1"/>
        </w:rPr>
        <w:t>330</w:t>
      </w:r>
      <w:r w:rsidRPr="00AF6FA7" w:rsidR="003620BD">
        <w:rPr>
          <w:color w:val="000000" w:themeColor="text1"/>
        </w:rPr>
        <w:t xml:space="preserve"> </w:t>
      </w:r>
      <w:r w:rsidR="003620BD">
        <w:rPr>
          <w:color w:val="000000" w:themeColor="text1"/>
        </w:rPr>
        <w:t>LTCH</w:t>
      </w:r>
      <w:r w:rsidRPr="00AF6FA7" w:rsidR="003620BD">
        <w:rPr>
          <w:color w:val="000000" w:themeColor="text1"/>
        </w:rPr>
        <w:t>s annually</w:t>
      </w:r>
      <w:r w:rsidR="003620BD">
        <w:rPr>
          <w:color w:val="000000" w:themeColor="text1"/>
        </w:rPr>
        <w:t xml:space="preserve">, resulting in 451 </w:t>
      </w:r>
      <w:r>
        <w:rPr>
          <w:color w:val="000000" w:themeColor="text1"/>
        </w:rPr>
        <w:t xml:space="preserve">discharge assessments per </w:t>
      </w:r>
      <w:r w:rsidR="003620BD">
        <w:rPr>
          <w:color w:val="000000" w:themeColor="text1"/>
        </w:rPr>
        <w:t>LTCHs</w:t>
      </w:r>
      <w:r>
        <w:rPr>
          <w:color w:val="000000" w:themeColor="text1"/>
        </w:rPr>
        <w:t xml:space="preserve">. </w:t>
      </w:r>
      <w:r w:rsidR="003620BD">
        <w:rPr>
          <w:color w:val="000000" w:themeColor="text1"/>
        </w:rPr>
        <w:t xml:space="preserve"> </w:t>
      </w:r>
      <w:r w:rsidRPr="005A7516" w:rsidR="003620BD">
        <w:t>This equates to an increase of</w:t>
      </w:r>
      <w:r w:rsidR="003620BD">
        <w:t xml:space="preserve"> 744.825 hours for all LTCHs (148,965 x 0.005 </w:t>
      </w:r>
      <w:r w:rsidR="003620BD">
        <w:t>hrs</w:t>
      </w:r>
      <w:r w:rsidR="003620BD">
        <w:t xml:space="preserve">) and 2.26 hours per LTCH 744.825 hours / 330 LTCHs).  </w:t>
      </w:r>
      <w:r w:rsidRPr="00AF6FA7">
        <w:t xml:space="preserve">We believe the </w:t>
      </w:r>
      <w:r>
        <w:t xml:space="preserve">LCDS </w:t>
      </w:r>
      <w:r w:rsidRPr="00AF6FA7">
        <w:t xml:space="preserve">item affected by the </w:t>
      </w:r>
      <w:r>
        <w:t xml:space="preserve">proposed </w:t>
      </w:r>
      <w:r w:rsidRPr="00AF6FA7">
        <w:t xml:space="preserve">COVID-19 Vaccine:  Percent of Patients/Residents Who Are Up to Date </w:t>
      </w:r>
      <w:r>
        <w:t xml:space="preserve">measure </w:t>
      </w:r>
      <w:r w:rsidRPr="00AF6FA7">
        <w:t>is completed by Registered Nurses (RN)</w:t>
      </w:r>
      <w:r>
        <w:t xml:space="preserve"> and</w:t>
      </w:r>
      <w:r w:rsidRPr="00AF6FA7">
        <w:t xml:space="preserve"> Licensed Practical and Licensed Vocational Nurses (LVN</w:t>
      </w:r>
      <w:r>
        <w:t>)</w:t>
      </w:r>
      <w:r w:rsidRPr="00AF6FA7">
        <w:t>.  Therefore, we averaged the national average for these labor types and established a composite cost estimate of $</w:t>
      </w:r>
      <w:r>
        <w:t>64.7</w:t>
      </w:r>
      <w:r w:rsidRPr="00AF6FA7">
        <w:t>1.  This composite estimate was calculated by weighting each salary based on the following breakdown regarding provider types most likely to collect this data:  RN 5</w:t>
      </w:r>
      <w:r>
        <w:t>0</w:t>
      </w:r>
      <w:r w:rsidRPr="00AF6FA7">
        <w:t xml:space="preserve"> percent</w:t>
      </w:r>
      <w:r>
        <w:t xml:space="preserve"> and</w:t>
      </w:r>
      <w:r w:rsidRPr="00AF6FA7">
        <w:t xml:space="preserve"> LVN </w:t>
      </w:r>
      <w:r>
        <w:t>50</w:t>
      </w:r>
      <w:r w:rsidRPr="00AF6FA7">
        <w:t xml:space="preserve"> percent.  For the purposes of calculating the costs associated with the </w:t>
      </w:r>
      <w:r>
        <w:t xml:space="preserve">data </w:t>
      </w:r>
      <w:r w:rsidRPr="00AF6FA7">
        <w:t xml:space="preserve">collection requirements, we </w:t>
      </w:r>
      <w:r>
        <w:t xml:space="preserve">used the </w:t>
      </w:r>
      <w:r w:rsidRPr="00AF6FA7">
        <w:t>mean hourly wages for these staff</w:t>
      </w:r>
      <w:r>
        <w:t xml:space="preserve">, </w:t>
      </w:r>
      <w:r w:rsidRPr="00AF6FA7">
        <w:t>account</w:t>
      </w:r>
      <w:r>
        <w:t>ing</w:t>
      </w:r>
      <w:r w:rsidRPr="00AF6FA7">
        <w:t xml:space="preserve"> for overhead and fringe benefits</w:t>
      </w:r>
      <w:r>
        <w:t>.</w:t>
      </w:r>
      <w:r w:rsidRPr="00AF6FA7">
        <w:t xml:space="preserve"> These amounts are detailed in Table 1</w:t>
      </w:r>
      <w:r>
        <w:t>.</w:t>
      </w:r>
    </w:p>
    <w:p w:rsidR="0058324F" w:rsidP="0058324F" w14:paraId="6DE058A4" w14:textId="77777777">
      <w:pPr>
        <w:pStyle w:val="ListContinue"/>
        <w:keepNext/>
        <w:keepLines/>
      </w:pPr>
    </w:p>
    <w:p w:rsidR="0058324F" w:rsidRPr="00802A11" w:rsidP="0058324F" w14:paraId="6870F9AA" w14:textId="77777777">
      <w:pPr>
        <w:pStyle w:val="ListContinue"/>
        <w:keepNext/>
        <w:keepLines/>
        <w:rPr>
          <w:color w:val="000000" w:themeColor="text1"/>
        </w:rPr>
      </w:pPr>
      <w:r w:rsidRPr="00AF6FA7">
        <w:t xml:space="preserve">We estimate that the total cost would be </w:t>
      </w:r>
      <w:r>
        <w:t>increased</w:t>
      </w:r>
      <w:r w:rsidRPr="00AF6FA7">
        <w:t xml:space="preserve"> by $</w:t>
      </w:r>
      <w:r w:rsidRPr="005A7516">
        <w:t>4</w:t>
      </w:r>
      <w:r>
        <w:t>8,197.63</w:t>
      </w:r>
      <w:r w:rsidRPr="005A7516">
        <w:t xml:space="preserve"> </w:t>
      </w:r>
      <w:r w:rsidRPr="00AF6FA7">
        <w:t xml:space="preserve">for all </w:t>
      </w:r>
      <w:r>
        <w:t>LTCH</w:t>
      </w:r>
      <w:r w:rsidRPr="00AF6FA7">
        <w:t>s annually ($</w:t>
      </w:r>
      <w:r>
        <w:t>64.71</w:t>
      </w:r>
      <w:r w:rsidRPr="00AF6FA7">
        <w:t xml:space="preserve"> composite hourly rate x </w:t>
      </w:r>
      <w:r>
        <w:t xml:space="preserve">744.825 </w:t>
      </w:r>
      <w:r w:rsidRPr="00AF6FA7">
        <w:t>hours), or $</w:t>
      </w:r>
      <w:r w:rsidRPr="005A7516">
        <w:t>14</w:t>
      </w:r>
      <w:r>
        <w:t>6.05</w:t>
      </w:r>
      <w:r w:rsidRPr="005A7516">
        <w:t xml:space="preserve"> </w:t>
      </w:r>
      <w:r w:rsidRPr="00AF6FA7">
        <w:t xml:space="preserve">per </w:t>
      </w:r>
      <w:r>
        <w:t>LTCH</w:t>
      </w:r>
      <w:r w:rsidRPr="00AF6FA7">
        <w:t xml:space="preserve"> annually ($</w:t>
      </w:r>
      <w:r w:rsidRPr="005A7516">
        <w:t>4</w:t>
      </w:r>
      <w:r>
        <w:t>8,197.63</w:t>
      </w:r>
      <w:r w:rsidRPr="005A7516">
        <w:t xml:space="preserve"> </w:t>
      </w:r>
      <w:r w:rsidRPr="00AF6FA7">
        <w:t>total reduction/</w:t>
      </w:r>
      <w:r>
        <w:t>330</w:t>
      </w:r>
      <w:r w:rsidRPr="00AF6FA7">
        <w:t xml:space="preserve"> </w:t>
      </w:r>
      <w:r>
        <w:t>LTCHs</w:t>
      </w:r>
      <w:r w:rsidRPr="00AF6FA7">
        <w:t xml:space="preserve">) based on the proposed </w:t>
      </w:r>
      <w:r>
        <w:t xml:space="preserve">adoption of the </w:t>
      </w:r>
      <w:r w:rsidRPr="00AF6FA7">
        <w:t>COVID-19 Vaccine:  Percent of Patients/Residents Who Are Up to Date measure.</w:t>
      </w:r>
    </w:p>
    <w:p w:rsidR="00F23B4A" w:rsidP="00F23B4A" w14:paraId="4EDCE0A4" w14:textId="77777777">
      <w:pPr>
        <w:pStyle w:val="ListContinue"/>
        <w:ind w:left="0"/>
        <w:rPr>
          <w:color w:val="000000" w:themeColor="text1"/>
        </w:rPr>
      </w:pPr>
    </w:p>
    <w:p w:rsidR="00F23B4A" w:rsidP="0058324F" w14:paraId="42A8D252" w14:textId="2239AB4A">
      <w:pPr>
        <w:pStyle w:val="ListContinue"/>
        <w:rPr>
          <w:color w:val="000000" w:themeColor="text1"/>
        </w:rPr>
      </w:pPr>
      <w:r>
        <w:rPr>
          <w:color w:val="000000" w:themeColor="text1"/>
        </w:rPr>
        <w:t>We</w:t>
      </w:r>
      <w:r w:rsidRPr="00802A11">
        <w:rPr>
          <w:color w:val="000000" w:themeColor="text1"/>
        </w:rPr>
        <w:t xml:space="preserve"> have included the full </w:t>
      </w:r>
      <w:r w:rsidR="003620BD">
        <w:rPr>
          <w:color w:val="000000" w:themeColor="text1"/>
        </w:rPr>
        <w:t>LCDS</w:t>
      </w:r>
      <w:r w:rsidRPr="00802A11">
        <w:rPr>
          <w:color w:val="000000" w:themeColor="text1"/>
        </w:rPr>
        <w:t xml:space="preserve"> burden in this PRA package. </w:t>
      </w:r>
    </w:p>
    <w:p w:rsidR="00EA2048" w:rsidP="0058324F" w14:paraId="196D0AA1" w14:textId="073D86AD">
      <w:pPr>
        <w:pStyle w:val="ListContinue"/>
        <w:rPr>
          <w:color w:val="000000" w:themeColor="text1"/>
        </w:rPr>
      </w:pPr>
    </w:p>
    <w:p w:rsidR="00EA2048" w:rsidRPr="00802A11" w:rsidP="00EA2048" w14:paraId="4ACCC46D" w14:textId="37DA879F">
      <w:pPr>
        <w:pStyle w:val="ListContinue"/>
        <w:rPr>
          <w:b/>
          <w:bCs/>
          <w:color w:val="000000" w:themeColor="text1"/>
          <w:u w:val="single"/>
        </w:rPr>
      </w:pPr>
      <w:r w:rsidRPr="00802A11">
        <w:rPr>
          <w:b/>
          <w:bCs/>
          <w:color w:val="000000" w:themeColor="text1"/>
          <w:u w:val="single"/>
        </w:rPr>
        <w:t xml:space="preserve">Burden </w:t>
      </w:r>
      <w:r>
        <w:rPr>
          <w:b/>
          <w:bCs/>
          <w:color w:val="000000" w:themeColor="text1"/>
          <w:u w:val="single"/>
        </w:rPr>
        <w:t xml:space="preserve">Hours and Cost </w:t>
      </w:r>
      <w:r w:rsidRPr="00802A11">
        <w:rPr>
          <w:b/>
          <w:bCs/>
          <w:color w:val="000000" w:themeColor="text1"/>
          <w:u w:val="single"/>
        </w:rPr>
        <w:t xml:space="preserve">Calculation for </w:t>
      </w:r>
      <w:r>
        <w:rPr>
          <w:b/>
          <w:bCs/>
          <w:color w:val="000000" w:themeColor="text1"/>
          <w:u w:val="single"/>
        </w:rPr>
        <w:t xml:space="preserve">LCDS </w:t>
      </w:r>
      <w:r w:rsidRPr="00802A11">
        <w:rPr>
          <w:b/>
          <w:bCs/>
          <w:color w:val="000000" w:themeColor="text1"/>
          <w:u w:val="single"/>
        </w:rPr>
        <w:t>V</w:t>
      </w:r>
      <w:r>
        <w:rPr>
          <w:b/>
          <w:bCs/>
          <w:color w:val="000000" w:themeColor="text1"/>
          <w:u w:val="single"/>
        </w:rPr>
        <w:t>5</w:t>
      </w:r>
      <w:r w:rsidRPr="00802A11">
        <w:rPr>
          <w:b/>
          <w:bCs/>
          <w:color w:val="000000" w:themeColor="text1"/>
          <w:u w:val="single"/>
        </w:rPr>
        <w:t>.</w:t>
      </w:r>
      <w:r>
        <w:rPr>
          <w:b/>
          <w:bCs/>
          <w:color w:val="000000" w:themeColor="text1"/>
          <w:u w:val="single"/>
        </w:rPr>
        <w:t>1 for the FY 2026 LTCH QRP</w:t>
      </w:r>
      <w:r w:rsidRPr="00802A11">
        <w:rPr>
          <w:b/>
          <w:bCs/>
          <w:color w:val="000000" w:themeColor="text1"/>
          <w:u w:val="single"/>
        </w:rPr>
        <w:t>:</w:t>
      </w:r>
    </w:p>
    <w:tbl>
      <w:tblPr>
        <w:tblStyle w:val="TableGrid"/>
        <w:tblW w:w="0" w:type="auto"/>
        <w:tblInd w:w="445" w:type="dxa"/>
        <w:tblLook w:val="04A0"/>
      </w:tblPr>
      <w:tblGrid>
        <w:gridCol w:w="6599"/>
        <w:gridCol w:w="2306"/>
      </w:tblGrid>
      <w:tr w14:paraId="29D9D6D0" w14:textId="77777777" w:rsidTr="006F6AC3">
        <w:tblPrEx>
          <w:tblW w:w="0" w:type="auto"/>
          <w:tblInd w:w="445" w:type="dxa"/>
          <w:tblLook w:val="04A0"/>
        </w:tblPrEx>
        <w:tc>
          <w:tcPr>
            <w:tcW w:w="6599" w:type="dxa"/>
          </w:tcPr>
          <w:p w:rsidR="00EA2048" w:rsidRPr="00802A11" w:rsidP="006F6AC3" w14:paraId="2C985EA5" w14:textId="77777777">
            <w:pPr>
              <w:pStyle w:val="ListContinue"/>
              <w:spacing w:after="0"/>
              <w:ind w:left="0"/>
              <w:rPr>
                <w:color w:val="000000" w:themeColor="text1"/>
              </w:rPr>
            </w:pPr>
            <w:r w:rsidRPr="00802A11">
              <w:rPr>
                <w:color w:val="000000" w:themeColor="text1"/>
              </w:rPr>
              <w:t xml:space="preserve">Average number of </w:t>
            </w:r>
            <w:r>
              <w:rPr>
                <w:color w:val="000000" w:themeColor="text1"/>
              </w:rPr>
              <w:t>LTCH</w:t>
            </w:r>
            <w:r w:rsidRPr="00802A11">
              <w:rPr>
                <w:color w:val="000000" w:themeColor="text1"/>
              </w:rPr>
              <w:t>s in U.S. in 2022</w:t>
            </w:r>
          </w:p>
        </w:tc>
        <w:tc>
          <w:tcPr>
            <w:tcW w:w="2306" w:type="dxa"/>
          </w:tcPr>
          <w:p w:rsidR="00EA2048" w:rsidRPr="00802A11" w:rsidP="006F6AC3" w14:paraId="6C7399A2" w14:textId="77777777">
            <w:pPr>
              <w:pStyle w:val="ListContinue"/>
              <w:spacing w:after="0"/>
              <w:ind w:left="0"/>
              <w:jc w:val="right"/>
              <w:rPr>
                <w:color w:val="000000" w:themeColor="text1"/>
              </w:rPr>
            </w:pPr>
            <w:r>
              <w:rPr>
                <w:color w:val="000000" w:themeColor="text1"/>
              </w:rPr>
              <w:t>330</w:t>
            </w:r>
          </w:p>
        </w:tc>
      </w:tr>
      <w:tr w14:paraId="6A4BF391" w14:textId="77777777" w:rsidTr="006F6AC3">
        <w:tblPrEx>
          <w:tblW w:w="0" w:type="auto"/>
          <w:tblInd w:w="445" w:type="dxa"/>
          <w:tblLook w:val="04A0"/>
        </w:tblPrEx>
        <w:tc>
          <w:tcPr>
            <w:tcW w:w="6599" w:type="dxa"/>
          </w:tcPr>
          <w:p w:rsidR="00EA2048" w:rsidRPr="00802A11" w:rsidP="006F6AC3" w14:paraId="25129FE3" w14:textId="42BB3296">
            <w:pPr>
              <w:pStyle w:val="ListContinue"/>
              <w:spacing w:after="0"/>
              <w:ind w:left="0"/>
              <w:rPr>
                <w:color w:val="000000" w:themeColor="text1"/>
              </w:rPr>
            </w:pPr>
            <w:r>
              <w:rPr>
                <w:color w:val="000000" w:themeColor="text1"/>
              </w:rPr>
              <w:t>Average</w:t>
            </w:r>
            <w:r w:rsidRPr="00802A11">
              <w:rPr>
                <w:color w:val="000000" w:themeColor="text1"/>
              </w:rPr>
              <w:t xml:space="preserve"> number of </w:t>
            </w:r>
            <w:r>
              <w:rPr>
                <w:color w:val="000000" w:themeColor="text1"/>
              </w:rPr>
              <w:t>LCDS</w:t>
            </w:r>
            <w:r w:rsidRPr="00802A11">
              <w:rPr>
                <w:color w:val="000000" w:themeColor="text1"/>
              </w:rPr>
              <w:t xml:space="preserve"> </w:t>
            </w:r>
            <w:r>
              <w:rPr>
                <w:color w:val="000000" w:themeColor="text1"/>
              </w:rPr>
              <w:t>discharge assessments</w:t>
            </w:r>
            <w:r w:rsidRPr="00802A11">
              <w:rPr>
                <w:color w:val="000000" w:themeColor="text1"/>
              </w:rPr>
              <w:t xml:space="preserve"> submitted per each </w:t>
            </w:r>
            <w:r>
              <w:rPr>
                <w:color w:val="000000" w:themeColor="text1"/>
              </w:rPr>
              <w:t>LTCH for the FY 2026 LTCH QRP</w:t>
            </w:r>
          </w:p>
        </w:tc>
        <w:tc>
          <w:tcPr>
            <w:tcW w:w="2306" w:type="dxa"/>
            <w:vAlign w:val="center"/>
          </w:tcPr>
          <w:p w:rsidR="00EA2048" w:rsidRPr="00802A11" w:rsidP="006F6AC3" w14:paraId="568C9564" w14:textId="24518CC5">
            <w:pPr>
              <w:pStyle w:val="ListContinue"/>
              <w:spacing w:after="0"/>
              <w:ind w:left="0"/>
              <w:jc w:val="right"/>
              <w:rPr>
                <w:color w:val="000000" w:themeColor="text1"/>
              </w:rPr>
            </w:pPr>
            <w:r>
              <w:rPr>
                <w:color w:val="000000" w:themeColor="text1"/>
              </w:rPr>
              <w:t>451.41</w:t>
            </w:r>
          </w:p>
        </w:tc>
      </w:tr>
      <w:tr w14:paraId="5116CE20" w14:textId="77777777" w:rsidTr="006F6AC3">
        <w:tblPrEx>
          <w:tblW w:w="0" w:type="auto"/>
          <w:tblInd w:w="445" w:type="dxa"/>
          <w:tblLook w:val="04A0"/>
        </w:tblPrEx>
        <w:tc>
          <w:tcPr>
            <w:tcW w:w="6599" w:type="dxa"/>
          </w:tcPr>
          <w:p w:rsidR="00EA2048" w:rsidRPr="00802A11" w:rsidP="006F6AC3" w14:paraId="3D85E40A" w14:textId="088416FC">
            <w:pPr>
              <w:pStyle w:val="ListContinue"/>
              <w:spacing w:after="0"/>
              <w:ind w:left="0"/>
              <w:rPr>
                <w:color w:val="000000" w:themeColor="text1"/>
              </w:rPr>
            </w:pPr>
            <w:r>
              <w:rPr>
                <w:color w:val="000000" w:themeColor="text1"/>
              </w:rPr>
              <w:t xml:space="preserve">Average </w:t>
            </w:r>
            <w:r w:rsidRPr="00802A11">
              <w:rPr>
                <w:color w:val="000000" w:themeColor="text1"/>
              </w:rPr>
              <w:t xml:space="preserve">number of </w:t>
            </w:r>
            <w:r>
              <w:rPr>
                <w:color w:val="000000" w:themeColor="text1"/>
              </w:rPr>
              <w:t>LCDS</w:t>
            </w:r>
            <w:r w:rsidRPr="00802A11">
              <w:rPr>
                <w:color w:val="000000" w:themeColor="text1"/>
              </w:rPr>
              <w:t xml:space="preserve"> </w:t>
            </w:r>
            <w:r>
              <w:rPr>
                <w:color w:val="000000" w:themeColor="text1"/>
              </w:rPr>
              <w:t xml:space="preserve">discharge assessments </w:t>
            </w:r>
            <w:r w:rsidRPr="00802A11">
              <w:rPr>
                <w:color w:val="000000" w:themeColor="text1"/>
              </w:rPr>
              <w:t xml:space="preserve">submitted for all </w:t>
            </w:r>
            <w:r>
              <w:rPr>
                <w:color w:val="000000" w:themeColor="text1"/>
              </w:rPr>
              <w:t>LTCH</w:t>
            </w:r>
            <w:r w:rsidRPr="00802A11">
              <w:rPr>
                <w:color w:val="000000" w:themeColor="text1"/>
              </w:rPr>
              <w:t xml:space="preserve">s </w:t>
            </w:r>
            <w:r>
              <w:rPr>
                <w:color w:val="000000" w:themeColor="text1"/>
              </w:rPr>
              <w:t>for the FY 2026 LTCH QRP</w:t>
            </w:r>
          </w:p>
        </w:tc>
        <w:tc>
          <w:tcPr>
            <w:tcW w:w="2306" w:type="dxa"/>
            <w:vAlign w:val="center"/>
          </w:tcPr>
          <w:p w:rsidR="00EA2048" w:rsidRPr="00802A11" w:rsidP="006F6AC3" w14:paraId="548A1A11" w14:textId="5DEE53C1">
            <w:pPr>
              <w:pStyle w:val="ListContinue"/>
              <w:spacing w:after="0"/>
              <w:ind w:left="0"/>
              <w:jc w:val="right"/>
              <w:rPr>
                <w:color w:val="000000" w:themeColor="text1"/>
              </w:rPr>
            </w:pPr>
            <w:r>
              <w:rPr>
                <w:color w:val="000000" w:themeColor="text1"/>
              </w:rPr>
              <w:t>148,965</w:t>
            </w:r>
          </w:p>
        </w:tc>
      </w:tr>
      <w:tr w14:paraId="1D3E9C87" w14:textId="77777777" w:rsidTr="006F6AC3">
        <w:tblPrEx>
          <w:tblW w:w="0" w:type="auto"/>
          <w:tblInd w:w="445" w:type="dxa"/>
          <w:tblLook w:val="04A0"/>
        </w:tblPrEx>
        <w:tc>
          <w:tcPr>
            <w:tcW w:w="6599" w:type="dxa"/>
          </w:tcPr>
          <w:p w:rsidR="00EA2048" w:rsidP="006F6AC3" w14:paraId="7C781920" w14:textId="7BB2629F">
            <w:pPr>
              <w:pStyle w:val="ListContinue"/>
              <w:spacing w:after="0"/>
              <w:ind w:left="0"/>
              <w:rPr>
                <w:color w:val="000000" w:themeColor="text1"/>
              </w:rPr>
            </w:pPr>
            <w:r>
              <w:rPr>
                <w:color w:val="000000" w:themeColor="text1"/>
              </w:rPr>
              <w:t>Increase in Hours for each LTCH annually</w:t>
            </w:r>
            <w:r w:rsidR="002F0D38">
              <w:rPr>
                <w:color w:val="000000" w:themeColor="text1"/>
              </w:rPr>
              <w:t xml:space="preserve"> resulting from the proposed adoption of the COVID-19 Vaccine:  Patients/Residents Who Are Up To Date </w:t>
            </w:r>
            <w:r w:rsidRPr="00AF6FA7" w:rsidR="002F0D38">
              <w:t>measure</w:t>
            </w:r>
          </w:p>
        </w:tc>
        <w:tc>
          <w:tcPr>
            <w:tcW w:w="2306" w:type="dxa"/>
            <w:vAlign w:val="center"/>
          </w:tcPr>
          <w:p w:rsidR="00EA2048" w:rsidP="006F6AC3" w14:paraId="2668CAF3" w14:textId="536914E5">
            <w:pPr>
              <w:pStyle w:val="ListContinue"/>
              <w:spacing w:after="0"/>
              <w:ind w:left="0"/>
              <w:jc w:val="right"/>
              <w:rPr>
                <w:color w:val="000000" w:themeColor="text1"/>
              </w:rPr>
            </w:pPr>
            <w:r>
              <w:rPr>
                <w:color w:val="000000" w:themeColor="text1"/>
              </w:rPr>
              <w:t>2.26</w:t>
            </w:r>
          </w:p>
        </w:tc>
      </w:tr>
      <w:tr w14:paraId="06BFD03C" w14:textId="77777777" w:rsidTr="006F6AC3">
        <w:tblPrEx>
          <w:tblW w:w="0" w:type="auto"/>
          <w:tblInd w:w="445" w:type="dxa"/>
          <w:tblLook w:val="04A0"/>
        </w:tblPrEx>
        <w:tc>
          <w:tcPr>
            <w:tcW w:w="6599" w:type="dxa"/>
          </w:tcPr>
          <w:p w:rsidR="00EA2048" w:rsidP="006F6AC3" w14:paraId="0607AF21" w14:textId="5C9B61EE">
            <w:pPr>
              <w:pStyle w:val="ListContinue"/>
              <w:spacing w:after="0"/>
              <w:ind w:left="0"/>
              <w:rPr>
                <w:color w:val="000000" w:themeColor="text1"/>
              </w:rPr>
            </w:pPr>
            <w:r>
              <w:rPr>
                <w:color w:val="000000" w:themeColor="text1"/>
              </w:rPr>
              <w:t>Increase in Hours for all LTCHs annually</w:t>
            </w:r>
            <w:r w:rsidR="002F0D38">
              <w:rPr>
                <w:color w:val="000000" w:themeColor="text1"/>
              </w:rPr>
              <w:t xml:space="preserve"> resulting from the proposed adoption of the COVID-19 Vaccine:  Patients/Residents Who Are Up To Date </w:t>
            </w:r>
            <w:r w:rsidRPr="00AF6FA7" w:rsidR="002F0D38">
              <w:t>measure</w:t>
            </w:r>
          </w:p>
        </w:tc>
        <w:tc>
          <w:tcPr>
            <w:tcW w:w="2306" w:type="dxa"/>
            <w:vAlign w:val="center"/>
          </w:tcPr>
          <w:p w:rsidR="00EA2048" w:rsidP="006F6AC3" w14:paraId="6FD62E6C" w14:textId="15824C27">
            <w:pPr>
              <w:pStyle w:val="ListContinue"/>
              <w:spacing w:after="0"/>
              <w:ind w:left="0"/>
              <w:jc w:val="right"/>
              <w:rPr>
                <w:color w:val="000000" w:themeColor="text1"/>
              </w:rPr>
            </w:pPr>
            <w:r>
              <w:rPr>
                <w:color w:val="000000" w:themeColor="text1"/>
              </w:rPr>
              <w:t>744.83</w:t>
            </w:r>
          </w:p>
        </w:tc>
      </w:tr>
      <w:tr w14:paraId="191F8D68" w14:textId="77777777" w:rsidTr="006F6AC3">
        <w:tblPrEx>
          <w:tblW w:w="0" w:type="auto"/>
          <w:tblInd w:w="445" w:type="dxa"/>
          <w:tblLook w:val="04A0"/>
        </w:tblPrEx>
        <w:tc>
          <w:tcPr>
            <w:tcW w:w="6599" w:type="dxa"/>
            <w:shd w:val="clear" w:color="auto" w:fill="000000" w:themeFill="text1"/>
          </w:tcPr>
          <w:p w:rsidR="00EA2048" w:rsidRPr="00864FD4" w:rsidP="006F6AC3" w14:paraId="07A44FF6" w14:textId="322B6B23">
            <w:pPr>
              <w:pStyle w:val="ListContinue"/>
              <w:spacing w:after="0"/>
              <w:ind w:left="0"/>
              <w:rPr>
                <w:color w:val="000000" w:themeColor="text1"/>
                <w:sz w:val="10"/>
              </w:rPr>
            </w:pPr>
            <w:r>
              <w:rPr>
                <w:color w:val="000000" w:themeColor="text1"/>
                <w:sz w:val="10"/>
              </w:rPr>
              <w:t>No data</w:t>
            </w:r>
          </w:p>
        </w:tc>
        <w:tc>
          <w:tcPr>
            <w:tcW w:w="2306" w:type="dxa"/>
            <w:shd w:val="clear" w:color="auto" w:fill="000000" w:themeFill="text1"/>
          </w:tcPr>
          <w:p w:rsidR="00EA2048" w:rsidRPr="00864FD4" w:rsidP="006F6AC3" w14:paraId="459C52C1" w14:textId="7FBEFEAC">
            <w:pPr>
              <w:pStyle w:val="ListContinue"/>
              <w:spacing w:after="0"/>
              <w:ind w:left="0"/>
              <w:rPr>
                <w:color w:val="000000" w:themeColor="text1"/>
                <w:sz w:val="10"/>
              </w:rPr>
            </w:pPr>
            <w:r>
              <w:rPr>
                <w:color w:val="000000" w:themeColor="text1"/>
                <w:sz w:val="10"/>
              </w:rPr>
              <w:t>No data</w:t>
            </w:r>
          </w:p>
        </w:tc>
      </w:tr>
      <w:tr w14:paraId="223B0479" w14:textId="77777777" w:rsidTr="006F6AC3">
        <w:tblPrEx>
          <w:tblW w:w="0" w:type="auto"/>
          <w:tblInd w:w="445" w:type="dxa"/>
          <w:tblLook w:val="04A0"/>
        </w:tblPrEx>
        <w:tc>
          <w:tcPr>
            <w:tcW w:w="6599" w:type="dxa"/>
          </w:tcPr>
          <w:p w:rsidR="00EA2048" w:rsidRPr="00802A11" w:rsidP="006F6AC3" w14:paraId="6A8099B5" w14:textId="36304DBC">
            <w:pPr>
              <w:pStyle w:val="ListContinue"/>
              <w:spacing w:after="0"/>
              <w:ind w:left="0"/>
              <w:rPr>
                <w:color w:val="000000" w:themeColor="text1"/>
              </w:rPr>
            </w:pPr>
            <w:r>
              <w:rPr>
                <w:color w:val="000000" w:themeColor="text1"/>
              </w:rPr>
              <w:t>Change in Annual Cost</w:t>
            </w:r>
            <w:r w:rsidRPr="00802A11">
              <w:rPr>
                <w:color w:val="000000" w:themeColor="text1"/>
              </w:rPr>
              <w:t xml:space="preserve"> for each </w:t>
            </w:r>
            <w:r>
              <w:rPr>
                <w:color w:val="000000" w:themeColor="text1"/>
              </w:rPr>
              <w:t>LTCH</w:t>
            </w:r>
            <w:r w:rsidR="002F0D38">
              <w:rPr>
                <w:color w:val="000000" w:themeColor="text1"/>
              </w:rPr>
              <w:t xml:space="preserve"> for the FY 2026 LTCH QRP</w:t>
            </w:r>
          </w:p>
        </w:tc>
        <w:tc>
          <w:tcPr>
            <w:tcW w:w="2306" w:type="dxa"/>
            <w:vAlign w:val="center"/>
          </w:tcPr>
          <w:p w:rsidR="00EA2048" w:rsidRPr="00802A11" w:rsidP="006F6AC3" w14:paraId="6295A72B" w14:textId="1C2E3678">
            <w:pPr>
              <w:pStyle w:val="ListContinue"/>
              <w:spacing w:after="0"/>
              <w:ind w:left="0"/>
              <w:jc w:val="right"/>
              <w:rPr>
                <w:color w:val="000000" w:themeColor="text1"/>
              </w:rPr>
            </w:pPr>
            <w:r>
              <w:rPr>
                <w:color w:val="000000" w:themeColor="text1"/>
              </w:rPr>
              <w:t>$146.05</w:t>
            </w:r>
          </w:p>
        </w:tc>
      </w:tr>
      <w:tr w14:paraId="25E0D1D3" w14:textId="77777777" w:rsidTr="006F6AC3">
        <w:tblPrEx>
          <w:tblW w:w="0" w:type="auto"/>
          <w:tblInd w:w="445" w:type="dxa"/>
          <w:tblLook w:val="04A0"/>
        </w:tblPrEx>
        <w:tc>
          <w:tcPr>
            <w:tcW w:w="6599" w:type="dxa"/>
          </w:tcPr>
          <w:p w:rsidR="00EA2048" w:rsidP="006F6AC3" w14:paraId="4D27665B" w14:textId="4E969640">
            <w:pPr>
              <w:pStyle w:val="ListContinue"/>
              <w:spacing w:after="0"/>
              <w:ind w:left="0"/>
              <w:rPr>
                <w:color w:val="000000" w:themeColor="text1"/>
              </w:rPr>
            </w:pPr>
            <w:r>
              <w:rPr>
                <w:color w:val="000000" w:themeColor="text1"/>
              </w:rPr>
              <w:t xml:space="preserve">Change in Annual Cost </w:t>
            </w:r>
            <w:r w:rsidRPr="00802A11">
              <w:rPr>
                <w:color w:val="000000" w:themeColor="text1"/>
              </w:rPr>
              <w:t xml:space="preserve">for all </w:t>
            </w:r>
            <w:r>
              <w:rPr>
                <w:color w:val="000000" w:themeColor="text1"/>
              </w:rPr>
              <w:t>LTCH</w:t>
            </w:r>
            <w:r w:rsidRPr="00802A11">
              <w:rPr>
                <w:color w:val="000000" w:themeColor="text1"/>
              </w:rPr>
              <w:t>s</w:t>
            </w:r>
            <w:r w:rsidR="002F0D38">
              <w:rPr>
                <w:color w:val="000000" w:themeColor="text1"/>
              </w:rPr>
              <w:t xml:space="preserve"> for the FY 2026 LTCH QRP</w:t>
            </w:r>
          </w:p>
        </w:tc>
        <w:tc>
          <w:tcPr>
            <w:tcW w:w="2306" w:type="dxa"/>
            <w:vAlign w:val="center"/>
          </w:tcPr>
          <w:p w:rsidR="00EA2048" w:rsidP="006F6AC3" w14:paraId="7B8E8713" w14:textId="29DFA904">
            <w:pPr>
              <w:pStyle w:val="ListContinue"/>
              <w:spacing w:after="0"/>
              <w:ind w:left="0"/>
              <w:jc w:val="right"/>
              <w:rPr>
                <w:color w:val="000000" w:themeColor="text1"/>
              </w:rPr>
            </w:pPr>
            <w:r>
              <w:rPr>
                <w:color w:val="000000" w:themeColor="text1"/>
              </w:rPr>
              <w:t>$48,197.63</w:t>
            </w:r>
          </w:p>
        </w:tc>
      </w:tr>
    </w:tbl>
    <w:p w:rsidR="00EA2048" w:rsidP="00FF1968" w14:paraId="5E645990" w14:textId="77777777">
      <w:pPr>
        <w:pStyle w:val="ListContinue"/>
        <w:rPr>
          <w:color w:val="000000" w:themeColor="text1"/>
        </w:rPr>
      </w:pPr>
    </w:p>
    <w:p w:rsidR="00EA4C90" w:rsidRPr="00801933" w:rsidP="00EA614E" w14:paraId="34441D80" w14:textId="77777777">
      <w:pPr>
        <w:pStyle w:val="Heading2"/>
        <w:rPr>
          <w:b/>
        </w:rPr>
      </w:pPr>
      <w:bookmarkStart w:id="122" w:name="_Toc88554854"/>
      <w:bookmarkStart w:id="123" w:name="_Toc144904230"/>
      <w:r w:rsidRPr="00801933">
        <w:t>Capital Costs</w:t>
      </w:r>
      <w:bookmarkEnd w:id="122"/>
      <w:bookmarkEnd w:id="123"/>
    </w:p>
    <w:p w:rsidR="00D2685F" w:rsidP="00D2685F" w14:paraId="342C86B3" w14:textId="77777777">
      <w:pPr>
        <w:pStyle w:val="NoSpacing"/>
        <w:ind w:left="360"/>
        <w:rPr>
          <w:b/>
        </w:rPr>
      </w:pPr>
    </w:p>
    <w:p w:rsidR="004157F2" w:rsidP="000F60D8" w14:paraId="2B385AA5" w14:textId="57D89116">
      <w:pPr>
        <w:pStyle w:val="NoSpacing"/>
        <w:rPr>
          <w:rStyle w:val="CommentReference"/>
          <w:rFonts w:eastAsia="Times New Roman" w:cs="Times New Roman"/>
        </w:rPr>
      </w:pPr>
      <w:r w:rsidRPr="004157F2">
        <w:t>There are no capital costs</w:t>
      </w:r>
      <w:r w:rsidRPr="00396125" w:rsidR="000F60D8">
        <w:t>.</w:t>
      </w:r>
      <w:r w:rsidR="00C960CE">
        <w:rPr>
          <w:rStyle w:val="CommentReference"/>
          <w:rFonts w:eastAsia="Times New Roman" w:cs="Times New Roman"/>
        </w:rPr>
        <w:t xml:space="preserve"> </w:t>
      </w:r>
    </w:p>
    <w:p w:rsidR="00F90083" w:rsidRPr="004157F2" w:rsidP="000F60D8" w14:paraId="2BFA28B6" w14:textId="77777777">
      <w:pPr>
        <w:pStyle w:val="NoSpacing"/>
      </w:pPr>
    </w:p>
    <w:p w:rsidR="00D2685F" w:rsidRPr="00801933" w:rsidP="00EA614E" w14:paraId="36F88D82" w14:textId="77777777">
      <w:pPr>
        <w:pStyle w:val="Heading2"/>
        <w:rPr>
          <w:b/>
        </w:rPr>
      </w:pPr>
      <w:bookmarkStart w:id="124" w:name="_Toc88554855"/>
      <w:bookmarkStart w:id="125" w:name="_Toc144904231"/>
      <w:r w:rsidRPr="00801933">
        <w:t>Cost to Federal Government</w:t>
      </w:r>
      <w:bookmarkEnd w:id="124"/>
      <w:bookmarkEnd w:id="125"/>
    </w:p>
    <w:p w:rsidR="00D2685F" w:rsidP="000F60D8" w14:paraId="78598153" w14:textId="77777777">
      <w:pPr>
        <w:pStyle w:val="NoSpacing"/>
        <w:ind w:left="360"/>
        <w:rPr>
          <w:b/>
        </w:rPr>
      </w:pPr>
    </w:p>
    <w:p w:rsidR="004157F2" w:rsidP="000F60D8" w14:paraId="1CC349D6" w14:textId="64E355E8">
      <w:pPr>
        <w:pStyle w:val="NoSpacing"/>
      </w:pPr>
      <w:r>
        <w:t xml:space="preserve">The Department of Health &amp; Human Services (DHHS) will incur costs associated with the administration of the LTCH </w:t>
      </w:r>
      <w:r w:rsidR="00314178">
        <w:t>QRP</w:t>
      </w:r>
      <w:r>
        <w:t xml:space="preserve"> including costs associated with the IT system used to process </w:t>
      </w:r>
      <w:r w:rsidR="007B117C">
        <w:t xml:space="preserve">LCDS </w:t>
      </w:r>
      <w:r>
        <w:t>submissions to CMS and analysis of the data received.</w:t>
      </w:r>
    </w:p>
    <w:p w:rsidR="004157F2" w:rsidP="000F60D8" w14:paraId="0AF453D0" w14:textId="77777777">
      <w:pPr>
        <w:pStyle w:val="NoSpacing"/>
      </w:pPr>
    </w:p>
    <w:p w:rsidR="004157F2" w:rsidP="000F60D8" w14:paraId="5A400776" w14:textId="1795D1D1">
      <w:pPr>
        <w:pStyle w:val="NoSpacing"/>
      </w:pPr>
      <w:r>
        <w:t xml:space="preserve">CMS </w:t>
      </w:r>
      <w:r w:rsidR="007B117C">
        <w:t xml:space="preserve">has </w:t>
      </w:r>
      <w:r>
        <w:t>engaged</w:t>
      </w:r>
      <w:r>
        <w:t xml:space="preserve"> the services of an in-house CMS contractor to create and manage an online reporting/IT platform for the </w:t>
      </w:r>
      <w:r w:rsidR="007B117C">
        <w:t>LCDS</w:t>
      </w:r>
      <w:r>
        <w:t xml:space="preserve">. This contractor works with the CMS Center for Clinical Standards and Quality, Division of </w:t>
      </w:r>
      <w:r w:rsidR="00E20F23">
        <w:t>Post-Acute</w:t>
      </w:r>
      <w:r>
        <w:t xml:space="preserve"> and Chronic Care (DCPAC) in order to support the IT needs of multi</w:t>
      </w:r>
      <w:r w:rsidR="004B5E6C">
        <w:t xml:space="preserve">ple quality reporting programs. </w:t>
      </w:r>
      <w:r>
        <w:t>When LTCH</w:t>
      </w:r>
      <w:r w:rsidR="00B27C32">
        <w:t>s</w:t>
      </w:r>
      <w:r>
        <w:t xml:space="preserve"> transmit the data contained within the </w:t>
      </w:r>
      <w:r w:rsidR="007B117C">
        <w:t xml:space="preserve">LCDS </w:t>
      </w:r>
      <w:r>
        <w:t>to CMS it is received by this contractor.  Upon receipt of all data sets for each quarter the contractor performs some basic analysis which helps to determine each provider’s compliance with the reporting</w:t>
      </w:r>
      <w:r w:rsidR="004B5E6C">
        <w:t xml:space="preserve"> requirements of the LTCH QRP. </w:t>
      </w:r>
      <w:r>
        <w:t xml:space="preserve">The findings are communicated to </w:t>
      </w:r>
      <w:r w:rsidR="004B5E6C">
        <w:t xml:space="preserve">the LTCH QRP lead in a report. </w:t>
      </w:r>
      <w:r>
        <w:t>Contractor costs include the development, testing, roll-out, and maintenance of the software that is made available to LTCH</w:t>
      </w:r>
      <w:r w:rsidR="00B27C32">
        <w:t>s</w:t>
      </w:r>
      <w:r>
        <w:t xml:space="preserve"> free of charge providing a means by which LTCHs can submit the required data to CMS. </w:t>
      </w:r>
    </w:p>
    <w:p w:rsidR="004157F2" w:rsidP="004157F2" w14:paraId="656B1CD8" w14:textId="77777777">
      <w:pPr>
        <w:pStyle w:val="NoSpacing"/>
      </w:pPr>
    </w:p>
    <w:p w:rsidR="004157F2" w:rsidP="004157F2" w14:paraId="593E88A6" w14:textId="2C4C37CE">
      <w:pPr>
        <w:pStyle w:val="NoSpacing"/>
      </w:pPr>
      <w:r>
        <w:t xml:space="preserve">DCPAC </w:t>
      </w:r>
      <w:r w:rsidR="007B117C">
        <w:t xml:space="preserve">also </w:t>
      </w:r>
      <w:r w:rsidR="000C52C3">
        <w:t>retains</w:t>
      </w:r>
      <w:r>
        <w:t xml:space="preserve"> the services of a separate contractor for the purpose of performing a more in-depth analysis of the LTCH</w:t>
      </w:r>
      <w:r w:rsidR="007B117C">
        <w:t xml:space="preserve"> quality</w:t>
      </w:r>
      <w:r>
        <w:t xml:space="preserve"> data, as well as the calculation of the quality measures, and </w:t>
      </w:r>
      <w:r w:rsidR="000C52C3">
        <w:t xml:space="preserve">for </w:t>
      </w:r>
      <w:r>
        <w:t xml:space="preserve">future public reporting of the LTCH </w:t>
      </w:r>
      <w:r w:rsidR="007B117C">
        <w:t xml:space="preserve">quality </w:t>
      </w:r>
      <w:r>
        <w:t xml:space="preserve">data. Said contractor </w:t>
      </w:r>
      <w:r w:rsidR="000C52C3">
        <w:t xml:space="preserve">is </w:t>
      </w:r>
      <w:r>
        <w:t xml:space="preserve">responsible for obtaining the LTCH quality reporting data from the in-house CMS contractor.  They </w:t>
      </w:r>
      <w:r w:rsidR="007B117C">
        <w:t xml:space="preserve">will </w:t>
      </w:r>
      <w:r>
        <w:t>perform statistical analysis on this data and prepare reports of their findings, which will be submitted to the LTCH QRP lead.</w:t>
      </w:r>
    </w:p>
    <w:p w:rsidR="004157F2" w:rsidP="004157F2" w14:paraId="4F0D1DA6" w14:textId="77777777">
      <w:pPr>
        <w:pStyle w:val="NoSpacing"/>
      </w:pPr>
    </w:p>
    <w:p w:rsidR="00D2685F" w:rsidP="004157F2" w14:paraId="45373EDF" w14:textId="77777777">
      <w:pPr>
        <w:pStyle w:val="NoSpacing"/>
      </w:pPr>
      <w:r>
        <w:t>DCPAC</w:t>
      </w:r>
      <w:r w:rsidR="000C52C3">
        <w:t xml:space="preserve"> </w:t>
      </w:r>
      <w:r w:rsidR="00073ECE">
        <w:t>retains the</w:t>
      </w:r>
      <w:r>
        <w:t xml:space="preserve"> services of a third contractor to assist with provider training and help</w:t>
      </w:r>
      <w:r w:rsidR="00E20F23">
        <w:t xml:space="preserve"> </w:t>
      </w:r>
      <w:r>
        <w:t>desk support services related to the LTCH QRP.</w:t>
      </w:r>
    </w:p>
    <w:p w:rsidR="004157F2" w:rsidP="004157F2" w14:paraId="7373DB7B" w14:textId="77777777">
      <w:pPr>
        <w:pStyle w:val="NoSpacing"/>
      </w:pPr>
    </w:p>
    <w:p w:rsidR="004157F2" w:rsidP="004157F2" w14:paraId="3EB80228" w14:textId="77777777">
      <w:pPr>
        <w:pStyle w:val="NoSpacing"/>
      </w:pPr>
      <w:r>
        <w:t>In addition to the contractor costs, the total includes the cost of the following Federal employees:</w:t>
      </w:r>
    </w:p>
    <w:p w:rsidR="004157F2" w:rsidP="004157F2" w14:paraId="343797C4" w14:textId="77777777">
      <w:pPr>
        <w:pStyle w:val="NoSpacing"/>
      </w:pPr>
    </w:p>
    <w:p w:rsidR="004157F2" w:rsidP="004157F2" w14:paraId="53C60EDF" w14:textId="114446EF">
      <w:pPr>
        <w:pStyle w:val="NoSpacing"/>
        <w:numPr>
          <w:ilvl w:val="0"/>
          <w:numId w:val="9"/>
        </w:numPr>
      </w:pPr>
      <w:bookmarkStart w:id="126" w:name="_Hlk135081455"/>
      <w:r>
        <w:t xml:space="preserve">GS-13 (locality pay area of Washington-Baltimore-Northern Virginia) at 100% effort for 3 years, or </w:t>
      </w:r>
      <w:r w:rsidRPr="00802A11" w:rsidR="00C8774A">
        <w:rPr>
          <w:color w:val="000000" w:themeColor="text1"/>
        </w:rPr>
        <w:t>$</w:t>
      </w:r>
      <w:r w:rsidR="00C8774A">
        <w:rPr>
          <w:color w:val="000000" w:themeColor="text1"/>
        </w:rPr>
        <w:t>336,315</w:t>
      </w:r>
      <w:r>
        <w:t>.</w:t>
      </w:r>
    </w:p>
    <w:p w:rsidR="004157F2" w:rsidP="004157F2" w14:paraId="70356497" w14:textId="5E9F30E5">
      <w:pPr>
        <w:pStyle w:val="NoSpacing"/>
        <w:numPr>
          <w:ilvl w:val="0"/>
          <w:numId w:val="9"/>
        </w:numPr>
      </w:pPr>
      <w:r>
        <w:t xml:space="preserve">GS-14 (locality pay area of Washington-Baltimore-Northern Virginia) at 33% effort for 3 years, or </w:t>
      </w:r>
      <w:r w:rsidRPr="00802A11" w:rsidR="00C8774A">
        <w:rPr>
          <w:color w:val="000000" w:themeColor="text1"/>
        </w:rPr>
        <w:t>$</w:t>
      </w:r>
      <w:r w:rsidR="00C8774A">
        <w:rPr>
          <w:color w:val="000000" w:themeColor="text1"/>
        </w:rPr>
        <w:t>132,368</w:t>
      </w:r>
      <w:r>
        <w:t>.</w:t>
      </w:r>
    </w:p>
    <w:bookmarkEnd w:id="126"/>
    <w:p w:rsidR="004157F2" w:rsidP="004157F2" w14:paraId="4B60DE0E" w14:textId="77777777">
      <w:pPr>
        <w:pStyle w:val="NoSpacing"/>
      </w:pPr>
    </w:p>
    <w:p w:rsidR="004157F2" w:rsidP="004157F2" w14:paraId="5E3399D3" w14:textId="64DB8867">
      <w:pPr>
        <w:pStyle w:val="NoSpacing"/>
      </w:pPr>
      <w:r>
        <w:t xml:space="preserve">The estimated </w:t>
      </w:r>
      <w:r w:rsidR="00767775">
        <w:t xml:space="preserve">annual </w:t>
      </w:r>
      <w:r>
        <w:t>cost to the federal government is as follows:</w:t>
      </w:r>
    </w:p>
    <w:p w:rsidR="004157F2" w:rsidP="004157F2" w14:paraId="7CA10C37" w14:textId="77777777">
      <w:pPr>
        <w:pStyle w:val="NoSpacing"/>
      </w:pPr>
    </w:p>
    <w:p w:rsidR="004157F2" w:rsidP="004157F2" w14:paraId="495E8EA5" w14:textId="77777777">
      <w:pPr>
        <w:pStyle w:val="NoSpacing"/>
        <w:tabs>
          <w:tab w:val="left" w:pos="720"/>
          <w:tab w:val="left" w:pos="8640"/>
        </w:tabs>
      </w:pPr>
      <w:r>
        <w:tab/>
        <w:t>CMS in-house contractor – Maintenance and support of IT platform that</w:t>
      </w:r>
    </w:p>
    <w:p w:rsidR="004157F2" w:rsidP="004157F2" w14:paraId="4B9322BD" w14:textId="550CC423">
      <w:pPr>
        <w:pStyle w:val="NoSpacing"/>
        <w:tabs>
          <w:tab w:val="left" w:pos="720"/>
          <w:tab w:val="left" w:leader="dot" w:pos="8640"/>
        </w:tabs>
      </w:pPr>
      <w:r>
        <w:tab/>
        <w:t xml:space="preserve">Supports the </w:t>
      </w:r>
      <w:r w:rsidR="00C8774A">
        <w:t>LCDS</w:t>
      </w:r>
      <w:r>
        <w:tab/>
        <w:t>$</w:t>
      </w:r>
      <w:r w:rsidR="00767775">
        <w:t xml:space="preserve">   </w:t>
      </w:r>
      <w:r>
        <w:t>750,000</w:t>
      </w:r>
    </w:p>
    <w:p w:rsidR="004157F2" w:rsidP="004157F2" w14:paraId="66A87B7C" w14:textId="77777777">
      <w:pPr>
        <w:pStyle w:val="NoSpacing"/>
        <w:tabs>
          <w:tab w:val="left" w:pos="720"/>
          <w:tab w:val="left" w:leader="dot" w:pos="8640"/>
        </w:tabs>
      </w:pPr>
      <w:r>
        <w:tab/>
        <w:t>Data analysis contractor</w:t>
      </w:r>
      <w:r>
        <w:tab/>
        <w:t>$1,000,000</w:t>
      </w:r>
    </w:p>
    <w:p w:rsidR="004157F2" w:rsidP="004157F2" w14:paraId="6896212E" w14:textId="77777777">
      <w:pPr>
        <w:pStyle w:val="NoSpacing"/>
        <w:tabs>
          <w:tab w:val="left" w:pos="720"/>
          <w:tab w:val="left" w:leader="dot" w:pos="8640"/>
        </w:tabs>
      </w:pPr>
      <w:r>
        <w:tab/>
        <w:t>Provider training &amp; help</w:t>
      </w:r>
      <w:r w:rsidR="00FE7FAB">
        <w:t xml:space="preserve"> </w:t>
      </w:r>
      <w:r>
        <w:t>desk contractor</w:t>
      </w:r>
      <w:r>
        <w:tab/>
        <w:t>$1,000,000</w:t>
      </w:r>
    </w:p>
    <w:p w:rsidR="004157F2" w:rsidP="004157F2" w14:paraId="6283D972" w14:textId="557C8A93">
      <w:pPr>
        <w:pStyle w:val="NoSpacing"/>
        <w:tabs>
          <w:tab w:val="left" w:pos="720"/>
          <w:tab w:val="left" w:leader="dot" w:pos="8640"/>
        </w:tabs>
      </w:pPr>
      <w:r>
        <w:tab/>
        <w:t>GS-13 Federal Employee</w:t>
      </w:r>
      <w:r w:rsidR="00056C62">
        <w:t xml:space="preserve"> (100% x 3 years at $112,105 annually)</w:t>
      </w:r>
      <w:r>
        <w:tab/>
      </w:r>
      <w:r w:rsidRPr="00802A11" w:rsidR="00C8774A">
        <w:rPr>
          <w:color w:val="000000" w:themeColor="text1"/>
        </w:rPr>
        <w:t>$</w:t>
      </w:r>
      <w:r w:rsidR="00767775">
        <w:rPr>
          <w:color w:val="000000" w:themeColor="text1"/>
        </w:rPr>
        <w:t xml:space="preserve">   </w:t>
      </w:r>
      <w:r w:rsidR="00B07188">
        <w:rPr>
          <w:color w:val="000000" w:themeColor="text1"/>
        </w:rPr>
        <w:t>112,105</w:t>
      </w:r>
    </w:p>
    <w:p w:rsidR="004157F2" w:rsidP="004157F2" w14:paraId="7739CE4A" w14:textId="2C6F84B2">
      <w:pPr>
        <w:pStyle w:val="NoSpacing"/>
        <w:tabs>
          <w:tab w:val="left" w:pos="720"/>
          <w:tab w:val="left" w:leader="dot" w:pos="8640"/>
        </w:tabs>
      </w:pPr>
      <w:r>
        <w:tab/>
        <w:t>GS-14 Federal Employee</w:t>
      </w:r>
      <w:r w:rsidR="00056C62">
        <w:t xml:space="preserve">  (100% x 3 years at $132,368 annually)</w:t>
      </w:r>
      <w:r>
        <w:tab/>
      </w:r>
      <w:r w:rsidRPr="00802A11" w:rsidR="00C8774A">
        <w:rPr>
          <w:color w:val="000000" w:themeColor="text1"/>
        </w:rPr>
        <w:t>$</w:t>
      </w:r>
      <w:r w:rsidR="00767775">
        <w:rPr>
          <w:color w:val="000000" w:themeColor="text1"/>
        </w:rPr>
        <w:t xml:space="preserve">    </w:t>
      </w:r>
      <w:r w:rsidR="00056C62">
        <w:rPr>
          <w:color w:val="000000" w:themeColor="text1"/>
        </w:rPr>
        <w:t>132.368</w:t>
      </w:r>
    </w:p>
    <w:p w:rsidR="00A640D5" w:rsidP="00F0785E" w14:paraId="7FABF1F4" w14:textId="14FD8598">
      <w:pPr>
        <w:pStyle w:val="NoSpacing"/>
        <w:pBdr>
          <w:top w:val="single" w:sz="4" w:space="1" w:color="auto"/>
        </w:pBdr>
        <w:tabs>
          <w:tab w:val="left" w:pos="720"/>
          <w:tab w:val="left" w:leader="dot" w:pos="8640"/>
        </w:tabs>
        <w:ind w:right="720"/>
        <w:rPr>
          <w:b/>
        </w:rPr>
      </w:pPr>
      <w:r>
        <w:tab/>
      </w:r>
      <w:r>
        <w:rPr>
          <w:b/>
        </w:rPr>
        <w:t xml:space="preserve">Total </w:t>
      </w:r>
      <w:r w:rsidR="006803EA">
        <w:rPr>
          <w:b/>
        </w:rPr>
        <w:t>C</w:t>
      </w:r>
      <w:r>
        <w:rPr>
          <w:b/>
        </w:rPr>
        <w:t>ost to Federal Government</w:t>
      </w:r>
      <w:r>
        <w:rPr>
          <w:b/>
        </w:rPr>
        <w:tab/>
        <w:t>$</w:t>
      </w:r>
      <w:r w:rsidR="00745F45">
        <w:rPr>
          <w:b/>
        </w:rPr>
        <w:t>2,994,473</w:t>
      </w:r>
    </w:p>
    <w:p w:rsidR="007340AA" w:rsidP="00F0785E" w14:paraId="62F1E789" w14:textId="77777777">
      <w:pPr>
        <w:pStyle w:val="NoSpacing"/>
        <w:pBdr>
          <w:top w:val="single" w:sz="4" w:space="1" w:color="auto"/>
        </w:pBdr>
        <w:tabs>
          <w:tab w:val="left" w:pos="720"/>
          <w:tab w:val="left" w:leader="dot" w:pos="8640"/>
        </w:tabs>
        <w:ind w:right="720"/>
        <w:rPr>
          <w:b/>
        </w:rPr>
      </w:pPr>
    </w:p>
    <w:p w:rsidR="00D2685F" w:rsidRPr="00801933" w:rsidP="00EA614E" w14:paraId="754C5FCA" w14:textId="77777777">
      <w:pPr>
        <w:pStyle w:val="Heading2"/>
        <w:rPr>
          <w:b/>
        </w:rPr>
      </w:pPr>
      <w:bookmarkStart w:id="127" w:name="_Toc88554856"/>
      <w:bookmarkStart w:id="128" w:name="_Toc144904232"/>
      <w:r w:rsidRPr="00801933">
        <w:t>Changes to Burden</w:t>
      </w:r>
      <w:bookmarkEnd w:id="127"/>
      <w:bookmarkEnd w:id="128"/>
    </w:p>
    <w:p w:rsidR="00D2685F" w:rsidP="00D2685F" w14:paraId="0E03AD3D" w14:textId="77777777">
      <w:pPr>
        <w:pStyle w:val="NoSpacing"/>
        <w:rPr>
          <w:b/>
        </w:rPr>
      </w:pPr>
    </w:p>
    <w:p w:rsidR="00CA6AD1" w:rsidP="00056C62" w14:paraId="26389EB9" w14:textId="77777777">
      <w:pPr>
        <w:pStyle w:val="NoSpacing"/>
      </w:pPr>
      <w:r>
        <w:t xml:space="preserve">As a result of the </w:t>
      </w:r>
      <w:r w:rsidRPr="00FF1968">
        <w:rPr>
          <w:rFonts w:cs="Times New Roman"/>
          <w:color w:val="000000"/>
          <w:shd w:val="clear" w:color="auto" w:fill="FFFFFF"/>
        </w:rPr>
        <w:t xml:space="preserve">FY 2024 IPPS/LTCH NPRM </w:t>
      </w:r>
      <w:r>
        <w:rPr>
          <w:rFonts w:cs="Times New Roman"/>
          <w:color w:val="000000"/>
          <w:shd w:val="clear" w:color="auto" w:fill="FFFFFF"/>
        </w:rPr>
        <w:t>p</w:t>
      </w:r>
      <w:r w:rsidRPr="00FF1968">
        <w:rPr>
          <w:rFonts w:cs="Times New Roman"/>
          <w:color w:val="000000"/>
          <w:shd w:val="clear" w:color="auto" w:fill="FFFFFF"/>
        </w:rPr>
        <w:t xml:space="preserve">roposed </w:t>
      </w:r>
      <w:r>
        <w:rPr>
          <w:rFonts w:cs="Times New Roman"/>
          <w:color w:val="000000"/>
          <w:shd w:val="clear" w:color="auto" w:fill="FFFFFF"/>
        </w:rPr>
        <w:t>m</w:t>
      </w:r>
      <w:r w:rsidRPr="00FF1968">
        <w:rPr>
          <w:rFonts w:cs="Times New Roman"/>
          <w:color w:val="000000"/>
          <w:shd w:val="clear" w:color="auto" w:fill="FFFFFF"/>
        </w:rPr>
        <w:t xml:space="preserve">odifications to the </w:t>
      </w:r>
      <w:r>
        <w:rPr>
          <w:rFonts w:cs="Times New Roman"/>
          <w:color w:val="000000"/>
          <w:shd w:val="clear" w:color="auto" w:fill="FFFFFF"/>
        </w:rPr>
        <w:t>c</w:t>
      </w:r>
      <w:r w:rsidRPr="00FF1968">
        <w:rPr>
          <w:rFonts w:cs="Times New Roman"/>
          <w:color w:val="000000"/>
          <w:shd w:val="clear" w:color="auto" w:fill="FFFFFF"/>
        </w:rPr>
        <w:t xml:space="preserve">ollection of </w:t>
      </w:r>
      <w:r>
        <w:rPr>
          <w:rFonts w:cs="Times New Roman"/>
          <w:color w:val="000000"/>
          <w:shd w:val="clear" w:color="auto" w:fill="FFFFFF"/>
        </w:rPr>
        <w:t>q</w:t>
      </w:r>
      <w:r w:rsidRPr="00FF1968">
        <w:rPr>
          <w:rFonts w:cs="Times New Roman"/>
          <w:color w:val="000000"/>
          <w:shd w:val="clear" w:color="auto" w:fill="FFFFFF"/>
        </w:rPr>
        <w:t xml:space="preserve">uality </w:t>
      </w:r>
      <w:r>
        <w:rPr>
          <w:rFonts w:cs="Times New Roman"/>
          <w:color w:val="000000"/>
          <w:shd w:val="clear" w:color="auto" w:fill="FFFFFF"/>
        </w:rPr>
        <w:t>r</w:t>
      </w:r>
      <w:r w:rsidRPr="00FF1968">
        <w:rPr>
          <w:rFonts w:cs="Times New Roman"/>
          <w:color w:val="000000"/>
          <w:shd w:val="clear" w:color="auto" w:fill="FFFFFF"/>
        </w:rPr>
        <w:t xml:space="preserve">eporting </w:t>
      </w:r>
      <w:r>
        <w:rPr>
          <w:rFonts w:cs="Times New Roman"/>
          <w:color w:val="000000"/>
          <w:shd w:val="clear" w:color="auto" w:fill="FFFFFF"/>
        </w:rPr>
        <w:t>d</w:t>
      </w:r>
      <w:r w:rsidRPr="00FF1968">
        <w:rPr>
          <w:rFonts w:cs="Times New Roman"/>
          <w:color w:val="000000"/>
          <w:shd w:val="clear" w:color="auto" w:fill="FFFFFF"/>
        </w:rPr>
        <w:t>ata</w:t>
      </w:r>
      <w:r>
        <w:rPr>
          <w:rFonts w:cs="Times New Roman"/>
          <w:color w:val="000000"/>
          <w:shd w:val="clear" w:color="auto" w:fill="FFFFFF"/>
        </w:rPr>
        <w:t>,</w:t>
      </w:r>
      <w:r w:rsidRPr="00FF1968">
        <w:rPr>
          <w:rFonts w:cs="Times New Roman"/>
          <w:color w:val="000000"/>
          <w:shd w:val="clear" w:color="auto" w:fill="FFFFFF"/>
        </w:rPr>
        <w:t xml:space="preserve"> </w:t>
      </w:r>
      <w:r>
        <w:rPr>
          <w:rFonts w:cs="Times New Roman"/>
          <w:color w:val="000000"/>
          <w:shd w:val="clear" w:color="auto" w:fill="FFFFFF"/>
        </w:rPr>
        <w:t>t</w:t>
      </w:r>
      <w:r w:rsidRPr="009D582A">
        <w:t>he total burden</w:t>
      </w:r>
      <w:r>
        <w:t xml:space="preserve"> associated with each LCDS submission would decrease by 0.01 hours per LCDS, 3.92 hours per LTCH and 1,292.31 hours for all LTCHs.  However, the new overall cost burden for all LTCHs per year has increased due to changes in the number of LTCHs and the volume of LCDS submissions. </w:t>
      </w:r>
    </w:p>
    <w:p w:rsidR="00CA6AD1" w:rsidP="00056C62" w14:paraId="2CBE554E" w14:textId="77777777">
      <w:pPr>
        <w:pStyle w:val="NoSpacing"/>
      </w:pPr>
    </w:p>
    <w:p w:rsidR="006F6AC3" w:rsidP="00CA6AD1" w14:paraId="2F7FF528" w14:textId="1CCCB8AF">
      <w:pPr>
        <w:pStyle w:val="NoSpacing"/>
        <w:rPr>
          <w:b/>
        </w:rPr>
      </w:pPr>
      <w:r>
        <w:t xml:space="preserve">Since the approval of the LCDS </w:t>
      </w:r>
      <w:r w:rsidR="00A21C1F">
        <w:t>V5.0</w:t>
      </w:r>
      <w:r>
        <w:t xml:space="preserve">, </w:t>
      </w:r>
      <w:r w:rsidR="00056C62">
        <w:t xml:space="preserve">new information demonstrates a change in both the number of LTCHs and the number of LCDS’s completed per LTCH.  </w:t>
      </w:r>
      <w:r w:rsidR="00CA6AD1">
        <w:t xml:space="preserve">As illustrated in </w:t>
      </w:r>
      <w:r w:rsidR="00CA6AD1">
        <w:rPr>
          <w:b/>
        </w:rPr>
        <w:t xml:space="preserve">Table 3, </w:t>
      </w:r>
      <w:r w:rsidRPr="00345D73" w:rsidR="00CA6AD1">
        <w:t>t</w:t>
      </w:r>
      <w:r w:rsidR="00056C62">
        <w:t xml:space="preserve">he number of LTCHs </w:t>
      </w:r>
      <w:r>
        <w:t>submitting assessments</w:t>
      </w:r>
      <w:r w:rsidR="00056C62">
        <w:t xml:space="preserve"> has decreased from</w:t>
      </w:r>
      <w:r>
        <w:t xml:space="preserve"> 415 </w:t>
      </w:r>
      <w:r w:rsidR="00056C62">
        <w:t>to</w:t>
      </w:r>
      <w:r>
        <w:t xml:space="preserve"> 330</w:t>
      </w:r>
      <w:r w:rsidR="00CC65C6">
        <w:t>.</w:t>
      </w:r>
      <w:r w:rsidR="00056C62">
        <w:t xml:space="preserve"> </w:t>
      </w:r>
      <w:r w:rsidR="00CC65C6">
        <w:t>However</w:t>
      </w:r>
      <w:r>
        <w:t xml:space="preserve">, LTCHs are submitting approximately </w:t>
      </w:r>
      <w:r w:rsidR="009214E3">
        <w:t>45,620 more admission assessments and 46,497 discharge assessments across all LTCHs</w:t>
      </w:r>
      <w:r w:rsidR="00A21C1F">
        <w:t>, resulting in an</w:t>
      </w:r>
      <w:r w:rsidR="009214E3">
        <w:t xml:space="preserve"> increase of </w:t>
      </w:r>
      <w:r w:rsidR="00475251">
        <w:t>138.24</w:t>
      </w:r>
      <w:r w:rsidR="009214E3">
        <w:t xml:space="preserve"> </w:t>
      </w:r>
      <w:r w:rsidR="00A21C1F">
        <w:t xml:space="preserve">(45,620 / 330) </w:t>
      </w:r>
      <w:r w:rsidR="009214E3">
        <w:t xml:space="preserve">admission assessments and </w:t>
      </w:r>
      <w:r w:rsidR="00475251">
        <w:t>140.9</w:t>
      </w:r>
      <w:r w:rsidR="009214E3">
        <w:t xml:space="preserve"> </w:t>
      </w:r>
      <w:r w:rsidR="00A21C1F">
        <w:t xml:space="preserve">(46,497 / 330) </w:t>
      </w:r>
      <w:r w:rsidR="009214E3">
        <w:t>discharge assessments per LTCH.</w:t>
      </w:r>
      <w:r w:rsidR="00464E27">
        <w:t xml:space="preserve">  As a result of these changes, we estimate an overall increase in burden hours for LTCH</w:t>
      </w:r>
      <w:r w:rsidR="00CC65C6">
        <w:t>s</w:t>
      </w:r>
      <w:r w:rsidR="00464E27">
        <w:t xml:space="preserve">.  Specifically, </w:t>
      </w:r>
      <w:r w:rsidR="004E075D">
        <w:t xml:space="preserve">the burden hours will increase by </w:t>
      </w:r>
      <w:bookmarkStart w:id="129" w:name="_GoBack"/>
      <w:r w:rsidR="006C31CB">
        <w:t>65,550</w:t>
      </w:r>
      <w:r w:rsidR="004E075D">
        <w:t xml:space="preserve"> </w:t>
      </w:r>
      <w:bookmarkEnd w:id="129"/>
      <w:r w:rsidR="004E075D">
        <w:t>hours [(</w:t>
      </w:r>
      <w:r w:rsidR="00257A48">
        <w:t>0.711592 hours</w:t>
      </w:r>
      <w:r w:rsidR="004E075D">
        <w:t xml:space="preserve"> per LCDS x </w:t>
      </w:r>
      <w:r w:rsidR="00CA6AD1">
        <w:t>(45,620 admission + 46,497 discharge</w:t>
      </w:r>
      <w:r w:rsidR="004E075D">
        <w:t xml:space="preserve"> assessments)</w:t>
      </w:r>
      <w:r w:rsidR="00CA6AD1">
        <w:t>)</w:t>
      </w:r>
      <w:r w:rsidR="00257A48">
        <w:t xml:space="preserve"> – 145</w:t>
      </w:r>
      <w:r w:rsidR="00CC65C6">
        <w:t>,</w:t>
      </w:r>
      <w:r w:rsidR="00257A48">
        <w:t>831</w:t>
      </w:r>
      <w:r w:rsidR="00CA6AD1">
        <w:t xml:space="preserve"> hours</w:t>
      </w:r>
      <w:r w:rsidR="00257A48">
        <w:t>].</w:t>
      </w:r>
    </w:p>
    <w:p w:rsidR="00CA6AD1" w:rsidP="00CA6AD1" w14:paraId="65CC6397" w14:textId="77777777">
      <w:pPr>
        <w:pStyle w:val="NoSpacing"/>
        <w:rPr>
          <w:b/>
        </w:rPr>
      </w:pPr>
    </w:p>
    <w:p w:rsidR="00A21C1F" w:rsidRPr="00FF1968" w:rsidP="00C8774A" w14:paraId="3DEF1306" w14:textId="688E2074">
      <w:pPr>
        <w:pStyle w:val="NoSpacing"/>
        <w:ind w:left="360"/>
        <w:rPr>
          <w:b/>
        </w:rPr>
      </w:pPr>
      <w:r>
        <w:rPr>
          <w:b/>
        </w:rPr>
        <w:t xml:space="preserve">Table </w:t>
      </w:r>
      <w:r w:rsidR="009D582A">
        <w:rPr>
          <w:b/>
        </w:rPr>
        <w:t>3</w:t>
      </w:r>
      <w:r>
        <w:rPr>
          <w:b/>
        </w:rPr>
        <w:t>. Change in number of LTCHs and LCDS submissions since approval of the LCDS V5.0</w:t>
      </w:r>
    </w:p>
    <w:tbl>
      <w:tblPr>
        <w:tblStyle w:val="TableGrid"/>
        <w:tblW w:w="0" w:type="auto"/>
        <w:tblInd w:w="360" w:type="dxa"/>
        <w:tblLook w:val="04A0"/>
      </w:tblPr>
      <w:tblGrid>
        <w:gridCol w:w="1427"/>
        <w:gridCol w:w="1500"/>
        <w:gridCol w:w="1501"/>
        <w:gridCol w:w="1500"/>
        <w:gridCol w:w="1501"/>
        <w:gridCol w:w="1500"/>
        <w:gridCol w:w="7"/>
        <w:gridCol w:w="1494"/>
      </w:tblGrid>
      <w:tr w14:paraId="71C85B60" w14:textId="7259ACDA" w:rsidTr="00303943">
        <w:tblPrEx>
          <w:tblW w:w="0" w:type="auto"/>
          <w:tblInd w:w="360" w:type="dxa"/>
          <w:tblLook w:val="04A0"/>
        </w:tblPrEx>
        <w:tc>
          <w:tcPr>
            <w:tcW w:w="1427" w:type="dxa"/>
          </w:tcPr>
          <w:p w:rsidR="00464E27" w:rsidRPr="00CA6AD1" w:rsidP="009214E3" w14:paraId="1E253380" w14:textId="77777777">
            <w:pPr>
              <w:pStyle w:val="NoSpacing"/>
              <w:rPr>
                <w:sz w:val="20"/>
              </w:rPr>
            </w:pPr>
          </w:p>
        </w:tc>
        <w:tc>
          <w:tcPr>
            <w:tcW w:w="1500" w:type="dxa"/>
            <w:vAlign w:val="center"/>
          </w:tcPr>
          <w:p w:rsidR="00464E27" w:rsidRPr="00CA6AD1" w:rsidP="009214E3" w14:paraId="02F5531C" w14:textId="77777777">
            <w:pPr>
              <w:pStyle w:val="NoSpacing"/>
              <w:jc w:val="center"/>
              <w:rPr>
                <w:b/>
                <w:sz w:val="20"/>
              </w:rPr>
            </w:pPr>
            <w:r w:rsidRPr="00CA6AD1">
              <w:rPr>
                <w:b/>
                <w:sz w:val="20"/>
              </w:rPr>
              <w:t>Number of LTCHs</w:t>
            </w:r>
          </w:p>
        </w:tc>
        <w:tc>
          <w:tcPr>
            <w:tcW w:w="1501" w:type="dxa"/>
            <w:vAlign w:val="center"/>
          </w:tcPr>
          <w:p w:rsidR="00464E27" w:rsidRPr="00CA6AD1" w:rsidP="009214E3" w14:paraId="29AB803C" w14:textId="33634907">
            <w:pPr>
              <w:pStyle w:val="NoSpacing"/>
              <w:jc w:val="center"/>
              <w:rPr>
                <w:b/>
                <w:sz w:val="20"/>
              </w:rPr>
            </w:pPr>
            <w:r w:rsidRPr="00CA6AD1">
              <w:rPr>
                <w:b/>
                <w:sz w:val="20"/>
              </w:rPr>
              <w:t>Number of Admission LCDS Across All LTCHs</w:t>
            </w:r>
          </w:p>
        </w:tc>
        <w:tc>
          <w:tcPr>
            <w:tcW w:w="1500" w:type="dxa"/>
            <w:vAlign w:val="center"/>
          </w:tcPr>
          <w:p w:rsidR="00464E27" w:rsidRPr="00CA6AD1" w:rsidP="009214E3" w14:paraId="34BBBC03" w14:textId="21287F61">
            <w:pPr>
              <w:pStyle w:val="NoSpacing"/>
              <w:jc w:val="center"/>
              <w:rPr>
                <w:b/>
                <w:sz w:val="20"/>
              </w:rPr>
            </w:pPr>
            <w:r w:rsidRPr="00CA6AD1">
              <w:rPr>
                <w:b/>
                <w:sz w:val="20"/>
              </w:rPr>
              <w:t>Number of Admission LCDS per LTCH</w:t>
            </w:r>
          </w:p>
        </w:tc>
        <w:tc>
          <w:tcPr>
            <w:tcW w:w="1501" w:type="dxa"/>
            <w:vAlign w:val="center"/>
          </w:tcPr>
          <w:p w:rsidR="00464E27" w:rsidRPr="00CA6AD1" w:rsidP="009214E3" w14:paraId="7A9EE1C4" w14:textId="3C481789">
            <w:pPr>
              <w:pStyle w:val="NoSpacing"/>
              <w:jc w:val="center"/>
              <w:rPr>
                <w:b/>
                <w:sz w:val="20"/>
              </w:rPr>
            </w:pPr>
            <w:r w:rsidRPr="00CA6AD1">
              <w:rPr>
                <w:b/>
                <w:sz w:val="20"/>
              </w:rPr>
              <w:t>Number of Discharge LCDS Across All LTCHs</w:t>
            </w:r>
          </w:p>
        </w:tc>
        <w:tc>
          <w:tcPr>
            <w:tcW w:w="1500" w:type="dxa"/>
            <w:vAlign w:val="center"/>
          </w:tcPr>
          <w:p w:rsidR="00464E27" w:rsidRPr="00CA6AD1" w:rsidP="009214E3" w14:paraId="1F26F7CF" w14:textId="34FD75D9">
            <w:pPr>
              <w:pStyle w:val="NoSpacing"/>
              <w:jc w:val="center"/>
              <w:rPr>
                <w:b/>
                <w:sz w:val="20"/>
              </w:rPr>
            </w:pPr>
            <w:r w:rsidRPr="00CA6AD1">
              <w:rPr>
                <w:b/>
                <w:sz w:val="20"/>
              </w:rPr>
              <w:t>Number of Discharge LCDS Across per LTCH</w:t>
            </w:r>
          </w:p>
        </w:tc>
        <w:tc>
          <w:tcPr>
            <w:tcW w:w="1501" w:type="dxa"/>
            <w:gridSpan w:val="2"/>
            <w:vAlign w:val="center"/>
          </w:tcPr>
          <w:p w:rsidR="00464E27" w:rsidRPr="00CA6AD1" w:rsidP="009214E3" w14:paraId="75491410" w14:textId="278228AB">
            <w:pPr>
              <w:pStyle w:val="NoSpacing"/>
              <w:jc w:val="center"/>
              <w:rPr>
                <w:b/>
                <w:sz w:val="20"/>
              </w:rPr>
            </w:pPr>
            <w:r w:rsidRPr="00CA6AD1">
              <w:rPr>
                <w:b/>
                <w:sz w:val="20"/>
              </w:rPr>
              <w:t>Burden Hours</w:t>
            </w:r>
          </w:p>
        </w:tc>
      </w:tr>
      <w:tr w14:paraId="021A03AA" w14:textId="0F93A72C" w:rsidTr="00FF1968">
        <w:tblPrEx>
          <w:tblW w:w="0" w:type="auto"/>
          <w:tblInd w:w="360" w:type="dxa"/>
          <w:tblLook w:val="04A0"/>
        </w:tblPrEx>
        <w:tc>
          <w:tcPr>
            <w:tcW w:w="1427" w:type="dxa"/>
          </w:tcPr>
          <w:p w:rsidR="00464E27" w:rsidRPr="00CA6AD1" w:rsidP="009214E3" w14:paraId="47CA6578" w14:textId="7F907058">
            <w:pPr>
              <w:pStyle w:val="NoSpacing"/>
              <w:rPr>
                <w:b/>
                <w:sz w:val="20"/>
              </w:rPr>
            </w:pPr>
            <w:r w:rsidRPr="00CA6AD1">
              <w:rPr>
                <w:b/>
                <w:sz w:val="20"/>
              </w:rPr>
              <w:t>Approved LCDS V5.0</w:t>
            </w:r>
          </w:p>
        </w:tc>
        <w:tc>
          <w:tcPr>
            <w:tcW w:w="1500" w:type="dxa"/>
            <w:vAlign w:val="center"/>
          </w:tcPr>
          <w:p w:rsidR="00464E27" w:rsidRPr="00CA6AD1" w:rsidP="009214E3" w14:paraId="3AA397D1" w14:textId="76D4E307">
            <w:pPr>
              <w:pStyle w:val="NoSpacing"/>
              <w:jc w:val="center"/>
              <w:rPr>
                <w:sz w:val="20"/>
              </w:rPr>
            </w:pPr>
            <w:r w:rsidRPr="00CA6AD1">
              <w:rPr>
                <w:sz w:val="20"/>
              </w:rPr>
              <w:t>415</w:t>
            </w:r>
          </w:p>
        </w:tc>
        <w:tc>
          <w:tcPr>
            <w:tcW w:w="1501" w:type="dxa"/>
            <w:vAlign w:val="center"/>
          </w:tcPr>
          <w:p w:rsidR="00464E27" w:rsidRPr="00CA6AD1" w:rsidP="009214E3" w14:paraId="7C5EEC47" w14:textId="74BE6AF3">
            <w:pPr>
              <w:pStyle w:val="NoSpacing"/>
              <w:jc w:val="center"/>
              <w:rPr>
                <w:sz w:val="20"/>
              </w:rPr>
            </w:pPr>
            <w:r w:rsidRPr="00CA6AD1">
              <w:rPr>
                <w:sz w:val="20"/>
              </w:rPr>
              <w:t>102,468</w:t>
            </w:r>
          </w:p>
        </w:tc>
        <w:tc>
          <w:tcPr>
            <w:tcW w:w="1500" w:type="dxa"/>
            <w:vAlign w:val="center"/>
          </w:tcPr>
          <w:p w:rsidR="00464E27" w:rsidRPr="00CA6AD1" w:rsidP="009214E3" w14:paraId="609B54D4" w14:textId="176D97C9">
            <w:pPr>
              <w:pStyle w:val="NoSpacing"/>
              <w:jc w:val="center"/>
              <w:rPr>
                <w:sz w:val="20"/>
              </w:rPr>
            </w:pPr>
            <w:r w:rsidRPr="00CA6AD1">
              <w:rPr>
                <w:sz w:val="20"/>
              </w:rPr>
              <w:t>246.91</w:t>
            </w:r>
          </w:p>
        </w:tc>
        <w:tc>
          <w:tcPr>
            <w:tcW w:w="1501" w:type="dxa"/>
            <w:vAlign w:val="center"/>
          </w:tcPr>
          <w:p w:rsidR="00464E27" w:rsidRPr="00CA6AD1" w:rsidP="009214E3" w14:paraId="42123EBA" w14:textId="2B8C67B7">
            <w:pPr>
              <w:pStyle w:val="NoSpacing"/>
              <w:jc w:val="center"/>
              <w:rPr>
                <w:sz w:val="20"/>
              </w:rPr>
            </w:pPr>
            <w:r w:rsidRPr="00CA6AD1">
              <w:rPr>
                <w:sz w:val="20"/>
              </w:rPr>
              <w:t>102,468</w:t>
            </w:r>
          </w:p>
        </w:tc>
        <w:tc>
          <w:tcPr>
            <w:tcW w:w="1507" w:type="dxa"/>
            <w:gridSpan w:val="2"/>
            <w:vAlign w:val="center"/>
          </w:tcPr>
          <w:p w:rsidR="00464E27" w:rsidRPr="00CA6AD1" w:rsidP="009214E3" w14:paraId="310403FE" w14:textId="746AA473">
            <w:pPr>
              <w:pStyle w:val="NoSpacing"/>
              <w:jc w:val="center"/>
              <w:rPr>
                <w:sz w:val="20"/>
              </w:rPr>
            </w:pPr>
            <w:r w:rsidRPr="00CA6AD1">
              <w:rPr>
                <w:sz w:val="20"/>
              </w:rPr>
              <w:t>246.91</w:t>
            </w:r>
          </w:p>
        </w:tc>
        <w:tc>
          <w:tcPr>
            <w:tcW w:w="1494" w:type="dxa"/>
            <w:vAlign w:val="center"/>
          </w:tcPr>
          <w:p w:rsidR="00464E27" w:rsidRPr="00CA6AD1" w14:paraId="2E80F21E" w14:textId="4D02357D">
            <w:pPr>
              <w:pStyle w:val="NoSpacing"/>
              <w:jc w:val="center"/>
              <w:rPr>
                <w:sz w:val="20"/>
              </w:rPr>
            </w:pPr>
            <w:r w:rsidRPr="00CA6AD1">
              <w:rPr>
                <w:sz w:val="20"/>
              </w:rPr>
              <w:t>145,831</w:t>
            </w:r>
          </w:p>
        </w:tc>
      </w:tr>
      <w:tr w14:paraId="410E0D75" w14:textId="23D5260B" w:rsidTr="00FF1968">
        <w:tblPrEx>
          <w:tblW w:w="0" w:type="auto"/>
          <w:tblInd w:w="360" w:type="dxa"/>
          <w:tblLook w:val="04A0"/>
        </w:tblPrEx>
        <w:tc>
          <w:tcPr>
            <w:tcW w:w="1427" w:type="dxa"/>
          </w:tcPr>
          <w:p w:rsidR="00464E27" w:rsidRPr="00CA6AD1" w:rsidP="009214E3" w14:paraId="2005CDFF" w14:textId="2C70FC30">
            <w:pPr>
              <w:pStyle w:val="NoSpacing"/>
              <w:rPr>
                <w:b/>
                <w:sz w:val="20"/>
              </w:rPr>
            </w:pPr>
            <w:r w:rsidRPr="00CA6AD1">
              <w:rPr>
                <w:b/>
                <w:sz w:val="20"/>
              </w:rPr>
              <w:t>Proposed Collection of LCDS V5.1</w:t>
            </w:r>
          </w:p>
        </w:tc>
        <w:tc>
          <w:tcPr>
            <w:tcW w:w="1500" w:type="dxa"/>
            <w:vAlign w:val="center"/>
          </w:tcPr>
          <w:p w:rsidR="00464E27" w:rsidRPr="00CA6AD1" w:rsidP="009214E3" w14:paraId="19BC649D" w14:textId="6EE4F691">
            <w:pPr>
              <w:pStyle w:val="NoSpacing"/>
              <w:jc w:val="center"/>
              <w:rPr>
                <w:sz w:val="20"/>
              </w:rPr>
            </w:pPr>
            <w:r w:rsidRPr="00CA6AD1">
              <w:rPr>
                <w:sz w:val="20"/>
              </w:rPr>
              <w:t>330</w:t>
            </w:r>
          </w:p>
        </w:tc>
        <w:tc>
          <w:tcPr>
            <w:tcW w:w="1501" w:type="dxa"/>
            <w:vAlign w:val="center"/>
          </w:tcPr>
          <w:p w:rsidR="00464E27" w:rsidRPr="00CA6AD1" w:rsidP="009214E3" w14:paraId="55D89917" w14:textId="3DEA80CC">
            <w:pPr>
              <w:pStyle w:val="NoSpacing"/>
              <w:jc w:val="center"/>
              <w:rPr>
                <w:sz w:val="20"/>
              </w:rPr>
            </w:pPr>
            <w:r w:rsidRPr="00CA6AD1">
              <w:rPr>
                <w:sz w:val="20"/>
              </w:rPr>
              <w:t>148,088</w:t>
            </w:r>
          </w:p>
        </w:tc>
        <w:tc>
          <w:tcPr>
            <w:tcW w:w="1500" w:type="dxa"/>
            <w:vAlign w:val="center"/>
          </w:tcPr>
          <w:p w:rsidR="00464E27" w:rsidRPr="00CA6AD1" w:rsidP="009214E3" w14:paraId="7175E5C3" w14:textId="2560F1B9">
            <w:pPr>
              <w:pStyle w:val="NoSpacing"/>
              <w:jc w:val="center"/>
              <w:rPr>
                <w:sz w:val="20"/>
              </w:rPr>
            </w:pPr>
            <w:r w:rsidRPr="00CA6AD1">
              <w:rPr>
                <w:sz w:val="20"/>
              </w:rPr>
              <w:t>448.75</w:t>
            </w:r>
          </w:p>
        </w:tc>
        <w:tc>
          <w:tcPr>
            <w:tcW w:w="1501" w:type="dxa"/>
            <w:vAlign w:val="center"/>
          </w:tcPr>
          <w:p w:rsidR="00464E27" w:rsidRPr="00CA6AD1" w:rsidP="009214E3" w14:paraId="52FC64F2" w14:textId="6B80E77A">
            <w:pPr>
              <w:pStyle w:val="NoSpacing"/>
              <w:jc w:val="center"/>
              <w:rPr>
                <w:sz w:val="20"/>
              </w:rPr>
            </w:pPr>
            <w:r w:rsidRPr="00CA6AD1">
              <w:rPr>
                <w:sz w:val="20"/>
              </w:rPr>
              <w:t>148,965</w:t>
            </w:r>
          </w:p>
        </w:tc>
        <w:tc>
          <w:tcPr>
            <w:tcW w:w="1507" w:type="dxa"/>
            <w:gridSpan w:val="2"/>
            <w:vAlign w:val="center"/>
          </w:tcPr>
          <w:p w:rsidR="00464E27" w:rsidRPr="00CA6AD1" w:rsidP="009214E3" w14:paraId="6B6C9E9E" w14:textId="02503342">
            <w:pPr>
              <w:pStyle w:val="NoSpacing"/>
              <w:jc w:val="center"/>
              <w:rPr>
                <w:sz w:val="20"/>
              </w:rPr>
            </w:pPr>
            <w:r w:rsidRPr="00CA6AD1">
              <w:rPr>
                <w:sz w:val="20"/>
              </w:rPr>
              <w:t>451.41</w:t>
            </w:r>
          </w:p>
        </w:tc>
        <w:tc>
          <w:tcPr>
            <w:tcW w:w="1494" w:type="dxa"/>
            <w:vAlign w:val="center"/>
          </w:tcPr>
          <w:p w:rsidR="00464E27" w:rsidRPr="00CA6AD1" w14:paraId="43212FDD" w14:textId="5EE7824D">
            <w:pPr>
              <w:pStyle w:val="NoSpacing"/>
              <w:jc w:val="center"/>
              <w:rPr>
                <w:sz w:val="20"/>
              </w:rPr>
            </w:pPr>
            <w:r>
              <w:rPr>
                <w:sz w:val="20"/>
              </w:rPr>
              <w:t>211,381</w:t>
            </w:r>
          </w:p>
        </w:tc>
      </w:tr>
    </w:tbl>
    <w:p w:rsidR="00623A61" w14:paraId="730F65BD" w14:textId="45C8047C">
      <w:pPr>
        <w:pStyle w:val="NoSpacing"/>
        <w:ind w:left="360"/>
      </w:pPr>
      <w:r>
        <w:tab/>
      </w:r>
    </w:p>
    <w:p w:rsidR="009D582A" w:rsidP="0038644D" w14:paraId="14113C86" w14:textId="4A62442B">
      <w:pPr>
        <w:pStyle w:val="NoSpacing"/>
        <w:ind w:left="360"/>
      </w:pPr>
      <w:r>
        <w:t xml:space="preserve">We estimate the average cost per each LCDS submission </w:t>
      </w:r>
      <w:r w:rsidR="009C1A01">
        <w:t xml:space="preserve">beginning with the FY 2025 QRP </w:t>
      </w:r>
      <w:r>
        <w:t>to be $</w:t>
      </w:r>
      <w:r w:rsidR="006F6AC3">
        <w:t>59.48 ($17,667,319.92 / 297,053 assessments)</w:t>
      </w:r>
      <w:r>
        <w:t xml:space="preserve">.  Therefore, we estimate </w:t>
      </w:r>
      <w:r w:rsidR="001A2C38">
        <w:t>there would be an increased average annual cost to all LTCHs for reporting quality data of $</w:t>
      </w:r>
      <w:r w:rsidR="00F008C4">
        <w:t>5,479,119.16</w:t>
      </w:r>
      <w:r w:rsidR="001A2C38">
        <w:t xml:space="preserve"> [(45,620</w:t>
      </w:r>
      <w:r w:rsidR="00CA6AD1">
        <w:t xml:space="preserve"> admission assessments</w:t>
      </w:r>
      <w:r w:rsidR="001A2C38">
        <w:t xml:space="preserve"> x $</w:t>
      </w:r>
      <w:r w:rsidR="006F6AC3">
        <w:t>59.48</w:t>
      </w:r>
      <w:r w:rsidR="001A2C38">
        <w:t xml:space="preserve">) + (46,497 </w:t>
      </w:r>
      <w:r w:rsidR="00CA6AD1">
        <w:t xml:space="preserve">discharge </w:t>
      </w:r>
      <w:r w:rsidR="00CA6AD1">
        <w:t xml:space="preserve">assessments </w:t>
      </w:r>
      <w:r w:rsidR="001A2C38">
        <w:t>x $</w:t>
      </w:r>
      <w:r w:rsidR="006F6AC3">
        <w:t>59.48</w:t>
      </w:r>
      <w:r w:rsidR="001A2C38">
        <w:t xml:space="preserve">)].  We also estimate </w:t>
      </w:r>
      <w:r>
        <w:t>there would be an increased average annual cost to each LTCH for reporting quality data of $</w:t>
      </w:r>
      <w:r w:rsidR="00F008C4">
        <w:t>16,603.39</w:t>
      </w:r>
      <w:r>
        <w:t xml:space="preserve"> (</w:t>
      </w:r>
      <w:r w:rsidR="001A2C38">
        <w:t>$</w:t>
      </w:r>
      <w:r w:rsidR="00F008C4">
        <w:t>5,479,119.16</w:t>
      </w:r>
      <w:r w:rsidR="001A2C38">
        <w:t xml:space="preserve"> / </w:t>
      </w:r>
      <w:r w:rsidR="000E63FB">
        <w:t>330</w:t>
      </w:r>
      <w:r>
        <w:t>).</w:t>
      </w:r>
    </w:p>
    <w:p w:rsidR="00056C62" w:rsidP="00056C62" w14:paraId="2F0077D7" w14:textId="5782E358">
      <w:pPr>
        <w:pStyle w:val="NoSpacing"/>
      </w:pPr>
    </w:p>
    <w:p w:rsidR="00CA6AD1" w:rsidP="00056C62" w14:paraId="535884A1" w14:textId="77777777">
      <w:pPr>
        <w:pStyle w:val="NoSpacing"/>
      </w:pPr>
    </w:p>
    <w:tbl>
      <w:tblPr>
        <w:tblStyle w:val="TableGrid"/>
        <w:tblW w:w="0" w:type="auto"/>
        <w:tblInd w:w="445" w:type="dxa"/>
        <w:tblLook w:val="04A0"/>
      </w:tblPr>
      <w:tblGrid>
        <w:gridCol w:w="6570"/>
        <w:gridCol w:w="2340"/>
      </w:tblGrid>
      <w:tr w14:paraId="3C7A726E" w14:textId="77777777" w:rsidTr="00C97219">
        <w:tblPrEx>
          <w:tblW w:w="0" w:type="auto"/>
          <w:tblInd w:w="445" w:type="dxa"/>
          <w:tblLook w:val="04A0"/>
        </w:tblPrEx>
        <w:tc>
          <w:tcPr>
            <w:tcW w:w="6570" w:type="dxa"/>
          </w:tcPr>
          <w:p w:rsidR="00056C62" w:rsidRPr="00802A11" w:rsidP="00C97219" w14:paraId="40023079" w14:textId="77777777">
            <w:pPr>
              <w:pStyle w:val="ListContinue"/>
              <w:spacing w:after="0"/>
              <w:ind w:left="0"/>
              <w:rPr>
                <w:color w:val="000000" w:themeColor="text1"/>
              </w:rPr>
            </w:pPr>
            <w:r w:rsidRPr="00802A11">
              <w:rPr>
                <w:color w:val="000000" w:themeColor="text1"/>
              </w:rPr>
              <w:t xml:space="preserve">Previous Cost Burden for all </w:t>
            </w:r>
            <w:r>
              <w:rPr>
                <w:color w:val="000000" w:themeColor="text1"/>
              </w:rPr>
              <w:t>LTCH</w:t>
            </w:r>
            <w:r w:rsidRPr="00802A11">
              <w:rPr>
                <w:color w:val="000000" w:themeColor="text1"/>
              </w:rPr>
              <w:t>s per year</w:t>
            </w:r>
          </w:p>
        </w:tc>
        <w:tc>
          <w:tcPr>
            <w:tcW w:w="2340" w:type="dxa"/>
            <w:vAlign w:val="center"/>
          </w:tcPr>
          <w:p w:rsidR="00056C62" w:rsidRPr="00802A11" w:rsidP="00C97219" w14:paraId="2F0A62BB" w14:textId="77777777">
            <w:pPr>
              <w:pStyle w:val="ListContinue"/>
              <w:spacing w:after="0"/>
              <w:ind w:left="0"/>
              <w:jc w:val="right"/>
              <w:rPr>
                <w:color w:val="000000" w:themeColor="text1"/>
              </w:rPr>
            </w:pPr>
            <w:r w:rsidRPr="00802A11">
              <w:rPr>
                <w:color w:val="000000" w:themeColor="text1"/>
              </w:rPr>
              <w:t>$</w:t>
            </w:r>
            <w:r>
              <w:rPr>
                <w:color w:val="000000" w:themeColor="text1"/>
              </w:rPr>
              <w:t>9,370,641.00</w:t>
            </w:r>
          </w:p>
        </w:tc>
      </w:tr>
      <w:tr w14:paraId="16AF9899" w14:textId="77777777" w:rsidTr="00C97219">
        <w:tblPrEx>
          <w:tblW w:w="0" w:type="auto"/>
          <w:tblInd w:w="445" w:type="dxa"/>
          <w:tblLook w:val="04A0"/>
        </w:tblPrEx>
        <w:tc>
          <w:tcPr>
            <w:tcW w:w="6570" w:type="dxa"/>
          </w:tcPr>
          <w:p w:rsidR="00056C62" w:rsidRPr="00802A11" w:rsidP="00C97219" w14:paraId="4084BF47" w14:textId="77777777">
            <w:pPr>
              <w:pStyle w:val="ListContinue"/>
              <w:spacing w:after="0"/>
              <w:ind w:left="0"/>
              <w:rPr>
                <w:color w:val="000000" w:themeColor="text1"/>
              </w:rPr>
            </w:pPr>
            <w:r w:rsidRPr="00802A11">
              <w:rPr>
                <w:color w:val="000000" w:themeColor="text1"/>
              </w:rPr>
              <w:t xml:space="preserve">New Cost Burden for all </w:t>
            </w:r>
            <w:r>
              <w:rPr>
                <w:color w:val="000000" w:themeColor="text1"/>
              </w:rPr>
              <w:t>LTCH</w:t>
            </w:r>
            <w:r w:rsidRPr="00802A11">
              <w:rPr>
                <w:color w:val="000000" w:themeColor="text1"/>
              </w:rPr>
              <w:t>s per year</w:t>
            </w:r>
          </w:p>
        </w:tc>
        <w:tc>
          <w:tcPr>
            <w:tcW w:w="2340" w:type="dxa"/>
            <w:vAlign w:val="center"/>
          </w:tcPr>
          <w:p w:rsidR="00056C62" w:rsidRPr="00802A11" w:rsidP="00C97219" w14:paraId="3FAACE0D" w14:textId="77777777">
            <w:pPr>
              <w:pStyle w:val="ListContinue"/>
              <w:spacing w:after="0"/>
              <w:ind w:left="0"/>
              <w:jc w:val="right"/>
              <w:rPr>
                <w:color w:val="000000" w:themeColor="text1"/>
              </w:rPr>
            </w:pPr>
            <w:r w:rsidRPr="00802A11">
              <w:rPr>
                <w:color w:val="000000" w:themeColor="text1"/>
              </w:rPr>
              <w:t>$</w:t>
            </w:r>
            <w:r>
              <w:rPr>
                <w:color w:val="000000" w:themeColor="text1"/>
              </w:rPr>
              <w:t>17,667,319.92</w:t>
            </w:r>
          </w:p>
        </w:tc>
      </w:tr>
    </w:tbl>
    <w:p w:rsidR="00056C62" w:rsidP="00056C62" w14:paraId="697DF12F" w14:textId="77777777">
      <w:pPr>
        <w:pStyle w:val="NoSpacing"/>
      </w:pPr>
    </w:p>
    <w:p w:rsidR="00EA4C90" w:rsidRPr="00D321D4" w:rsidP="00EA614E" w14:paraId="2F2DB438" w14:textId="77777777">
      <w:pPr>
        <w:pStyle w:val="Heading2"/>
        <w:rPr>
          <w:b/>
        </w:rPr>
      </w:pPr>
      <w:bookmarkStart w:id="130" w:name="_Toc88554857"/>
      <w:bookmarkStart w:id="131" w:name="_Toc144904233"/>
      <w:r w:rsidRPr="00D321D4">
        <w:t>Publication/Tabulation Dates</w:t>
      </w:r>
      <w:bookmarkEnd w:id="130"/>
      <w:bookmarkEnd w:id="131"/>
    </w:p>
    <w:p w:rsidR="00D2685F" w:rsidP="00D2685F" w14:paraId="07678557" w14:textId="77777777">
      <w:pPr>
        <w:pStyle w:val="NoSpacing"/>
        <w:rPr>
          <w:b/>
        </w:rPr>
      </w:pPr>
    </w:p>
    <w:p w:rsidR="00BE1A53" w:rsidRPr="00802A11" w:rsidP="00FF1968" w14:paraId="64BBE649" w14:textId="2FB5E599">
      <w:pPr>
        <w:pStyle w:val="ListContinueBody"/>
        <w:ind w:left="0"/>
        <w:rPr>
          <w:color w:val="000000" w:themeColor="text1"/>
        </w:rPr>
      </w:pPr>
      <w:r w:rsidRPr="00802A11">
        <w:rPr>
          <w:color w:val="000000" w:themeColor="text1"/>
        </w:rPr>
        <w:t xml:space="preserve">For </w:t>
      </w:r>
      <w:r>
        <w:rPr>
          <w:color w:val="000000" w:themeColor="text1"/>
        </w:rPr>
        <w:t xml:space="preserve">the </w:t>
      </w:r>
      <w:r w:rsidRPr="00802A11">
        <w:rPr>
          <w:color w:val="000000" w:themeColor="text1"/>
        </w:rPr>
        <w:t xml:space="preserve">changes to the </w:t>
      </w:r>
      <w:r>
        <w:rPr>
          <w:color w:val="000000" w:themeColor="text1"/>
        </w:rPr>
        <w:t xml:space="preserve">LCDS </w:t>
      </w:r>
      <w:r w:rsidRPr="00802A11">
        <w:rPr>
          <w:color w:val="000000" w:themeColor="text1"/>
        </w:rPr>
        <w:t xml:space="preserve">Version </w:t>
      </w:r>
      <w:r w:rsidR="00A21C1F">
        <w:rPr>
          <w:color w:val="000000" w:themeColor="text1"/>
        </w:rPr>
        <w:t>V5.1</w:t>
      </w:r>
      <w:r w:rsidRPr="00802A11">
        <w:rPr>
          <w:color w:val="000000" w:themeColor="text1"/>
        </w:rPr>
        <w:t xml:space="preserve"> related to the </w:t>
      </w:r>
      <w:r>
        <w:rPr>
          <w:color w:val="000000" w:themeColor="text1"/>
        </w:rPr>
        <w:t>LTCH</w:t>
      </w:r>
      <w:r w:rsidRPr="00802A11">
        <w:rPr>
          <w:color w:val="000000" w:themeColor="text1"/>
        </w:rPr>
        <w:t xml:space="preserve"> QRP, the </w:t>
      </w:r>
      <w:r w:rsidR="009A6B35">
        <w:rPr>
          <w:color w:val="000000" w:themeColor="text1"/>
        </w:rPr>
        <w:t xml:space="preserve">final </w:t>
      </w:r>
      <w:r w:rsidRPr="00802A11">
        <w:rPr>
          <w:color w:val="000000" w:themeColor="text1"/>
        </w:rPr>
        <w:t xml:space="preserve">rule was published in the Federal Register on </w:t>
      </w:r>
      <w:r w:rsidR="009A6B35">
        <w:rPr>
          <w:color w:val="000000" w:themeColor="text1"/>
        </w:rPr>
        <w:t>August 28</w:t>
      </w:r>
      <w:r w:rsidRPr="002F0D38">
        <w:rPr>
          <w:color w:val="000000" w:themeColor="text1"/>
        </w:rPr>
        <w:t>,</w:t>
      </w:r>
      <w:r w:rsidRPr="00802A11">
        <w:rPr>
          <w:color w:val="000000" w:themeColor="text1"/>
        </w:rPr>
        <w:t xml:space="preserve"> 202</w:t>
      </w:r>
      <w:r>
        <w:rPr>
          <w:color w:val="000000" w:themeColor="text1"/>
        </w:rPr>
        <w:t>3</w:t>
      </w:r>
      <w:r w:rsidRPr="00802A11">
        <w:rPr>
          <w:color w:val="000000" w:themeColor="text1"/>
        </w:rPr>
        <w:t xml:space="preserve"> (8</w:t>
      </w:r>
      <w:r>
        <w:rPr>
          <w:color w:val="000000" w:themeColor="text1"/>
        </w:rPr>
        <w:t>8</w:t>
      </w:r>
      <w:r w:rsidRPr="00802A11">
        <w:rPr>
          <w:color w:val="000000" w:themeColor="text1"/>
        </w:rPr>
        <w:t xml:space="preserve"> FR</w:t>
      </w:r>
      <w:r w:rsidR="00257A48">
        <w:rPr>
          <w:color w:val="000000" w:themeColor="text1"/>
        </w:rPr>
        <w:t xml:space="preserve"> </w:t>
      </w:r>
      <w:r w:rsidR="009A6B35">
        <w:rPr>
          <w:color w:val="000000" w:themeColor="text1"/>
        </w:rPr>
        <w:t>58640</w:t>
      </w:r>
      <w:r w:rsidRPr="00802A11">
        <w:rPr>
          <w:color w:val="000000" w:themeColor="text1"/>
        </w:rPr>
        <w:t xml:space="preserve">). The </w:t>
      </w:r>
      <w:r>
        <w:rPr>
          <w:color w:val="000000" w:themeColor="text1"/>
        </w:rPr>
        <w:t xml:space="preserve">LCDS Version </w:t>
      </w:r>
      <w:r w:rsidR="00A21C1F">
        <w:rPr>
          <w:color w:val="000000" w:themeColor="text1"/>
        </w:rPr>
        <w:t>V5.1</w:t>
      </w:r>
      <w:r w:rsidRPr="00802A11">
        <w:rPr>
          <w:color w:val="000000" w:themeColor="text1"/>
        </w:rPr>
        <w:t xml:space="preserve"> can be found here:</w:t>
      </w:r>
      <w:r>
        <w:rPr>
          <w:color w:val="000000" w:themeColor="text1"/>
        </w:rPr>
        <w:t xml:space="preserve"> </w:t>
      </w:r>
      <w:hyperlink r:id="rId13" w:history="1">
        <w:r w:rsidRPr="00AA2B5E" w:rsidR="001243C8">
          <w:rPr>
            <w:rStyle w:val="Hyperlink"/>
          </w:rPr>
          <w:t>https://www.cms.gov/medicare/quality-initiatives-patient-assessment-instruments/ltch-quality-reporting/ltch-care-data-set-and-ltch-qrp-manual</w:t>
        </w:r>
      </w:hyperlink>
      <w:r w:rsidR="001243C8">
        <w:rPr>
          <w:color w:val="000000" w:themeColor="text1"/>
        </w:rPr>
        <w:t xml:space="preserve">. </w:t>
      </w:r>
      <w:r w:rsidRPr="00802A11">
        <w:rPr>
          <w:color w:val="000000" w:themeColor="text1"/>
        </w:rPr>
        <w:t xml:space="preserve"> </w:t>
      </w:r>
    </w:p>
    <w:p w:rsidR="0089614B" w:rsidRPr="0089614B" w:rsidP="00D2685F" w14:paraId="3D1B56DF" w14:textId="77777777">
      <w:pPr>
        <w:pStyle w:val="NoSpacing"/>
      </w:pPr>
    </w:p>
    <w:p w:rsidR="00EA4C90" w:rsidRPr="00D321D4" w:rsidP="00EA614E" w14:paraId="5CE08074" w14:textId="77777777">
      <w:pPr>
        <w:pStyle w:val="Heading2"/>
        <w:rPr>
          <w:b/>
        </w:rPr>
      </w:pPr>
      <w:bookmarkStart w:id="132" w:name="_Toc88554858"/>
      <w:bookmarkStart w:id="133" w:name="_Toc144904234"/>
      <w:r w:rsidRPr="00D321D4">
        <w:t>Expiration Date</w:t>
      </w:r>
      <w:bookmarkEnd w:id="132"/>
      <w:bookmarkEnd w:id="133"/>
    </w:p>
    <w:p w:rsidR="00D2685F" w:rsidP="00D2685F" w14:paraId="2BACBB02" w14:textId="77777777">
      <w:pPr>
        <w:pStyle w:val="NoSpacing"/>
        <w:rPr>
          <w:b/>
        </w:rPr>
      </w:pPr>
    </w:p>
    <w:p w:rsidR="00D2685F" w:rsidRPr="0089614B" w:rsidP="00D2685F" w14:paraId="1C8EFF8A" w14:textId="77777777">
      <w:pPr>
        <w:pStyle w:val="NoSpacing"/>
      </w:pPr>
      <w:r w:rsidRPr="0089614B">
        <w:t>The OMB expiration date will be displayed on all disseminated data collection materials.</w:t>
      </w:r>
    </w:p>
    <w:p w:rsidR="0089614B" w:rsidP="00D2685F" w14:paraId="34EE135F" w14:textId="77777777">
      <w:pPr>
        <w:pStyle w:val="NoSpacing"/>
        <w:rPr>
          <w:b/>
        </w:rPr>
      </w:pPr>
    </w:p>
    <w:p w:rsidR="00EA4C90" w:rsidRPr="00D321D4" w:rsidP="00EA614E" w14:paraId="2C69ECDE" w14:textId="77777777">
      <w:pPr>
        <w:pStyle w:val="Heading2"/>
        <w:rPr>
          <w:b/>
        </w:rPr>
      </w:pPr>
      <w:bookmarkStart w:id="134" w:name="_Toc88554859"/>
      <w:bookmarkStart w:id="135" w:name="_Toc144904235"/>
      <w:r w:rsidRPr="00D321D4">
        <w:t>Certification Statement</w:t>
      </w:r>
      <w:bookmarkEnd w:id="134"/>
      <w:bookmarkEnd w:id="135"/>
    </w:p>
    <w:p w:rsidR="00EA4C90" w:rsidP="00EA4C90" w14:paraId="76B0D3D1" w14:textId="77777777">
      <w:pPr>
        <w:pStyle w:val="NoSpacing"/>
      </w:pPr>
    </w:p>
    <w:p w:rsidR="00D2685F" w:rsidP="00EA4C90" w14:paraId="78BAEA97" w14:textId="77777777">
      <w:pPr>
        <w:pStyle w:val="NoSpacing"/>
      </w:pPr>
      <w:r w:rsidRPr="0089614B">
        <w:t>There are no exceptions to the certifications statement.</w:t>
      </w:r>
    </w:p>
    <w:p w:rsidR="00EE2E3D" w:rsidP="00EA4C90" w14:paraId="35C691D3" w14:textId="77777777">
      <w:pPr>
        <w:pStyle w:val="NoSpacing"/>
      </w:pPr>
    </w:p>
    <w:p w:rsidR="00CC7433" w:rsidP="00EE2E3D" w14:paraId="1DD525F1" w14:textId="77777777">
      <w:pPr>
        <w:pStyle w:val="Heading1"/>
      </w:pPr>
      <w:bookmarkStart w:id="136" w:name="_Toc88554860"/>
      <w:bookmarkStart w:id="137" w:name="_Toc144904236"/>
      <w:r>
        <w:t>Appendices:</w:t>
      </w:r>
      <w:bookmarkEnd w:id="136"/>
      <w:bookmarkEnd w:id="137"/>
      <w:r>
        <w:t xml:space="preserve"> </w:t>
      </w:r>
    </w:p>
    <w:p w:rsidR="00CC7433" w:rsidRPr="00CC7433" w:rsidP="00CC7433" w14:paraId="151D63AC" w14:textId="77777777"/>
    <w:p w:rsidR="006877FB" w:rsidRPr="007340AA" w:rsidP="00EA614E" w14:paraId="23857E26" w14:textId="636157F0">
      <w:pPr>
        <w:pStyle w:val="Heading2"/>
        <w:numPr>
          <w:ilvl w:val="0"/>
          <w:numId w:val="0"/>
        </w:numPr>
        <w:ind w:left="360" w:hanging="360"/>
        <w:rPr>
          <w:u w:val="single"/>
        </w:rPr>
      </w:pPr>
      <w:bookmarkStart w:id="138" w:name="_Toc488669628"/>
      <w:bookmarkStart w:id="139" w:name="_Toc144904237"/>
      <w:bookmarkStart w:id="140" w:name="_Toc88554861"/>
      <w:r w:rsidRPr="007340AA">
        <w:rPr>
          <w:u w:val="single"/>
        </w:rPr>
        <w:t xml:space="preserve">Appendix </w:t>
      </w:r>
      <w:r w:rsidRPr="007340AA" w:rsidR="00CC7433">
        <w:rPr>
          <w:u w:val="single"/>
        </w:rPr>
        <w:t>A</w:t>
      </w:r>
      <w:r w:rsidRPr="007340AA">
        <w:rPr>
          <w:u w:val="single"/>
        </w:rPr>
        <w:t xml:space="preserve"> –</w:t>
      </w:r>
      <w:r w:rsidRPr="007340AA" w:rsidR="007B6036">
        <w:rPr>
          <w:u w:val="single"/>
        </w:rPr>
        <w:t xml:space="preserve"> </w:t>
      </w:r>
      <w:r w:rsidRPr="007340AA" w:rsidR="00E20F23">
        <w:rPr>
          <w:u w:val="single"/>
        </w:rPr>
        <w:t xml:space="preserve">LTCH CARE Data Set V </w:t>
      </w:r>
      <w:r w:rsidRPr="007340AA" w:rsidR="00F33FFB">
        <w:rPr>
          <w:u w:val="single"/>
        </w:rPr>
        <w:t>5</w:t>
      </w:r>
      <w:r w:rsidRPr="007340AA" w:rsidR="00E20F23">
        <w:rPr>
          <w:u w:val="single"/>
        </w:rPr>
        <w:t>.</w:t>
      </w:r>
      <w:r w:rsidR="00BE1A53">
        <w:rPr>
          <w:u w:val="single"/>
        </w:rPr>
        <w:t>1</w:t>
      </w:r>
      <w:r w:rsidRPr="007340AA" w:rsidR="00E20F23">
        <w:rPr>
          <w:u w:val="single"/>
        </w:rPr>
        <w:t xml:space="preserve"> </w:t>
      </w:r>
      <w:bookmarkEnd w:id="138"/>
      <w:r w:rsidRPr="007340AA" w:rsidR="00EE0CB7">
        <w:rPr>
          <w:u w:val="single"/>
        </w:rPr>
        <w:t>Item</w:t>
      </w:r>
      <w:bookmarkEnd w:id="139"/>
      <w:r w:rsidRPr="007340AA" w:rsidR="00EE0CB7">
        <w:rPr>
          <w:u w:val="single"/>
        </w:rPr>
        <w:t xml:space="preserve"> </w:t>
      </w:r>
      <w:bookmarkEnd w:id="140"/>
    </w:p>
    <w:sectPr w:rsidSect="00271B44">
      <w:headerReference w:type="default" r:id="rId14"/>
      <w:footerReference w:type="default" r:id="rId15"/>
      <w:pgSz w:w="12240" w:h="15840"/>
      <w:pgMar w:top="720" w:right="720" w:bottom="720" w:left="72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1979106437"/>
      <w:docPartObj>
        <w:docPartGallery w:val="Page Numbers (Bottom of Page)"/>
        <w:docPartUnique/>
      </w:docPartObj>
    </w:sdtPr>
    <w:sdtEndPr>
      <w:rPr>
        <w:noProof/>
      </w:rPr>
    </w:sdtEndPr>
    <w:sdtContent>
      <w:p w:rsidR="00C97219" w:rsidP="00B02955" w14:paraId="5CBB9F0A" w14:textId="77777777">
        <w:pPr>
          <w:pStyle w:val="Footer"/>
          <w:jc w:val="center"/>
        </w:pPr>
        <w:r>
          <w:fldChar w:fldCharType="begin"/>
        </w:r>
        <w:r>
          <w:instrText xml:space="preserve"> PAGE   \* MERGEFORMAT </w:instrText>
        </w:r>
        <w:r>
          <w:fldChar w:fldCharType="separate"/>
        </w:r>
        <w:r>
          <w:rPr>
            <w:noProof/>
          </w:rPr>
          <w:t>i</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677770741"/>
      <w:docPartObj>
        <w:docPartGallery w:val="Page Numbers (Bottom of Page)"/>
        <w:docPartUnique/>
      </w:docPartObj>
    </w:sdtPr>
    <w:sdtEndPr>
      <w:rPr>
        <w:noProof/>
      </w:rPr>
    </w:sdtEndPr>
    <w:sdtContent>
      <w:p w:rsidR="00C97219" w:rsidP="006422E7" w14:paraId="19810AAB" w14:textId="77777777">
        <w:pPr>
          <w:pStyle w:val="Footer"/>
          <w:jc w:val="center"/>
        </w:pPr>
        <w:r>
          <w:fldChar w:fldCharType="begin"/>
        </w:r>
        <w:r>
          <w:instrText xml:space="preserve"> PAGE   \* MERGEFORMAT </w:instrText>
        </w:r>
        <w:r>
          <w:fldChar w:fldCharType="separate"/>
        </w:r>
        <w:r>
          <w:rPr>
            <w:noProof/>
          </w:rPr>
          <w:t>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C97219" w:rsidP="00EF075E" w14:paraId="6D853E0D" w14:textId="77777777">
      <w:r>
        <w:separator/>
      </w:r>
    </w:p>
  </w:footnote>
  <w:footnote w:type="continuationSeparator" w:id="1">
    <w:p w:rsidR="00C97219" w:rsidP="00EF075E" w14:paraId="4187208A" w14:textId="77777777">
      <w:r>
        <w:continuationSeparator/>
      </w:r>
    </w:p>
  </w:footnote>
  <w:footnote w:id="2">
    <w:p w:rsidR="00C97219" w:rsidRPr="00271B44" w:rsidP="00961A12" w14:paraId="13531A81" w14:textId="77777777">
      <w:pPr>
        <w:pStyle w:val="FootnoteText"/>
        <w:spacing w:after="0"/>
        <w:rPr>
          <w:sz w:val="18"/>
          <w:szCs w:val="18"/>
        </w:rPr>
      </w:pPr>
      <w:r w:rsidRPr="00271B44">
        <w:rPr>
          <w:rStyle w:val="FootnoteReference"/>
          <w:szCs w:val="18"/>
        </w:rPr>
        <w:footnoteRef/>
      </w:r>
      <w:r w:rsidRPr="00271B44">
        <w:rPr>
          <w:sz w:val="18"/>
          <w:szCs w:val="18"/>
        </w:rPr>
        <w:t xml:space="preserve"> </w:t>
      </w:r>
      <w:r w:rsidRPr="00271B44">
        <w:rPr>
          <w:rFonts w:asciiTheme="majorBidi" w:hAnsiTheme="majorBidi" w:cstheme="majorBidi"/>
          <w:sz w:val="18"/>
          <w:szCs w:val="18"/>
        </w:rPr>
        <w:t xml:space="preserve">U.S. Department of Health and Human Services, Centers for Medicare &amp; Medicaid Services: </w:t>
      </w:r>
      <w:r>
        <w:rPr>
          <w:rFonts w:asciiTheme="majorBidi" w:hAnsiTheme="majorBidi" w:cstheme="majorBidi"/>
          <w:sz w:val="18"/>
          <w:szCs w:val="18"/>
        </w:rPr>
        <w:t xml:space="preserve">Medicare Program; </w:t>
      </w:r>
      <w:r w:rsidRPr="00271B44">
        <w:rPr>
          <w:sz w:val="18"/>
          <w:szCs w:val="18"/>
        </w:rPr>
        <w:t xml:space="preserve">Hospital Inpatient Prospective Payment Systems for Acute Care Hospitals and the Long-Term Care Hospital Prospective Payment System and FY 2012 Rates; Hospitals’ FTE Resident Caps for Graduate Medical Education Payment, Federal Register/Vol. 76, No. 160, August 18, 2011. </w:t>
      </w:r>
      <w:hyperlink r:id="rId1" w:history="1">
        <w:r w:rsidRPr="00271B44">
          <w:rPr>
            <w:rStyle w:val="Hyperlink"/>
            <w:sz w:val="18"/>
            <w:szCs w:val="18"/>
          </w:rPr>
          <w:t>http://www.gpo.gov/fdsys/pkg/FR-2011-08-18/pdf/2011-19719.pdf</w:t>
        </w:r>
      </w:hyperlink>
      <w:r w:rsidRPr="00271B44">
        <w:rPr>
          <w:sz w:val="18"/>
          <w:szCs w:val="18"/>
        </w:rPr>
        <w:t>.</w:t>
      </w:r>
    </w:p>
  </w:footnote>
  <w:footnote w:id="3">
    <w:p w:rsidR="00C97219" w:rsidRPr="00271B44" w:rsidP="00961A12" w14:paraId="762C8919" w14:textId="77777777">
      <w:pPr>
        <w:pStyle w:val="FootnoteText"/>
        <w:spacing w:after="0"/>
        <w:rPr>
          <w:sz w:val="18"/>
          <w:szCs w:val="18"/>
        </w:rPr>
      </w:pPr>
      <w:r w:rsidRPr="00271B44">
        <w:rPr>
          <w:rStyle w:val="FootnoteReference"/>
          <w:szCs w:val="18"/>
        </w:rPr>
        <w:footnoteRef/>
      </w:r>
      <w:r w:rsidRPr="00271B44">
        <w:rPr>
          <w:sz w:val="18"/>
          <w:szCs w:val="18"/>
        </w:rPr>
        <w:t xml:space="preserve"> Patient Protection and Affordable Care Act. Pub. L. 111-148. Stat. 124-119. 23 March 2010. Web. </w:t>
      </w:r>
      <w:hyperlink r:id="rId2" w:history="1">
        <w:r w:rsidRPr="00271B44">
          <w:rPr>
            <w:rStyle w:val="Hyperlink"/>
            <w:sz w:val="18"/>
            <w:szCs w:val="18"/>
          </w:rPr>
          <w:t>http://www.gpo.gov/fdsys/pkg/PLAW-111publ148/pdf/PLAW-111publ148.pdf</w:t>
        </w:r>
      </w:hyperlink>
      <w:r w:rsidRPr="00271B44">
        <w:rPr>
          <w:sz w:val="18"/>
          <w:szCs w:val="18"/>
        </w:rPr>
        <w:t xml:space="preserve">.  </w:t>
      </w:r>
    </w:p>
  </w:footnote>
  <w:footnote w:id="4">
    <w:p w:rsidR="00C97219" w:rsidP="0058324F" w14:paraId="4D462479" w14:textId="77777777">
      <w:pPr>
        <w:pStyle w:val="FootnoteText"/>
      </w:pPr>
      <w:r w:rsidRPr="009F7CD4">
        <w:rPr>
          <w:rStyle w:val="FootnoteReference"/>
        </w:rPr>
        <w:footnoteRef/>
      </w:r>
      <w:r w:rsidRPr="009F7CD4">
        <w:rPr>
          <w:vertAlign w:val="superscript"/>
        </w:rPr>
        <w:t xml:space="preserve"> </w:t>
      </w:r>
      <w:r w:rsidRPr="00CC2D82">
        <w:t>https://www.bls.gov/oes/current/oes_nat.htm</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C97219" w14:paraId="041D825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C97219" w:rsidRPr="00EA4C90" w:rsidP="00EA4C90" w14:paraId="04D6A44A" w14:textId="77777777">
    <w:pPr>
      <w:pStyle w:val="Header"/>
      <w:jc w:val="center"/>
      <w:rPr>
        <w:rFonts w:eastAsiaTheme="majorEastAsia" w:cs="Times New Roman"/>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2D6781C"/>
    <w:multiLevelType w:val="hybridMultilevel"/>
    <w:tmpl w:val="41FCD6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DF6527A"/>
    <w:multiLevelType w:val="hybridMultilevel"/>
    <w:tmpl w:val="A09E5EFC"/>
    <w:lvl w:ilvl="0">
      <w:start w:val="1"/>
      <w:numFmt w:val="lowerLetter"/>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0652248"/>
    <w:multiLevelType w:val="hybridMultilevel"/>
    <w:tmpl w:val="D3F858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77A5321"/>
    <w:multiLevelType w:val="hybridMultilevel"/>
    <w:tmpl w:val="BA1A0EAC"/>
    <w:lvl w:ilvl="0">
      <w:start w:val="1"/>
      <w:numFmt w:val="bullet"/>
      <w:lvlText w:val="–"/>
      <w:lvlJc w:val="left"/>
      <w:pPr>
        <w:ind w:left="1440"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17D4652A"/>
    <w:multiLevelType w:val="hybridMultilevel"/>
    <w:tmpl w:val="464AE800"/>
    <w:lvl w:ilvl="0">
      <w:start w:val="1"/>
      <w:numFmt w:val="bullet"/>
      <w:pStyle w:val="bullet"/>
      <w:lvlText w:val=""/>
      <w:lvlJc w:val="left"/>
      <w:pPr>
        <w:tabs>
          <w:tab w:val="num" w:pos="-1224"/>
        </w:tabs>
        <w:ind w:left="648" w:hanging="288"/>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C232328"/>
    <w:multiLevelType w:val="hybridMultilevel"/>
    <w:tmpl w:val="90E2949C"/>
    <w:lvl w:ilvl="0">
      <w:start w:val="1"/>
      <w:numFmt w:val="bullet"/>
      <w:lvlText w:val="–"/>
      <w:lvlJc w:val="left"/>
      <w:pPr>
        <w:tabs>
          <w:tab w:val="num" w:pos="2520"/>
        </w:tabs>
        <w:ind w:left="2520" w:hanging="360"/>
      </w:pPr>
      <w:rPr>
        <w:rFonts w:ascii="Times New Roman" w:hAnsi="Times New Roman" w:cs="Times New Roman" w:hint="default"/>
      </w:rPr>
    </w:lvl>
    <w:lvl w:ilvl="1">
      <w:start w:val="1"/>
      <w:numFmt w:val="bullet"/>
      <w:pStyle w:val="bullets-2ndlevel"/>
      <w:lvlText w:val="–"/>
      <w:lvlJc w:val="left"/>
      <w:pPr>
        <w:tabs>
          <w:tab w:val="num" w:pos="1440"/>
        </w:tabs>
        <w:ind w:left="1440" w:hanging="360"/>
      </w:pPr>
      <w:rPr>
        <w:rFonts w:ascii="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204060EF"/>
    <w:multiLevelType w:val="hybridMultilevel"/>
    <w:tmpl w:val="A6C8EC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1242349"/>
    <w:multiLevelType w:val="hybridMultilevel"/>
    <w:tmpl w:val="94AE595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22263D76"/>
    <w:multiLevelType w:val="hybridMultilevel"/>
    <w:tmpl w:val="D832987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269D20CE"/>
    <w:multiLevelType w:val="hybridMultilevel"/>
    <w:tmpl w:val="E4E0FE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C5E4926"/>
    <w:multiLevelType w:val="hybridMultilevel"/>
    <w:tmpl w:val="D3F858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035250D"/>
    <w:multiLevelType w:val="hybridMultilevel"/>
    <w:tmpl w:val="8CD2E96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30B6024C"/>
    <w:multiLevelType w:val="hybridMultilevel"/>
    <w:tmpl w:val="BCAA77B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379633A"/>
    <w:multiLevelType w:val="hybridMultilevel"/>
    <w:tmpl w:val="DE62D9D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364C45F2"/>
    <w:multiLevelType w:val="hybridMultilevel"/>
    <w:tmpl w:val="47666FC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71B441A"/>
    <w:multiLevelType w:val="hybridMultilevel"/>
    <w:tmpl w:val="DBF611D4"/>
    <w:lvl w:ilvl="0">
      <w:start w:val="1"/>
      <w:numFmt w:val="decimal"/>
      <w:pStyle w:val="Heading2"/>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D3E2F5B"/>
    <w:multiLevelType w:val="hybridMultilevel"/>
    <w:tmpl w:val="5CE416B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42A3A40"/>
    <w:multiLevelType w:val="hybridMultilevel"/>
    <w:tmpl w:val="2368B1E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46394162"/>
    <w:multiLevelType w:val="hybridMultilevel"/>
    <w:tmpl w:val="FDD6B2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85C2FF7"/>
    <w:multiLevelType w:val="hybridMultilevel"/>
    <w:tmpl w:val="C5C48BD8"/>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509411FA"/>
    <w:multiLevelType w:val="hybridMultilevel"/>
    <w:tmpl w:val="D832987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53AA7644"/>
    <w:multiLevelType w:val="hybridMultilevel"/>
    <w:tmpl w:val="D832987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54411157"/>
    <w:multiLevelType w:val="hybridMultilevel"/>
    <w:tmpl w:val="BCAA77B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F3E0F14"/>
    <w:multiLevelType w:val="hybridMultilevel"/>
    <w:tmpl w:val="47666FC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08E7440"/>
    <w:multiLevelType w:val="hybridMultilevel"/>
    <w:tmpl w:val="9D5A2CB6"/>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677F3BB7"/>
    <w:multiLevelType w:val="hybridMultilevel"/>
    <w:tmpl w:val="548E416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A394799"/>
    <w:multiLevelType w:val="singleLevel"/>
    <w:tmpl w:val="D6344B06"/>
    <w:lvl w:ilvl="0">
      <w:start w:val="1"/>
      <w:numFmt w:val="bullet"/>
      <w:pStyle w:val="bullets"/>
      <w:lvlText w:val=""/>
      <w:lvlJc w:val="left"/>
      <w:pPr>
        <w:tabs>
          <w:tab w:val="num" w:pos="1080"/>
        </w:tabs>
        <w:ind w:left="1080" w:hanging="360"/>
      </w:pPr>
      <w:rPr>
        <w:rFonts w:ascii="Symbol" w:hAnsi="Symbol" w:hint="default"/>
      </w:rPr>
    </w:lvl>
  </w:abstractNum>
  <w:abstractNum w:abstractNumId="27">
    <w:nsid w:val="6C1663D2"/>
    <w:multiLevelType w:val="hybridMultilevel"/>
    <w:tmpl w:val="7C5C4C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6C530AE4"/>
    <w:multiLevelType w:val="hybridMultilevel"/>
    <w:tmpl w:val="94342B44"/>
    <w:lvl w:ilvl="0">
      <w:start w:val="1"/>
      <w:numFmt w:val="lowerLetter"/>
      <w:lvlText w:val="%1)"/>
      <w:lvlJc w:val="left"/>
      <w:pPr>
        <w:ind w:left="54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82E508B"/>
    <w:multiLevelType w:val="hybridMultilevel"/>
    <w:tmpl w:val="7AC8BB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B0C4D45"/>
    <w:multiLevelType w:val="hybridMultilevel"/>
    <w:tmpl w:val="E54C4E0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abstractNumId w:val="13"/>
  </w:num>
  <w:num w:numId="2">
    <w:abstractNumId w:val="24"/>
  </w:num>
  <w:num w:numId="3">
    <w:abstractNumId w:val="30"/>
  </w:num>
  <w:num w:numId="4">
    <w:abstractNumId w:val="4"/>
  </w:num>
  <w:num w:numId="5">
    <w:abstractNumId w:val="26"/>
  </w:num>
  <w:num w:numId="6">
    <w:abstractNumId w:val="5"/>
  </w:num>
  <w:num w:numId="7">
    <w:abstractNumId w:val="3"/>
  </w:num>
  <w:num w:numId="8">
    <w:abstractNumId w:val="29"/>
  </w:num>
  <w:num w:numId="9">
    <w:abstractNumId w:val="18"/>
  </w:num>
  <w:num w:numId="10">
    <w:abstractNumId w:val="19"/>
  </w:num>
  <w:num w:numId="11">
    <w:abstractNumId w:val="12"/>
  </w:num>
  <w:num w:numId="12">
    <w:abstractNumId w:val="7"/>
  </w:num>
  <w:num w:numId="13">
    <w:abstractNumId w:val="21"/>
  </w:num>
  <w:num w:numId="14">
    <w:abstractNumId w:val="22"/>
  </w:num>
  <w:num w:numId="15">
    <w:abstractNumId w:val="0"/>
  </w:num>
  <w:num w:numId="16">
    <w:abstractNumId w:val="20"/>
  </w:num>
  <w:num w:numId="17">
    <w:abstractNumId w:val="10"/>
  </w:num>
  <w:num w:numId="18">
    <w:abstractNumId w:val="8"/>
  </w:num>
  <w:num w:numId="19">
    <w:abstractNumId w:val="17"/>
  </w:num>
  <w:num w:numId="20">
    <w:abstractNumId w:val="2"/>
  </w:num>
  <w:num w:numId="21">
    <w:abstractNumId w:val="11"/>
  </w:num>
  <w:num w:numId="22">
    <w:abstractNumId w:val="14"/>
  </w:num>
  <w:num w:numId="23">
    <w:abstractNumId w:val="23"/>
  </w:num>
  <w:num w:numId="24">
    <w:abstractNumId w:val="27"/>
  </w:num>
  <w:num w:numId="25">
    <w:abstractNumId w:val="1"/>
  </w:num>
  <w:num w:numId="26">
    <w:abstractNumId w:val="15"/>
  </w:num>
  <w:num w:numId="27">
    <w:abstractNumId w:val="9"/>
  </w:num>
  <w:num w:numId="28">
    <w:abstractNumId w:val="6"/>
  </w:num>
  <w:num w:numId="29">
    <w:abstractNumId w:val="15"/>
    <w:lvlOverride w:ilvl="0">
      <w:startOverride w:val="1"/>
    </w:lvlOverride>
  </w:num>
  <w:num w:numId="30">
    <w:abstractNumId w:val="15"/>
    <w:lvlOverride w:ilvl="0">
      <w:startOverride w:val="1"/>
    </w:lvlOverride>
  </w:num>
  <w:num w:numId="31">
    <w:abstractNumId w:val="25"/>
  </w:num>
  <w:num w:numId="32">
    <w:abstractNumId w:val="16"/>
  </w:num>
  <w:num w:numId="33">
    <w:abstractNumId w:val="28"/>
  </w:num>
  <w:num w:numId="34">
    <w:abstractNumId w:val="2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13A"/>
    <w:rsid w:val="0000305C"/>
    <w:rsid w:val="00006FE8"/>
    <w:rsid w:val="00010E37"/>
    <w:rsid w:val="000144CD"/>
    <w:rsid w:val="000170F9"/>
    <w:rsid w:val="0002548A"/>
    <w:rsid w:val="0003773A"/>
    <w:rsid w:val="0004645A"/>
    <w:rsid w:val="00047747"/>
    <w:rsid w:val="00047A38"/>
    <w:rsid w:val="00050E52"/>
    <w:rsid w:val="000510E2"/>
    <w:rsid w:val="00056C62"/>
    <w:rsid w:val="000577D4"/>
    <w:rsid w:val="000656C5"/>
    <w:rsid w:val="00073ECE"/>
    <w:rsid w:val="0007531E"/>
    <w:rsid w:val="00077043"/>
    <w:rsid w:val="000772FF"/>
    <w:rsid w:val="00077E08"/>
    <w:rsid w:val="00085C3E"/>
    <w:rsid w:val="00090C10"/>
    <w:rsid w:val="00091022"/>
    <w:rsid w:val="00096F3B"/>
    <w:rsid w:val="00097F95"/>
    <w:rsid w:val="000A0D91"/>
    <w:rsid w:val="000A3CA0"/>
    <w:rsid w:val="000A5751"/>
    <w:rsid w:val="000A78B6"/>
    <w:rsid w:val="000B48F5"/>
    <w:rsid w:val="000B556A"/>
    <w:rsid w:val="000C32A3"/>
    <w:rsid w:val="000C4B29"/>
    <w:rsid w:val="000C52C3"/>
    <w:rsid w:val="000C5708"/>
    <w:rsid w:val="000D1F68"/>
    <w:rsid w:val="000D4D0A"/>
    <w:rsid w:val="000E26E8"/>
    <w:rsid w:val="000E63FB"/>
    <w:rsid w:val="000E77BA"/>
    <w:rsid w:val="000F60D8"/>
    <w:rsid w:val="0011229C"/>
    <w:rsid w:val="001146A6"/>
    <w:rsid w:val="00114F5E"/>
    <w:rsid w:val="00117DAB"/>
    <w:rsid w:val="00120C35"/>
    <w:rsid w:val="00120CD9"/>
    <w:rsid w:val="0012360A"/>
    <w:rsid w:val="001243C8"/>
    <w:rsid w:val="00126765"/>
    <w:rsid w:val="0013197B"/>
    <w:rsid w:val="00134873"/>
    <w:rsid w:val="001349F5"/>
    <w:rsid w:val="00136FDA"/>
    <w:rsid w:val="0014713A"/>
    <w:rsid w:val="00153385"/>
    <w:rsid w:val="00154373"/>
    <w:rsid w:val="00156787"/>
    <w:rsid w:val="00157FDF"/>
    <w:rsid w:val="00161EDF"/>
    <w:rsid w:val="00162527"/>
    <w:rsid w:val="00162D98"/>
    <w:rsid w:val="00163775"/>
    <w:rsid w:val="0016538F"/>
    <w:rsid w:val="00167BF0"/>
    <w:rsid w:val="001715BA"/>
    <w:rsid w:val="00172B84"/>
    <w:rsid w:val="00174B47"/>
    <w:rsid w:val="001754CF"/>
    <w:rsid w:val="00180628"/>
    <w:rsid w:val="00184C00"/>
    <w:rsid w:val="00185089"/>
    <w:rsid w:val="00191FA8"/>
    <w:rsid w:val="00192556"/>
    <w:rsid w:val="00193641"/>
    <w:rsid w:val="001A2C38"/>
    <w:rsid w:val="001A2E3F"/>
    <w:rsid w:val="001B3615"/>
    <w:rsid w:val="001B7AD1"/>
    <w:rsid w:val="001C444F"/>
    <w:rsid w:val="001C54F4"/>
    <w:rsid w:val="001C554F"/>
    <w:rsid w:val="001C6F19"/>
    <w:rsid w:val="001D40CE"/>
    <w:rsid w:val="001D4A1E"/>
    <w:rsid w:val="001D5F5D"/>
    <w:rsid w:val="001E3451"/>
    <w:rsid w:val="001F0B08"/>
    <w:rsid w:val="001F1A0F"/>
    <w:rsid w:val="001F2665"/>
    <w:rsid w:val="001F5A84"/>
    <w:rsid w:val="001F724B"/>
    <w:rsid w:val="00201CB6"/>
    <w:rsid w:val="00202F53"/>
    <w:rsid w:val="00212FC7"/>
    <w:rsid w:val="0021451E"/>
    <w:rsid w:val="002216DB"/>
    <w:rsid w:val="002219EE"/>
    <w:rsid w:val="00221E17"/>
    <w:rsid w:val="00222B10"/>
    <w:rsid w:val="00223B3C"/>
    <w:rsid w:val="00223BCC"/>
    <w:rsid w:val="00224927"/>
    <w:rsid w:val="00231385"/>
    <w:rsid w:val="00233D5F"/>
    <w:rsid w:val="0023643F"/>
    <w:rsid w:val="00237C23"/>
    <w:rsid w:val="00242D5D"/>
    <w:rsid w:val="0024502D"/>
    <w:rsid w:val="0024601C"/>
    <w:rsid w:val="00250A0A"/>
    <w:rsid w:val="0025793F"/>
    <w:rsid w:val="00257A48"/>
    <w:rsid w:val="002624AA"/>
    <w:rsid w:val="002632BC"/>
    <w:rsid w:val="002645FF"/>
    <w:rsid w:val="002647CC"/>
    <w:rsid w:val="00265BB7"/>
    <w:rsid w:val="00266A1A"/>
    <w:rsid w:val="00266F45"/>
    <w:rsid w:val="00267629"/>
    <w:rsid w:val="00270BE1"/>
    <w:rsid w:val="00271B44"/>
    <w:rsid w:val="00271F42"/>
    <w:rsid w:val="00273EC9"/>
    <w:rsid w:val="00275362"/>
    <w:rsid w:val="00276012"/>
    <w:rsid w:val="00280406"/>
    <w:rsid w:val="0028248C"/>
    <w:rsid w:val="0028264F"/>
    <w:rsid w:val="00286ABA"/>
    <w:rsid w:val="002964C4"/>
    <w:rsid w:val="002A0812"/>
    <w:rsid w:val="002A1E19"/>
    <w:rsid w:val="002A273A"/>
    <w:rsid w:val="002A31FB"/>
    <w:rsid w:val="002A4263"/>
    <w:rsid w:val="002A618B"/>
    <w:rsid w:val="002A660A"/>
    <w:rsid w:val="002B0AA1"/>
    <w:rsid w:val="002B1E5A"/>
    <w:rsid w:val="002B263F"/>
    <w:rsid w:val="002B62BB"/>
    <w:rsid w:val="002B6CDC"/>
    <w:rsid w:val="002C4C35"/>
    <w:rsid w:val="002C6267"/>
    <w:rsid w:val="002D210B"/>
    <w:rsid w:val="002D4779"/>
    <w:rsid w:val="002D6A4B"/>
    <w:rsid w:val="002E0690"/>
    <w:rsid w:val="002E2392"/>
    <w:rsid w:val="002F0D38"/>
    <w:rsid w:val="002F630C"/>
    <w:rsid w:val="002F71E7"/>
    <w:rsid w:val="00303943"/>
    <w:rsid w:val="00305FAC"/>
    <w:rsid w:val="00313290"/>
    <w:rsid w:val="00314178"/>
    <w:rsid w:val="00316604"/>
    <w:rsid w:val="003202C0"/>
    <w:rsid w:val="00320B08"/>
    <w:rsid w:val="003229F9"/>
    <w:rsid w:val="00323080"/>
    <w:rsid w:val="00324852"/>
    <w:rsid w:val="00325196"/>
    <w:rsid w:val="003321E6"/>
    <w:rsid w:val="00332827"/>
    <w:rsid w:val="0033385A"/>
    <w:rsid w:val="00336BB6"/>
    <w:rsid w:val="003372E2"/>
    <w:rsid w:val="00345D73"/>
    <w:rsid w:val="0035451E"/>
    <w:rsid w:val="00356601"/>
    <w:rsid w:val="00356E48"/>
    <w:rsid w:val="00357CA0"/>
    <w:rsid w:val="00360135"/>
    <w:rsid w:val="00360B90"/>
    <w:rsid w:val="003620BD"/>
    <w:rsid w:val="003657FC"/>
    <w:rsid w:val="00366EE1"/>
    <w:rsid w:val="00374FB8"/>
    <w:rsid w:val="00375D3F"/>
    <w:rsid w:val="00380106"/>
    <w:rsid w:val="003815FD"/>
    <w:rsid w:val="0038644D"/>
    <w:rsid w:val="0039140F"/>
    <w:rsid w:val="0039556D"/>
    <w:rsid w:val="00396125"/>
    <w:rsid w:val="003A0035"/>
    <w:rsid w:val="003A1E71"/>
    <w:rsid w:val="003A5AA3"/>
    <w:rsid w:val="003B09B5"/>
    <w:rsid w:val="003B2EC5"/>
    <w:rsid w:val="003B53C7"/>
    <w:rsid w:val="003B5B8F"/>
    <w:rsid w:val="003B7B81"/>
    <w:rsid w:val="003C0FC2"/>
    <w:rsid w:val="003D283C"/>
    <w:rsid w:val="003E072E"/>
    <w:rsid w:val="003E0784"/>
    <w:rsid w:val="003E660D"/>
    <w:rsid w:val="003E6C4D"/>
    <w:rsid w:val="003F5994"/>
    <w:rsid w:val="00400B8C"/>
    <w:rsid w:val="00401BCA"/>
    <w:rsid w:val="004060C2"/>
    <w:rsid w:val="0040639D"/>
    <w:rsid w:val="00412EE2"/>
    <w:rsid w:val="004157F2"/>
    <w:rsid w:val="00422B54"/>
    <w:rsid w:val="00424302"/>
    <w:rsid w:val="00432895"/>
    <w:rsid w:val="00437CB3"/>
    <w:rsid w:val="00440A4C"/>
    <w:rsid w:val="00442BC3"/>
    <w:rsid w:val="00445A73"/>
    <w:rsid w:val="0044798A"/>
    <w:rsid w:val="00447D87"/>
    <w:rsid w:val="004512A8"/>
    <w:rsid w:val="00453B5B"/>
    <w:rsid w:val="00455C83"/>
    <w:rsid w:val="00456219"/>
    <w:rsid w:val="0045791F"/>
    <w:rsid w:val="004618A0"/>
    <w:rsid w:val="00461B09"/>
    <w:rsid w:val="004627F8"/>
    <w:rsid w:val="004632DE"/>
    <w:rsid w:val="00463CA4"/>
    <w:rsid w:val="00464797"/>
    <w:rsid w:val="00464E27"/>
    <w:rsid w:val="00466498"/>
    <w:rsid w:val="00471BE6"/>
    <w:rsid w:val="0047324E"/>
    <w:rsid w:val="00475251"/>
    <w:rsid w:val="004764D2"/>
    <w:rsid w:val="004823E4"/>
    <w:rsid w:val="00487810"/>
    <w:rsid w:val="004A082F"/>
    <w:rsid w:val="004A25CF"/>
    <w:rsid w:val="004A303D"/>
    <w:rsid w:val="004A440D"/>
    <w:rsid w:val="004A6CE8"/>
    <w:rsid w:val="004A7032"/>
    <w:rsid w:val="004A75C3"/>
    <w:rsid w:val="004A7EDB"/>
    <w:rsid w:val="004B17AC"/>
    <w:rsid w:val="004B3876"/>
    <w:rsid w:val="004B5E6C"/>
    <w:rsid w:val="004B713F"/>
    <w:rsid w:val="004B7CA1"/>
    <w:rsid w:val="004C097F"/>
    <w:rsid w:val="004C393D"/>
    <w:rsid w:val="004C5323"/>
    <w:rsid w:val="004C7215"/>
    <w:rsid w:val="004D159E"/>
    <w:rsid w:val="004D24F4"/>
    <w:rsid w:val="004D261F"/>
    <w:rsid w:val="004D3BC8"/>
    <w:rsid w:val="004D692D"/>
    <w:rsid w:val="004E075D"/>
    <w:rsid w:val="004E09A7"/>
    <w:rsid w:val="004E288A"/>
    <w:rsid w:val="004E3BD4"/>
    <w:rsid w:val="004E486C"/>
    <w:rsid w:val="004F469C"/>
    <w:rsid w:val="004F53E9"/>
    <w:rsid w:val="004F541B"/>
    <w:rsid w:val="004F5673"/>
    <w:rsid w:val="00501253"/>
    <w:rsid w:val="0050127C"/>
    <w:rsid w:val="005045EB"/>
    <w:rsid w:val="00504934"/>
    <w:rsid w:val="00505B11"/>
    <w:rsid w:val="00507D9A"/>
    <w:rsid w:val="00510116"/>
    <w:rsid w:val="0052358D"/>
    <w:rsid w:val="00527A1D"/>
    <w:rsid w:val="00531A31"/>
    <w:rsid w:val="00532C5D"/>
    <w:rsid w:val="00534335"/>
    <w:rsid w:val="00535412"/>
    <w:rsid w:val="00536F3B"/>
    <w:rsid w:val="00540498"/>
    <w:rsid w:val="005434C7"/>
    <w:rsid w:val="005465D1"/>
    <w:rsid w:val="00554679"/>
    <w:rsid w:val="005610AC"/>
    <w:rsid w:val="00567C36"/>
    <w:rsid w:val="00567F0C"/>
    <w:rsid w:val="00572B9C"/>
    <w:rsid w:val="00574601"/>
    <w:rsid w:val="005773C2"/>
    <w:rsid w:val="00577AB6"/>
    <w:rsid w:val="005803AB"/>
    <w:rsid w:val="00580D3F"/>
    <w:rsid w:val="00580EC0"/>
    <w:rsid w:val="005825D1"/>
    <w:rsid w:val="0058324F"/>
    <w:rsid w:val="00584D53"/>
    <w:rsid w:val="00590EA3"/>
    <w:rsid w:val="005929D5"/>
    <w:rsid w:val="00596869"/>
    <w:rsid w:val="005A09D5"/>
    <w:rsid w:val="005A7516"/>
    <w:rsid w:val="005A7A75"/>
    <w:rsid w:val="005B3BE9"/>
    <w:rsid w:val="005B55B0"/>
    <w:rsid w:val="005C6BDA"/>
    <w:rsid w:val="005C7373"/>
    <w:rsid w:val="005D0300"/>
    <w:rsid w:val="005D164B"/>
    <w:rsid w:val="005D20BD"/>
    <w:rsid w:val="005D36CC"/>
    <w:rsid w:val="005D4721"/>
    <w:rsid w:val="005E0A35"/>
    <w:rsid w:val="005E0B0F"/>
    <w:rsid w:val="005E3DEF"/>
    <w:rsid w:val="005E77FF"/>
    <w:rsid w:val="005F063B"/>
    <w:rsid w:val="005F1450"/>
    <w:rsid w:val="005F4768"/>
    <w:rsid w:val="005F53FF"/>
    <w:rsid w:val="005F76D3"/>
    <w:rsid w:val="00607FBA"/>
    <w:rsid w:val="00611D60"/>
    <w:rsid w:val="00616FA8"/>
    <w:rsid w:val="00620D2B"/>
    <w:rsid w:val="00622A9D"/>
    <w:rsid w:val="00623A61"/>
    <w:rsid w:val="00624BD2"/>
    <w:rsid w:val="006264BD"/>
    <w:rsid w:val="00627F7A"/>
    <w:rsid w:val="00634A07"/>
    <w:rsid w:val="006362F0"/>
    <w:rsid w:val="00641151"/>
    <w:rsid w:val="006422E7"/>
    <w:rsid w:val="006501BD"/>
    <w:rsid w:val="00654CD3"/>
    <w:rsid w:val="00661E1C"/>
    <w:rsid w:val="0066444C"/>
    <w:rsid w:val="0066732C"/>
    <w:rsid w:val="00667708"/>
    <w:rsid w:val="00673B37"/>
    <w:rsid w:val="006763E0"/>
    <w:rsid w:val="00676F43"/>
    <w:rsid w:val="006803EA"/>
    <w:rsid w:val="00681119"/>
    <w:rsid w:val="006877FB"/>
    <w:rsid w:val="00694D3E"/>
    <w:rsid w:val="006A2965"/>
    <w:rsid w:val="006A35EF"/>
    <w:rsid w:val="006A792B"/>
    <w:rsid w:val="006B2C15"/>
    <w:rsid w:val="006B35F9"/>
    <w:rsid w:val="006B4FA1"/>
    <w:rsid w:val="006B6802"/>
    <w:rsid w:val="006B692D"/>
    <w:rsid w:val="006C04A2"/>
    <w:rsid w:val="006C1066"/>
    <w:rsid w:val="006C31CB"/>
    <w:rsid w:val="006C4F1E"/>
    <w:rsid w:val="006C7FBB"/>
    <w:rsid w:val="006D0396"/>
    <w:rsid w:val="006D4E70"/>
    <w:rsid w:val="006D64A6"/>
    <w:rsid w:val="006E0551"/>
    <w:rsid w:val="006E2A45"/>
    <w:rsid w:val="006E2AC3"/>
    <w:rsid w:val="006E420B"/>
    <w:rsid w:val="006F0FD5"/>
    <w:rsid w:val="006F54DB"/>
    <w:rsid w:val="006F6AC3"/>
    <w:rsid w:val="0070567A"/>
    <w:rsid w:val="00706FEF"/>
    <w:rsid w:val="00714772"/>
    <w:rsid w:val="007155FE"/>
    <w:rsid w:val="007173FF"/>
    <w:rsid w:val="00721EB1"/>
    <w:rsid w:val="007231C7"/>
    <w:rsid w:val="007246E9"/>
    <w:rsid w:val="007340AA"/>
    <w:rsid w:val="00737260"/>
    <w:rsid w:val="0074077E"/>
    <w:rsid w:val="00741D00"/>
    <w:rsid w:val="00744C89"/>
    <w:rsid w:val="00745F45"/>
    <w:rsid w:val="00752B8C"/>
    <w:rsid w:val="00755801"/>
    <w:rsid w:val="00756BCC"/>
    <w:rsid w:val="007643E6"/>
    <w:rsid w:val="00766450"/>
    <w:rsid w:val="00767775"/>
    <w:rsid w:val="00767CB0"/>
    <w:rsid w:val="00774F85"/>
    <w:rsid w:val="00775714"/>
    <w:rsid w:val="00777875"/>
    <w:rsid w:val="0078351E"/>
    <w:rsid w:val="00785B16"/>
    <w:rsid w:val="00785B64"/>
    <w:rsid w:val="0078663A"/>
    <w:rsid w:val="00787B96"/>
    <w:rsid w:val="00794298"/>
    <w:rsid w:val="0079486C"/>
    <w:rsid w:val="00796A03"/>
    <w:rsid w:val="007973A6"/>
    <w:rsid w:val="007A3196"/>
    <w:rsid w:val="007A561E"/>
    <w:rsid w:val="007B117C"/>
    <w:rsid w:val="007B6036"/>
    <w:rsid w:val="007B7DDF"/>
    <w:rsid w:val="007C57EA"/>
    <w:rsid w:val="007C5912"/>
    <w:rsid w:val="007C5FB2"/>
    <w:rsid w:val="007C7390"/>
    <w:rsid w:val="007C7F6A"/>
    <w:rsid w:val="007D2485"/>
    <w:rsid w:val="007F245C"/>
    <w:rsid w:val="007F2F58"/>
    <w:rsid w:val="00801933"/>
    <w:rsid w:val="00801D8E"/>
    <w:rsid w:val="00802A11"/>
    <w:rsid w:val="0081151F"/>
    <w:rsid w:val="008128E8"/>
    <w:rsid w:val="00820A13"/>
    <w:rsid w:val="0082342B"/>
    <w:rsid w:val="00827D9E"/>
    <w:rsid w:val="00827F1B"/>
    <w:rsid w:val="00835093"/>
    <w:rsid w:val="00843FA8"/>
    <w:rsid w:val="00846029"/>
    <w:rsid w:val="0085026F"/>
    <w:rsid w:val="00851250"/>
    <w:rsid w:val="00863837"/>
    <w:rsid w:val="00863EDB"/>
    <w:rsid w:val="00864FD4"/>
    <w:rsid w:val="00865778"/>
    <w:rsid w:val="0088509E"/>
    <w:rsid w:val="008855E5"/>
    <w:rsid w:val="008915F4"/>
    <w:rsid w:val="0089614B"/>
    <w:rsid w:val="00896AF1"/>
    <w:rsid w:val="008A5B08"/>
    <w:rsid w:val="008B1EF6"/>
    <w:rsid w:val="008C1FD2"/>
    <w:rsid w:val="008C6EC7"/>
    <w:rsid w:val="008C76A1"/>
    <w:rsid w:val="008E2A28"/>
    <w:rsid w:val="008E38DE"/>
    <w:rsid w:val="008E4341"/>
    <w:rsid w:val="008E4749"/>
    <w:rsid w:val="008E6AE3"/>
    <w:rsid w:val="008E7B8D"/>
    <w:rsid w:val="008F15F7"/>
    <w:rsid w:val="008F4725"/>
    <w:rsid w:val="008F53AD"/>
    <w:rsid w:val="00907845"/>
    <w:rsid w:val="00910361"/>
    <w:rsid w:val="00910F60"/>
    <w:rsid w:val="009126C4"/>
    <w:rsid w:val="009127D6"/>
    <w:rsid w:val="00913BC2"/>
    <w:rsid w:val="00915CB9"/>
    <w:rsid w:val="0091695B"/>
    <w:rsid w:val="00920BD6"/>
    <w:rsid w:val="009214E3"/>
    <w:rsid w:val="00924C2D"/>
    <w:rsid w:val="00926592"/>
    <w:rsid w:val="0092722F"/>
    <w:rsid w:val="00927F35"/>
    <w:rsid w:val="00927FAA"/>
    <w:rsid w:val="00930914"/>
    <w:rsid w:val="00931A38"/>
    <w:rsid w:val="00933111"/>
    <w:rsid w:val="00933F15"/>
    <w:rsid w:val="00934DD2"/>
    <w:rsid w:val="00935380"/>
    <w:rsid w:val="00935C5E"/>
    <w:rsid w:val="00935C8C"/>
    <w:rsid w:val="00941EEC"/>
    <w:rsid w:val="00942B99"/>
    <w:rsid w:val="0094592B"/>
    <w:rsid w:val="00945F6E"/>
    <w:rsid w:val="00946D32"/>
    <w:rsid w:val="00952E0E"/>
    <w:rsid w:val="0095597A"/>
    <w:rsid w:val="009566B1"/>
    <w:rsid w:val="00957704"/>
    <w:rsid w:val="0096190F"/>
    <w:rsid w:val="00961A12"/>
    <w:rsid w:val="00971435"/>
    <w:rsid w:val="00971E5B"/>
    <w:rsid w:val="00972A34"/>
    <w:rsid w:val="009879A3"/>
    <w:rsid w:val="0099020C"/>
    <w:rsid w:val="00991DC5"/>
    <w:rsid w:val="00991DDC"/>
    <w:rsid w:val="009A0305"/>
    <w:rsid w:val="009A2E3E"/>
    <w:rsid w:val="009A4C02"/>
    <w:rsid w:val="009A5F1B"/>
    <w:rsid w:val="009A6B35"/>
    <w:rsid w:val="009A6F84"/>
    <w:rsid w:val="009B0EE2"/>
    <w:rsid w:val="009B4FA6"/>
    <w:rsid w:val="009B5D15"/>
    <w:rsid w:val="009B689F"/>
    <w:rsid w:val="009C1A01"/>
    <w:rsid w:val="009C29D1"/>
    <w:rsid w:val="009C2B39"/>
    <w:rsid w:val="009C6F1F"/>
    <w:rsid w:val="009C7C87"/>
    <w:rsid w:val="009D1450"/>
    <w:rsid w:val="009D582A"/>
    <w:rsid w:val="009D7430"/>
    <w:rsid w:val="009E586C"/>
    <w:rsid w:val="009F4256"/>
    <w:rsid w:val="009F6B10"/>
    <w:rsid w:val="009F7CD4"/>
    <w:rsid w:val="00A022BF"/>
    <w:rsid w:val="00A0298F"/>
    <w:rsid w:val="00A04056"/>
    <w:rsid w:val="00A10A76"/>
    <w:rsid w:val="00A10C7C"/>
    <w:rsid w:val="00A179F4"/>
    <w:rsid w:val="00A21C1F"/>
    <w:rsid w:val="00A25849"/>
    <w:rsid w:val="00A26101"/>
    <w:rsid w:val="00A27DC1"/>
    <w:rsid w:val="00A313A4"/>
    <w:rsid w:val="00A35225"/>
    <w:rsid w:val="00A416EF"/>
    <w:rsid w:val="00A41B61"/>
    <w:rsid w:val="00A432C0"/>
    <w:rsid w:val="00A56174"/>
    <w:rsid w:val="00A640D5"/>
    <w:rsid w:val="00A724BF"/>
    <w:rsid w:val="00A73068"/>
    <w:rsid w:val="00A73F11"/>
    <w:rsid w:val="00A80747"/>
    <w:rsid w:val="00A813DD"/>
    <w:rsid w:val="00A841BD"/>
    <w:rsid w:val="00A856B5"/>
    <w:rsid w:val="00A8600F"/>
    <w:rsid w:val="00A86179"/>
    <w:rsid w:val="00A93D57"/>
    <w:rsid w:val="00A95571"/>
    <w:rsid w:val="00A958BE"/>
    <w:rsid w:val="00AA14E5"/>
    <w:rsid w:val="00AA2B5E"/>
    <w:rsid w:val="00AA44D1"/>
    <w:rsid w:val="00AB029B"/>
    <w:rsid w:val="00AB0529"/>
    <w:rsid w:val="00AB16A6"/>
    <w:rsid w:val="00AB431D"/>
    <w:rsid w:val="00AB44C8"/>
    <w:rsid w:val="00AB6103"/>
    <w:rsid w:val="00AC003F"/>
    <w:rsid w:val="00AC0975"/>
    <w:rsid w:val="00AC58D6"/>
    <w:rsid w:val="00AC7529"/>
    <w:rsid w:val="00AD0692"/>
    <w:rsid w:val="00AD34F8"/>
    <w:rsid w:val="00AE278C"/>
    <w:rsid w:val="00AE5CC5"/>
    <w:rsid w:val="00AF15FD"/>
    <w:rsid w:val="00AF33A4"/>
    <w:rsid w:val="00AF3A0A"/>
    <w:rsid w:val="00AF3A99"/>
    <w:rsid w:val="00AF4C29"/>
    <w:rsid w:val="00AF6299"/>
    <w:rsid w:val="00AF6FA7"/>
    <w:rsid w:val="00B011FA"/>
    <w:rsid w:val="00B02955"/>
    <w:rsid w:val="00B03087"/>
    <w:rsid w:val="00B04EDE"/>
    <w:rsid w:val="00B065D7"/>
    <w:rsid w:val="00B06922"/>
    <w:rsid w:val="00B07188"/>
    <w:rsid w:val="00B071CD"/>
    <w:rsid w:val="00B10563"/>
    <w:rsid w:val="00B11CD8"/>
    <w:rsid w:val="00B12C9E"/>
    <w:rsid w:val="00B22DDB"/>
    <w:rsid w:val="00B2457A"/>
    <w:rsid w:val="00B25865"/>
    <w:rsid w:val="00B25A5F"/>
    <w:rsid w:val="00B27C32"/>
    <w:rsid w:val="00B30671"/>
    <w:rsid w:val="00B3151F"/>
    <w:rsid w:val="00B319C1"/>
    <w:rsid w:val="00B33BD3"/>
    <w:rsid w:val="00B356A2"/>
    <w:rsid w:val="00B36331"/>
    <w:rsid w:val="00B43AD1"/>
    <w:rsid w:val="00B470B6"/>
    <w:rsid w:val="00B51FA2"/>
    <w:rsid w:val="00B63EFC"/>
    <w:rsid w:val="00B67F6C"/>
    <w:rsid w:val="00B704D4"/>
    <w:rsid w:val="00B7790B"/>
    <w:rsid w:val="00B80D03"/>
    <w:rsid w:val="00B9607A"/>
    <w:rsid w:val="00BA1806"/>
    <w:rsid w:val="00BA6E9C"/>
    <w:rsid w:val="00BA753C"/>
    <w:rsid w:val="00BB3E7D"/>
    <w:rsid w:val="00BB7693"/>
    <w:rsid w:val="00BC094C"/>
    <w:rsid w:val="00BC1C74"/>
    <w:rsid w:val="00BC6C9F"/>
    <w:rsid w:val="00BD1E7A"/>
    <w:rsid w:val="00BD2A4A"/>
    <w:rsid w:val="00BE1A53"/>
    <w:rsid w:val="00BE1B5E"/>
    <w:rsid w:val="00BE46EE"/>
    <w:rsid w:val="00BE551C"/>
    <w:rsid w:val="00BE749B"/>
    <w:rsid w:val="00BE779A"/>
    <w:rsid w:val="00BF0F99"/>
    <w:rsid w:val="00BF282E"/>
    <w:rsid w:val="00BF408E"/>
    <w:rsid w:val="00BF7701"/>
    <w:rsid w:val="00C0223E"/>
    <w:rsid w:val="00C0238E"/>
    <w:rsid w:val="00C07F83"/>
    <w:rsid w:val="00C109AE"/>
    <w:rsid w:val="00C17352"/>
    <w:rsid w:val="00C1789E"/>
    <w:rsid w:val="00C17CF6"/>
    <w:rsid w:val="00C2280F"/>
    <w:rsid w:val="00C2395F"/>
    <w:rsid w:val="00C24887"/>
    <w:rsid w:val="00C25061"/>
    <w:rsid w:val="00C267A3"/>
    <w:rsid w:val="00C30219"/>
    <w:rsid w:val="00C32F35"/>
    <w:rsid w:val="00C400BF"/>
    <w:rsid w:val="00C4186A"/>
    <w:rsid w:val="00C44480"/>
    <w:rsid w:val="00C50DAE"/>
    <w:rsid w:val="00C5219A"/>
    <w:rsid w:val="00C55E93"/>
    <w:rsid w:val="00C55EF6"/>
    <w:rsid w:val="00C56F15"/>
    <w:rsid w:val="00C61AF1"/>
    <w:rsid w:val="00C643DB"/>
    <w:rsid w:val="00C65405"/>
    <w:rsid w:val="00C73B60"/>
    <w:rsid w:val="00C761FE"/>
    <w:rsid w:val="00C7660C"/>
    <w:rsid w:val="00C8142E"/>
    <w:rsid w:val="00C86D80"/>
    <w:rsid w:val="00C8774A"/>
    <w:rsid w:val="00C9367E"/>
    <w:rsid w:val="00C93753"/>
    <w:rsid w:val="00C960CE"/>
    <w:rsid w:val="00C97219"/>
    <w:rsid w:val="00CA21E3"/>
    <w:rsid w:val="00CA3C4E"/>
    <w:rsid w:val="00CA6AD1"/>
    <w:rsid w:val="00CA7A90"/>
    <w:rsid w:val="00CC0258"/>
    <w:rsid w:val="00CC2D82"/>
    <w:rsid w:val="00CC5BFF"/>
    <w:rsid w:val="00CC5F2D"/>
    <w:rsid w:val="00CC6442"/>
    <w:rsid w:val="00CC65C6"/>
    <w:rsid w:val="00CC7433"/>
    <w:rsid w:val="00CD330A"/>
    <w:rsid w:val="00CD416C"/>
    <w:rsid w:val="00CE4B75"/>
    <w:rsid w:val="00CF0225"/>
    <w:rsid w:val="00CF1F21"/>
    <w:rsid w:val="00CF25E5"/>
    <w:rsid w:val="00CF3A56"/>
    <w:rsid w:val="00CF5EAA"/>
    <w:rsid w:val="00CF78DF"/>
    <w:rsid w:val="00CF7D9F"/>
    <w:rsid w:val="00D00499"/>
    <w:rsid w:val="00D00B3B"/>
    <w:rsid w:val="00D04D62"/>
    <w:rsid w:val="00D143CE"/>
    <w:rsid w:val="00D15935"/>
    <w:rsid w:val="00D20880"/>
    <w:rsid w:val="00D22C83"/>
    <w:rsid w:val="00D2469D"/>
    <w:rsid w:val="00D2685F"/>
    <w:rsid w:val="00D274C2"/>
    <w:rsid w:val="00D30AFF"/>
    <w:rsid w:val="00D321D4"/>
    <w:rsid w:val="00D32ED2"/>
    <w:rsid w:val="00D33BB8"/>
    <w:rsid w:val="00D35195"/>
    <w:rsid w:val="00D36DC4"/>
    <w:rsid w:val="00D377E1"/>
    <w:rsid w:val="00D40BEA"/>
    <w:rsid w:val="00D42F21"/>
    <w:rsid w:val="00D460FB"/>
    <w:rsid w:val="00D558AF"/>
    <w:rsid w:val="00D56000"/>
    <w:rsid w:val="00D655A4"/>
    <w:rsid w:val="00D72E1D"/>
    <w:rsid w:val="00D74205"/>
    <w:rsid w:val="00D74A43"/>
    <w:rsid w:val="00D74F72"/>
    <w:rsid w:val="00D74F73"/>
    <w:rsid w:val="00D84026"/>
    <w:rsid w:val="00D85395"/>
    <w:rsid w:val="00D97C8F"/>
    <w:rsid w:val="00D97E8E"/>
    <w:rsid w:val="00DA0E52"/>
    <w:rsid w:val="00DA2073"/>
    <w:rsid w:val="00DA2777"/>
    <w:rsid w:val="00DB0F18"/>
    <w:rsid w:val="00DB2DBD"/>
    <w:rsid w:val="00DB7ED7"/>
    <w:rsid w:val="00DC0459"/>
    <w:rsid w:val="00DC0AC1"/>
    <w:rsid w:val="00DC30A2"/>
    <w:rsid w:val="00DC5FB7"/>
    <w:rsid w:val="00DC6793"/>
    <w:rsid w:val="00DC7636"/>
    <w:rsid w:val="00DD2325"/>
    <w:rsid w:val="00DD6C92"/>
    <w:rsid w:val="00DE018D"/>
    <w:rsid w:val="00DE1968"/>
    <w:rsid w:val="00DE3FF2"/>
    <w:rsid w:val="00DF548E"/>
    <w:rsid w:val="00DF75ED"/>
    <w:rsid w:val="00E01F16"/>
    <w:rsid w:val="00E0262A"/>
    <w:rsid w:val="00E04492"/>
    <w:rsid w:val="00E04A93"/>
    <w:rsid w:val="00E05544"/>
    <w:rsid w:val="00E0598F"/>
    <w:rsid w:val="00E131C1"/>
    <w:rsid w:val="00E153CD"/>
    <w:rsid w:val="00E20F23"/>
    <w:rsid w:val="00E22207"/>
    <w:rsid w:val="00E236EB"/>
    <w:rsid w:val="00E23890"/>
    <w:rsid w:val="00E27AA4"/>
    <w:rsid w:val="00E27B80"/>
    <w:rsid w:val="00E32CA4"/>
    <w:rsid w:val="00E32CB4"/>
    <w:rsid w:val="00E33474"/>
    <w:rsid w:val="00E44504"/>
    <w:rsid w:val="00E44ECC"/>
    <w:rsid w:val="00E5095C"/>
    <w:rsid w:val="00E527D3"/>
    <w:rsid w:val="00E62093"/>
    <w:rsid w:val="00E634A0"/>
    <w:rsid w:val="00E7374E"/>
    <w:rsid w:val="00E73A97"/>
    <w:rsid w:val="00E7501A"/>
    <w:rsid w:val="00E827A0"/>
    <w:rsid w:val="00E83B51"/>
    <w:rsid w:val="00E86A19"/>
    <w:rsid w:val="00E91DDB"/>
    <w:rsid w:val="00E92807"/>
    <w:rsid w:val="00E9611E"/>
    <w:rsid w:val="00EA162A"/>
    <w:rsid w:val="00EA2048"/>
    <w:rsid w:val="00EA4C90"/>
    <w:rsid w:val="00EA614E"/>
    <w:rsid w:val="00EB21B5"/>
    <w:rsid w:val="00EB33D1"/>
    <w:rsid w:val="00EB509F"/>
    <w:rsid w:val="00EB5E77"/>
    <w:rsid w:val="00EB7F39"/>
    <w:rsid w:val="00EC1462"/>
    <w:rsid w:val="00EC5D3F"/>
    <w:rsid w:val="00ED011A"/>
    <w:rsid w:val="00ED15C0"/>
    <w:rsid w:val="00ED668C"/>
    <w:rsid w:val="00EE0CB7"/>
    <w:rsid w:val="00EE2E3D"/>
    <w:rsid w:val="00EF075E"/>
    <w:rsid w:val="00EF3BEC"/>
    <w:rsid w:val="00EF4BB8"/>
    <w:rsid w:val="00EF5EFA"/>
    <w:rsid w:val="00F008C4"/>
    <w:rsid w:val="00F01221"/>
    <w:rsid w:val="00F0785E"/>
    <w:rsid w:val="00F13106"/>
    <w:rsid w:val="00F1536F"/>
    <w:rsid w:val="00F16678"/>
    <w:rsid w:val="00F16B21"/>
    <w:rsid w:val="00F23386"/>
    <w:rsid w:val="00F23B4A"/>
    <w:rsid w:val="00F277A8"/>
    <w:rsid w:val="00F315CD"/>
    <w:rsid w:val="00F33607"/>
    <w:rsid w:val="00F33982"/>
    <w:rsid w:val="00F33FFB"/>
    <w:rsid w:val="00F4169E"/>
    <w:rsid w:val="00F4206B"/>
    <w:rsid w:val="00F42ABD"/>
    <w:rsid w:val="00F46794"/>
    <w:rsid w:val="00F51218"/>
    <w:rsid w:val="00F52D98"/>
    <w:rsid w:val="00F5442E"/>
    <w:rsid w:val="00F5585E"/>
    <w:rsid w:val="00F560CC"/>
    <w:rsid w:val="00F61EB7"/>
    <w:rsid w:val="00F63B63"/>
    <w:rsid w:val="00F70516"/>
    <w:rsid w:val="00F74525"/>
    <w:rsid w:val="00F77E34"/>
    <w:rsid w:val="00F812FE"/>
    <w:rsid w:val="00F86AA2"/>
    <w:rsid w:val="00F8791D"/>
    <w:rsid w:val="00F90083"/>
    <w:rsid w:val="00F908B1"/>
    <w:rsid w:val="00F93282"/>
    <w:rsid w:val="00FA1D22"/>
    <w:rsid w:val="00FB2A83"/>
    <w:rsid w:val="00FB3123"/>
    <w:rsid w:val="00FB49F1"/>
    <w:rsid w:val="00FD0D7C"/>
    <w:rsid w:val="00FD31BA"/>
    <w:rsid w:val="00FD50CC"/>
    <w:rsid w:val="00FD5985"/>
    <w:rsid w:val="00FD5D09"/>
    <w:rsid w:val="00FD61C4"/>
    <w:rsid w:val="00FE7FAB"/>
    <w:rsid w:val="00FF06EA"/>
    <w:rsid w:val="00FF0B59"/>
    <w:rsid w:val="00FF1968"/>
    <w:rsid w:val="00FF2DC8"/>
    <w:rsid w:val="2451E3EA"/>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0FB07F8E"/>
  <w15:docId w15:val="{19EA7E76-2D6A-4897-A219-DDEDA72E1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5AA3"/>
    <w:rPr>
      <w:rFonts w:ascii="Times New Roman" w:hAnsi="Times New Roman"/>
    </w:rPr>
  </w:style>
  <w:style w:type="paragraph" w:styleId="Heading1">
    <w:name w:val="heading 1"/>
    <w:basedOn w:val="Normal"/>
    <w:next w:val="Normal"/>
    <w:link w:val="Heading1Char"/>
    <w:uiPriority w:val="9"/>
    <w:qFormat/>
    <w:rsid w:val="002216DB"/>
    <w:pPr>
      <w:keepNext/>
      <w:keepLines/>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0B556A"/>
    <w:pPr>
      <w:keepNext/>
      <w:keepLines/>
      <w:numPr>
        <w:numId w:val="26"/>
      </w:numPr>
      <w:spacing w:before="40"/>
      <w:ind w:left="360"/>
      <w:outlineLvl w:val="1"/>
    </w:pPr>
    <w:rPr>
      <w:rFonts w:eastAsiaTheme="majorEastAsia" w:cstheme="majorBidi"/>
      <w:szCs w:val="26"/>
      <w:u w:val="words"/>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l4"/>
    <w:basedOn w:val="Normal"/>
    <w:next w:val="Normal"/>
    <w:link w:val="Heading4Char"/>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16DB"/>
    <w:rPr>
      <w:rFonts w:ascii="Times New Roman" w:hAnsi="Times New Roman" w:eastAsiaTheme="majorEastAsia" w:cstheme="majorBidi"/>
      <w:b/>
      <w:szCs w:val="32"/>
    </w:rPr>
  </w:style>
  <w:style w:type="character" w:customStyle="1" w:styleId="Heading2Char">
    <w:name w:val="Heading 2 Char"/>
    <w:basedOn w:val="DefaultParagraphFont"/>
    <w:link w:val="Heading2"/>
    <w:uiPriority w:val="9"/>
    <w:rsid w:val="000B556A"/>
    <w:rPr>
      <w:rFonts w:ascii="Times New Roman" w:hAnsi="Times New Roman" w:eastAsiaTheme="majorEastAsia" w:cstheme="majorBidi"/>
      <w:szCs w:val="26"/>
      <w:u w:val="words"/>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l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NoSpacing">
    <w:name w:val="No Spacing"/>
    <w:uiPriority w:val="1"/>
    <w:qFormat/>
    <w:rsid w:val="00EF075E"/>
    <w:rPr>
      <w:rFonts w:ascii="Times New Roman" w:hAnsi="Times New Roman"/>
    </w:rPr>
  </w:style>
  <w:style w:type="paragraph" w:styleId="Header">
    <w:name w:val="header"/>
    <w:basedOn w:val="Normal"/>
    <w:link w:val="HeaderChar"/>
    <w:uiPriority w:val="99"/>
    <w:unhideWhenUsed/>
    <w:rsid w:val="00EF075E"/>
    <w:pPr>
      <w:tabs>
        <w:tab w:val="center" w:pos="4680"/>
        <w:tab w:val="right" w:pos="9360"/>
      </w:tabs>
    </w:pPr>
  </w:style>
  <w:style w:type="character" w:customStyle="1" w:styleId="HeaderChar">
    <w:name w:val="Header Char"/>
    <w:basedOn w:val="DefaultParagraphFont"/>
    <w:link w:val="Header"/>
    <w:uiPriority w:val="99"/>
    <w:rsid w:val="00EF075E"/>
    <w:rPr>
      <w:rFonts w:ascii="Times New Roman" w:hAnsi="Times New Roman"/>
    </w:rPr>
  </w:style>
  <w:style w:type="paragraph" w:styleId="Footer">
    <w:name w:val="footer"/>
    <w:basedOn w:val="Normal"/>
    <w:link w:val="FooterChar"/>
    <w:uiPriority w:val="99"/>
    <w:unhideWhenUsed/>
    <w:rsid w:val="00EF075E"/>
    <w:pPr>
      <w:tabs>
        <w:tab w:val="center" w:pos="4680"/>
        <w:tab w:val="right" w:pos="9360"/>
      </w:tabs>
    </w:pPr>
  </w:style>
  <w:style w:type="character" w:customStyle="1" w:styleId="FooterChar">
    <w:name w:val="Footer Char"/>
    <w:basedOn w:val="DefaultParagraphFont"/>
    <w:link w:val="Footer"/>
    <w:uiPriority w:val="99"/>
    <w:rsid w:val="00EF075E"/>
    <w:rPr>
      <w:rFonts w:ascii="Times New Roman" w:hAnsi="Times New Roman"/>
    </w:rPr>
  </w:style>
  <w:style w:type="paragraph" w:styleId="TOC1">
    <w:name w:val="toc 1"/>
    <w:basedOn w:val="Normal"/>
    <w:next w:val="Normal"/>
    <w:uiPriority w:val="39"/>
    <w:rsid w:val="00EF075E"/>
    <w:pPr>
      <w:tabs>
        <w:tab w:val="right" w:leader="dot" w:pos="9360"/>
      </w:tabs>
      <w:spacing w:before="240"/>
      <w:ind w:left="540" w:right="720" w:hanging="540"/>
    </w:pPr>
    <w:rPr>
      <w:rFonts w:eastAsia="Times New Roman" w:cs="Times New Roman"/>
      <w:noProof/>
      <w:sz w:val="24"/>
      <w:szCs w:val="24"/>
    </w:rPr>
  </w:style>
  <w:style w:type="paragraph" w:styleId="TOC2">
    <w:name w:val="toc 2"/>
    <w:basedOn w:val="Normal"/>
    <w:next w:val="Normal"/>
    <w:uiPriority w:val="39"/>
    <w:rsid w:val="00EF075E"/>
    <w:pPr>
      <w:tabs>
        <w:tab w:val="right" w:leader="dot" w:pos="9360"/>
      </w:tabs>
      <w:ind w:left="1080" w:right="720" w:hanging="540"/>
    </w:pPr>
    <w:rPr>
      <w:rFonts w:eastAsia="Times New Roman" w:cs="Times New Roman"/>
      <w:noProof/>
      <w:sz w:val="24"/>
      <w:szCs w:val="24"/>
    </w:rPr>
  </w:style>
  <w:style w:type="paragraph" w:customStyle="1" w:styleId="Question">
    <w:name w:val="Question"/>
    <w:basedOn w:val="Normal"/>
    <w:rsid w:val="00EF075E"/>
    <w:pPr>
      <w:widowControl w:val="0"/>
      <w:tabs>
        <w:tab w:val="left" w:pos="547"/>
      </w:tabs>
      <w:spacing w:before="240" w:after="120"/>
      <w:ind w:left="547" w:hanging="547"/>
    </w:pPr>
    <w:rPr>
      <w:rFonts w:ascii="Arial" w:eastAsia="Times New Roman" w:hAnsi="Arial" w:cs="Times New Roman"/>
      <w:b/>
      <w:sz w:val="24"/>
      <w:szCs w:val="20"/>
    </w:rPr>
  </w:style>
  <w:style w:type="paragraph" w:customStyle="1" w:styleId="TOC0">
    <w:name w:val="TOC 0"/>
    <w:basedOn w:val="Normal"/>
    <w:rsid w:val="00EF075E"/>
    <w:pPr>
      <w:spacing w:before="240" w:after="240"/>
      <w:jc w:val="center"/>
    </w:pPr>
    <w:rPr>
      <w:rFonts w:eastAsia="Times New Roman" w:cs="Times New Roman"/>
      <w:b/>
      <w:caps/>
      <w:sz w:val="24"/>
      <w:szCs w:val="24"/>
    </w:rPr>
  </w:style>
  <w:style w:type="paragraph" w:styleId="TOCHeading">
    <w:name w:val="TOC Heading"/>
    <w:basedOn w:val="Heading1"/>
    <w:next w:val="Normal"/>
    <w:uiPriority w:val="39"/>
    <w:unhideWhenUsed/>
    <w:qFormat/>
    <w:rsid w:val="00D2685F"/>
    <w:pPr>
      <w:spacing w:line="259" w:lineRule="auto"/>
      <w:outlineLvl w:val="9"/>
    </w:pPr>
  </w:style>
  <w:style w:type="paragraph" w:styleId="FootnoteText">
    <w:name w:val="footnote text"/>
    <w:aliases w:val="Char18,Char181,Char182,Char183,F1,Footnote Text - NEW,Footnote Text Char Char,Footnote Text Char Char Char Char,Tablenote Text,fn,fn1,fn2"/>
    <w:basedOn w:val="Normal"/>
    <w:link w:val="FootnoteTextChar"/>
    <w:uiPriority w:val="99"/>
    <w:qFormat/>
    <w:rsid w:val="00271B44"/>
    <w:pPr>
      <w:spacing w:after="240"/>
      <w:ind w:left="274" w:hanging="274"/>
    </w:pPr>
    <w:rPr>
      <w:rFonts w:eastAsia="Times New Roman" w:cs="Times New Roman"/>
      <w:sz w:val="20"/>
      <w:szCs w:val="24"/>
    </w:rPr>
  </w:style>
  <w:style w:type="character" w:customStyle="1" w:styleId="FootnoteTextChar">
    <w:name w:val="Footnote Text Char"/>
    <w:aliases w:val="Char18 Char,Char181 Char,Char182 Char,Char183 Char,F1 Char,Footnote Text - NEW Char,Footnote Text Char Char Char,Footnote Text Char Char Char Char Char,Tablenote Text Char,fn Char,fn1 Char,fn2 Char"/>
    <w:basedOn w:val="DefaultParagraphFont"/>
    <w:link w:val="FootnoteText"/>
    <w:uiPriority w:val="99"/>
    <w:rsid w:val="00271B44"/>
    <w:rPr>
      <w:rFonts w:ascii="Times New Roman" w:eastAsia="Times New Roman" w:hAnsi="Times New Roman" w:cs="Times New Roman"/>
      <w:sz w:val="20"/>
      <w:szCs w:val="24"/>
    </w:rPr>
  </w:style>
  <w:style w:type="character" w:styleId="FootnoteReference">
    <w:name w:val="footnote reference"/>
    <w:aliases w:val="BVI fnr,EN Footnote Reference,FR,Footnote Reference Superscript,Footnote Reference/,Footnote reference number,Footnote symbol,Footnotes refss,Odwołanie przypisu,Rimando nota a piè di pagina1,SUPERS,fr,number,richiamo note eggsi"/>
    <w:basedOn w:val="DefaultParagraphFont"/>
    <w:uiPriority w:val="99"/>
    <w:qFormat/>
    <w:rsid w:val="00271B44"/>
    <w:rPr>
      <w:position w:val="6"/>
      <w:sz w:val="18"/>
    </w:rPr>
  </w:style>
  <w:style w:type="paragraph" w:customStyle="1" w:styleId="Default">
    <w:name w:val="Default"/>
    <w:rsid w:val="00271B44"/>
    <w:pPr>
      <w:autoSpaceDE w:val="0"/>
      <w:autoSpaceDN w:val="0"/>
      <w:adjustRightInd w:val="0"/>
    </w:pPr>
    <w:rPr>
      <w:rFonts w:ascii="Calibri" w:hAnsi="Calibri" w:cs="Calibri"/>
      <w:color w:val="000000"/>
      <w:sz w:val="24"/>
      <w:szCs w:val="24"/>
    </w:rPr>
  </w:style>
  <w:style w:type="paragraph" w:styleId="ListContinue2">
    <w:name w:val="List Continue 2"/>
    <w:basedOn w:val="Normal"/>
    <w:rsid w:val="00694D3E"/>
    <w:pPr>
      <w:spacing w:after="120"/>
      <w:ind w:left="720"/>
      <w:contextualSpacing/>
    </w:pPr>
    <w:rPr>
      <w:rFonts w:eastAsia="Times New Roman" w:cs="Times New Roman"/>
      <w:sz w:val="24"/>
      <w:szCs w:val="24"/>
    </w:rPr>
  </w:style>
  <w:style w:type="paragraph" w:customStyle="1" w:styleId="bodytextChar">
    <w:name w:val="body text Char"/>
    <w:aliases w:val="body text,body tx,body tx Char,bt,bt Char,flush,flush Char,indent,indent Char,indent Char Char Char Char,indent Char Char Char Char Char,memo body text,memo body text Char"/>
    <w:basedOn w:val="Normal"/>
    <w:link w:val="bodytextCharChar"/>
    <w:rsid w:val="00B704D4"/>
    <w:pPr>
      <w:spacing w:after="240"/>
      <w:ind w:firstLine="720"/>
    </w:pPr>
    <w:rPr>
      <w:rFonts w:eastAsia="Times New Roman" w:cs="Times New Roman"/>
      <w:sz w:val="24"/>
      <w:szCs w:val="24"/>
    </w:rPr>
  </w:style>
  <w:style w:type="character" w:customStyle="1" w:styleId="bodytextCharChar">
    <w:name w:val="body text Char Char"/>
    <w:aliases w:val="body tx Char Char,bt Char Char,flush Char Char,indent Char Char,memo body text Char Char"/>
    <w:basedOn w:val="DefaultParagraphFont"/>
    <w:link w:val="bodytextChar"/>
    <w:rsid w:val="00B704D4"/>
    <w:rPr>
      <w:rFonts w:ascii="Times New Roman" w:eastAsia="Times New Roman" w:hAnsi="Times New Roman" w:cs="Times New Roman"/>
      <w:sz w:val="24"/>
      <w:szCs w:val="24"/>
    </w:rPr>
  </w:style>
  <w:style w:type="character" w:styleId="CommentReference">
    <w:name w:val="annotation reference"/>
    <w:basedOn w:val="DefaultParagraphFont"/>
    <w:uiPriority w:val="99"/>
    <w:rsid w:val="00B704D4"/>
    <w:rPr>
      <w:sz w:val="16"/>
      <w:szCs w:val="16"/>
    </w:rPr>
  </w:style>
  <w:style w:type="paragraph" w:styleId="CommentText">
    <w:name w:val="annotation text"/>
    <w:basedOn w:val="Normal"/>
    <w:link w:val="CommentTextChar"/>
    <w:uiPriority w:val="99"/>
    <w:rsid w:val="00B704D4"/>
    <w:rPr>
      <w:rFonts w:eastAsia="Times New Roman" w:cs="Times New Roman"/>
      <w:sz w:val="20"/>
      <w:szCs w:val="24"/>
    </w:rPr>
  </w:style>
  <w:style w:type="character" w:customStyle="1" w:styleId="CommentTextChar">
    <w:name w:val="Comment Text Char"/>
    <w:basedOn w:val="DefaultParagraphFont"/>
    <w:link w:val="CommentText"/>
    <w:uiPriority w:val="99"/>
    <w:rsid w:val="00B704D4"/>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B704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04D4"/>
    <w:rPr>
      <w:rFonts w:ascii="Segoe UI" w:hAnsi="Segoe UI" w:cs="Segoe UI"/>
      <w:sz w:val="18"/>
      <w:szCs w:val="18"/>
    </w:rPr>
  </w:style>
  <w:style w:type="paragraph" w:customStyle="1" w:styleId="bullet">
    <w:name w:val="bullet"/>
    <w:rsid w:val="00941EEC"/>
    <w:pPr>
      <w:numPr>
        <w:numId w:val="4"/>
      </w:numPr>
      <w:spacing w:after="360"/>
    </w:pPr>
    <w:rPr>
      <w:rFonts w:ascii="Arial" w:eastAsia="Times New Roman" w:hAnsi="Arial" w:cs="Times New Roman"/>
      <w:sz w:val="24"/>
      <w:szCs w:val="24"/>
    </w:rPr>
  </w:style>
  <w:style w:type="paragraph" w:styleId="Index2">
    <w:name w:val="index 2"/>
    <w:basedOn w:val="Normal"/>
    <w:next w:val="Normal"/>
    <w:semiHidden/>
    <w:rsid w:val="00941EEC"/>
    <w:pPr>
      <w:ind w:left="360"/>
    </w:pPr>
    <w:rPr>
      <w:rFonts w:eastAsia="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4C7215"/>
    <w:rPr>
      <w:rFonts w:eastAsiaTheme="minorHAnsi" w:cstheme="minorBidi"/>
      <w:b/>
      <w:bCs/>
      <w:szCs w:val="20"/>
    </w:rPr>
  </w:style>
  <w:style w:type="character" w:customStyle="1" w:styleId="CommentSubjectChar">
    <w:name w:val="Comment Subject Char"/>
    <w:basedOn w:val="CommentTextChar"/>
    <w:link w:val="CommentSubject"/>
    <w:uiPriority w:val="99"/>
    <w:semiHidden/>
    <w:rsid w:val="004C7215"/>
    <w:rPr>
      <w:rFonts w:ascii="Times New Roman" w:eastAsia="Times New Roman" w:hAnsi="Times New Roman" w:cs="Times New Roman"/>
      <w:b/>
      <w:bCs/>
      <w:sz w:val="20"/>
      <w:szCs w:val="20"/>
    </w:rPr>
  </w:style>
  <w:style w:type="paragraph" w:customStyle="1" w:styleId="bullets">
    <w:name w:val="bullets"/>
    <w:basedOn w:val="Normal"/>
    <w:rsid w:val="001C6F19"/>
    <w:pPr>
      <w:numPr>
        <w:numId w:val="5"/>
      </w:numPr>
      <w:spacing w:after="240"/>
    </w:pPr>
    <w:rPr>
      <w:rFonts w:eastAsia="Times New Roman" w:cs="Times New Roman"/>
      <w:sz w:val="24"/>
      <w:szCs w:val="24"/>
    </w:rPr>
  </w:style>
  <w:style w:type="paragraph" w:customStyle="1" w:styleId="bullets-2ndlevel">
    <w:name w:val="bullets-2nd level"/>
    <w:basedOn w:val="bullets"/>
    <w:rsid w:val="001C6F19"/>
    <w:pPr>
      <w:numPr>
        <w:ilvl w:val="1"/>
        <w:numId w:val="6"/>
      </w:numPr>
    </w:pPr>
  </w:style>
  <w:style w:type="table" w:customStyle="1" w:styleId="ColorfulGrid-Accent51">
    <w:name w:val="Colorful Grid - Accent 51"/>
    <w:basedOn w:val="TableNormal"/>
    <w:next w:val="ColorfulGridAccent5"/>
    <w:rsid w:val="00463CA4"/>
    <w:rPr>
      <w:rFonts w:ascii="Calibri" w:eastAsia="Calibri" w:hAnsi="Calibri" w:cs="Times New Roman"/>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ColorfulGridAccent5">
    <w:name w:val="Colorful Grid Accent 5"/>
    <w:basedOn w:val="TableNormal"/>
    <w:uiPriority w:val="73"/>
    <w:semiHidden/>
    <w:unhideWhenUsed/>
    <w:rsid w:val="00463CA4"/>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paragraph" w:customStyle="1" w:styleId="Heading1title">
    <w:name w:val="Heading 1 title"/>
    <w:basedOn w:val="NoSpacing"/>
    <w:qFormat/>
    <w:rsid w:val="00A8600F"/>
    <w:pPr>
      <w:jc w:val="center"/>
    </w:pPr>
    <w:rPr>
      <w:b/>
      <w:u w:val="single"/>
    </w:rPr>
  </w:style>
  <w:style w:type="character" w:customStyle="1" w:styleId="Mention1">
    <w:name w:val="Mention1"/>
    <w:basedOn w:val="DefaultParagraphFont"/>
    <w:uiPriority w:val="99"/>
    <w:semiHidden/>
    <w:unhideWhenUsed/>
    <w:rsid w:val="0052358D"/>
    <w:rPr>
      <w:color w:val="2B579A"/>
      <w:shd w:val="clear" w:color="auto" w:fill="E6E6E6"/>
    </w:rPr>
  </w:style>
  <w:style w:type="paragraph" w:styleId="Revision">
    <w:name w:val="Revision"/>
    <w:hidden/>
    <w:uiPriority w:val="99"/>
    <w:semiHidden/>
    <w:rsid w:val="00EB21B5"/>
    <w:rPr>
      <w:rFonts w:ascii="Times New Roman" w:hAnsi="Times New Roman"/>
    </w:rPr>
  </w:style>
  <w:style w:type="character" w:customStyle="1" w:styleId="Mention2">
    <w:name w:val="Mention2"/>
    <w:basedOn w:val="DefaultParagraphFont"/>
    <w:uiPriority w:val="99"/>
    <w:semiHidden/>
    <w:unhideWhenUsed/>
    <w:rsid w:val="00DD2325"/>
    <w:rPr>
      <w:color w:val="2B579A"/>
      <w:shd w:val="clear" w:color="auto" w:fill="E6E6E6"/>
    </w:rPr>
  </w:style>
  <w:style w:type="paragraph" w:styleId="ListContinue">
    <w:name w:val="List Continue"/>
    <w:basedOn w:val="Normal"/>
    <w:uiPriority w:val="99"/>
    <w:unhideWhenUsed/>
    <w:rsid w:val="00E20F23"/>
    <w:pPr>
      <w:spacing w:after="120"/>
      <w:ind w:left="360"/>
      <w:contextualSpacing/>
    </w:pPr>
  </w:style>
  <w:style w:type="character" w:customStyle="1" w:styleId="UnresolvedMention1">
    <w:name w:val="Unresolved Mention1"/>
    <w:basedOn w:val="DefaultParagraphFont"/>
    <w:uiPriority w:val="99"/>
    <w:semiHidden/>
    <w:unhideWhenUsed/>
    <w:rsid w:val="00EB33D1"/>
    <w:rPr>
      <w:color w:val="808080"/>
      <w:shd w:val="clear" w:color="auto" w:fill="E6E6E6"/>
    </w:rPr>
  </w:style>
  <w:style w:type="paragraph" w:customStyle="1" w:styleId="SourceTable">
    <w:name w:val="Source Table"/>
    <w:basedOn w:val="Normal"/>
    <w:rsid w:val="007B6036"/>
    <w:pPr>
      <w:keepLines/>
    </w:pPr>
    <w:rPr>
      <w:rFonts w:eastAsia="Times New Roman" w:cs="Times New Roman"/>
      <w:sz w:val="24"/>
      <w:szCs w:val="24"/>
    </w:rPr>
  </w:style>
  <w:style w:type="paragraph" w:customStyle="1" w:styleId="ListContinueBody">
    <w:name w:val="List Continue Body"/>
    <w:basedOn w:val="ListContinue"/>
    <w:qFormat/>
    <w:rsid w:val="00BD1E7A"/>
    <w:pPr>
      <w:spacing w:before="120"/>
      <w:ind w:left="720"/>
      <w:contextualSpacing w:val="0"/>
    </w:pPr>
    <w:rPr>
      <w:rFonts w:eastAsia="Times New Roman" w:cs="Times New Roman"/>
    </w:rPr>
  </w:style>
  <w:style w:type="paragraph" w:customStyle="1" w:styleId="BodyText1">
    <w:name w:val="Body Text1"/>
    <w:basedOn w:val="Normal"/>
    <w:rsid w:val="002F71E7"/>
    <w:pPr>
      <w:spacing w:after="240"/>
    </w:pPr>
    <w:rPr>
      <w:rFonts w:eastAsia="Times New Roman" w:cs="Times New Roman"/>
    </w:rPr>
  </w:style>
  <w:style w:type="character" w:customStyle="1" w:styleId="UnresolvedMention2">
    <w:name w:val="Unresolved Mention2"/>
    <w:basedOn w:val="DefaultParagraphFont"/>
    <w:uiPriority w:val="99"/>
    <w:semiHidden/>
    <w:unhideWhenUsed/>
    <w:rsid w:val="00676F43"/>
    <w:rPr>
      <w:color w:val="605E5C"/>
      <w:shd w:val="clear" w:color="auto" w:fill="E1DFDD"/>
    </w:rPr>
  </w:style>
  <w:style w:type="table" w:styleId="TableGrid">
    <w:name w:val="Table Grid"/>
    <w:aliases w:val="AcuSPHERE,Acumen,Table Grid-A"/>
    <w:basedOn w:val="TableNormal"/>
    <w:uiPriority w:val="39"/>
    <w:rsid w:val="005773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0">
    <w:name w:val="Body Text"/>
    <w:basedOn w:val="Normal"/>
    <w:link w:val="BodyTextChar0"/>
    <w:unhideWhenUsed/>
    <w:rsid w:val="005F53FF"/>
    <w:pPr>
      <w:spacing w:after="120"/>
    </w:pPr>
    <w:rPr>
      <w:rFonts w:eastAsia="Times New Roman" w:cs="Times New Roman"/>
      <w:sz w:val="24"/>
      <w:szCs w:val="20"/>
    </w:rPr>
  </w:style>
  <w:style w:type="character" w:customStyle="1" w:styleId="BodyTextChar0">
    <w:name w:val="Body Text Char"/>
    <w:basedOn w:val="DefaultParagraphFont"/>
    <w:link w:val="BodyText0"/>
    <w:rsid w:val="005F53FF"/>
    <w:rPr>
      <w:rFonts w:ascii="Times New Roman" w:eastAsia="Times New Roman" w:hAnsi="Times New Roman" w:cs="Times New Roman"/>
      <w:sz w:val="24"/>
      <w:szCs w:val="20"/>
    </w:rPr>
  </w:style>
  <w:style w:type="table" w:customStyle="1" w:styleId="TableGrid6412">
    <w:name w:val="Table Grid6412"/>
    <w:basedOn w:val="TableNormal"/>
    <w:uiPriority w:val="59"/>
    <w:rsid w:val="00946D32"/>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66450"/>
    <w:rPr>
      <w:color w:val="605E5C"/>
      <w:shd w:val="clear" w:color="auto" w:fill="E1DFDD"/>
    </w:rPr>
  </w:style>
  <w:style w:type="paragraph" w:styleId="TOC3">
    <w:name w:val="toc 3"/>
    <w:basedOn w:val="Normal"/>
    <w:next w:val="Normal"/>
    <w:autoRedefine/>
    <w:uiPriority w:val="39"/>
    <w:unhideWhenUsed/>
    <w:rsid w:val="00FF1968"/>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medicare.gov/longtermcarehospitalcompare/" TargetMode="External" /><Relationship Id="rId11" Type="http://schemas.openxmlformats.org/officeDocument/2006/relationships/hyperlink" Target="https://www.cms.gov/medicare/quality-initiatives-patient-assessment-instruments/ltch-quality-reporting/ltch-technical-information" TargetMode="External" /><Relationship Id="rId12" Type="http://schemas.openxmlformats.org/officeDocument/2006/relationships/hyperlink" Target="https://www.cms.gov/medicare/quality-initiatives-patient-assessment-instruments/ltch-quality-reporting/ltch-quality-reporting-spotlight-announcements" TargetMode="External" /><Relationship Id="rId13" Type="http://schemas.openxmlformats.org/officeDocument/2006/relationships/hyperlink" Target="https://www.cms.gov/medicare/quality-initiatives-patient-assessment-instruments/ltch-quality-reporting/ltch-care-data-set-and-ltch-qrp-manual" TargetMode="External" /><Relationship Id="rId14" Type="http://schemas.openxmlformats.org/officeDocument/2006/relationships/header" Target="header2.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s://www.federalregister.gov/documents/2023/08/28/2023-16252/medicare-program-hospital-inpatient-prospective-payment-systems-for-acute-care-hospitals-and-the"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www.gpo.gov/fdsys/pkg/FR-2011-08-18/pdf/2011-19719.pdf" TargetMode="External" /><Relationship Id="rId2" Type="http://schemas.openxmlformats.org/officeDocument/2006/relationships/hyperlink" Target="http://www.gpo.gov/fdsys/pkg/PLAW-111publ148/pdf/PLAW-111publ148.pdf"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w5r1\AppData\Roaming\Microsoft\Templates\Single%20spaced%20(blank).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882A4A31-6636-462E-8001-A31C30F80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1</TotalTime>
  <Pages>12</Pages>
  <Words>5664</Words>
  <Characters>32285</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CMS-10409 Supporting Statement Part A 5.1</vt:lpstr>
    </vt:vector>
  </TitlesOfParts>
  <Company/>
  <LinksUpToDate>false</LinksUpToDate>
  <CharactersWithSpaces>37874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CMS-10409 Supporting Statement Part A 5.1</dc:title>
  <dc:subject>This supporting statement provides a rationale and justification for the proposed changes to the LCDS</dc:subject>
  <dc:creator>The Center for Medicare &amp; Medicaid Services</dc:creator>
  <cp:keywords>Supporting Statement, LCDS, Long term care, Part A</cp:keywords>
  <cp:lastModifiedBy>Acumen for CCSQ</cp:lastModifiedBy>
  <cp:revision>3</cp:revision>
  <cp:lastPrinted>2016-02-04T22:53:00Z</cp:lastPrinted>
  <dcterms:created xsi:type="dcterms:W3CDTF">2023-09-20T22:18:00Z</dcterms:created>
  <dcterms:modified xsi:type="dcterms:W3CDTF">2023-09-20T22:19:00Z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_NewReviewCycle">
    <vt:lpwstr/>
  </property>
  <property fmtid="{D5CDD505-2E9C-101B-9397-08002B2CF9AE}" pid="4" name="_TemplateID">
    <vt:lpwstr>TC027869999991</vt:lpwstr>
  </property>
</Properties>
</file>