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75C5" w:rsidP="009275C5" w14:paraId="7F17E0FE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</w:t>
      </w:r>
      <w:r w:rsidR="00057E28">
        <w:rPr>
          <w:rFonts w:ascii="Times New Roman" w:hAnsi="Times New Roman"/>
          <w:b/>
        </w:rPr>
        <w:t xml:space="preserve">to </w:t>
      </w:r>
    </w:p>
    <w:p w:rsidR="009275C5" w:rsidP="009275C5" w14:paraId="521F7917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Certificate of Coverage</w:t>
      </w:r>
    </w:p>
    <w:p w:rsidR="009275C5" w:rsidP="009275C5" w14:paraId="1C755B46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CFR Citations</w:t>
      </w:r>
    </w:p>
    <w:p w:rsidR="009275C5" w:rsidP="009275C5" w14:paraId="5D3B3FD4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0960-0554</w:t>
      </w:r>
    </w:p>
    <w:p w:rsidR="009275C5" w:rsidP="009275C5" w14:paraId="450C9915" w14:textId="77777777">
      <w:pPr>
        <w:jc w:val="center"/>
        <w:rPr>
          <w:rFonts w:ascii="Times New Roman" w:hAnsi="Times New Roman"/>
          <w:b/>
        </w:rPr>
      </w:pPr>
    </w:p>
    <w:p w:rsidR="000D2CFE" w:rsidP="000D2CFE" w14:paraId="0F599825" w14:textId="77777777">
      <w:pPr>
        <w:ind w:firstLine="360"/>
        <w:rPr>
          <w:rFonts w:ascii="Times New Roman" w:hAnsi="Times New Roman"/>
          <w:b/>
          <w:snapToGrid w:val="0"/>
          <w:u w:val="single"/>
        </w:rPr>
      </w:pPr>
      <w:r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855A2B" w:rsidP="00C03EDF" w14:paraId="7B2E6AED" w14:textId="77777777">
      <w:pPr>
        <w:rPr>
          <w:rFonts w:ascii="Times New Roman" w:hAnsi="Times New Roman"/>
          <w:snapToGrid w:val="0"/>
        </w:rPr>
      </w:pPr>
    </w:p>
    <w:p w:rsidR="009668A4" w:rsidRPr="009668A4" w:rsidP="009668A4" w14:paraId="3EC8FBBC" w14:textId="77777777">
      <w:pPr>
        <w:ind w:left="360"/>
        <w:rPr>
          <w:rFonts w:ascii="Times New Roman" w:hAnsi="Times New Roman"/>
        </w:rPr>
      </w:pPr>
      <w:r w:rsidRPr="00634C07">
        <w:rPr>
          <w:rFonts w:ascii="Times New Roman" w:hAnsi="Times New Roman"/>
          <w:b/>
          <w:bCs/>
          <w:snapToGrid w:val="0"/>
          <w:color w:val="000000"/>
          <w:u w:val="single"/>
        </w:rPr>
        <w:t>Change #1</w:t>
      </w:r>
      <w:r w:rsidRPr="00634C07">
        <w:rPr>
          <w:rFonts w:ascii="Times New Roman" w:hAnsi="Times New Roman"/>
          <w:b/>
          <w:bCs/>
          <w:snapToGrid w:val="0"/>
          <w:color w:val="000000"/>
        </w:rPr>
        <w:t>:</w:t>
      </w:r>
      <w:r w:rsidRPr="00634C07">
        <w:rPr>
          <w:rFonts w:ascii="Times New Roman" w:hAnsi="Times New Roman"/>
          <w:snapToGrid w:val="0"/>
          <w:color w:val="000000"/>
        </w:rPr>
        <w:t xml:space="preserve">  </w:t>
      </w:r>
      <w:r w:rsidRPr="00634C07" w:rsidR="005F0AE0">
        <w:rPr>
          <w:rFonts w:ascii="Times New Roman" w:hAnsi="Times New Roman"/>
          <w:snapToGrid w:val="0"/>
          <w:color w:val="000000"/>
        </w:rPr>
        <w:t xml:space="preserve">SSA </w:t>
      </w:r>
      <w:r w:rsidR="009275C5">
        <w:rPr>
          <w:rFonts w:ascii="Times New Roman" w:hAnsi="Times New Roman"/>
          <w:snapToGrid w:val="0"/>
          <w:color w:val="000000"/>
        </w:rPr>
        <w:t xml:space="preserve">is modifying </w:t>
      </w:r>
      <w:r w:rsidRPr="00634C07" w:rsidR="005F0AE0">
        <w:rPr>
          <w:rFonts w:ascii="Times New Roman" w:hAnsi="Times New Roman"/>
          <w:color w:val="000000"/>
        </w:rPr>
        <w:t xml:space="preserve">our </w:t>
      </w:r>
      <w:r w:rsidR="00285701">
        <w:rPr>
          <w:rFonts w:ascii="Times New Roman" w:hAnsi="Times New Roman"/>
          <w:color w:val="000000"/>
        </w:rPr>
        <w:t xml:space="preserve">30 </w:t>
      </w:r>
      <w:r w:rsidRPr="00634C07" w:rsidR="005F0AE0">
        <w:rPr>
          <w:rFonts w:ascii="Times New Roman" w:hAnsi="Times New Roman"/>
          <w:color w:val="000000"/>
        </w:rPr>
        <w:t xml:space="preserve">Totalization informational brochures from a .PDF format to an online </w:t>
      </w:r>
      <w:r w:rsidR="00670091">
        <w:rPr>
          <w:rFonts w:ascii="Times New Roman" w:hAnsi="Times New Roman"/>
          <w:color w:val="000000"/>
        </w:rPr>
        <w:t xml:space="preserve">unified </w:t>
      </w:r>
      <w:r w:rsidRPr="00634C07" w:rsidR="007E703E">
        <w:rPr>
          <w:rFonts w:ascii="Times New Roman" w:hAnsi="Times New Roman"/>
          <w:color w:val="000000"/>
        </w:rPr>
        <w:t>website.</w:t>
      </w:r>
      <w:r w:rsidRPr="00634C07" w:rsidR="005F0AE0">
        <w:rPr>
          <w:rFonts w:ascii="Times New Roman" w:hAnsi="Times New Roman"/>
          <w:color w:val="000000"/>
        </w:rPr>
        <w:t xml:space="preserve"> </w:t>
      </w:r>
      <w:r w:rsidRPr="00634C07" w:rsidR="004D55B7">
        <w:rPr>
          <w:rFonts w:ascii="Times New Roman" w:hAnsi="Times New Roman"/>
          <w:color w:val="000000"/>
        </w:rPr>
        <w:t xml:space="preserve"> </w:t>
      </w:r>
      <w:r w:rsidRPr="00634C07">
        <w:rPr>
          <w:rFonts w:ascii="Times New Roman" w:hAnsi="Times New Roman"/>
          <w:color w:val="000000"/>
        </w:rPr>
        <w:t xml:space="preserve">Information on how to request a Certificate of Coverage (COC) </w:t>
      </w:r>
      <w:r w:rsidRPr="00634C07">
        <w:rPr>
          <w:rFonts w:ascii="Times New Roman" w:hAnsi="Times New Roman"/>
          <w:color w:val="000000"/>
        </w:rPr>
        <w:t>is included</w:t>
      </w:r>
      <w:r w:rsidRPr="00634C07">
        <w:rPr>
          <w:rFonts w:ascii="Times New Roman" w:hAnsi="Times New Roman"/>
          <w:color w:val="000000"/>
        </w:rPr>
        <w:t xml:space="preserve"> in each partner </w:t>
      </w:r>
      <w:r w:rsidRPr="00634C07" w:rsidR="00670091">
        <w:rPr>
          <w:rFonts w:ascii="Times New Roman" w:hAnsi="Times New Roman"/>
          <w:color w:val="000000"/>
        </w:rPr>
        <w:t>countr</w:t>
      </w:r>
      <w:r w:rsidR="00285701">
        <w:rPr>
          <w:rFonts w:ascii="Times New Roman" w:hAnsi="Times New Roman"/>
          <w:color w:val="000000"/>
        </w:rPr>
        <w:t>y’</w:t>
      </w:r>
      <w:r w:rsidR="00670091">
        <w:rPr>
          <w:rFonts w:ascii="Times New Roman" w:hAnsi="Times New Roman"/>
          <w:color w:val="000000"/>
        </w:rPr>
        <w:t>s</w:t>
      </w:r>
      <w:r w:rsidRPr="00634C07">
        <w:rPr>
          <w:rFonts w:ascii="Times New Roman" w:hAnsi="Times New Roman"/>
          <w:color w:val="000000"/>
        </w:rPr>
        <w:t xml:space="preserve"> Totalization </w:t>
      </w:r>
      <w:r w:rsidRPr="00634C07" w:rsidR="007E703E">
        <w:rPr>
          <w:rFonts w:ascii="Times New Roman" w:hAnsi="Times New Roman"/>
          <w:color w:val="000000"/>
        </w:rPr>
        <w:t>informational brochure.</w:t>
      </w:r>
      <w:r w:rsidRPr="00634C07">
        <w:rPr>
          <w:rFonts w:ascii="Times New Roman" w:hAnsi="Times New Roman"/>
          <w:color w:val="000000"/>
        </w:rPr>
        <w:t xml:space="preserve"> </w:t>
      </w:r>
      <w:r w:rsidRPr="00634C07" w:rsidR="000F265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The </w:t>
      </w:r>
      <w:r w:rsidR="00670091">
        <w:rPr>
          <w:rFonts w:ascii="Times New Roman" w:hAnsi="Times New Roman"/>
        </w:rPr>
        <w:t xml:space="preserve">currently </w:t>
      </w:r>
      <w:r>
        <w:rPr>
          <w:rFonts w:ascii="Times New Roman" w:hAnsi="Times New Roman"/>
        </w:rPr>
        <w:t xml:space="preserve">published </w:t>
      </w:r>
      <w:r w:rsidR="007E703E">
        <w:rPr>
          <w:rFonts w:ascii="Times New Roman" w:hAnsi="Times New Roman"/>
        </w:rPr>
        <w:t xml:space="preserve">brochures </w:t>
      </w:r>
      <w:r>
        <w:rPr>
          <w:rFonts w:ascii="Times New Roman" w:hAnsi="Times New Roman"/>
        </w:rPr>
        <w:t xml:space="preserve">will </w:t>
      </w:r>
      <w:r>
        <w:rPr>
          <w:rFonts w:ascii="Times New Roman" w:hAnsi="Times New Roman"/>
        </w:rPr>
        <w:t xml:space="preserve">be </w:t>
      </w:r>
      <w:r w:rsidR="00670091">
        <w:rPr>
          <w:rFonts w:ascii="Times New Roman" w:hAnsi="Times New Roman"/>
        </w:rPr>
        <w:t>updated</w:t>
      </w:r>
      <w:r w:rsidR="00670091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transitioned to </w:t>
      </w:r>
      <w:r w:rsidR="00B80C1B">
        <w:rPr>
          <w:rFonts w:ascii="Times New Roman" w:hAnsi="Times New Roman"/>
        </w:rPr>
        <w:t>our</w:t>
      </w:r>
      <w:r w:rsidR="00E84B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unified website. </w:t>
      </w:r>
    </w:p>
    <w:p w:rsidR="009668A4" w:rsidRPr="009668A4" w:rsidP="009668A4" w14:paraId="3F6E3C08" w14:textId="77777777">
      <w:pPr>
        <w:ind w:left="360"/>
        <w:rPr>
          <w:rFonts w:ascii="Times New Roman" w:hAnsi="Times New Roman"/>
          <w:color w:val="000000"/>
        </w:rPr>
      </w:pPr>
    </w:p>
    <w:p w:rsidR="008C5342" w:rsidRPr="007E703E" w:rsidP="008C5342" w14:paraId="0301C57E" w14:textId="77777777">
      <w:pPr>
        <w:ind w:left="360"/>
        <w:rPr>
          <w:rFonts w:ascii="Times New Roman" w:hAnsi="Times New Roman"/>
          <w:snapToGrid w:val="0"/>
        </w:rPr>
      </w:pPr>
      <w:r w:rsidRPr="009849B4">
        <w:rPr>
          <w:rFonts w:ascii="Times New Roman" w:hAnsi="Times New Roman"/>
          <w:b/>
          <w:bCs/>
          <w:snapToGrid w:val="0"/>
          <w:u w:val="single"/>
        </w:rPr>
        <w:t>Justification #1</w:t>
      </w:r>
      <w:r w:rsidR="009849B4">
        <w:rPr>
          <w:rFonts w:ascii="Times New Roman" w:hAnsi="Times New Roman"/>
          <w:b/>
          <w:bCs/>
          <w:snapToGrid w:val="0"/>
        </w:rPr>
        <w:t xml:space="preserve">: </w:t>
      </w:r>
      <w:r w:rsidR="005F0AE0">
        <w:rPr>
          <w:rFonts w:ascii="Times New Roman" w:hAnsi="Times New Roman"/>
          <w:snapToGrid w:val="0"/>
        </w:rPr>
        <w:t xml:space="preserve"> </w:t>
      </w:r>
      <w:r w:rsidR="00B03E03">
        <w:rPr>
          <w:rFonts w:ascii="Times New Roman" w:hAnsi="Times New Roman"/>
          <w:snapToGrid w:val="0"/>
        </w:rPr>
        <w:t xml:space="preserve">SSA is </w:t>
      </w:r>
      <w:r w:rsidR="009275C5">
        <w:rPr>
          <w:rFonts w:ascii="Times New Roman" w:hAnsi="Times New Roman"/>
          <w:snapToGrid w:val="0"/>
        </w:rPr>
        <w:t>making this change due to OMB</w:t>
      </w:r>
      <w:r>
        <w:rPr>
          <w:rFonts w:ascii="Times New Roman" w:hAnsi="Times New Roman"/>
          <w:snapToGrid w:val="0"/>
        </w:rPr>
        <w:t>’s Terms of Clearance.  OMB</w:t>
      </w:r>
      <w:r w:rsidRPr="007E703E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suggested </w:t>
      </w:r>
      <w:r w:rsidRPr="007E703E">
        <w:rPr>
          <w:rFonts w:ascii="Times New Roman" w:hAnsi="Times New Roman"/>
          <w:snapToGrid w:val="0"/>
        </w:rPr>
        <w:t>that the collection instrument access</w:t>
      </w:r>
      <w:r>
        <w:rPr>
          <w:rFonts w:ascii="Times New Roman" w:hAnsi="Times New Roman"/>
          <w:snapToGrid w:val="0"/>
        </w:rPr>
        <w:t xml:space="preserve"> for requesting a certificate of coverage (COC)</w:t>
      </w:r>
      <w:r w:rsidRPr="007E703E">
        <w:rPr>
          <w:rFonts w:ascii="Times New Roman" w:hAnsi="Times New Roman"/>
          <w:snapToGrid w:val="0"/>
        </w:rPr>
        <w:t xml:space="preserve"> should </w:t>
      </w:r>
      <w:r w:rsidRPr="007E703E">
        <w:rPr>
          <w:rFonts w:ascii="Times New Roman" w:hAnsi="Times New Roman"/>
          <w:snapToGrid w:val="0"/>
        </w:rPr>
        <w:t>be prominently displayed</w:t>
      </w:r>
      <w:r w:rsidRPr="007E703E">
        <w:rPr>
          <w:rFonts w:ascii="Times New Roman" w:hAnsi="Times New Roman"/>
          <w:snapToGrid w:val="0"/>
        </w:rPr>
        <w:t xml:space="preserve"> by a button </w:t>
      </w:r>
      <w:r>
        <w:rPr>
          <w:rFonts w:ascii="Times New Roman" w:hAnsi="Times New Roman"/>
          <w:snapToGrid w:val="0"/>
        </w:rPr>
        <w:t xml:space="preserve">rather than a hyperlink (remove the hyperlink to the Online Processing Tracking System (OPTS) </w:t>
      </w:r>
      <w:r w:rsidRPr="007E703E">
        <w:rPr>
          <w:rFonts w:ascii="Times New Roman" w:hAnsi="Times New Roman"/>
          <w:snapToGrid w:val="0"/>
        </w:rPr>
        <w:t xml:space="preserve">- allowing easy access for individuals to </w:t>
      </w:r>
      <w:r>
        <w:rPr>
          <w:rFonts w:ascii="Times New Roman" w:hAnsi="Times New Roman"/>
          <w:snapToGrid w:val="0"/>
        </w:rPr>
        <w:t xml:space="preserve">electronically </w:t>
      </w:r>
      <w:r w:rsidRPr="007E703E">
        <w:rPr>
          <w:rFonts w:ascii="Times New Roman" w:hAnsi="Times New Roman"/>
          <w:snapToGrid w:val="0"/>
        </w:rPr>
        <w:t xml:space="preserve">request a COC before other submission modalities (such as mail or fax). We have incorporated this change in </w:t>
      </w:r>
      <w:r>
        <w:rPr>
          <w:rFonts w:ascii="Times New Roman" w:hAnsi="Times New Roman"/>
          <w:snapToGrid w:val="0"/>
        </w:rPr>
        <w:t xml:space="preserve">our </w:t>
      </w:r>
      <w:r w:rsidRPr="007E703E">
        <w:rPr>
          <w:rFonts w:ascii="Times New Roman" w:hAnsi="Times New Roman"/>
          <w:snapToGrid w:val="0"/>
        </w:rPr>
        <w:t xml:space="preserve">revised </w:t>
      </w:r>
      <w:r>
        <w:rPr>
          <w:rFonts w:ascii="Times New Roman" w:hAnsi="Times New Roman"/>
          <w:snapToGrid w:val="0"/>
        </w:rPr>
        <w:t>partner country Totalization informational unified website</w:t>
      </w:r>
      <w:r w:rsidRPr="007E703E">
        <w:rPr>
          <w:rFonts w:ascii="Times New Roman" w:hAnsi="Times New Roman"/>
          <w:snapToGrid w:val="0"/>
        </w:rPr>
        <w:t xml:space="preserve">. (See the attached screen shots) </w:t>
      </w:r>
    </w:p>
    <w:p w:rsidR="009275C5" w:rsidP="007E703E" w14:paraId="76022A4B" w14:textId="77777777">
      <w:pPr>
        <w:ind w:left="360"/>
        <w:rPr>
          <w:rFonts w:ascii="Times New Roman" w:hAnsi="Times New Roman"/>
          <w:snapToGrid w:val="0"/>
        </w:rPr>
      </w:pPr>
    </w:p>
    <w:p w:rsidR="00315C56" w:rsidP="009668A4" w14:paraId="4C1D6FF1" w14:textId="77777777">
      <w:pPr>
        <w:ind w:left="360"/>
        <w:rPr>
          <w:rFonts w:ascii="Times New Roman" w:hAnsi="Times New Roman"/>
          <w:color w:val="000000"/>
        </w:rPr>
      </w:pPr>
      <w:r w:rsidRPr="00E47087">
        <w:rPr>
          <w:rFonts w:ascii="Times New Roman" w:hAnsi="Times New Roman"/>
          <w:b/>
          <w:bCs/>
          <w:snapToGrid w:val="0"/>
          <w:u w:val="single"/>
        </w:rPr>
        <w:t>Change #2</w:t>
      </w:r>
      <w:r w:rsidRPr="00057E28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B03E03">
        <w:rPr>
          <w:rFonts w:ascii="Times New Roman" w:hAnsi="Times New Roman"/>
          <w:snapToGrid w:val="0"/>
        </w:rPr>
        <w:t>SSA is a</w:t>
      </w:r>
      <w:r w:rsidRPr="00D87217" w:rsidR="009668A4">
        <w:rPr>
          <w:rFonts w:ascii="Times New Roman" w:hAnsi="Times New Roman"/>
          <w:color w:val="000000"/>
        </w:rPr>
        <w:t>lso modif</w:t>
      </w:r>
      <w:r w:rsidR="0046535D">
        <w:rPr>
          <w:rFonts w:ascii="Times New Roman" w:hAnsi="Times New Roman"/>
          <w:color w:val="000000"/>
        </w:rPr>
        <w:t>ying</w:t>
      </w:r>
      <w:r w:rsidRPr="00D87217" w:rsidR="009668A4">
        <w:rPr>
          <w:rFonts w:ascii="Times New Roman" w:hAnsi="Times New Roman"/>
          <w:color w:val="000000"/>
        </w:rPr>
        <w:t xml:space="preserve"> the </w:t>
      </w:r>
      <w:r w:rsidR="0046535D">
        <w:rPr>
          <w:rFonts w:ascii="Times New Roman" w:hAnsi="Times New Roman"/>
          <w:color w:val="000000"/>
        </w:rPr>
        <w:t>public facing</w:t>
      </w:r>
      <w:r w:rsidRPr="00D87217" w:rsidR="009668A4">
        <w:rPr>
          <w:rFonts w:ascii="Times New Roman" w:hAnsi="Times New Roman"/>
          <w:color w:val="000000"/>
        </w:rPr>
        <w:t xml:space="preserve"> </w:t>
      </w:r>
      <w:r w:rsidR="00670091">
        <w:rPr>
          <w:rFonts w:ascii="Times New Roman" w:hAnsi="Times New Roman"/>
          <w:color w:val="000000"/>
        </w:rPr>
        <w:t xml:space="preserve">OPTS </w:t>
      </w:r>
      <w:r w:rsidR="0046535D">
        <w:rPr>
          <w:rFonts w:ascii="Times New Roman" w:hAnsi="Times New Roman"/>
          <w:color w:val="000000"/>
        </w:rPr>
        <w:t xml:space="preserve">website so the </w:t>
      </w:r>
      <w:r w:rsidRPr="00D87217" w:rsidR="009668A4">
        <w:rPr>
          <w:rFonts w:ascii="Times New Roman" w:hAnsi="Times New Roman"/>
          <w:color w:val="000000"/>
        </w:rPr>
        <w:t xml:space="preserve">hyperlink for accessing the COC </w:t>
      </w:r>
      <w:r w:rsidR="00670091">
        <w:rPr>
          <w:rFonts w:ascii="Times New Roman" w:hAnsi="Times New Roman"/>
          <w:color w:val="000000"/>
        </w:rPr>
        <w:t xml:space="preserve">collection </w:t>
      </w:r>
      <w:r w:rsidRPr="00D87217" w:rsidR="009668A4">
        <w:rPr>
          <w:rFonts w:ascii="Times New Roman" w:hAnsi="Times New Roman"/>
          <w:color w:val="000000"/>
        </w:rPr>
        <w:t xml:space="preserve">form </w:t>
      </w:r>
      <w:r w:rsidRPr="00D87217" w:rsidR="009668A4">
        <w:rPr>
          <w:rFonts w:ascii="Times New Roman" w:hAnsi="Times New Roman"/>
          <w:color w:val="000000"/>
        </w:rPr>
        <w:t>is displayed</w:t>
      </w:r>
      <w:r w:rsidRPr="00D87217" w:rsidR="009668A4">
        <w:rPr>
          <w:rFonts w:ascii="Times New Roman" w:hAnsi="Times New Roman"/>
          <w:color w:val="000000"/>
        </w:rPr>
        <w:t xml:space="preserve"> as a button located at the top of the webpage</w:t>
      </w:r>
      <w:r>
        <w:rPr>
          <w:rFonts w:ascii="Times New Roman" w:hAnsi="Times New Roman"/>
          <w:color w:val="000000"/>
        </w:rPr>
        <w:t xml:space="preserve">, and is </w:t>
      </w:r>
      <w:r w:rsidRPr="00D87217" w:rsidR="009668A4">
        <w:rPr>
          <w:rFonts w:ascii="Times New Roman" w:hAnsi="Times New Roman"/>
          <w:color w:val="000000"/>
        </w:rPr>
        <w:t>labeled Certificate of Coverage</w:t>
      </w:r>
      <w:r>
        <w:rPr>
          <w:rFonts w:ascii="Times New Roman" w:hAnsi="Times New Roman"/>
          <w:color w:val="000000"/>
        </w:rPr>
        <w:t>.</w:t>
      </w:r>
      <w:r w:rsidR="000F2658">
        <w:rPr>
          <w:rFonts w:ascii="Times New Roman" w:hAnsi="Times New Roman"/>
          <w:color w:val="000000"/>
        </w:rPr>
        <w:t xml:space="preserve">  </w:t>
      </w:r>
      <w:r w:rsidRPr="007E703E" w:rsidR="000F2658">
        <w:rPr>
          <w:rFonts w:ascii="Times New Roman" w:hAnsi="Times New Roman"/>
          <w:snapToGrid w:val="0"/>
        </w:rPr>
        <w:t>(See the attached screen shots</w:t>
      </w:r>
      <w:r w:rsidR="00670091">
        <w:rPr>
          <w:rFonts w:ascii="Times New Roman" w:hAnsi="Times New Roman"/>
          <w:snapToGrid w:val="0"/>
        </w:rPr>
        <w:t xml:space="preserve"> of the original and modified websites</w:t>
      </w:r>
      <w:r w:rsidR="0046535D">
        <w:rPr>
          <w:rFonts w:ascii="Times New Roman" w:hAnsi="Times New Roman"/>
          <w:snapToGrid w:val="0"/>
        </w:rPr>
        <w:t>.</w:t>
      </w:r>
      <w:r w:rsidRPr="007E703E" w:rsidR="000F2658">
        <w:rPr>
          <w:rFonts w:ascii="Times New Roman" w:hAnsi="Times New Roman"/>
          <w:snapToGrid w:val="0"/>
        </w:rPr>
        <w:t>)</w:t>
      </w:r>
    </w:p>
    <w:p w:rsidR="00315C56" w:rsidP="009668A4" w14:paraId="205C424D" w14:textId="77777777">
      <w:pPr>
        <w:ind w:left="360"/>
        <w:rPr>
          <w:rFonts w:ascii="Times New Roman" w:hAnsi="Times New Roman"/>
          <w:color w:val="000000"/>
        </w:rPr>
      </w:pPr>
    </w:p>
    <w:p w:rsidR="00E47087" w:rsidP="00E47087" w14:paraId="0E683DF8" w14:textId="77777777">
      <w:pPr>
        <w:ind w:left="360"/>
        <w:rPr>
          <w:rFonts w:ascii="Times New Roman" w:hAnsi="Times New Roman"/>
          <w:snapToGrid w:val="0"/>
        </w:rPr>
      </w:pPr>
      <w:r w:rsidRPr="00C46747">
        <w:rPr>
          <w:rFonts w:ascii="Times New Roman" w:hAnsi="Times New Roman"/>
          <w:b/>
          <w:bCs/>
          <w:snapToGrid w:val="0"/>
          <w:u w:val="single"/>
        </w:rPr>
        <w:t>Justification #2</w:t>
      </w:r>
      <w:r w:rsidRPr="00057E28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8C5342">
        <w:rPr>
          <w:rFonts w:ascii="Times New Roman" w:hAnsi="Times New Roman"/>
          <w:snapToGrid w:val="0"/>
        </w:rPr>
        <w:t xml:space="preserve">We are making this change, because </w:t>
      </w:r>
      <w:r w:rsidRPr="00E47087">
        <w:rPr>
          <w:rFonts w:ascii="Times New Roman" w:hAnsi="Times New Roman"/>
          <w:snapToGrid w:val="0"/>
        </w:rPr>
        <w:t>OM</w:t>
      </w:r>
      <w:r w:rsidR="0046535D">
        <w:rPr>
          <w:rFonts w:ascii="Times New Roman" w:hAnsi="Times New Roman"/>
          <w:snapToGrid w:val="0"/>
        </w:rPr>
        <w:t>B</w:t>
      </w:r>
      <w:r w:rsidRPr="00E47087">
        <w:rPr>
          <w:rFonts w:ascii="Times New Roman" w:hAnsi="Times New Roman"/>
          <w:snapToGrid w:val="0"/>
        </w:rPr>
        <w:t xml:space="preserve"> suggest</w:t>
      </w:r>
      <w:r w:rsidR="00670091">
        <w:rPr>
          <w:rFonts w:ascii="Times New Roman" w:hAnsi="Times New Roman"/>
          <w:snapToGrid w:val="0"/>
        </w:rPr>
        <w:t xml:space="preserve">ed </w:t>
      </w:r>
      <w:r w:rsidR="008C5342">
        <w:rPr>
          <w:rFonts w:ascii="Times New Roman" w:hAnsi="Times New Roman"/>
          <w:snapToGrid w:val="0"/>
        </w:rPr>
        <w:t>SSA</w:t>
      </w:r>
      <w:r w:rsidRPr="00E47087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incorporate the </w:t>
      </w:r>
      <w:r w:rsidRPr="00E47087">
        <w:rPr>
          <w:rFonts w:ascii="Times New Roman" w:hAnsi="Times New Roman"/>
          <w:snapToGrid w:val="0"/>
        </w:rPr>
        <w:t>modif</w:t>
      </w:r>
      <w:r>
        <w:rPr>
          <w:rFonts w:ascii="Times New Roman" w:hAnsi="Times New Roman"/>
          <w:snapToGrid w:val="0"/>
        </w:rPr>
        <w:t xml:space="preserve">ication in change #2.  </w:t>
      </w:r>
      <w:r w:rsidR="008C5342">
        <w:rPr>
          <w:rFonts w:ascii="Times New Roman" w:hAnsi="Times New Roman"/>
          <w:snapToGrid w:val="0"/>
        </w:rPr>
        <w:t>I</w:t>
      </w:r>
      <w:r>
        <w:rPr>
          <w:rFonts w:ascii="Times New Roman" w:hAnsi="Times New Roman"/>
          <w:snapToGrid w:val="0"/>
        </w:rPr>
        <w:t>n</w:t>
      </w:r>
      <w:r w:rsidRPr="00E47087">
        <w:rPr>
          <w:rFonts w:ascii="Times New Roman" w:hAnsi="Times New Roman"/>
          <w:snapToGrid w:val="0"/>
        </w:rPr>
        <w:t>dividuals will no longer have to scroll through actionable information</w:t>
      </w:r>
      <w:r w:rsidR="000F2658">
        <w:rPr>
          <w:rFonts w:ascii="Times New Roman" w:hAnsi="Times New Roman"/>
          <w:snapToGrid w:val="0"/>
        </w:rPr>
        <w:t xml:space="preserve"> on this website</w:t>
      </w:r>
      <w:r>
        <w:rPr>
          <w:rFonts w:ascii="Times New Roman" w:hAnsi="Times New Roman"/>
          <w:snapToGrid w:val="0"/>
        </w:rPr>
        <w:t>, and COC button</w:t>
      </w:r>
      <w:r w:rsidR="001229E4">
        <w:rPr>
          <w:rFonts w:ascii="Times New Roman" w:hAnsi="Times New Roman"/>
          <w:snapToGrid w:val="0"/>
        </w:rPr>
        <w:t xml:space="preserve">s are </w:t>
      </w:r>
      <w:r w:rsidR="001C2FD8">
        <w:rPr>
          <w:rFonts w:ascii="Times New Roman" w:hAnsi="Times New Roman"/>
          <w:snapToGrid w:val="0"/>
        </w:rPr>
        <w:t xml:space="preserve">now </w:t>
      </w:r>
      <w:r>
        <w:rPr>
          <w:rFonts w:ascii="Times New Roman" w:hAnsi="Times New Roman"/>
          <w:snapToGrid w:val="0"/>
        </w:rPr>
        <w:t xml:space="preserve">located in </w:t>
      </w:r>
      <w:r w:rsidR="001229E4">
        <w:rPr>
          <w:rFonts w:ascii="Times New Roman" w:hAnsi="Times New Roman"/>
          <w:snapToGrid w:val="0"/>
        </w:rPr>
        <w:t xml:space="preserve">two </w:t>
      </w:r>
      <w:r>
        <w:rPr>
          <w:rFonts w:ascii="Times New Roman" w:hAnsi="Times New Roman"/>
          <w:snapToGrid w:val="0"/>
        </w:rPr>
        <w:t>conspicuous location</w:t>
      </w:r>
      <w:r w:rsidR="001229E4">
        <w:rPr>
          <w:rFonts w:ascii="Times New Roman" w:hAnsi="Times New Roman"/>
          <w:snapToGrid w:val="0"/>
        </w:rPr>
        <w:t>s</w:t>
      </w:r>
      <w:r w:rsidR="00670091">
        <w:rPr>
          <w:rFonts w:ascii="Times New Roman" w:hAnsi="Times New Roman"/>
          <w:snapToGrid w:val="0"/>
        </w:rPr>
        <w:t xml:space="preserve"> </w:t>
      </w:r>
      <w:r w:rsidR="00273E44">
        <w:rPr>
          <w:rFonts w:ascii="Times New Roman" w:hAnsi="Times New Roman"/>
          <w:snapToGrid w:val="0"/>
        </w:rPr>
        <w:t xml:space="preserve">toward </w:t>
      </w:r>
      <w:r w:rsidR="00670091">
        <w:rPr>
          <w:rFonts w:ascii="Times New Roman" w:hAnsi="Times New Roman"/>
          <w:snapToGrid w:val="0"/>
        </w:rPr>
        <w:t>the top of the webpage</w:t>
      </w:r>
      <w:r>
        <w:rPr>
          <w:rFonts w:ascii="Times New Roman" w:hAnsi="Times New Roman"/>
          <w:snapToGrid w:val="0"/>
        </w:rPr>
        <w:t>.</w:t>
      </w:r>
      <w:r w:rsidR="00613B45">
        <w:rPr>
          <w:rFonts w:ascii="Times New Roman" w:hAnsi="Times New Roman"/>
          <w:snapToGrid w:val="0"/>
        </w:rPr>
        <w:t xml:space="preserve">  We</w:t>
      </w:r>
      <w:r w:rsidR="008C5342">
        <w:rPr>
          <w:rFonts w:ascii="Times New Roman" w:hAnsi="Times New Roman"/>
          <w:snapToGrid w:val="0"/>
        </w:rPr>
        <w:t xml:space="preserve"> are also adding </w:t>
      </w:r>
      <w:r w:rsidR="00613B45">
        <w:rPr>
          <w:rFonts w:ascii="Times New Roman" w:hAnsi="Times New Roman"/>
          <w:snapToGrid w:val="0"/>
        </w:rPr>
        <w:t>a new section</w:t>
      </w:r>
      <w:r w:rsidR="00670091">
        <w:rPr>
          <w:rFonts w:ascii="Times New Roman" w:hAnsi="Times New Roman"/>
          <w:snapToGrid w:val="0"/>
        </w:rPr>
        <w:t xml:space="preserve"> named</w:t>
      </w:r>
      <w:r w:rsidR="00273E44">
        <w:rPr>
          <w:rFonts w:ascii="Times New Roman" w:hAnsi="Times New Roman"/>
          <w:snapToGrid w:val="0"/>
        </w:rPr>
        <w:t>, “</w:t>
      </w:r>
      <w:r w:rsidRPr="00613B45" w:rsidR="00613B45">
        <w:rPr>
          <w:rFonts w:ascii="Times New Roman" w:hAnsi="Times New Roman"/>
          <w:snapToGrid w:val="0"/>
        </w:rPr>
        <w:t>Accessing the online certificate request forms</w:t>
      </w:r>
      <w:r w:rsidR="00613B45">
        <w:rPr>
          <w:rFonts w:ascii="Times New Roman" w:hAnsi="Times New Roman"/>
          <w:snapToGrid w:val="0"/>
        </w:rPr>
        <w:t>.</w:t>
      </w:r>
      <w:r w:rsidR="00273E44">
        <w:rPr>
          <w:rFonts w:ascii="Times New Roman" w:hAnsi="Times New Roman"/>
          <w:snapToGrid w:val="0"/>
        </w:rPr>
        <w:t>”</w:t>
      </w:r>
    </w:p>
    <w:p w:rsidR="005B0EF6" w:rsidP="00E47087" w14:paraId="501E1D32" w14:textId="77777777">
      <w:pPr>
        <w:ind w:left="360"/>
        <w:rPr>
          <w:rFonts w:ascii="Times New Roman" w:hAnsi="Times New Roman"/>
          <w:snapToGrid w:val="0"/>
        </w:rPr>
      </w:pPr>
    </w:p>
    <w:p w:rsidR="005B0EF6" w:rsidP="005B0EF6" w14:paraId="2E52F9A8" w14:textId="77777777">
      <w:pPr>
        <w:ind w:left="360"/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 xml:space="preserve">SSA is resubmitting the non-substantive change request within One Year of OMB approval </w:t>
      </w:r>
      <w:r w:rsidRPr="000D2CFE">
        <w:rPr>
          <w:rFonts w:ascii="Times New Roman" w:hAnsi="Times New Roman"/>
          <w:bCs/>
          <w:snapToGrid w:val="0"/>
        </w:rPr>
        <w:t>based on OMB’s Terms of clearance when approved on 2/13/23</w:t>
      </w:r>
      <w:r>
        <w:rPr>
          <w:rFonts w:ascii="Times New Roman" w:hAnsi="Times New Roman"/>
          <w:bCs/>
          <w:snapToGrid w:val="0"/>
        </w:rPr>
        <w:t>:</w:t>
      </w:r>
    </w:p>
    <w:p w:rsidR="005B0EF6" w:rsidRPr="000D2CFE" w:rsidP="005B0EF6" w14:paraId="40406A7D" w14:textId="77777777">
      <w:pPr>
        <w:ind w:left="360"/>
        <w:rPr>
          <w:rFonts w:ascii="Times New Roman" w:hAnsi="Times New Roman"/>
          <w:bCs/>
          <w:snapToGrid w:val="0"/>
        </w:rPr>
      </w:pPr>
    </w:p>
    <w:p w:rsidR="005B0EF6" w:rsidRPr="005B0EF6" w:rsidP="005B0EF6" w14:paraId="024209B1" w14:textId="77777777">
      <w:pPr>
        <w:pStyle w:val="ListParagraph"/>
        <w:tabs>
          <w:tab w:val="left" w:pos="0"/>
          <w:tab w:val="left" w:pos="360"/>
        </w:tabs>
        <w:ind w:left="0" w:right="13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B0EF6">
        <w:rPr>
          <w:rFonts w:ascii="Times New Roman" w:hAnsi="Times New Roman"/>
        </w:rPr>
        <w:t>We will implement these changes upon OMB approval.</w:t>
      </w:r>
    </w:p>
    <w:p w:rsidR="005B0EF6" w:rsidRPr="005B0EF6" w:rsidP="005B0EF6" w14:paraId="3A7A7B55" w14:textId="77777777">
      <w:pPr>
        <w:pStyle w:val="ListParagraph"/>
        <w:tabs>
          <w:tab w:val="left" w:pos="0"/>
          <w:tab w:val="left" w:pos="360"/>
        </w:tabs>
        <w:ind w:left="0" w:right="134"/>
        <w:rPr>
          <w:rFonts w:ascii="Times New Roman" w:hAnsi="Times New Roman"/>
        </w:rPr>
      </w:pPr>
    </w:p>
    <w:p w:rsidR="005B0EF6" w:rsidRPr="005B0EF6" w:rsidP="005B0EF6" w14:paraId="07DA2FEB" w14:textId="77777777">
      <w:pPr>
        <w:tabs>
          <w:tab w:val="left" w:pos="360"/>
        </w:tabs>
        <w:ind w:firstLine="360"/>
        <w:rPr>
          <w:rFonts w:ascii="Times New Roman" w:hAnsi="Times New Roman"/>
        </w:rPr>
      </w:pPr>
      <w:r w:rsidRPr="005B0EF6">
        <w:rPr>
          <w:rFonts w:ascii="Times New Roman" w:hAnsi="Times New Roman"/>
          <w:bCs/>
        </w:rPr>
        <w:t>These actions do not affect the public reporting burden.</w:t>
      </w:r>
    </w:p>
    <w:p w:rsidR="005B0EF6" w:rsidRPr="005B0EF6" w:rsidP="005B0EF6" w14:paraId="586D1227" w14:textId="77777777">
      <w:pPr>
        <w:pStyle w:val="ListParagraph"/>
        <w:tabs>
          <w:tab w:val="left" w:pos="0"/>
        </w:tabs>
        <w:ind w:left="0" w:right="134"/>
        <w:rPr>
          <w:rFonts w:ascii="Times New Roman" w:hAnsi="Times New Roman"/>
        </w:rPr>
      </w:pPr>
    </w:p>
    <w:p w:rsidR="005F0AE0" w:rsidP="005B0EF6" w14:paraId="6B5E3C74" w14:textId="77777777">
      <w:pPr>
        <w:ind w:left="360"/>
        <w:rPr>
          <w:rFonts w:ascii="Times New Roman" w:hAnsi="Times New Roman"/>
          <w:snapToGrid w:val="0"/>
        </w:rPr>
      </w:pPr>
    </w:p>
    <w:sectPr w:rsidSect="005B0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7374FA"/>
    <w:multiLevelType w:val="hybridMultilevel"/>
    <w:tmpl w:val="A98C0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B2C4F"/>
    <w:multiLevelType w:val="hybridMultilevel"/>
    <w:tmpl w:val="01D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221318"/>
    <w:multiLevelType w:val="hybridMultilevel"/>
    <w:tmpl w:val="46569F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87177">
    <w:abstractNumId w:val="2"/>
  </w:num>
  <w:num w:numId="2" w16cid:durableId="160706411">
    <w:abstractNumId w:val="1"/>
  </w:num>
  <w:num w:numId="3" w16cid:durableId="1363050325">
    <w:abstractNumId w:val="3"/>
  </w:num>
  <w:num w:numId="4" w16cid:durableId="69854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57E28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4925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0119"/>
    <w:rsid w:val="000D1202"/>
    <w:rsid w:val="000D1796"/>
    <w:rsid w:val="000D18EE"/>
    <w:rsid w:val="000D2CFE"/>
    <w:rsid w:val="000D3A20"/>
    <w:rsid w:val="000E3423"/>
    <w:rsid w:val="000E57A0"/>
    <w:rsid w:val="000E68FD"/>
    <w:rsid w:val="000E6E08"/>
    <w:rsid w:val="000F172D"/>
    <w:rsid w:val="000F2658"/>
    <w:rsid w:val="000F2C23"/>
    <w:rsid w:val="000F3802"/>
    <w:rsid w:val="001032C6"/>
    <w:rsid w:val="00103C29"/>
    <w:rsid w:val="001061A7"/>
    <w:rsid w:val="00107CAF"/>
    <w:rsid w:val="00110A27"/>
    <w:rsid w:val="001116B3"/>
    <w:rsid w:val="00112148"/>
    <w:rsid w:val="00113A5A"/>
    <w:rsid w:val="00115D86"/>
    <w:rsid w:val="00117A12"/>
    <w:rsid w:val="00117A16"/>
    <w:rsid w:val="00120601"/>
    <w:rsid w:val="0012259C"/>
    <w:rsid w:val="001229E4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1A11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2FD8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0FF0"/>
    <w:rsid w:val="0022530B"/>
    <w:rsid w:val="0022695A"/>
    <w:rsid w:val="002272E0"/>
    <w:rsid w:val="0023089C"/>
    <w:rsid w:val="00231521"/>
    <w:rsid w:val="002325AF"/>
    <w:rsid w:val="00236BBF"/>
    <w:rsid w:val="00237585"/>
    <w:rsid w:val="0024250D"/>
    <w:rsid w:val="0024413D"/>
    <w:rsid w:val="00250589"/>
    <w:rsid w:val="0025115C"/>
    <w:rsid w:val="00257808"/>
    <w:rsid w:val="00260565"/>
    <w:rsid w:val="002618F3"/>
    <w:rsid w:val="0026238C"/>
    <w:rsid w:val="002625B6"/>
    <w:rsid w:val="00262A2A"/>
    <w:rsid w:val="00262B15"/>
    <w:rsid w:val="00265DC5"/>
    <w:rsid w:val="00267C8A"/>
    <w:rsid w:val="00273E44"/>
    <w:rsid w:val="00277558"/>
    <w:rsid w:val="00281449"/>
    <w:rsid w:val="00281502"/>
    <w:rsid w:val="00284A5F"/>
    <w:rsid w:val="00284DB4"/>
    <w:rsid w:val="00285701"/>
    <w:rsid w:val="0028678A"/>
    <w:rsid w:val="00286D5B"/>
    <w:rsid w:val="00287EB7"/>
    <w:rsid w:val="00290F9C"/>
    <w:rsid w:val="002910DA"/>
    <w:rsid w:val="00292261"/>
    <w:rsid w:val="0029267C"/>
    <w:rsid w:val="0029415A"/>
    <w:rsid w:val="002950CF"/>
    <w:rsid w:val="002A44E6"/>
    <w:rsid w:val="002A5C3F"/>
    <w:rsid w:val="002A6556"/>
    <w:rsid w:val="002A7185"/>
    <w:rsid w:val="002B1345"/>
    <w:rsid w:val="002B25AD"/>
    <w:rsid w:val="002B2BD5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D6AF4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C56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721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4A95"/>
    <w:rsid w:val="00386B03"/>
    <w:rsid w:val="00390B36"/>
    <w:rsid w:val="00392418"/>
    <w:rsid w:val="0039296B"/>
    <w:rsid w:val="003958A1"/>
    <w:rsid w:val="003A704A"/>
    <w:rsid w:val="003A7123"/>
    <w:rsid w:val="003B191E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535D"/>
    <w:rsid w:val="00467D8D"/>
    <w:rsid w:val="00471DCB"/>
    <w:rsid w:val="00472C38"/>
    <w:rsid w:val="00476C32"/>
    <w:rsid w:val="00476F42"/>
    <w:rsid w:val="00480884"/>
    <w:rsid w:val="00480A1E"/>
    <w:rsid w:val="00481978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D55B7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0EF6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0AE0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3B45"/>
    <w:rsid w:val="00614A2A"/>
    <w:rsid w:val="00615448"/>
    <w:rsid w:val="0062010A"/>
    <w:rsid w:val="006201E9"/>
    <w:rsid w:val="00621BF6"/>
    <w:rsid w:val="006244F9"/>
    <w:rsid w:val="00627F6F"/>
    <w:rsid w:val="00633A1E"/>
    <w:rsid w:val="00634C07"/>
    <w:rsid w:val="006378E8"/>
    <w:rsid w:val="00637E24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091"/>
    <w:rsid w:val="00670361"/>
    <w:rsid w:val="00671078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4039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03E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2B2B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D7C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6143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5342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275C5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668A4"/>
    <w:rsid w:val="009711C4"/>
    <w:rsid w:val="00973205"/>
    <w:rsid w:val="009749F5"/>
    <w:rsid w:val="00975F9E"/>
    <w:rsid w:val="0098037B"/>
    <w:rsid w:val="0098490C"/>
    <w:rsid w:val="009849B4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3F2C"/>
    <w:rsid w:val="009B4761"/>
    <w:rsid w:val="009B55F7"/>
    <w:rsid w:val="009C371D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339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C36A3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3E03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3D7"/>
    <w:rsid w:val="00B444F5"/>
    <w:rsid w:val="00B45A06"/>
    <w:rsid w:val="00B5465D"/>
    <w:rsid w:val="00B56E7B"/>
    <w:rsid w:val="00B6087F"/>
    <w:rsid w:val="00B6383B"/>
    <w:rsid w:val="00B64A55"/>
    <w:rsid w:val="00B67763"/>
    <w:rsid w:val="00B76768"/>
    <w:rsid w:val="00B77AA8"/>
    <w:rsid w:val="00B80C1B"/>
    <w:rsid w:val="00B829B9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510"/>
    <w:rsid w:val="00BB4970"/>
    <w:rsid w:val="00BB7432"/>
    <w:rsid w:val="00BC0CC0"/>
    <w:rsid w:val="00BC17C0"/>
    <w:rsid w:val="00BC40F9"/>
    <w:rsid w:val="00BD5339"/>
    <w:rsid w:val="00BD6256"/>
    <w:rsid w:val="00BD7528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46747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24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83DB6"/>
    <w:rsid w:val="00D87217"/>
    <w:rsid w:val="00D90130"/>
    <w:rsid w:val="00D92F06"/>
    <w:rsid w:val="00D94C84"/>
    <w:rsid w:val="00D95814"/>
    <w:rsid w:val="00D96C76"/>
    <w:rsid w:val="00D97DCA"/>
    <w:rsid w:val="00D97E88"/>
    <w:rsid w:val="00DA011F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3B9E"/>
    <w:rsid w:val="00E25448"/>
    <w:rsid w:val="00E26A9C"/>
    <w:rsid w:val="00E275E5"/>
    <w:rsid w:val="00E307F1"/>
    <w:rsid w:val="00E31090"/>
    <w:rsid w:val="00E36B8A"/>
    <w:rsid w:val="00E36D5E"/>
    <w:rsid w:val="00E4166E"/>
    <w:rsid w:val="00E41E21"/>
    <w:rsid w:val="00E47087"/>
    <w:rsid w:val="00E478D5"/>
    <w:rsid w:val="00E531D5"/>
    <w:rsid w:val="00E538CC"/>
    <w:rsid w:val="00E56B75"/>
    <w:rsid w:val="00E574E7"/>
    <w:rsid w:val="00E60ACC"/>
    <w:rsid w:val="00E62E58"/>
    <w:rsid w:val="00E65974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4B2E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07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12D7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439FCA"/>
  <w15:chartTrackingRefBased/>
  <w15:docId w15:val="{4AED3481-25F3-4910-A442-77B4E7A0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6B2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sid w:val="00262B15"/>
    <w:pPr>
      <w:ind w:left="720"/>
    </w:pPr>
  </w:style>
  <w:style w:type="character" w:styleId="Hyperlink">
    <w:name w:val="Hyperlink"/>
    <w:uiPriority w:val="99"/>
    <w:unhideWhenUsed/>
    <w:rsid w:val="00671078"/>
    <w:rPr>
      <w:color w:val="0563C1"/>
      <w:u w:val="single"/>
    </w:rPr>
  </w:style>
  <w:style w:type="paragraph" w:customStyle="1" w:styleId="Default">
    <w:name w:val="Default"/>
    <w:rsid w:val="00E6597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57E28"/>
    <w:rPr>
      <w:color w:val="605E5C"/>
      <w:shd w:val="clear" w:color="auto" w:fill="E1DFDD"/>
    </w:rPr>
  </w:style>
  <w:style w:type="character" w:styleId="FollowedHyperlink">
    <w:name w:val="FollowedHyperlink"/>
    <w:rsid w:val="00057E28"/>
    <w:rPr>
      <w:color w:val="954F72"/>
      <w:u w:val="single"/>
    </w:rPr>
  </w:style>
  <w:style w:type="character" w:customStyle="1" w:styleId="Heading3Char">
    <w:name w:val="Heading 3 Char"/>
    <w:link w:val="Heading3"/>
    <w:semiHidden/>
    <w:rsid w:val="00CB6B2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285701"/>
    <w:rPr>
      <w:rFonts w:ascii="Courier" w:hAnsi="Courier"/>
      <w:sz w:val="24"/>
      <w:szCs w:val="24"/>
    </w:rPr>
  </w:style>
  <w:style w:type="character" w:styleId="CommentReference">
    <w:name w:val="annotation reference"/>
    <w:rsid w:val="0086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6143"/>
    <w:rPr>
      <w:sz w:val="20"/>
      <w:szCs w:val="20"/>
    </w:rPr>
  </w:style>
  <w:style w:type="character" w:customStyle="1" w:styleId="CommentTextChar">
    <w:name w:val="Comment Text Char"/>
    <w:link w:val="CommentText"/>
    <w:rsid w:val="0086614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866143"/>
    <w:rPr>
      <w:b/>
      <w:bCs/>
    </w:rPr>
  </w:style>
  <w:style w:type="character" w:customStyle="1" w:styleId="CommentSubjectChar">
    <w:name w:val="Comment Subject Char"/>
    <w:link w:val="CommentSubject"/>
    <w:rsid w:val="00866143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C273-A125-49F5-9677-43380182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2023-09-28T14:51:00Z</dcterms:created>
  <dcterms:modified xsi:type="dcterms:W3CDTF">2023-09-28T14:51:00Z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-248027733</vt:i4>
  </property>
  <property fmtid="{D5CDD505-2E9C-101B-9397-08002B2CF9AE}" pid="3" name="_AuthorEmail">
    <vt:lpwstr>Richard.Schwartzberg@ssa.gov</vt:lpwstr>
  </property>
  <property fmtid="{D5CDD505-2E9C-101B-9397-08002B2CF9AE}" pid="4" name="_AuthorEmailDisplayName">
    <vt:lpwstr>Schwartzberg, Richard</vt:lpwstr>
  </property>
  <property fmtid="{D5CDD505-2E9C-101B-9397-08002B2CF9AE}" pid="5" name="_EmailSubject">
    <vt:lpwstr>International Totalization Pamphlet Change Request Package Submission</vt:lpwstr>
  </property>
  <property fmtid="{D5CDD505-2E9C-101B-9397-08002B2CF9AE}" pid="6" name="_NewReviewCycle">
    <vt:lpwstr/>
  </property>
  <property fmtid="{D5CDD505-2E9C-101B-9397-08002B2CF9AE}" pid="7" name="_PreviousAdHocReviewCycleID">
    <vt:i4>-1856946805</vt:i4>
  </property>
  <property fmtid="{D5CDD505-2E9C-101B-9397-08002B2CF9AE}" pid="8" name="_ReviewingToolsShownOnce">
    <vt:lpwstr/>
  </property>
</Properties>
</file>