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C6547A" w:rsidP="00056F19" w14:paraId="3C0DE3C1" w14:textId="77777777">
      <w:pPr>
        <w:tabs>
          <w:tab w:val="left" w:pos="360"/>
          <w:tab w:val="left" w:pos="720"/>
        </w:tabs>
        <w:ind w:left="360" w:hanging="360"/>
        <w:jc w:val="center"/>
        <w:rPr>
          <w:b/>
          <w:bCs/>
          <w:caps/>
          <w:sz w:val="26"/>
          <w:szCs w:val="26"/>
        </w:rPr>
      </w:pPr>
      <w:r w:rsidRPr="00C6547A">
        <w:rPr>
          <w:b/>
          <w:bCs/>
          <w:caps/>
          <w:sz w:val="26"/>
          <w:szCs w:val="26"/>
        </w:rPr>
        <w:t>Supporting Statement B</w:t>
      </w:r>
    </w:p>
    <w:p w:rsidR="00D965D4" w:rsidRPr="00C6547A" w:rsidP="00056F19" w14:paraId="7BE7480A" w14:textId="77777777">
      <w:pPr>
        <w:tabs>
          <w:tab w:val="left" w:pos="360"/>
          <w:tab w:val="left" w:pos="720"/>
        </w:tabs>
        <w:ind w:left="360" w:hanging="360"/>
        <w:jc w:val="center"/>
        <w:rPr>
          <w:b/>
          <w:bCs/>
          <w:caps/>
          <w:sz w:val="26"/>
          <w:szCs w:val="26"/>
        </w:rPr>
      </w:pPr>
      <w:r w:rsidRPr="00C6547A">
        <w:rPr>
          <w:b/>
          <w:bCs/>
          <w:caps/>
          <w:sz w:val="26"/>
          <w:szCs w:val="26"/>
        </w:rPr>
        <w:t>for paperwork reduction act submission</w:t>
      </w:r>
    </w:p>
    <w:p w:rsidR="00D965D4" w:rsidRPr="00C6547A" w:rsidP="00056F19" w14:paraId="72C39B2B" w14:textId="77777777">
      <w:pPr>
        <w:tabs>
          <w:tab w:val="left" w:pos="360"/>
          <w:tab w:val="left" w:pos="720"/>
        </w:tabs>
        <w:ind w:left="360" w:hanging="360"/>
        <w:jc w:val="center"/>
        <w:rPr>
          <w:b/>
          <w:bCs/>
          <w:sz w:val="26"/>
          <w:szCs w:val="26"/>
        </w:rPr>
      </w:pPr>
    </w:p>
    <w:p w:rsidR="00D551CC" w:rsidRPr="00C6547A" w:rsidP="00056F19" w14:paraId="5524C46B" w14:textId="7EE691D5">
      <w:pPr>
        <w:tabs>
          <w:tab w:val="left" w:pos="360"/>
          <w:tab w:val="left" w:pos="720"/>
        </w:tabs>
        <w:jc w:val="center"/>
        <w:rPr>
          <w:b/>
          <w:bCs/>
          <w:sz w:val="26"/>
          <w:szCs w:val="26"/>
        </w:rPr>
      </w:pPr>
      <w:r w:rsidRPr="00C6547A">
        <w:rPr>
          <w:b/>
          <w:bCs/>
          <w:sz w:val="26"/>
          <w:szCs w:val="26"/>
        </w:rPr>
        <w:t>Next Generation Volcano Hazards Assessment (NGVHA)</w:t>
      </w:r>
    </w:p>
    <w:p w:rsidR="008126AE" w:rsidRPr="00C6547A" w:rsidP="00056F19" w14:paraId="7E902A30" w14:textId="5822A4F6">
      <w:pPr>
        <w:tabs>
          <w:tab w:val="left" w:pos="360"/>
          <w:tab w:val="left" w:pos="720"/>
        </w:tabs>
        <w:ind w:left="360" w:hanging="360"/>
        <w:jc w:val="center"/>
        <w:rPr>
          <w:b/>
          <w:bCs/>
          <w:sz w:val="22"/>
          <w:szCs w:val="22"/>
        </w:rPr>
      </w:pPr>
      <w:r w:rsidRPr="00C6547A">
        <w:rPr>
          <w:b/>
          <w:bCs/>
          <w:sz w:val="26"/>
          <w:szCs w:val="26"/>
        </w:rPr>
        <w:t>OMB Control Number 10</w:t>
      </w:r>
      <w:r w:rsidRPr="00C6547A" w:rsidR="00215A89">
        <w:rPr>
          <w:b/>
          <w:bCs/>
          <w:sz w:val="26"/>
          <w:szCs w:val="26"/>
        </w:rPr>
        <w:t>28</w:t>
      </w:r>
      <w:r w:rsidRPr="00C6547A">
        <w:rPr>
          <w:b/>
          <w:bCs/>
          <w:sz w:val="26"/>
          <w:szCs w:val="26"/>
        </w:rPr>
        <w:t>-</w:t>
      </w:r>
      <w:r w:rsidRPr="00C6547A" w:rsidR="00215A89">
        <w:rPr>
          <w:b/>
          <w:bCs/>
          <w:sz w:val="26"/>
          <w:szCs w:val="26"/>
        </w:rPr>
        <w:t>NEW</w:t>
      </w:r>
    </w:p>
    <w:p w:rsidR="008126AE" w:rsidRPr="00C6547A" w:rsidP="00056F19" w14:paraId="7BAF7429" w14:textId="77777777">
      <w:pPr>
        <w:tabs>
          <w:tab w:val="left" w:pos="360"/>
          <w:tab w:val="left" w:pos="720"/>
        </w:tabs>
        <w:ind w:left="360" w:hanging="360"/>
        <w:rPr>
          <w:b/>
          <w:bCs/>
          <w:sz w:val="22"/>
          <w:szCs w:val="22"/>
        </w:rPr>
      </w:pPr>
    </w:p>
    <w:p w:rsidR="008126AE" w:rsidRPr="00C6547A" w:rsidP="00056F19" w14:paraId="15084B7F" w14:textId="77777777">
      <w:pPr>
        <w:tabs>
          <w:tab w:val="left" w:pos="360"/>
          <w:tab w:val="left" w:pos="720"/>
        </w:tabs>
        <w:ind w:left="360" w:hanging="360"/>
        <w:rPr>
          <w:b/>
          <w:bCs/>
          <w:sz w:val="22"/>
          <w:szCs w:val="22"/>
        </w:rPr>
      </w:pPr>
    </w:p>
    <w:p w:rsidR="008126AE" w:rsidRPr="00F14D6F" w:rsidP="00056F19" w14:paraId="7A4511B0" w14:textId="77777777">
      <w:pPr>
        <w:tabs>
          <w:tab w:val="left" w:pos="360"/>
          <w:tab w:val="left" w:pos="720"/>
        </w:tabs>
        <w:ind w:left="360" w:hanging="360"/>
        <w:rPr>
          <w:sz w:val="24"/>
          <w:szCs w:val="24"/>
        </w:rPr>
      </w:pPr>
      <w:r w:rsidRPr="00F14D6F">
        <w:rPr>
          <w:b/>
          <w:bCs/>
          <w:sz w:val="24"/>
          <w:szCs w:val="24"/>
        </w:rPr>
        <w:t>Collections of Information Employing Statistical Methods</w:t>
      </w:r>
    </w:p>
    <w:p w:rsidR="008126AE" w:rsidRPr="00F14D6F" w:rsidP="00056F19" w14:paraId="46C482E0" w14:textId="77777777">
      <w:pPr>
        <w:tabs>
          <w:tab w:val="left" w:pos="360"/>
          <w:tab w:val="left" w:pos="720"/>
        </w:tabs>
        <w:rPr>
          <w:sz w:val="24"/>
          <w:szCs w:val="24"/>
        </w:rPr>
      </w:pPr>
    </w:p>
    <w:p w:rsidR="008126AE" w:rsidRPr="00F14D6F" w:rsidP="00056F19" w14:paraId="7BDDA19D" w14:textId="77777777">
      <w:pPr>
        <w:tabs>
          <w:tab w:val="left" w:pos="360"/>
          <w:tab w:val="left" w:pos="720"/>
        </w:tabs>
        <w:rPr>
          <w:sz w:val="24"/>
          <w:szCs w:val="24"/>
        </w:rPr>
      </w:pPr>
      <w:r w:rsidRPr="00F14D6F">
        <w:rPr>
          <w:sz w:val="24"/>
          <w:szCs w:val="24"/>
        </w:rPr>
        <w:t>The agency should be prepared to justify its decision not to use statistical methods in any case where such methods might reduce burden or improve accuracy of results.  When the question “Does this ICR contain surveys, censuses</w:t>
      </w:r>
      <w:r w:rsidRPr="00F14D6F" w:rsidR="000C30DF">
        <w:rPr>
          <w:sz w:val="24"/>
          <w:szCs w:val="24"/>
        </w:rPr>
        <w:t>,</w:t>
      </w:r>
      <w:r w:rsidRPr="00F14D6F">
        <w:rPr>
          <w:sz w:val="24"/>
          <w:szCs w:val="24"/>
        </w:rPr>
        <w:t xml:space="preserve"> or employ statistical methods?” is checked "Yes," the following documentation should be included in Supporting Statement B to the extent that it applies to the methods proposed:</w:t>
      </w:r>
    </w:p>
    <w:p w:rsidR="008126AE" w:rsidRPr="00F14D6F" w:rsidP="00056F19" w14:paraId="008E06DD" w14:textId="77777777">
      <w:pPr>
        <w:tabs>
          <w:tab w:val="left" w:pos="360"/>
          <w:tab w:val="left" w:pos="720"/>
        </w:tabs>
        <w:rPr>
          <w:sz w:val="24"/>
          <w:szCs w:val="24"/>
        </w:rPr>
      </w:pPr>
    </w:p>
    <w:p w:rsidR="008126AE" w:rsidRPr="00F14D6F" w:rsidP="00F11910" w14:paraId="63AA0574" w14:textId="77777777">
      <w:pPr>
        <w:tabs>
          <w:tab w:val="left" w:pos="360"/>
          <w:tab w:val="left" w:pos="720"/>
        </w:tabs>
        <w:rPr>
          <w:b/>
          <w:sz w:val="24"/>
          <w:szCs w:val="24"/>
        </w:rPr>
      </w:pPr>
      <w:r w:rsidRPr="00F14D6F">
        <w:rPr>
          <w:b/>
          <w:sz w:val="24"/>
          <w:szCs w:val="24"/>
        </w:rPr>
        <w:t>1.</w:t>
      </w:r>
      <w:r w:rsidRPr="00F14D6F">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14D6F">
        <w:rPr>
          <w:b/>
          <w:sz w:val="24"/>
          <w:szCs w:val="24"/>
        </w:rPr>
        <w:t>collection as a whole</w:t>
      </w:r>
      <w:r w:rsidRPr="00F14D6F">
        <w:rPr>
          <w:b/>
          <w:sz w:val="24"/>
          <w:szCs w:val="24"/>
        </w:rPr>
        <w:t>.  If the collection had been conducted previously, include the actual response rate achieved during the last collection.</w:t>
      </w:r>
    </w:p>
    <w:p w:rsidR="008126AE" w:rsidRPr="00F14D6F" w:rsidP="00056F19" w14:paraId="0CA023B0" w14:textId="77777777">
      <w:pPr>
        <w:tabs>
          <w:tab w:val="left" w:pos="360"/>
          <w:tab w:val="left" w:pos="720"/>
        </w:tabs>
        <w:rPr>
          <w:sz w:val="24"/>
          <w:szCs w:val="24"/>
        </w:rPr>
      </w:pPr>
    </w:p>
    <w:p w:rsidR="00CE793A" w:rsidRPr="00F14D6F" w:rsidP="00A96E86" w14:paraId="5F623C63" w14:textId="25087578">
      <w:pPr>
        <w:tabs>
          <w:tab w:val="left" w:pos="-1080"/>
          <w:tab w:val="left" w:pos="720"/>
          <w:tab w:val="left" w:pos="1080"/>
        </w:tabs>
        <w:rPr>
          <w:sz w:val="24"/>
          <w:szCs w:val="24"/>
        </w:rPr>
      </w:pPr>
      <w:r w:rsidRPr="00F14D6F">
        <w:rPr>
          <w:sz w:val="24"/>
          <w:szCs w:val="24"/>
        </w:rPr>
        <w:t>The purpose of th</w:t>
      </w:r>
      <w:r w:rsidRPr="00F14D6F">
        <w:rPr>
          <w:sz w:val="24"/>
          <w:szCs w:val="24"/>
        </w:rPr>
        <w:t>e</w:t>
      </w:r>
      <w:r w:rsidRPr="00F14D6F">
        <w:rPr>
          <w:sz w:val="24"/>
          <w:szCs w:val="24"/>
        </w:rPr>
        <w:t xml:space="preserve"> survey</w:t>
      </w:r>
      <w:r w:rsidRPr="00F14D6F">
        <w:rPr>
          <w:sz w:val="24"/>
          <w:szCs w:val="24"/>
        </w:rPr>
        <w:t>s</w:t>
      </w:r>
      <w:r w:rsidRPr="00F14D6F">
        <w:rPr>
          <w:sz w:val="24"/>
          <w:szCs w:val="24"/>
        </w:rPr>
        <w:t xml:space="preserve"> is to assess whether and how volcano hazards assessment information currently provided by the US Geological Survey serves the needs of our diverse user groups. The results of this survey will </w:t>
      </w:r>
      <w:r w:rsidR="000933B7">
        <w:rPr>
          <w:sz w:val="24"/>
          <w:szCs w:val="24"/>
        </w:rPr>
        <w:t xml:space="preserve">contribute to a </w:t>
      </w:r>
      <w:r w:rsidR="00952325">
        <w:rPr>
          <w:sz w:val="24"/>
          <w:szCs w:val="24"/>
        </w:rPr>
        <w:t xml:space="preserve">broader </w:t>
      </w:r>
      <w:r w:rsidR="000933B7">
        <w:rPr>
          <w:sz w:val="24"/>
          <w:szCs w:val="24"/>
        </w:rPr>
        <w:t>study on user</w:t>
      </w:r>
      <w:r w:rsidR="00952325">
        <w:rPr>
          <w:sz w:val="24"/>
          <w:szCs w:val="24"/>
        </w:rPr>
        <w:t xml:space="preserve"> needs and use of volcano </w:t>
      </w:r>
      <w:r w:rsidR="00407BD8">
        <w:rPr>
          <w:sz w:val="24"/>
          <w:szCs w:val="24"/>
        </w:rPr>
        <w:t xml:space="preserve">hazards assessments and </w:t>
      </w:r>
      <w:r w:rsidRPr="00F14D6F">
        <w:rPr>
          <w:sz w:val="24"/>
          <w:szCs w:val="24"/>
        </w:rPr>
        <w:t>inform the development of future volcano hazard assessment products.</w:t>
      </w:r>
      <w:r w:rsidR="00E563DF">
        <w:rPr>
          <w:sz w:val="24"/>
          <w:szCs w:val="24"/>
        </w:rPr>
        <w:t xml:space="preserve"> </w:t>
      </w:r>
      <w:r w:rsidRPr="00F14D6F" w:rsidR="0008708B">
        <w:rPr>
          <w:sz w:val="24"/>
          <w:szCs w:val="24"/>
        </w:rPr>
        <w:t xml:space="preserve">These surveys will complement qualitative data collection, which will be the focus of the </w:t>
      </w:r>
      <w:r w:rsidRPr="00F14D6F" w:rsidR="00AD769F">
        <w:rPr>
          <w:sz w:val="24"/>
          <w:szCs w:val="24"/>
        </w:rPr>
        <w:t>research</w:t>
      </w:r>
      <w:r w:rsidRPr="00F14D6F" w:rsidR="0008708B">
        <w:rPr>
          <w:sz w:val="24"/>
          <w:szCs w:val="24"/>
        </w:rPr>
        <w:t xml:space="preserve">. Qualitative data collection will be used for </w:t>
      </w:r>
      <w:r w:rsidRPr="00F14D6F" w:rsidR="0008708B">
        <w:rPr>
          <w:i/>
          <w:iCs/>
          <w:sz w:val="24"/>
          <w:szCs w:val="24"/>
        </w:rPr>
        <w:t>depth</w:t>
      </w:r>
      <w:r w:rsidRPr="00F14D6F" w:rsidR="0008708B">
        <w:rPr>
          <w:sz w:val="24"/>
          <w:szCs w:val="24"/>
        </w:rPr>
        <w:t xml:space="preserve"> of understanding</w:t>
      </w:r>
      <w:r w:rsidRPr="00F14D6F" w:rsidR="00CB7D30">
        <w:rPr>
          <w:sz w:val="24"/>
          <w:szCs w:val="24"/>
        </w:rPr>
        <w:t xml:space="preserve">, while surveys will be used to </w:t>
      </w:r>
      <w:r w:rsidRPr="00F14D6F" w:rsidR="00CB7D30">
        <w:rPr>
          <w:i/>
          <w:iCs/>
          <w:sz w:val="24"/>
          <w:szCs w:val="24"/>
        </w:rPr>
        <w:t>broaden</w:t>
      </w:r>
      <w:r w:rsidRPr="00F14D6F" w:rsidR="00CB7D30">
        <w:rPr>
          <w:sz w:val="24"/>
          <w:szCs w:val="24"/>
        </w:rPr>
        <w:t xml:space="preserve"> </w:t>
      </w:r>
      <w:r w:rsidRPr="00F14D6F" w:rsidR="00D83329">
        <w:rPr>
          <w:sz w:val="24"/>
          <w:szCs w:val="24"/>
        </w:rPr>
        <w:t>our understanding of who are stakeholders are and how they use (or would use) our hazard assessment information</w:t>
      </w:r>
      <w:r w:rsidRPr="00F14D6F" w:rsidR="00FA3098">
        <w:rPr>
          <w:sz w:val="24"/>
          <w:szCs w:val="24"/>
        </w:rPr>
        <w:t xml:space="preserve">, since we will not be able to interview or conduct focus </w:t>
      </w:r>
      <w:r w:rsidRPr="00F14D6F" w:rsidR="005C6E40">
        <w:rPr>
          <w:sz w:val="24"/>
          <w:szCs w:val="24"/>
        </w:rPr>
        <w:t>groups with all potential users.</w:t>
      </w:r>
    </w:p>
    <w:p w:rsidR="00D83329" w:rsidRPr="00F14D6F" w:rsidP="00A96E86" w14:paraId="128D69A0" w14:textId="77777777">
      <w:pPr>
        <w:tabs>
          <w:tab w:val="left" w:pos="-1080"/>
          <w:tab w:val="left" w:pos="720"/>
          <w:tab w:val="left" w:pos="1080"/>
        </w:tabs>
        <w:rPr>
          <w:sz w:val="24"/>
          <w:szCs w:val="24"/>
        </w:rPr>
      </w:pPr>
    </w:p>
    <w:p w:rsidR="00394CA6" w:rsidRPr="00F14D6F" w:rsidP="00A96E86" w14:paraId="007E5249" w14:textId="6A91DC29">
      <w:pPr>
        <w:tabs>
          <w:tab w:val="left" w:pos="-1080"/>
          <w:tab w:val="left" w:pos="720"/>
          <w:tab w:val="left" w:pos="1080"/>
        </w:tabs>
        <w:rPr>
          <w:sz w:val="24"/>
          <w:szCs w:val="24"/>
        </w:rPr>
      </w:pPr>
      <w:r w:rsidRPr="00F14D6F">
        <w:rPr>
          <w:i/>
          <w:iCs/>
          <w:sz w:val="24"/>
          <w:szCs w:val="24"/>
        </w:rPr>
        <w:t>Potential res</w:t>
      </w:r>
      <w:r w:rsidRPr="00F14D6F" w:rsidR="00D4277D">
        <w:rPr>
          <w:i/>
          <w:iCs/>
          <w:sz w:val="24"/>
          <w:szCs w:val="24"/>
        </w:rPr>
        <w:t>pondent universe:</w:t>
      </w:r>
      <w:r w:rsidRPr="00F14D6F" w:rsidR="00D4277D">
        <w:rPr>
          <w:sz w:val="24"/>
          <w:szCs w:val="24"/>
        </w:rPr>
        <w:t xml:space="preserve"> </w:t>
      </w:r>
      <w:r w:rsidR="00D45572">
        <w:rPr>
          <w:sz w:val="24"/>
          <w:szCs w:val="24"/>
        </w:rPr>
        <w:t xml:space="preserve">The potential respondent universe includes </w:t>
      </w:r>
      <w:r w:rsidRPr="00F14D6F" w:rsidR="001C2836">
        <w:rPr>
          <w:sz w:val="24"/>
          <w:szCs w:val="24"/>
        </w:rPr>
        <w:t xml:space="preserve">stakeholders involved in emergency preparedness groups </w:t>
      </w:r>
      <w:r w:rsidR="00781CF3">
        <w:rPr>
          <w:sz w:val="24"/>
          <w:szCs w:val="24"/>
        </w:rPr>
        <w:t>engaged with</w:t>
      </w:r>
      <w:r w:rsidRPr="00F14D6F" w:rsidR="001C2836">
        <w:rPr>
          <w:sz w:val="24"/>
          <w:szCs w:val="24"/>
        </w:rPr>
        <w:t xml:space="preserve"> each of </w:t>
      </w:r>
      <w:r w:rsidR="00C142A4">
        <w:rPr>
          <w:sz w:val="24"/>
          <w:szCs w:val="24"/>
        </w:rPr>
        <w:t xml:space="preserve">the five USGS volcano </w:t>
      </w:r>
      <w:r w:rsidRPr="00F14D6F" w:rsidR="001C2836">
        <w:rPr>
          <w:sz w:val="24"/>
          <w:szCs w:val="24"/>
        </w:rPr>
        <w:t xml:space="preserve">observatories </w:t>
      </w:r>
      <w:r w:rsidRPr="00F14D6F" w:rsidR="00BD2108">
        <w:rPr>
          <w:sz w:val="24"/>
          <w:szCs w:val="24"/>
        </w:rPr>
        <w:t>(Alaska, Cascades, Yellowstone, Hawaiian, and California)</w:t>
      </w:r>
      <w:r w:rsidR="00C142A4">
        <w:rPr>
          <w:sz w:val="24"/>
          <w:szCs w:val="24"/>
        </w:rPr>
        <w:t xml:space="preserve">. </w:t>
      </w:r>
      <w:r w:rsidRPr="00F14D6F" w:rsidR="00802FF7">
        <w:rPr>
          <w:sz w:val="24"/>
          <w:szCs w:val="24"/>
        </w:rPr>
        <w:t xml:space="preserve">These </w:t>
      </w:r>
      <w:r w:rsidRPr="00F14D6F" w:rsidR="001231CA">
        <w:rPr>
          <w:sz w:val="24"/>
          <w:szCs w:val="24"/>
        </w:rPr>
        <w:t xml:space="preserve">regional </w:t>
      </w:r>
      <w:r w:rsidRPr="00F14D6F" w:rsidR="00802FF7">
        <w:rPr>
          <w:sz w:val="24"/>
          <w:szCs w:val="24"/>
        </w:rPr>
        <w:t xml:space="preserve">groups consist of </w:t>
      </w:r>
      <w:r w:rsidRPr="00F14D6F" w:rsidR="005752FB">
        <w:rPr>
          <w:sz w:val="24"/>
          <w:szCs w:val="24"/>
        </w:rPr>
        <w:t xml:space="preserve">participants </w:t>
      </w:r>
      <w:r w:rsidRPr="00F14D6F" w:rsidR="001231CA">
        <w:rPr>
          <w:sz w:val="24"/>
          <w:szCs w:val="24"/>
        </w:rPr>
        <w:t xml:space="preserve">with </w:t>
      </w:r>
      <w:r w:rsidRPr="00F14D6F" w:rsidR="00916581">
        <w:rPr>
          <w:sz w:val="24"/>
          <w:szCs w:val="24"/>
        </w:rPr>
        <w:t>statutory responsibility for</w:t>
      </w:r>
      <w:r w:rsidRPr="00F14D6F" w:rsidR="005752FB">
        <w:rPr>
          <w:sz w:val="24"/>
          <w:szCs w:val="24"/>
        </w:rPr>
        <w:t xml:space="preserve"> or with interest in emergency management and risk reduction to hazards</w:t>
      </w:r>
      <w:r w:rsidRPr="00F14D6F" w:rsidR="00C32E34">
        <w:rPr>
          <w:sz w:val="24"/>
          <w:szCs w:val="24"/>
        </w:rPr>
        <w:t xml:space="preserve"> relevant to their region</w:t>
      </w:r>
      <w:r w:rsidRPr="00F14D6F" w:rsidR="00D94D36">
        <w:rPr>
          <w:sz w:val="24"/>
          <w:szCs w:val="24"/>
        </w:rPr>
        <w:t xml:space="preserve"> and office</w:t>
      </w:r>
      <w:r w:rsidRPr="00F14D6F" w:rsidR="005752FB">
        <w:rPr>
          <w:sz w:val="24"/>
          <w:szCs w:val="24"/>
        </w:rPr>
        <w:t xml:space="preserve">. Participants in these groups may be </w:t>
      </w:r>
      <w:r w:rsidRPr="00F14D6F" w:rsidR="00813CA1">
        <w:rPr>
          <w:sz w:val="24"/>
          <w:szCs w:val="24"/>
        </w:rPr>
        <w:t>local government staff</w:t>
      </w:r>
      <w:r w:rsidRPr="00F14D6F" w:rsidR="001460F8">
        <w:rPr>
          <w:sz w:val="24"/>
          <w:szCs w:val="24"/>
        </w:rPr>
        <w:t xml:space="preserve"> (</w:t>
      </w:r>
      <w:r w:rsidRPr="00F14D6F" w:rsidR="00DA446F">
        <w:rPr>
          <w:sz w:val="24"/>
          <w:szCs w:val="24"/>
        </w:rPr>
        <w:t xml:space="preserve">e.g., </w:t>
      </w:r>
      <w:r w:rsidRPr="00F14D6F" w:rsidR="001460F8">
        <w:rPr>
          <w:sz w:val="24"/>
          <w:szCs w:val="24"/>
        </w:rPr>
        <w:t xml:space="preserve">city planners, </w:t>
      </w:r>
      <w:r w:rsidRPr="00F14D6F" w:rsidR="00A24F2E">
        <w:rPr>
          <w:sz w:val="24"/>
          <w:szCs w:val="24"/>
        </w:rPr>
        <w:t xml:space="preserve">county </w:t>
      </w:r>
      <w:r w:rsidRPr="00F14D6F" w:rsidR="001460F8">
        <w:rPr>
          <w:sz w:val="24"/>
          <w:szCs w:val="24"/>
        </w:rPr>
        <w:t>emergency management, fire and rescue)</w:t>
      </w:r>
      <w:r w:rsidRPr="00F14D6F" w:rsidR="009B38B6">
        <w:rPr>
          <w:sz w:val="24"/>
          <w:szCs w:val="24"/>
        </w:rPr>
        <w:t>,</w:t>
      </w:r>
      <w:r w:rsidRPr="00F14D6F" w:rsidR="00DA446F">
        <w:rPr>
          <w:sz w:val="24"/>
          <w:szCs w:val="24"/>
        </w:rPr>
        <w:t xml:space="preserve"> </w:t>
      </w:r>
      <w:r w:rsidRPr="00F14D6F" w:rsidR="00201307">
        <w:rPr>
          <w:sz w:val="24"/>
          <w:szCs w:val="24"/>
        </w:rPr>
        <w:t xml:space="preserve">state-level emergency managers, </w:t>
      </w:r>
      <w:r w:rsidRPr="00F14D6F" w:rsidR="00A24F2E">
        <w:rPr>
          <w:sz w:val="24"/>
          <w:szCs w:val="24"/>
        </w:rPr>
        <w:t xml:space="preserve">local business operators, and others. </w:t>
      </w:r>
      <w:r w:rsidRPr="00F14D6F" w:rsidR="006D05A3">
        <w:rPr>
          <w:sz w:val="24"/>
          <w:szCs w:val="24"/>
        </w:rPr>
        <w:t>Because p</w:t>
      </w:r>
      <w:r w:rsidRPr="00F14D6F" w:rsidR="00D94D36">
        <w:rPr>
          <w:sz w:val="24"/>
          <w:szCs w:val="24"/>
        </w:rPr>
        <w:t xml:space="preserve">articipation in these groups is </w:t>
      </w:r>
      <w:r w:rsidRPr="00F14D6F" w:rsidR="006D05A3">
        <w:rPr>
          <w:sz w:val="24"/>
          <w:szCs w:val="24"/>
        </w:rPr>
        <w:t xml:space="preserve">often </w:t>
      </w:r>
      <w:r w:rsidRPr="00F14D6F" w:rsidR="00D94D36">
        <w:rPr>
          <w:sz w:val="24"/>
          <w:szCs w:val="24"/>
        </w:rPr>
        <w:t>optional</w:t>
      </w:r>
      <w:r w:rsidRPr="00F14D6F" w:rsidR="006D05A3">
        <w:rPr>
          <w:sz w:val="24"/>
          <w:szCs w:val="24"/>
        </w:rPr>
        <w:t xml:space="preserve">, we will </w:t>
      </w:r>
      <w:r w:rsidRPr="00F14D6F" w:rsidR="0047607D">
        <w:rPr>
          <w:sz w:val="24"/>
          <w:szCs w:val="24"/>
        </w:rPr>
        <w:t xml:space="preserve">also </w:t>
      </w:r>
      <w:r w:rsidRPr="00F14D6F" w:rsidR="00EC77C5">
        <w:rPr>
          <w:sz w:val="24"/>
          <w:szCs w:val="24"/>
        </w:rPr>
        <w:t xml:space="preserve">work with </w:t>
      </w:r>
      <w:r w:rsidRPr="00F14D6F" w:rsidR="0047607D">
        <w:rPr>
          <w:sz w:val="24"/>
          <w:szCs w:val="24"/>
        </w:rPr>
        <w:t>the Volcano Science Center’s</w:t>
      </w:r>
      <w:r w:rsidRPr="00F14D6F" w:rsidR="00EC77C5">
        <w:rPr>
          <w:sz w:val="24"/>
          <w:szCs w:val="24"/>
        </w:rPr>
        <w:t xml:space="preserve"> </w:t>
      </w:r>
      <w:r w:rsidRPr="00F14D6F" w:rsidR="0047607D">
        <w:rPr>
          <w:sz w:val="24"/>
          <w:szCs w:val="24"/>
        </w:rPr>
        <w:t>o</w:t>
      </w:r>
      <w:r w:rsidRPr="00F14D6F" w:rsidR="00EC77C5">
        <w:rPr>
          <w:sz w:val="24"/>
          <w:szCs w:val="24"/>
        </w:rPr>
        <w:t xml:space="preserve">utreach </w:t>
      </w:r>
      <w:r w:rsidRPr="00F14D6F" w:rsidR="0047607D">
        <w:rPr>
          <w:sz w:val="24"/>
          <w:szCs w:val="24"/>
        </w:rPr>
        <w:t>c</w:t>
      </w:r>
      <w:r w:rsidRPr="00F14D6F" w:rsidR="00EC77C5">
        <w:rPr>
          <w:sz w:val="24"/>
          <w:szCs w:val="24"/>
        </w:rPr>
        <w:t xml:space="preserve">oordinators to identify </w:t>
      </w:r>
      <w:r w:rsidRPr="00F14D6F" w:rsidR="00E0320D">
        <w:rPr>
          <w:sz w:val="24"/>
          <w:szCs w:val="24"/>
        </w:rPr>
        <w:t>additional</w:t>
      </w:r>
      <w:r w:rsidRPr="00F14D6F" w:rsidR="00E22A08">
        <w:rPr>
          <w:sz w:val="24"/>
          <w:szCs w:val="24"/>
        </w:rPr>
        <w:t xml:space="preserve"> potential users such as school district and hospital administrators</w:t>
      </w:r>
      <w:r w:rsidRPr="00F14D6F" w:rsidR="00E0320D">
        <w:rPr>
          <w:sz w:val="24"/>
          <w:szCs w:val="24"/>
        </w:rPr>
        <w:t xml:space="preserve"> for each region</w:t>
      </w:r>
      <w:r w:rsidRPr="00F14D6F" w:rsidR="0096019A">
        <w:rPr>
          <w:sz w:val="24"/>
          <w:szCs w:val="24"/>
        </w:rPr>
        <w:t xml:space="preserve">. </w:t>
      </w:r>
      <w:r w:rsidRPr="00F14D6F" w:rsidR="00491721">
        <w:rPr>
          <w:sz w:val="24"/>
          <w:szCs w:val="24"/>
        </w:rPr>
        <w:t xml:space="preserve">We will attempt to include </w:t>
      </w:r>
      <w:r w:rsidRPr="00F14D6F" w:rsidR="00CD02F8">
        <w:rPr>
          <w:sz w:val="24"/>
          <w:szCs w:val="24"/>
        </w:rPr>
        <w:t xml:space="preserve">respondents from equivalent positions in each of the regional survey lists. </w:t>
      </w:r>
      <w:r w:rsidRPr="00F14D6F" w:rsidR="0096019A">
        <w:rPr>
          <w:sz w:val="24"/>
          <w:szCs w:val="24"/>
        </w:rPr>
        <w:t xml:space="preserve">Our potential respondent universe in each case will include </w:t>
      </w:r>
      <w:r w:rsidRPr="00F14D6F">
        <w:rPr>
          <w:sz w:val="24"/>
          <w:szCs w:val="24"/>
        </w:rPr>
        <w:t>the combination of these two lists</w:t>
      </w:r>
      <w:r w:rsidRPr="00F14D6F" w:rsidR="00E278FF">
        <w:rPr>
          <w:sz w:val="24"/>
          <w:szCs w:val="24"/>
        </w:rPr>
        <w:t xml:space="preserve"> (working group members plus others as identified by outreach staff)</w:t>
      </w:r>
      <w:r w:rsidRPr="00F14D6F">
        <w:rPr>
          <w:sz w:val="24"/>
          <w:szCs w:val="24"/>
        </w:rPr>
        <w:t>.</w:t>
      </w:r>
    </w:p>
    <w:p w:rsidR="00394CA6" w:rsidRPr="00F14D6F" w:rsidP="00A96E86" w14:paraId="45BFA353" w14:textId="77777777">
      <w:pPr>
        <w:tabs>
          <w:tab w:val="left" w:pos="-1080"/>
          <w:tab w:val="left" w:pos="720"/>
          <w:tab w:val="left" w:pos="1080"/>
        </w:tabs>
        <w:rPr>
          <w:sz w:val="24"/>
          <w:szCs w:val="24"/>
        </w:rPr>
      </w:pPr>
    </w:p>
    <w:p w:rsidR="00D83329" w:rsidRPr="00F14D6F" w:rsidP="00A96E86" w14:paraId="3B43467E" w14:textId="4032EAAB">
      <w:pPr>
        <w:tabs>
          <w:tab w:val="left" w:pos="-1080"/>
          <w:tab w:val="left" w:pos="720"/>
          <w:tab w:val="left" w:pos="1080"/>
        </w:tabs>
        <w:rPr>
          <w:sz w:val="24"/>
          <w:szCs w:val="24"/>
        </w:rPr>
      </w:pPr>
      <w:r w:rsidRPr="00F14D6F">
        <w:rPr>
          <w:sz w:val="24"/>
          <w:szCs w:val="24"/>
        </w:rPr>
        <w:t>We will use a census sampling method to include everyone with a valid email address within the identified unive</w:t>
      </w:r>
      <w:r w:rsidRPr="00F14D6F" w:rsidR="00A13824">
        <w:rPr>
          <w:sz w:val="24"/>
          <w:szCs w:val="24"/>
        </w:rPr>
        <w:t xml:space="preserve">rse. Each member with a valid email address will be given the same opportunity to participate in this study. </w:t>
      </w:r>
      <w:r w:rsidRPr="00F14D6F" w:rsidR="00603C2E">
        <w:rPr>
          <w:sz w:val="24"/>
          <w:szCs w:val="24"/>
        </w:rPr>
        <w:t xml:space="preserve">Surveys will be collected online via links sent to </w:t>
      </w:r>
      <w:r w:rsidRPr="00F14D6F" w:rsidR="004C6BE6">
        <w:rPr>
          <w:sz w:val="24"/>
          <w:szCs w:val="24"/>
        </w:rPr>
        <w:t>individuals’ emails.</w:t>
      </w:r>
      <w:r w:rsidRPr="00F14D6F" w:rsidR="008722EE">
        <w:rPr>
          <w:sz w:val="24"/>
          <w:szCs w:val="24"/>
        </w:rPr>
        <w:t xml:space="preserve"> </w:t>
      </w:r>
      <w:r w:rsidRPr="00F14D6F" w:rsidR="007A5D7A">
        <w:rPr>
          <w:sz w:val="24"/>
          <w:szCs w:val="24"/>
        </w:rPr>
        <w:t xml:space="preserve">The universe for this collection will include a combined list of </w:t>
      </w:r>
      <w:r w:rsidRPr="00F14D6F" w:rsidR="00491721">
        <w:rPr>
          <w:sz w:val="24"/>
          <w:szCs w:val="24"/>
        </w:rPr>
        <w:t xml:space="preserve">approximately </w:t>
      </w:r>
      <w:r w:rsidR="001D5FFC">
        <w:rPr>
          <w:sz w:val="24"/>
          <w:szCs w:val="24"/>
        </w:rPr>
        <w:t>435</w:t>
      </w:r>
      <w:r w:rsidRPr="00F14D6F" w:rsidR="007A5D7A">
        <w:rPr>
          <w:sz w:val="24"/>
          <w:szCs w:val="24"/>
        </w:rPr>
        <w:t xml:space="preserve"> individuals </w:t>
      </w:r>
      <w:r w:rsidRPr="00F14D6F" w:rsidR="00FB19DE">
        <w:rPr>
          <w:sz w:val="24"/>
          <w:szCs w:val="24"/>
        </w:rPr>
        <w:t>(</w:t>
      </w:r>
      <w:r w:rsidRPr="00F14D6F" w:rsidR="00636C8B">
        <w:rPr>
          <w:sz w:val="24"/>
          <w:szCs w:val="24"/>
        </w:rPr>
        <w:t>n</w:t>
      </w:r>
      <w:r w:rsidRPr="00F14D6F" w:rsidR="00731150">
        <w:rPr>
          <w:sz w:val="24"/>
          <w:szCs w:val="24"/>
        </w:rPr>
        <w:t>=</w:t>
      </w:r>
      <w:r w:rsidRPr="00F14D6F" w:rsidR="00FB19DE">
        <w:rPr>
          <w:sz w:val="24"/>
          <w:szCs w:val="24"/>
        </w:rPr>
        <w:t>~100 per region/observatory)</w:t>
      </w:r>
      <w:r w:rsidRPr="00F14D6F" w:rsidR="007A5D7A">
        <w:rPr>
          <w:sz w:val="24"/>
          <w:szCs w:val="24"/>
        </w:rPr>
        <w:t>.</w:t>
      </w:r>
      <w:r w:rsidRPr="00F14D6F" w:rsidR="004822D1">
        <w:rPr>
          <w:sz w:val="24"/>
          <w:szCs w:val="24"/>
        </w:rPr>
        <w:t xml:space="preserve"> There will be no attempts to generalize the results outside the scope of this study and this universe of respondents.</w:t>
      </w:r>
    </w:p>
    <w:p w:rsidR="00A96E86" w:rsidRPr="00F14D6F" w:rsidP="00A96E86" w14:paraId="50D9EC03" w14:textId="77777777">
      <w:pPr>
        <w:widowControl/>
        <w:rPr>
          <w:b/>
          <w:sz w:val="24"/>
          <w:szCs w:val="24"/>
        </w:rPr>
      </w:pPr>
    </w:p>
    <w:p w:rsidR="00A96E86" w:rsidRPr="00F14D6F" w:rsidP="00A96E86" w14:paraId="53400362" w14:textId="388DE6BB">
      <w:pPr>
        <w:widowControl/>
        <w:rPr>
          <w:b/>
          <w:sz w:val="24"/>
          <w:szCs w:val="24"/>
        </w:rPr>
      </w:pPr>
      <w:r w:rsidRPr="00F14D6F">
        <w:rPr>
          <w:b/>
          <w:sz w:val="24"/>
          <w:szCs w:val="24"/>
        </w:rPr>
        <w:t>Respondent universe and expected sample size</w:t>
      </w:r>
    </w:p>
    <w:p w:rsidR="00A96E86" w:rsidRPr="00F14D6F" w:rsidP="00A96E86" w14:paraId="59CEADB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2"/>
        <w:tblW w:w="0" w:type="auto"/>
        <w:tblInd w:w="-5" w:type="dxa"/>
        <w:tblLook w:val="04A0"/>
      </w:tblPr>
      <w:tblGrid>
        <w:gridCol w:w="3899"/>
        <w:gridCol w:w="1836"/>
        <w:gridCol w:w="1651"/>
        <w:gridCol w:w="1969"/>
      </w:tblGrid>
      <w:tr w14:paraId="536A5E9E" w14:textId="77777777" w:rsidTr="00A96E86">
        <w:tblPrEx>
          <w:tblW w:w="0" w:type="auto"/>
          <w:tblInd w:w="-5" w:type="dxa"/>
          <w:tblLook w:val="04A0"/>
        </w:tblPrEx>
        <w:trPr>
          <w:trHeight w:val="494"/>
        </w:trPr>
        <w:tc>
          <w:tcPr>
            <w:tcW w:w="3899" w:type="dxa"/>
            <w:vAlign w:val="bottom"/>
          </w:tcPr>
          <w:p w:rsidR="00A96E86" w:rsidRPr="00AE2FDE" w:rsidP="00BF2349" w14:paraId="68EAA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p>
          <w:p w:rsidR="00A96E86" w:rsidRPr="00AE2FDE" w:rsidP="00BF2349" w14:paraId="0D822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r w:rsidRPr="00AE2FDE">
              <w:rPr>
                <w:b/>
                <w:sz w:val="21"/>
                <w:szCs w:val="21"/>
              </w:rPr>
              <w:t>Sample</w:t>
            </w:r>
          </w:p>
        </w:tc>
        <w:tc>
          <w:tcPr>
            <w:tcW w:w="1836" w:type="dxa"/>
            <w:vAlign w:val="bottom"/>
          </w:tcPr>
          <w:p w:rsidR="00A96E86" w:rsidRPr="00AE2FDE" w:rsidP="00BF2349" w14:paraId="557519B2" w14:textId="773F1E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r w:rsidRPr="00AE2FDE">
              <w:rPr>
                <w:b/>
                <w:sz w:val="21"/>
                <w:szCs w:val="21"/>
              </w:rPr>
              <w:t>Expected r</w:t>
            </w:r>
            <w:r w:rsidRPr="00AE2FDE">
              <w:rPr>
                <w:b/>
                <w:sz w:val="21"/>
                <w:szCs w:val="21"/>
              </w:rPr>
              <w:t>espondent Universe</w:t>
            </w:r>
          </w:p>
        </w:tc>
        <w:tc>
          <w:tcPr>
            <w:tcW w:w="1651" w:type="dxa"/>
            <w:vAlign w:val="bottom"/>
          </w:tcPr>
          <w:p w:rsidR="00A96E86" w:rsidRPr="00AE2FDE" w:rsidP="00BF2349" w14:paraId="0867AA45" w14:textId="2E3745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r w:rsidRPr="00AE2FDE">
              <w:rPr>
                <w:b/>
                <w:sz w:val="21"/>
                <w:szCs w:val="21"/>
              </w:rPr>
              <w:t>Expected r</w:t>
            </w:r>
            <w:r w:rsidRPr="00AE2FDE">
              <w:rPr>
                <w:b/>
                <w:sz w:val="21"/>
                <w:szCs w:val="21"/>
              </w:rPr>
              <w:t>esponse rate</w:t>
            </w:r>
          </w:p>
        </w:tc>
        <w:tc>
          <w:tcPr>
            <w:tcW w:w="1969" w:type="dxa"/>
            <w:vAlign w:val="bottom"/>
          </w:tcPr>
          <w:p w:rsidR="00A96E86" w:rsidRPr="00AE2FDE" w:rsidP="00BF2349" w14:paraId="0BFBB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r w:rsidRPr="00AE2FDE">
              <w:rPr>
                <w:b/>
                <w:sz w:val="21"/>
                <w:szCs w:val="21"/>
              </w:rPr>
              <w:t>Expected number of responses</w:t>
            </w:r>
          </w:p>
        </w:tc>
      </w:tr>
      <w:tr w14:paraId="2A61AA2A" w14:textId="77777777" w:rsidTr="00A96E86">
        <w:tblPrEx>
          <w:tblW w:w="0" w:type="auto"/>
          <w:tblInd w:w="-5" w:type="dxa"/>
          <w:tblLook w:val="04A0"/>
        </w:tblPrEx>
        <w:tc>
          <w:tcPr>
            <w:tcW w:w="3899" w:type="dxa"/>
            <w:vAlign w:val="center"/>
          </w:tcPr>
          <w:p w:rsidR="00A96E86" w:rsidRPr="00AE2FDE" w:rsidP="00BF2349" w14:paraId="10BE3ECE" w14:textId="5CE0A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AE2FDE">
              <w:rPr>
                <w:b/>
                <w:sz w:val="21"/>
                <w:szCs w:val="21"/>
              </w:rPr>
              <w:t>Users and potential users</w:t>
            </w:r>
            <w:r w:rsidRPr="00AE2FDE">
              <w:rPr>
                <w:b/>
                <w:sz w:val="21"/>
                <w:szCs w:val="21"/>
              </w:rPr>
              <w:t xml:space="preserve"> </w:t>
            </w:r>
          </w:p>
          <w:p w:rsidR="00A96E86" w:rsidRPr="00AE2FDE" w:rsidP="00C772C1" w14:paraId="6CC5F3C6" w14:textId="7123A36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sz w:val="21"/>
                <w:szCs w:val="21"/>
              </w:rPr>
              <w:t xml:space="preserve">(1) </w:t>
            </w:r>
            <w:r w:rsidRPr="00AE2FDE" w:rsidR="00422569">
              <w:rPr>
                <w:i/>
                <w:sz w:val="21"/>
                <w:szCs w:val="21"/>
              </w:rPr>
              <w:t>Local Emergency Planning Committee</w:t>
            </w:r>
            <w:r w:rsidRPr="00AE2FDE" w:rsidR="003139B0">
              <w:rPr>
                <w:i/>
                <w:sz w:val="21"/>
                <w:szCs w:val="21"/>
              </w:rPr>
              <w:t>, Unalaska, Alaska, plus additionally identified potential users</w:t>
            </w:r>
            <w:r w:rsidRPr="00AE2FDE" w:rsidR="00173115">
              <w:rPr>
                <w:i/>
                <w:sz w:val="21"/>
                <w:szCs w:val="21"/>
              </w:rPr>
              <w:t xml:space="preserve"> (Alaska</w:t>
            </w:r>
            <w:r w:rsidRPr="00AE2FDE" w:rsidR="00F33615">
              <w:rPr>
                <w:i/>
                <w:sz w:val="21"/>
                <w:szCs w:val="21"/>
              </w:rPr>
              <w:t xml:space="preserve"> VO)</w:t>
            </w:r>
          </w:p>
        </w:tc>
        <w:tc>
          <w:tcPr>
            <w:tcW w:w="1836" w:type="dxa"/>
            <w:vAlign w:val="center"/>
          </w:tcPr>
          <w:p w:rsidR="00A96E86" w:rsidRPr="00985593" w:rsidP="00605CD5" w14:paraId="4B7B0F7D" w14:textId="66A0E7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Cs/>
                <w:sz w:val="21"/>
                <w:szCs w:val="21"/>
              </w:rPr>
            </w:pPr>
            <w:r w:rsidRPr="00985593">
              <w:rPr>
                <w:iCs/>
                <w:sz w:val="21"/>
                <w:szCs w:val="21"/>
              </w:rPr>
              <w:t>50</w:t>
            </w:r>
          </w:p>
        </w:tc>
        <w:tc>
          <w:tcPr>
            <w:tcW w:w="1651" w:type="dxa"/>
            <w:vAlign w:val="center"/>
          </w:tcPr>
          <w:p w:rsidR="00A96E86" w:rsidRPr="00AE2FDE" w:rsidP="00BE0CD0" w14:paraId="3D254DBF" w14:textId="10E0D8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jc w:val="center"/>
              <w:rPr>
                <w:sz w:val="21"/>
                <w:szCs w:val="21"/>
              </w:rPr>
            </w:pPr>
            <w:r w:rsidRPr="00AE2FDE">
              <w:rPr>
                <w:sz w:val="21"/>
                <w:szCs w:val="21"/>
              </w:rPr>
              <w:t>6</w:t>
            </w:r>
            <w:r w:rsidRPr="00AE2FDE">
              <w:rPr>
                <w:sz w:val="21"/>
                <w:szCs w:val="21"/>
              </w:rPr>
              <w:t>0%</w:t>
            </w:r>
          </w:p>
        </w:tc>
        <w:tc>
          <w:tcPr>
            <w:tcW w:w="1969" w:type="dxa"/>
            <w:tcBorders>
              <w:bottom w:val="single" w:sz="4" w:space="0" w:color="auto"/>
            </w:tcBorders>
            <w:vAlign w:val="center"/>
          </w:tcPr>
          <w:p w:rsidR="00A96E86" w:rsidRPr="00AE2FDE" w:rsidP="00BE0CD0" w14:paraId="7F458DE6" w14:textId="25C28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30</w:t>
            </w:r>
          </w:p>
        </w:tc>
      </w:tr>
      <w:tr w14:paraId="3D81372D" w14:textId="77777777" w:rsidTr="00A96E86">
        <w:tblPrEx>
          <w:tblW w:w="0" w:type="auto"/>
          <w:tblInd w:w="-5" w:type="dxa"/>
          <w:tblLook w:val="04A0"/>
        </w:tblPrEx>
        <w:tc>
          <w:tcPr>
            <w:tcW w:w="3899" w:type="dxa"/>
            <w:vAlign w:val="center"/>
          </w:tcPr>
          <w:p w:rsidR="00C973CF" w:rsidRPr="00AE2FDE" w:rsidP="00C973CF" w14:paraId="4C2C079B" w14:textId="6916F91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sz w:val="21"/>
                <w:szCs w:val="21"/>
              </w:rPr>
              <w:t xml:space="preserve">(2) </w:t>
            </w:r>
            <w:r w:rsidRPr="00AE2FDE">
              <w:rPr>
                <w:i/>
                <w:sz w:val="21"/>
                <w:szCs w:val="21"/>
              </w:rPr>
              <w:t xml:space="preserve">Local Emergency Planning Committee, </w:t>
            </w:r>
            <w:r w:rsidRPr="00AE2FDE" w:rsidR="00A84B83">
              <w:rPr>
                <w:i/>
                <w:sz w:val="21"/>
                <w:szCs w:val="21"/>
              </w:rPr>
              <w:t>Cook Inlet</w:t>
            </w:r>
            <w:r w:rsidRPr="00AE2FDE">
              <w:rPr>
                <w:i/>
                <w:sz w:val="21"/>
                <w:szCs w:val="21"/>
              </w:rPr>
              <w:t>, Alaska, plus additionally identified potential users</w:t>
            </w:r>
            <w:r w:rsidRPr="00AE2FDE" w:rsidR="00F33615">
              <w:rPr>
                <w:i/>
                <w:sz w:val="21"/>
                <w:szCs w:val="21"/>
              </w:rPr>
              <w:t xml:space="preserve"> (Alaska VO)</w:t>
            </w:r>
          </w:p>
        </w:tc>
        <w:tc>
          <w:tcPr>
            <w:tcW w:w="1836" w:type="dxa"/>
            <w:vAlign w:val="center"/>
          </w:tcPr>
          <w:p w:rsidR="00C973CF" w:rsidRPr="00AE2FDE" w:rsidP="00C973CF" w14:paraId="502CAAE9" w14:textId="39411C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C973CF" w:rsidRPr="00AE2FDE" w:rsidP="00C973CF" w14:paraId="5CA5922C" w14:textId="0A17DE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40%</w:t>
            </w:r>
          </w:p>
        </w:tc>
        <w:tc>
          <w:tcPr>
            <w:tcW w:w="1969" w:type="dxa"/>
            <w:tcBorders>
              <w:bottom w:val="single" w:sz="4" w:space="0" w:color="auto"/>
            </w:tcBorders>
            <w:vAlign w:val="center"/>
          </w:tcPr>
          <w:p w:rsidR="00C973CF" w:rsidRPr="00AE2FDE" w:rsidP="00C973CF" w14:paraId="56E5808B" w14:textId="0014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20</w:t>
            </w:r>
          </w:p>
        </w:tc>
      </w:tr>
      <w:tr w14:paraId="730A16C2" w14:textId="77777777" w:rsidTr="00A96E86">
        <w:tblPrEx>
          <w:tblW w:w="0" w:type="auto"/>
          <w:tblInd w:w="-5" w:type="dxa"/>
          <w:tblLook w:val="04A0"/>
        </w:tblPrEx>
        <w:tc>
          <w:tcPr>
            <w:tcW w:w="3899" w:type="dxa"/>
            <w:vAlign w:val="center"/>
          </w:tcPr>
          <w:p w:rsidR="00C973CF" w:rsidRPr="00AE2FDE" w:rsidP="00C973CF" w14:paraId="4E9E7505" w14:textId="49024A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 xml:space="preserve">(3) </w:t>
            </w:r>
            <w:r w:rsidRPr="00AE2FDE" w:rsidR="00A84B83">
              <w:rPr>
                <w:i/>
                <w:sz w:val="21"/>
                <w:szCs w:val="21"/>
              </w:rPr>
              <w:t>Volcano working group, Mount Baker, Washington, plus additionally identified potential users</w:t>
            </w:r>
            <w:r w:rsidRPr="00AE2FDE" w:rsidR="00F33615">
              <w:rPr>
                <w:i/>
                <w:sz w:val="21"/>
                <w:szCs w:val="21"/>
              </w:rPr>
              <w:t xml:space="preserve"> (Cascade</w:t>
            </w:r>
            <w:r w:rsidRPr="00AE2FDE" w:rsidR="00AE2FDE">
              <w:rPr>
                <w:i/>
                <w:sz w:val="21"/>
                <w:szCs w:val="21"/>
              </w:rPr>
              <w:t>s VO)</w:t>
            </w:r>
          </w:p>
        </w:tc>
        <w:tc>
          <w:tcPr>
            <w:tcW w:w="1836" w:type="dxa"/>
            <w:vAlign w:val="center"/>
          </w:tcPr>
          <w:p w:rsidR="00C973CF" w:rsidRPr="00AE2FDE" w:rsidP="00C973CF" w14:paraId="2FFC1CD4" w14:textId="41412F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C973CF" w:rsidRPr="00AE2FDE" w:rsidP="00C973CF" w14:paraId="75EACCF3" w14:textId="34E20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60%</w:t>
            </w:r>
          </w:p>
        </w:tc>
        <w:tc>
          <w:tcPr>
            <w:tcW w:w="1969" w:type="dxa"/>
            <w:tcBorders>
              <w:bottom w:val="single" w:sz="4" w:space="0" w:color="auto"/>
            </w:tcBorders>
            <w:vAlign w:val="center"/>
          </w:tcPr>
          <w:p w:rsidR="00C973CF" w:rsidRPr="00AE2FDE" w:rsidP="00C973CF" w14:paraId="4BC5819C" w14:textId="2B9ED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30</w:t>
            </w:r>
          </w:p>
        </w:tc>
      </w:tr>
      <w:tr w14:paraId="414C9AE3" w14:textId="77777777" w:rsidTr="00A96E86">
        <w:tblPrEx>
          <w:tblW w:w="0" w:type="auto"/>
          <w:tblInd w:w="-5" w:type="dxa"/>
          <w:tblLook w:val="04A0"/>
        </w:tblPrEx>
        <w:tc>
          <w:tcPr>
            <w:tcW w:w="3899" w:type="dxa"/>
            <w:vAlign w:val="center"/>
          </w:tcPr>
          <w:p w:rsidR="00C973CF" w:rsidRPr="00AE2FDE" w:rsidP="00C973CF" w14:paraId="31035038" w14:textId="33EA217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(4) Volcano working group, Central Oregon, plus additionally identified potential users</w:t>
            </w:r>
            <w:r w:rsidRPr="00AE2FDE" w:rsidR="00AE2FDE">
              <w:rPr>
                <w:i/>
                <w:sz w:val="21"/>
                <w:szCs w:val="21"/>
              </w:rPr>
              <w:t xml:space="preserve"> (Cascades VO)</w:t>
            </w:r>
          </w:p>
        </w:tc>
        <w:tc>
          <w:tcPr>
            <w:tcW w:w="1836" w:type="dxa"/>
            <w:vAlign w:val="center"/>
          </w:tcPr>
          <w:p w:rsidR="00C973CF" w:rsidRPr="00AE2FDE" w:rsidP="00C973CF" w14:paraId="6729427E" w14:textId="0CF18E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C973CF" w:rsidRPr="00AE2FDE" w:rsidP="00C973CF" w14:paraId="34E8C6EC" w14:textId="2C1DD5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60%</w:t>
            </w:r>
          </w:p>
        </w:tc>
        <w:tc>
          <w:tcPr>
            <w:tcW w:w="1969" w:type="dxa"/>
            <w:tcBorders>
              <w:bottom w:val="single" w:sz="4" w:space="0" w:color="auto"/>
            </w:tcBorders>
            <w:vAlign w:val="center"/>
          </w:tcPr>
          <w:p w:rsidR="00C973CF" w:rsidRPr="00AE2FDE" w:rsidP="00C973CF" w14:paraId="61241BD5" w14:textId="6A61F8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30</w:t>
            </w:r>
          </w:p>
        </w:tc>
      </w:tr>
      <w:tr w14:paraId="03A25A8A" w14:textId="77777777" w:rsidTr="00A96E86">
        <w:tblPrEx>
          <w:tblW w:w="0" w:type="auto"/>
          <w:tblInd w:w="-5" w:type="dxa"/>
          <w:tblLook w:val="04A0"/>
        </w:tblPrEx>
        <w:tc>
          <w:tcPr>
            <w:tcW w:w="3899" w:type="dxa"/>
            <w:vAlign w:val="center"/>
          </w:tcPr>
          <w:p w:rsidR="00C973CF" w:rsidRPr="00AE2FDE" w:rsidP="00C973CF" w14:paraId="2FB78F86" w14:textId="246E120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 xml:space="preserve">(5) </w:t>
            </w:r>
            <w:r w:rsidRPr="00AE2FDE" w:rsidR="001430AA">
              <w:rPr>
                <w:i/>
                <w:sz w:val="21"/>
                <w:szCs w:val="21"/>
              </w:rPr>
              <w:t>Yellowstone Volcano Observatory partners, plus additionally identified potential users</w:t>
            </w:r>
            <w:r w:rsidRPr="00AE2FDE" w:rsidR="00AE2FDE">
              <w:rPr>
                <w:i/>
                <w:sz w:val="21"/>
                <w:szCs w:val="21"/>
              </w:rPr>
              <w:t xml:space="preserve"> (Yellowstone VO)</w:t>
            </w:r>
          </w:p>
        </w:tc>
        <w:tc>
          <w:tcPr>
            <w:tcW w:w="1836" w:type="dxa"/>
            <w:vAlign w:val="center"/>
          </w:tcPr>
          <w:p w:rsidR="00C973CF" w:rsidRPr="00AE2FDE" w:rsidP="00C973CF" w14:paraId="3009CF8A" w14:textId="60A6B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25</w:t>
            </w:r>
          </w:p>
        </w:tc>
        <w:tc>
          <w:tcPr>
            <w:tcW w:w="1651" w:type="dxa"/>
            <w:vAlign w:val="center"/>
          </w:tcPr>
          <w:p w:rsidR="00C973CF" w:rsidRPr="00AE2FDE" w:rsidP="00C973CF" w14:paraId="036B9C08" w14:textId="75D4D4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80%</w:t>
            </w:r>
          </w:p>
        </w:tc>
        <w:tc>
          <w:tcPr>
            <w:tcW w:w="1969" w:type="dxa"/>
            <w:tcBorders>
              <w:bottom w:val="single" w:sz="4" w:space="0" w:color="auto"/>
            </w:tcBorders>
            <w:vAlign w:val="center"/>
          </w:tcPr>
          <w:p w:rsidR="00C973CF" w:rsidRPr="00AE2FDE" w:rsidP="00C973CF" w14:paraId="524D898A" w14:textId="3B3AF7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20</w:t>
            </w:r>
          </w:p>
        </w:tc>
      </w:tr>
      <w:tr w14:paraId="7399B286" w14:textId="77777777" w:rsidTr="00A96E86">
        <w:tblPrEx>
          <w:tblW w:w="0" w:type="auto"/>
          <w:tblInd w:w="-5" w:type="dxa"/>
          <w:tblLook w:val="04A0"/>
        </w:tblPrEx>
        <w:tc>
          <w:tcPr>
            <w:tcW w:w="3899" w:type="dxa"/>
            <w:vAlign w:val="center"/>
          </w:tcPr>
          <w:p w:rsidR="001430AA" w:rsidRPr="00AE2FDE" w:rsidP="00C973CF" w14:paraId="1F0C3029" w14:textId="33D21D7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 xml:space="preserve">(6) </w:t>
            </w:r>
            <w:r w:rsidRPr="00AE2FDE" w:rsidR="000B001B">
              <w:rPr>
                <w:i/>
                <w:sz w:val="21"/>
                <w:szCs w:val="21"/>
              </w:rPr>
              <w:t xml:space="preserve">Volcano working group, San </w:t>
            </w:r>
            <w:r w:rsidRPr="00AE2FDE" w:rsidR="00646EA2">
              <w:rPr>
                <w:i/>
                <w:sz w:val="21"/>
                <w:szCs w:val="21"/>
              </w:rPr>
              <w:t>Francisco</w:t>
            </w:r>
            <w:r w:rsidRPr="00AE2FDE" w:rsidR="000B001B">
              <w:rPr>
                <w:i/>
                <w:sz w:val="21"/>
                <w:szCs w:val="21"/>
              </w:rPr>
              <w:t xml:space="preserve"> volcanic field, </w:t>
            </w:r>
            <w:r w:rsidRPr="00AE2FDE" w:rsidR="00646EA2">
              <w:rPr>
                <w:i/>
                <w:sz w:val="21"/>
                <w:szCs w:val="21"/>
              </w:rPr>
              <w:t>Arizona, plus additionally identified potential users</w:t>
            </w:r>
            <w:r w:rsidRPr="00AE2FDE" w:rsidR="00AE2FDE">
              <w:rPr>
                <w:i/>
                <w:sz w:val="21"/>
                <w:szCs w:val="21"/>
              </w:rPr>
              <w:t xml:space="preserve"> (Yellowstone VO)</w:t>
            </w:r>
          </w:p>
        </w:tc>
        <w:tc>
          <w:tcPr>
            <w:tcW w:w="1836" w:type="dxa"/>
            <w:vAlign w:val="center"/>
          </w:tcPr>
          <w:p w:rsidR="001430AA" w:rsidRPr="00AE2FDE" w:rsidP="00C973CF" w14:paraId="31A04A3F" w14:textId="49329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1430AA" w:rsidRPr="00AE2FDE" w:rsidP="00C973CF" w14:paraId="6D4D12F3" w14:textId="0A6064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40%</w:t>
            </w:r>
          </w:p>
        </w:tc>
        <w:tc>
          <w:tcPr>
            <w:tcW w:w="1969" w:type="dxa"/>
            <w:tcBorders>
              <w:bottom w:val="single" w:sz="4" w:space="0" w:color="auto"/>
            </w:tcBorders>
            <w:vAlign w:val="center"/>
          </w:tcPr>
          <w:p w:rsidR="001430AA" w:rsidRPr="00AE2FDE" w:rsidP="00C973CF" w14:paraId="40DCD9BB" w14:textId="09017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20</w:t>
            </w:r>
          </w:p>
        </w:tc>
      </w:tr>
      <w:tr w14:paraId="769BFEC7" w14:textId="77777777" w:rsidTr="00A96E86">
        <w:tblPrEx>
          <w:tblW w:w="0" w:type="auto"/>
          <w:tblInd w:w="-5" w:type="dxa"/>
          <w:tblLook w:val="04A0"/>
        </w:tblPrEx>
        <w:tc>
          <w:tcPr>
            <w:tcW w:w="3899" w:type="dxa"/>
            <w:vAlign w:val="center"/>
          </w:tcPr>
          <w:p w:rsidR="00646EA2" w:rsidRPr="00AE2FDE" w:rsidP="00C973CF" w14:paraId="1C7AAFD9" w14:textId="02C7C29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(7)</w:t>
            </w:r>
            <w:r w:rsidRPr="00AE2FDE" w:rsidR="00DB180C">
              <w:rPr>
                <w:i/>
                <w:sz w:val="21"/>
                <w:szCs w:val="21"/>
              </w:rPr>
              <w:t xml:space="preserve"> </w:t>
            </w:r>
            <w:r w:rsidRPr="00AE2FDE" w:rsidR="006C676C">
              <w:rPr>
                <w:i/>
                <w:sz w:val="21"/>
                <w:szCs w:val="21"/>
              </w:rPr>
              <w:t xml:space="preserve">Hawaii interagency working group, </w:t>
            </w:r>
            <w:r w:rsidRPr="00AE2FDE" w:rsidR="00D43546">
              <w:rPr>
                <w:i/>
                <w:sz w:val="21"/>
                <w:szCs w:val="21"/>
              </w:rPr>
              <w:t>Hawaii, Hawaii, plus additionally identified potential users</w:t>
            </w:r>
            <w:r w:rsidRPr="00AE2FDE" w:rsidR="00AE2FDE">
              <w:rPr>
                <w:i/>
                <w:sz w:val="21"/>
                <w:szCs w:val="21"/>
              </w:rPr>
              <w:t xml:space="preserve"> (Hawaiian VO)</w:t>
            </w:r>
          </w:p>
        </w:tc>
        <w:tc>
          <w:tcPr>
            <w:tcW w:w="1836" w:type="dxa"/>
            <w:vAlign w:val="center"/>
          </w:tcPr>
          <w:p w:rsidR="00646EA2" w:rsidRPr="00AE2FDE" w:rsidP="00C973CF" w14:paraId="29B8CC49" w14:textId="472E4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646EA2" w:rsidRPr="00AE2FDE" w:rsidP="00C973CF" w14:paraId="3181C5B1" w14:textId="093325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70%</w:t>
            </w:r>
          </w:p>
        </w:tc>
        <w:tc>
          <w:tcPr>
            <w:tcW w:w="1969" w:type="dxa"/>
            <w:tcBorders>
              <w:bottom w:val="single" w:sz="4" w:space="0" w:color="auto"/>
            </w:tcBorders>
            <w:vAlign w:val="center"/>
          </w:tcPr>
          <w:p w:rsidR="00646EA2" w:rsidRPr="00AE2FDE" w:rsidP="00C973CF" w14:paraId="5A89E17A" w14:textId="6AFC4B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35</w:t>
            </w:r>
          </w:p>
        </w:tc>
      </w:tr>
      <w:tr w14:paraId="20312B74" w14:textId="77777777" w:rsidTr="00A96E86">
        <w:tblPrEx>
          <w:tblW w:w="0" w:type="auto"/>
          <w:tblInd w:w="-5" w:type="dxa"/>
          <w:tblLook w:val="04A0"/>
        </w:tblPrEx>
        <w:tc>
          <w:tcPr>
            <w:tcW w:w="3899" w:type="dxa"/>
            <w:vAlign w:val="center"/>
          </w:tcPr>
          <w:p w:rsidR="00D43546" w:rsidRPr="00AE2FDE" w:rsidP="00C973CF" w14:paraId="671E73B0" w14:textId="266472E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(8)</w:t>
            </w:r>
            <w:r w:rsidRPr="00AE2FDE" w:rsidR="00CB0F8F">
              <w:rPr>
                <w:i/>
                <w:sz w:val="21"/>
                <w:szCs w:val="21"/>
              </w:rPr>
              <w:t xml:space="preserve"> Volcano working group, Mount Shasta, </w:t>
            </w:r>
            <w:r w:rsidRPr="00AE2FDE" w:rsidR="00D11220">
              <w:rPr>
                <w:i/>
                <w:sz w:val="21"/>
                <w:szCs w:val="21"/>
              </w:rPr>
              <w:t xml:space="preserve">California, </w:t>
            </w:r>
            <w:r w:rsidRPr="00AE2FDE" w:rsidR="00CB0F8F">
              <w:rPr>
                <w:i/>
                <w:sz w:val="21"/>
                <w:szCs w:val="21"/>
              </w:rPr>
              <w:t>plus additionally identified potential users</w:t>
            </w:r>
            <w:r w:rsidRPr="00AE2FDE" w:rsidR="00AE2FDE">
              <w:rPr>
                <w:i/>
                <w:sz w:val="21"/>
                <w:szCs w:val="21"/>
              </w:rPr>
              <w:t xml:space="preserve"> (California VO)</w:t>
            </w:r>
          </w:p>
        </w:tc>
        <w:tc>
          <w:tcPr>
            <w:tcW w:w="1836" w:type="dxa"/>
            <w:vAlign w:val="center"/>
          </w:tcPr>
          <w:p w:rsidR="00D43546" w:rsidRPr="00AE2FDE" w:rsidP="00C973CF" w14:paraId="164925B8" w14:textId="56625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50</w:t>
            </w:r>
          </w:p>
        </w:tc>
        <w:tc>
          <w:tcPr>
            <w:tcW w:w="1651" w:type="dxa"/>
            <w:vAlign w:val="center"/>
          </w:tcPr>
          <w:p w:rsidR="00D43546" w:rsidRPr="00AE2FDE" w:rsidP="00C973CF" w14:paraId="0F38C436" w14:textId="00081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40%</w:t>
            </w:r>
          </w:p>
        </w:tc>
        <w:tc>
          <w:tcPr>
            <w:tcW w:w="1969" w:type="dxa"/>
            <w:tcBorders>
              <w:bottom w:val="single" w:sz="4" w:space="0" w:color="auto"/>
            </w:tcBorders>
            <w:vAlign w:val="center"/>
          </w:tcPr>
          <w:p w:rsidR="00D43546" w:rsidRPr="00AE2FDE" w:rsidP="00C973CF" w14:paraId="0FCC0038" w14:textId="0F17C4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20</w:t>
            </w:r>
          </w:p>
        </w:tc>
      </w:tr>
      <w:tr w14:paraId="77A6C32A" w14:textId="77777777" w:rsidTr="00A96E86">
        <w:tblPrEx>
          <w:tblW w:w="0" w:type="auto"/>
          <w:tblInd w:w="-5" w:type="dxa"/>
          <w:tblLook w:val="04A0"/>
        </w:tblPrEx>
        <w:tc>
          <w:tcPr>
            <w:tcW w:w="3899" w:type="dxa"/>
            <w:vAlign w:val="center"/>
          </w:tcPr>
          <w:p w:rsidR="00CB0F8F" w:rsidRPr="00AE2FDE" w:rsidP="00C973CF" w14:paraId="5930C105" w14:textId="0F49C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1"/>
                <w:szCs w:val="21"/>
              </w:rPr>
            </w:pPr>
            <w:r w:rsidRPr="00AE2FDE">
              <w:rPr>
                <w:i/>
                <w:sz w:val="21"/>
                <w:szCs w:val="21"/>
              </w:rPr>
              <w:t xml:space="preserve">(9) </w:t>
            </w:r>
            <w:r w:rsidRPr="00AE2FDE" w:rsidR="00D11220">
              <w:rPr>
                <w:i/>
                <w:sz w:val="21"/>
                <w:szCs w:val="21"/>
              </w:rPr>
              <w:t>Volcano working group, Clear Lake, California, plus additionally identified potential users</w:t>
            </w:r>
            <w:r w:rsidRPr="00AE2FDE" w:rsidR="00AE2FDE">
              <w:rPr>
                <w:i/>
                <w:sz w:val="21"/>
                <w:szCs w:val="21"/>
              </w:rPr>
              <w:t xml:space="preserve"> (California VO)</w:t>
            </w:r>
          </w:p>
        </w:tc>
        <w:tc>
          <w:tcPr>
            <w:tcW w:w="1836" w:type="dxa"/>
            <w:vAlign w:val="center"/>
          </w:tcPr>
          <w:p w:rsidR="00CB0F8F" w:rsidRPr="00AE2FDE" w:rsidP="00C973CF" w14:paraId="3E69B8FB" w14:textId="0E397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60</w:t>
            </w:r>
          </w:p>
        </w:tc>
        <w:tc>
          <w:tcPr>
            <w:tcW w:w="1651" w:type="dxa"/>
            <w:vAlign w:val="center"/>
          </w:tcPr>
          <w:p w:rsidR="00CB0F8F" w:rsidRPr="00AE2FDE" w:rsidP="00C973CF" w14:paraId="78EA38B1" w14:textId="5D3B21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40%</w:t>
            </w:r>
          </w:p>
        </w:tc>
        <w:tc>
          <w:tcPr>
            <w:tcW w:w="1969" w:type="dxa"/>
            <w:tcBorders>
              <w:bottom w:val="single" w:sz="4" w:space="0" w:color="auto"/>
            </w:tcBorders>
            <w:vAlign w:val="center"/>
          </w:tcPr>
          <w:p w:rsidR="00CB0F8F" w:rsidRPr="00AE2FDE" w:rsidP="00C973CF" w14:paraId="4C8DD164" w14:textId="212535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r w:rsidRPr="00AE2FDE">
              <w:rPr>
                <w:sz w:val="21"/>
                <w:szCs w:val="21"/>
              </w:rPr>
              <w:t>24</w:t>
            </w:r>
          </w:p>
        </w:tc>
      </w:tr>
      <w:tr w14:paraId="3D809BDC" w14:textId="77777777" w:rsidTr="00A96E86">
        <w:tblPrEx>
          <w:tblW w:w="0" w:type="auto"/>
          <w:tblInd w:w="-5" w:type="dxa"/>
          <w:tblLook w:val="04A0"/>
        </w:tblPrEx>
        <w:tc>
          <w:tcPr>
            <w:tcW w:w="3899" w:type="dxa"/>
            <w:vAlign w:val="center"/>
          </w:tcPr>
          <w:p w:rsidR="00C973CF" w:rsidRPr="00AE2FDE" w:rsidP="00C973CF" w14:paraId="7FC9DF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1"/>
                <w:szCs w:val="21"/>
              </w:rPr>
            </w:pPr>
            <w:r w:rsidRPr="00AE2FDE">
              <w:rPr>
                <w:b/>
                <w:sz w:val="21"/>
                <w:szCs w:val="21"/>
              </w:rPr>
              <w:t xml:space="preserve">Total: </w:t>
            </w:r>
          </w:p>
        </w:tc>
        <w:tc>
          <w:tcPr>
            <w:tcW w:w="1836" w:type="dxa"/>
            <w:vAlign w:val="center"/>
          </w:tcPr>
          <w:p w:rsidR="00C973CF" w:rsidRPr="00AE2FDE" w:rsidP="00C973CF" w14:paraId="7E9408AF" w14:textId="5E34B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highlight w:val="yellow"/>
              </w:rPr>
            </w:pPr>
            <w:r w:rsidRPr="00AE2FDE">
              <w:rPr>
                <w:b/>
                <w:sz w:val="21"/>
                <w:szCs w:val="21"/>
              </w:rPr>
              <w:t>435</w:t>
            </w:r>
          </w:p>
        </w:tc>
        <w:tc>
          <w:tcPr>
            <w:tcW w:w="1651" w:type="dxa"/>
            <w:vAlign w:val="center"/>
          </w:tcPr>
          <w:p w:rsidR="00C973CF" w:rsidRPr="00AE2FDE" w:rsidP="00C973CF" w14:paraId="101E1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p>
        </w:tc>
        <w:tc>
          <w:tcPr>
            <w:tcW w:w="1969" w:type="dxa"/>
            <w:tcBorders>
              <w:top w:val="single" w:sz="4" w:space="0" w:color="auto"/>
            </w:tcBorders>
            <w:vAlign w:val="center"/>
          </w:tcPr>
          <w:p w:rsidR="00C973CF" w:rsidRPr="00AE2FDE" w:rsidP="00C973CF" w14:paraId="6D7BB2A0" w14:textId="2957BC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1"/>
                <w:szCs w:val="21"/>
              </w:rPr>
            </w:pPr>
            <w:r w:rsidRPr="00AE2FDE">
              <w:rPr>
                <w:b/>
                <w:sz w:val="21"/>
                <w:szCs w:val="21"/>
              </w:rPr>
              <w:t>229</w:t>
            </w:r>
          </w:p>
        </w:tc>
      </w:tr>
    </w:tbl>
    <w:p w:rsidR="00A96E86" w:rsidRPr="00F14D6F" w:rsidP="00A96E86" w14:paraId="09E82AF4" w14:textId="77777777">
      <w:pPr>
        <w:tabs>
          <w:tab w:val="left" w:pos="-1080"/>
          <w:tab w:val="left" w:pos="360"/>
          <w:tab w:val="left" w:pos="720"/>
          <w:tab w:val="left" w:pos="1080"/>
        </w:tabs>
        <w:ind w:left="360" w:hanging="360"/>
        <w:rPr>
          <w:sz w:val="24"/>
          <w:szCs w:val="24"/>
        </w:rPr>
      </w:pPr>
    </w:p>
    <w:p w:rsidR="00F35C82" w:rsidRPr="00F14D6F" w:rsidP="00A338DD" w14:paraId="1A278FA2" w14:textId="6F78532E">
      <w:pPr>
        <w:tabs>
          <w:tab w:val="left" w:pos="-1080"/>
          <w:tab w:val="left" w:pos="360"/>
          <w:tab w:val="left" w:pos="720"/>
          <w:tab w:val="left" w:pos="1080"/>
        </w:tabs>
        <w:rPr>
          <w:sz w:val="24"/>
          <w:szCs w:val="24"/>
        </w:rPr>
      </w:pPr>
      <w:r w:rsidRPr="00F14D6F">
        <w:rPr>
          <w:sz w:val="24"/>
          <w:szCs w:val="24"/>
        </w:rPr>
        <w:t>The response rate estimates in the table above reflect level of current engagement with groups</w:t>
      </w:r>
      <w:r w:rsidRPr="00F14D6F" w:rsidR="007C6449">
        <w:rPr>
          <w:sz w:val="24"/>
          <w:szCs w:val="24"/>
        </w:rPr>
        <w:t xml:space="preserve"> </w:t>
      </w:r>
      <w:r w:rsidRPr="00F14D6F">
        <w:rPr>
          <w:sz w:val="24"/>
          <w:szCs w:val="24"/>
        </w:rPr>
        <w:t>to</w:t>
      </w:r>
      <w:r w:rsidR="0027028D">
        <w:rPr>
          <w:sz w:val="24"/>
          <w:szCs w:val="24"/>
        </w:rPr>
        <w:t xml:space="preserve"> </w:t>
      </w:r>
      <w:r w:rsidRPr="00F14D6F">
        <w:rPr>
          <w:sz w:val="24"/>
          <w:szCs w:val="24"/>
        </w:rPr>
        <w:t xml:space="preserve">be surveyed; we anticipate higher levels of engagement from </w:t>
      </w:r>
      <w:r w:rsidRPr="00F14D6F" w:rsidR="007C6449">
        <w:rPr>
          <w:sz w:val="24"/>
          <w:szCs w:val="24"/>
        </w:rPr>
        <w:t>partners and others with whom we engage frequently.</w:t>
      </w:r>
    </w:p>
    <w:p w:rsidR="00F35C82" w:rsidRPr="00F14D6F" w:rsidP="00A96E86" w14:paraId="296096C7" w14:textId="77777777">
      <w:pPr>
        <w:tabs>
          <w:tab w:val="left" w:pos="-1080"/>
          <w:tab w:val="left" w:pos="360"/>
          <w:tab w:val="left" w:pos="720"/>
          <w:tab w:val="left" w:pos="1080"/>
        </w:tabs>
        <w:ind w:left="360" w:hanging="360"/>
        <w:rPr>
          <w:sz w:val="24"/>
          <w:szCs w:val="24"/>
        </w:rPr>
      </w:pPr>
    </w:p>
    <w:p w:rsidR="00F35C82" w:rsidRPr="00F14D6F" w:rsidP="00A96E86" w14:paraId="021909C6" w14:textId="77777777">
      <w:pPr>
        <w:tabs>
          <w:tab w:val="left" w:pos="-1080"/>
          <w:tab w:val="left" w:pos="360"/>
          <w:tab w:val="left" w:pos="720"/>
          <w:tab w:val="left" w:pos="1080"/>
        </w:tabs>
        <w:ind w:left="360" w:hanging="360"/>
        <w:rPr>
          <w:sz w:val="24"/>
          <w:szCs w:val="24"/>
        </w:rPr>
      </w:pPr>
    </w:p>
    <w:p w:rsidR="008126AE" w:rsidRPr="00F14D6F" w:rsidP="00F11910" w14:paraId="65BACB49" w14:textId="77777777">
      <w:pPr>
        <w:tabs>
          <w:tab w:val="left" w:pos="360"/>
          <w:tab w:val="left" w:pos="720"/>
        </w:tabs>
        <w:rPr>
          <w:b/>
          <w:sz w:val="24"/>
          <w:szCs w:val="24"/>
        </w:rPr>
      </w:pPr>
      <w:r w:rsidRPr="00F14D6F">
        <w:rPr>
          <w:b/>
          <w:sz w:val="24"/>
          <w:szCs w:val="24"/>
        </w:rPr>
        <w:t>2.</w:t>
      </w:r>
      <w:r w:rsidRPr="00F14D6F">
        <w:rPr>
          <w:b/>
          <w:sz w:val="24"/>
          <w:szCs w:val="24"/>
        </w:rPr>
        <w:tab/>
        <w:t>Describe the procedures for the collection of information including:</w:t>
      </w:r>
    </w:p>
    <w:p w:rsidR="008126AE" w:rsidRPr="00F14D6F" w:rsidP="00056F19" w14:paraId="4A159C51" w14:textId="77777777">
      <w:pPr>
        <w:tabs>
          <w:tab w:val="left" w:pos="360"/>
          <w:tab w:val="left" w:pos="720"/>
        </w:tabs>
        <w:ind w:left="720" w:hanging="720"/>
        <w:rPr>
          <w:b/>
          <w:sz w:val="24"/>
          <w:szCs w:val="24"/>
        </w:rPr>
      </w:pPr>
      <w:r w:rsidRPr="00F14D6F">
        <w:rPr>
          <w:b/>
          <w:sz w:val="24"/>
          <w:szCs w:val="24"/>
        </w:rPr>
        <w:tab/>
        <w:t>*</w:t>
      </w:r>
      <w:r w:rsidRPr="00F14D6F">
        <w:rPr>
          <w:b/>
          <w:sz w:val="24"/>
          <w:szCs w:val="24"/>
        </w:rPr>
        <w:tab/>
        <w:t>Statistical methodology for stratification and sample selection,</w:t>
      </w:r>
    </w:p>
    <w:p w:rsidR="008126AE" w:rsidRPr="00F14D6F" w:rsidP="00056F19" w14:paraId="3A1A9F60" w14:textId="77777777">
      <w:pPr>
        <w:tabs>
          <w:tab w:val="left" w:pos="360"/>
          <w:tab w:val="left" w:pos="720"/>
        </w:tabs>
        <w:ind w:left="720" w:hanging="720"/>
        <w:rPr>
          <w:b/>
          <w:sz w:val="24"/>
          <w:szCs w:val="24"/>
        </w:rPr>
      </w:pPr>
      <w:r w:rsidRPr="00F14D6F">
        <w:rPr>
          <w:b/>
          <w:sz w:val="24"/>
          <w:szCs w:val="24"/>
        </w:rPr>
        <w:tab/>
        <w:t>*</w:t>
      </w:r>
      <w:r w:rsidRPr="00F14D6F">
        <w:rPr>
          <w:b/>
          <w:sz w:val="24"/>
          <w:szCs w:val="24"/>
        </w:rPr>
        <w:tab/>
        <w:t>Estimation procedure,</w:t>
      </w:r>
    </w:p>
    <w:p w:rsidR="008126AE" w:rsidRPr="00F14D6F" w:rsidP="00056F19" w14:paraId="2A60F873" w14:textId="77777777">
      <w:pPr>
        <w:tabs>
          <w:tab w:val="left" w:pos="360"/>
          <w:tab w:val="left" w:pos="720"/>
        </w:tabs>
        <w:ind w:left="720" w:hanging="720"/>
        <w:rPr>
          <w:b/>
          <w:sz w:val="24"/>
          <w:szCs w:val="24"/>
        </w:rPr>
      </w:pPr>
      <w:r w:rsidRPr="00F14D6F">
        <w:rPr>
          <w:b/>
          <w:sz w:val="24"/>
          <w:szCs w:val="24"/>
        </w:rPr>
        <w:tab/>
        <w:t>*</w:t>
      </w:r>
      <w:r w:rsidRPr="00F14D6F">
        <w:rPr>
          <w:b/>
          <w:sz w:val="24"/>
          <w:szCs w:val="24"/>
        </w:rPr>
        <w:tab/>
        <w:t>Degree of accuracy needed for the purpose described in the justification,</w:t>
      </w:r>
    </w:p>
    <w:p w:rsidR="008126AE" w:rsidRPr="00F14D6F" w:rsidP="00056F19" w14:paraId="65280DB2" w14:textId="77777777">
      <w:pPr>
        <w:tabs>
          <w:tab w:val="left" w:pos="360"/>
          <w:tab w:val="left" w:pos="720"/>
        </w:tabs>
        <w:ind w:left="720" w:hanging="720"/>
        <w:rPr>
          <w:b/>
          <w:sz w:val="24"/>
          <w:szCs w:val="24"/>
        </w:rPr>
      </w:pPr>
      <w:r w:rsidRPr="00F14D6F">
        <w:rPr>
          <w:b/>
          <w:sz w:val="24"/>
          <w:szCs w:val="24"/>
        </w:rPr>
        <w:tab/>
        <w:t>*</w:t>
      </w:r>
      <w:r w:rsidRPr="00F14D6F">
        <w:rPr>
          <w:b/>
          <w:sz w:val="24"/>
          <w:szCs w:val="24"/>
        </w:rPr>
        <w:tab/>
        <w:t>Unusual problems requiring specialized sampling procedures, and</w:t>
      </w:r>
    </w:p>
    <w:p w:rsidR="008126AE" w:rsidRPr="00F14D6F" w:rsidP="00056F19" w14:paraId="4CA24F2A" w14:textId="77777777">
      <w:pPr>
        <w:tabs>
          <w:tab w:val="left" w:pos="360"/>
          <w:tab w:val="left" w:pos="720"/>
        </w:tabs>
        <w:ind w:left="720" w:hanging="720"/>
        <w:rPr>
          <w:sz w:val="24"/>
          <w:szCs w:val="24"/>
        </w:rPr>
      </w:pPr>
      <w:r w:rsidRPr="00F14D6F">
        <w:rPr>
          <w:b/>
          <w:sz w:val="24"/>
          <w:szCs w:val="24"/>
        </w:rPr>
        <w:tab/>
        <w:t>*</w:t>
      </w:r>
      <w:r w:rsidRPr="00F14D6F">
        <w:rPr>
          <w:b/>
          <w:sz w:val="24"/>
          <w:szCs w:val="24"/>
        </w:rPr>
        <w:tab/>
        <w:t>Any use of periodic (less frequent than annual) data collection cycles to reduce burden.</w:t>
      </w:r>
    </w:p>
    <w:p w:rsidR="00BE73C7" w:rsidP="00602D97" w14:paraId="27986DC7" w14:textId="16AD1C42">
      <w:pPr>
        <w:tabs>
          <w:tab w:val="left" w:pos="-1080"/>
          <w:tab w:val="left" w:pos="360"/>
          <w:tab w:val="left" w:pos="720"/>
          <w:tab w:val="left" w:pos="1080"/>
        </w:tabs>
        <w:rPr>
          <w:sz w:val="24"/>
          <w:szCs w:val="24"/>
        </w:rPr>
      </w:pPr>
    </w:p>
    <w:p w:rsidR="004C63D2" w:rsidP="00BE73C7" w14:paraId="43FC14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sample will not be stratified by any features. </w:t>
      </w:r>
      <w:r w:rsidR="00A8296F">
        <w:rPr>
          <w:sz w:val="24"/>
          <w:szCs w:val="24"/>
        </w:rPr>
        <w:t xml:space="preserve">We anticipate no unusual problems requiring specialized sampling </w:t>
      </w:r>
      <w:r w:rsidR="001F3716">
        <w:rPr>
          <w:sz w:val="24"/>
          <w:szCs w:val="24"/>
        </w:rPr>
        <w:t xml:space="preserve">procedures. We </w:t>
      </w:r>
      <w:r w:rsidR="00B45C82">
        <w:rPr>
          <w:sz w:val="24"/>
          <w:szCs w:val="24"/>
        </w:rPr>
        <w:t xml:space="preserve">anticipate collecting data with </w:t>
      </w:r>
      <w:r w:rsidR="00391E62">
        <w:rPr>
          <w:sz w:val="24"/>
          <w:szCs w:val="24"/>
        </w:rPr>
        <w:t xml:space="preserve">each </w:t>
      </w:r>
      <w:r w:rsidR="008A7410">
        <w:rPr>
          <w:sz w:val="24"/>
          <w:szCs w:val="24"/>
        </w:rPr>
        <w:t>sample group as a new product comes out, no more than once per year.</w:t>
      </w:r>
      <w:r w:rsidR="003473FF">
        <w:rPr>
          <w:sz w:val="24"/>
          <w:szCs w:val="24"/>
        </w:rPr>
        <w:t xml:space="preserve"> </w:t>
      </w:r>
    </w:p>
    <w:p w:rsidR="004C63D2" w:rsidP="00BE73C7" w14:paraId="1DCB69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73C7" w:rsidRPr="00F14D6F" w:rsidP="00BE73C7" w14:paraId="0B108F5A" w14:textId="559C95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Based on the </w:t>
      </w:r>
      <w:r w:rsidR="00697BDD">
        <w:rPr>
          <w:sz w:val="24"/>
          <w:szCs w:val="24"/>
        </w:rPr>
        <w:t xml:space="preserve">response rates estimated above, </w:t>
      </w:r>
      <w:r w:rsidR="007D3F92">
        <w:rPr>
          <w:sz w:val="24"/>
          <w:szCs w:val="24"/>
        </w:rPr>
        <w:t xml:space="preserve">our </w:t>
      </w:r>
      <w:r w:rsidR="0032016E">
        <w:rPr>
          <w:sz w:val="24"/>
          <w:szCs w:val="24"/>
        </w:rPr>
        <w:t xml:space="preserve">effort will produce sample sizes </w:t>
      </w:r>
      <w:r w:rsidR="005A1B51">
        <w:rPr>
          <w:sz w:val="24"/>
          <w:szCs w:val="24"/>
        </w:rPr>
        <w:t>sufficient</w:t>
      </w:r>
      <w:r w:rsidR="00512395">
        <w:rPr>
          <w:sz w:val="24"/>
          <w:szCs w:val="24"/>
        </w:rPr>
        <w:t xml:space="preserve"> to achieve margins of error </w:t>
      </w:r>
      <w:r w:rsidR="005A1B51">
        <w:rPr>
          <w:sz w:val="24"/>
          <w:szCs w:val="24"/>
        </w:rPr>
        <w:t>under 15%</w:t>
      </w:r>
      <w:r w:rsidR="00512395">
        <w:rPr>
          <w:sz w:val="24"/>
          <w:szCs w:val="24"/>
        </w:rPr>
        <w:t xml:space="preserve"> at the 9</w:t>
      </w:r>
      <w:r w:rsidR="008A51DB">
        <w:rPr>
          <w:sz w:val="24"/>
          <w:szCs w:val="24"/>
        </w:rPr>
        <w:t>0</w:t>
      </w:r>
      <w:r w:rsidR="00512395">
        <w:rPr>
          <w:sz w:val="24"/>
          <w:szCs w:val="24"/>
        </w:rPr>
        <w:t xml:space="preserve">% confidence level for all groups (specifically, </w:t>
      </w:r>
      <w:r w:rsidR="00BC4544">
        <w:rPr>
          <w:sz w:val="24"/>
          <w:szCs w:val="24"/>
        </w:rPr>
        <w:t xml:space="preserve">(1) </w:t>
      </w:r>
      <w:r w:rsidR="00D1647F">
        <w:rPr>
          <w:sz w:val="24"/>
          <w:szCs w:val="24"/>
        </w:rPr>
        <w:t>9.6%</w:t>
      </w:r>
      <w:r w:rsidR="00BC4544">
        <w:rPr>
          <w:sz w:val="24"/>
          <w:szCs w:val="24"/>
        </w:rPr>
        <w:t>; (2)</w:t>
      </w:r>
      <w:r w:rsidR="00F10275">
        <w:rPr>
          <w:sz w:val="24"/>
          <w:szCs w:val="24"/>
        </w:rPr>
        <w:t xml:space="preserve"> </w:t>
      </w:r>
      <w:r w:rsidR="008A51DB">
        <w:rPr>
          <w:sz w:val="24"/>
          <w:szCs w:val="24"/>
        </w:rPr>
        <w:t>14.</w:t>
      </w:r>
      <w:r w:rsidR="00B92E7A">
        <w:rPr>
          <w:sz w:val="24"/>
          <w:szCs w:val="24"/>
        </w:rPr>
        <w:t>4</w:t>
      </w:r>
      <w:r w:rsidR="00F10275">
        <w:rPr>
          <w:sz w:val="24"/>
          <w:szCs w:val="24"/>
        </w:rPr>
        <w:t xml:space="preserve">; (3) </w:t>
      </w:r>
      <w:r w:rsidR="00985593">
        <w:rPr>
          <w:sz w:val="24"/>
          <w:szCs w:val="24"/>
        </w:rPr>
        <w:t>9.6%</w:t>
      </w:r>
      <w:r w:rsidR="00F10275">
        <w:rPr>
          <w:sz w:val="24"/>
          <w:szCs w:val="24"/>
        </w:rPr>
        <w:t xml:space="preserve">; (4) </w:t>
      </w:r>
      <w:r w:rsidR="00985593">
        <w:rPr>
          <w:sz w:val="24"/>
          <w:szCs w:val="24"/>
        </w:rPr>
        <w:t>9.6%</w:t>
      </w:r>
      <w:r w:rsidR="00F10275">
        <w:rPr>
          <w:sz w:val="24"/>
          <w:szCs w:val="24"/>
        </w:rPr>
        <w:t xml:space="preserve">; (5) </w:t>
      </w:r>
      <w:r w:rsidR="00B92E7A">
        <w:rPr>
          <w:sz w:val="24"/>
          <w:szCs w:val="24"/>
        </w:rPr>
        <w:t>8.3%</w:t>
      </w:r>
      <w:r w:rsidR="00F10275">
        <w:rPr>
          <w:sz w:val="24"/>
          <w:szCs w:val="24"/>
        </w:rPr>
        <w:t xml:space="preserve">; (6) </w:t>
      </w:r>
      <w:r w:rsidR="00B92E7A">
        <w:rPr>
          <w:sz w:val="24"/>
          <w:szCs w:val="24"/>
        </w:rPr>
        <w:t>14.</w:t>
      </w:r>
      <w:r w:rsidR="00B92E7A">
        <w:rPr>
          <w:sz w:val="24"/>
          <w:szCs w:val="24"/>
        </w:rPr>
        <w:t>4</w:t>
      </w:r>
      <w:r w:rsidR="00F10275">
        <w:rPr>
          <w:sz w:val="24"/>
          <w:szCs w:val="24"/>
        </w:rPr>
        <w:t xml:space="preserve">; (7) </w:t>
      </w:r>
      <w:r w:rsidR="00347177">
        <w:rPr>
          <w:sz w:val="24"/>
          <w:szCs w:val="24"/>
        </w:rPr>
        <w:t>7.7</w:t>
      </w:r>
      <w:r w:rsidR="0067150B">
        <w:rPr>
          <w:sz w:val="24"/>
          <w:szCs w:val="24"/>
        </w:rPr>
        <w:t>%</w:t>
      </w:r>
      <w:r w:rsidR="00F10275">
        <w:rPr>
          <w:sz w:val="24"/>
          <w:szCs w:val="24"/>
        </w:rPr>
        <w:t xml:space="preserve">; (8) </w:t>
      </w:r>
      <w:r w:rsidR="0067150B">
        <w:rPr>
          <w:sz w:val="24"/>
          <w:szCs w:val="24"/>
        </w:rPr>
        <w:t>14.</w:t>
      </w:r>
      <w:r w:rsidR="0067150B">
        <w:rPr>
          <w:sz w:val="24"/>
          <w:szCs w:val="24"/>
        </w:rPr>
        <w:t>4%</w:t>
      </w:r>
      <w:r w:rsidR="00F10275">
        <w:rPr>
          <w:sz w:val="24"/>
          <w:szCs w:val="24"/>
        </w:rPr>
        <w:t xml:space="preserve">; </w:t>
      </w:r>
      <w:r w:rsidR="0095713C">
        <w:rPr>
          <w:sz w:val="24"/>
          <w:szCs w:val="24"/>
        </w:rPr>
        <w:t>and (</w:t>
      </w:r>
      <w:r w:rsidR="00F10275">
        <w:rPr>
          <w:sz w:val="24"/>
          <w:szCs w:val="24"/>
        </w:rPr>
        <w:t xml:space="preserve">9) </w:t>
      </w:r>
      <w:r w:rsidR="0067150B">
        <w:rPr>
          <w:sz w:val="24"/>
          <w:szCs w:val="24"/>
        </w:rPr>
        <w:t>13.1%</w:t>
      </w:r>
      <w:r w:rsidR="00F10275">
        <w:rPr>
          <w:sz w:val="24"/>
          <w:szCs w:val="24"/>
        </w:rPr>
        <w:t>.</w:t>
      </w:r>
      <w:r w:rsidR="0095713C">
        <w:rPr>
          <w:sz w:val="24"/>
          <w:szCs w:val="24"/>
        </w:rPr>
        <w:t xml:space="preserve">) </w:t>
      </w:r>
      <w:r w:rsidRPr="00116C5B" w:rsidR="00116C5B">
        <w:rPr>
          <w:sz w:val="24"/>
          <w:szCs w:val="24"/>
        </w:rPr>
        <w:t>However, we will not be running statistics on this sample, only presenting counts, frequency distributions, and heat maps.</w:t>
      </w:r>
    </w:p>
    <w:p w:rsidR="00A96E86" w:rsidRPr="00F14D6F" w:rsidP="00A96E86" w14:paraId="6B694FA0" w14:textId="77777777">
      <w:pPr>
        <w:tabs>
          <w:tab w:val="left" w:pos="-1080"/>
          <w:tab w:val="left" w:pos="360"/>
          <w:tab w:val="left" w:pos="720"/>
          <w:tab w:val="left" w:pos="1080"/>
        </w:tabs>
        <w:ind w:left="360" w:hanging="360"/>
        <w:rPr>
          <w:sz w:val="24"/>
          <w:szCs w:val="24"/>
        </w:rPr>
      </w:pPr>
    </w:p>
    <w:p w:rsidR="008126AE" w:rsidRPr="00F14D6F" w:rsidP="00F11910" w14:paraId="2A46E223" w14:textId="77777777">
      <w:pPr>
        <w:tabs>
          <w:tab w:val="left" w:pos="360"/>
          <w:tab w:val="left" w:pos="720"/>
        </w:tabs>
        <w:rPr>
          <w:b/>
          <w:sz w:val="24"/>
          <w:szCs w:val="24"/>
        </w:rPr>
      </w:pPr>
      <w:r w:rsidRPr="00F14D6F">
        <w:rPr>
          <w:b/>
          <w:sz w:val="24"/>
          <w:szCs w:val="24"/>
        </w:rPr>
        <w:t>3.</w:t>
      </w:r>
      <w:r w:rsidRPr="00F14D6F">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F14D6F" w:rsidP="00056F19" w14:paraId="7C5E1AE0" w14:textId="77777777">
      <w:pPr>
        <w:tabs>
          <w:tab w:val="left" w:pos="360"/>
          <w:tab w:val="left" w:pos="720"/>
        </w:tabs>
        <w:rPr>
          <w:sz w:val="24"/>
          <w:szCs w:val="24"/>
        </w:rPr>
      </w:pPr>
    </w:p>
    <w:p w:rsidR="008B2D66" w:rsidRPr="00590400" w:rsidP="00374B27" w14:paraId="07DFDAB4" w14:textId="58F53C85">
      <w:pPr>
        <w:tabs>
          <w:tab w:val="left" w:pos="-1080"/>
          <w:tab w:val="left" w:pos="360"/>
          <w:tab w:val="left" w:pos="720"/>
          <w:tab w:val="left" w:pos="1080"/>
        </w:tabs>
        <w:rPr>
          <w:bCs/>
          <w:sz w:val="24"/>
          <w:szCs w:val="24"/>
        </w:rPr>
      </w:pPr>
      <w:r>
        <w:rPr>
          <w:bCs/>
          <w:sz w:val="24"/>
          <w:szCs w:val="24"/>
        </w:rPr>
        <w:t>To maximize response rates, all p</w:t>
      </w:r>
      <w:r w:rsidR="00590400">
        <w:rPr>
          <w:bCs/>
          <w:sz w:val="24"/>
          <w:szCs w:val="24"/>
        </w:rPr>
        <w:t xml:space="preserve">otential respondents will have multiple opportunities to </w:t>
      </w:r>
      <w:r w:rsidR="00A278FB">
        <w:rPr>
          <w:bCs/>
          <w:sz w:val="24"/>
          <w:szCs w:val="24"/>
        </w:rPr>
        <w:t>respond to the survey</w:t>
      </w:r>
      <w:r>
        <w:rPr>
          <w:bCs/>
          <w:sz w:val="24"/>
          <w:szCs w:val="24"/>
        </w:rPr>
        <w:t xml:space="preserve">. </w:t>
      </w:r>
      <w:r w:rsidR="00E25769">
        <w:rPr>
          <w:bCs/>
          <w:sz w:val="24"/>
          <w:szCs w:val="24"/>
        </w:rPr>
        <w:t>Workshop participants will be provided with links, e.g. through QR codes</w:t>
      </w:r>
      <w:r w:rsidR="00591A35">
        <w:rPr>
          <w:bCs/>
          <w:sz w:val="24"/>
          <w:szCs w:val="24"/>
        </w:rPr>
        <w:t>, during workshops and given time to complete the survey onsite</w:t>
      </w:r>
      <w:r w:rsidR="00D22DEE">
        <w:rPr>
          <w:bCs/>
          <w:sz w:val="24"/>
          <w:szCs w:val="24"/>
        </w:rPr>
        <w:t xml:space="preserve"> to promote participation</w:t>
      </w:r>
      <w:r w:rsidR="00591A35">
        <w:rPr>
          <w:bCs/>
          <w:sz w:val="24"/>
          <w:szCs w:val="24"/>
        </w:rPr>
        <w:t xml:space="preserve">. </w:t>
      </w:r>
      <w:r w:rsidR="009C26A2">
        <w:rPr>
          <w:bCs/>
          <w:sz w:val="24"/>
          <w:szCs w:val="24"/>
        </w:rPr>
        <w:t xml:space="preserve">All potential respondents will receive </w:t>
      </w:r>
      <w:r w:rsidR="0081029B">
        <w:rPr>
          <w:bCs/>
          <w:sz w:val="24"/>
          <w:szCs w:val="24"/>
        </w:rPr>
        <w:t>the survey link via email; o</w:t>
      </w:r>
      <w:r w:rsidRPr="00374B27" w:rsidR="00374B27">
        <w:rPr>
          <w:bCs/>
          <w:sz w:val="24"/>
          <w:szCs w:val="24"/>
        </w:rPr>
        <w:t xml:space="preserve">nce a respondent completes the survey, or requests to be taken off the email list, they will be removed from the list and sent no further emails. </w:t>
      </w:r>
      <w:r w:rsidR="00D816CD">
        <w:rPr>
          <w:bCs/>
          <w:sz w:val="24"/>
          <w:szCs w:val="24"/>
        </w:rPr>
        <w:t>Potential respondents who have not taken either action will receive a second email two weeks later</w:t>
      </w:r>
      <w:r w:rsidR="00371FFD">
        <w:rPr>
          <w:bCs/>
          <w:sz w:val="24"/>
          <w:szCs w:val="24"/>
        </w:rPr>
        <w:t xml:space="preserve">; after another two weeks, </w:t>
      </w:r>
      <w:r w:rsidRPr="00374B27" w:rsidR="00374B27">
        <w:rPr>
          <w:bCs/>
          <w:sz w:val="24"/>
          <w:szCs w:val="24"/>
        </w:rPr>
        <w:t>we will send another reminder email to those who have not yet responded, indicating that it is their final opportunity</w:t>
      </w:r>
      <w:r w:rsidR="007357E8">
        <w:rPr>
          <w:bCs/>
          <w:sz w:val="24"/>
          <w:szCs w:val="24"/>
        </w:rPr>
        <w:t xml:space="preserve"> and that we may follow up with a phone call if </w:t>
      </w:r>
      <w:r w:rsidR="00DF6315">
        <w:rPr>
          <w:bCs/>
          <w:sz w:val="24"/>
          <w:szCs w:val="24"/>
        </w:rPr>
        <w:t>we have not received sufficient responses</w:t>
      </w:r>
      <w:r w:rsidRPr="00374B27" w:rsidR="00374B27">
        <w:rPr>
          <w:bCs/>
          <w:sz w:val="24"/>
          <w:szCs w:val="24"/>
        </w:rPr>
        <w:t>.</w:t>
      </w:r>
      <w:r w:rsidR="00820CEF">
        <w:rPr>
          <w:bCs/>
          <w:sz w:val="24"/>
          <w:szCs w:val="24"/>
        </w:rPr>
        <w:t xml:space="preserve"> If </w:t>
      </w:r>
      <w:r w:rsidR="000D1AD1">
        <w:rPr>
          <w:bCs/>
          <w:sz w:val="24"/>
          <w:szCs w:val="24"/>
        </w:rPr>
        <w:t xml:space="preserve">at the close of the survey we have not received the appropriate distribution of responses, </w:t>
      </w:r>
      <w:r w:rsidR="00DF6315">
        <w:rPr>
          <w:bCs/>
          <w:sz w:val="24"/>
          <w:szCs w:val="24"/>
        </w:rPr>
        <w:t xml:space="preserve">we will follow up with select participants via </w:t>
      </w:r>
      <w:r w:rsidR="005A6517">
        <w:rPr>
          <w:bCs/>
          <w:sz w:val="24"/>
          <w:szCs w:val="24"/>
        </w:rPr>
        <w:t>personal email to try to schedule a call.</w:t>
      </w:r>
    </w:p>
    <w:p w:rsidR="00B66FD5" w:rsidRPr="00F14D6F" w:rsidP="00056F19" w14:paraId="66245F10" w14:textId="36B82C4A">
      <w:pPr>
        <w:tabs>
          <w:tab w:val="left" w:pos="360"/>
          <w:tab w:val="left" w:pos="720"/>
        </w:tabs>
        <w:rPr>
          <w:b/>
          <w:bCs/>
          <w:sz w:val="24"/>
          <w:szCs w:val="24"/>
        </w:rPr>
      </w:pPr>
    </w:p>
    <w:p w:rsidR="008126AE" w:rsidRPr="00F14D6F" w:rsidP="00F11910" w14:paraId="1C5FE80B" w14:textId="77777777">
      <w:pPr>
        <w:tabs>
          <w:tab w:val="left" w:pos="360"/>
          <w:tab w:val="left" w:pos="720"/>
        </w:tabs>
        <w:rPr>
          <w:b/>
          <w:sz w:val="24"/>
          <w:szCs w:val="24"/>
        </w:rPr>
      </w:pPr>
      <w:r w:rsidRPr="00F14D6F">
        <w:rPr>
          <w:b/>
          <w:sz w:val="24"/>
          <w:szCs w:val="24"/>
        </w:rPr>
        <w:t>4.</w:t>
      </w:r>
      <w:r w:rsidRPr="00F14D6F">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F14D6F" w:rsidP="00056F19" w14:paraId="2655B1CF" w14:textId="77777777">
      <w:pPr>
        <w:tabs>
          <w:tab w:val="left" w:pos="360"/>
          <w:tab w:val="left" w:pos="720"/>
        </w:tabs>
        <w:rPr>
          <w:sz w:val="24"/>
          <w:szCs w:val="24"/>
        </w:rPr>
      </w:pPr>
    </w:p>
    <w:p w:rsidR="00A72886" w:rsidRPr="00F14D6F" w:rsidP="00A72886" w14:paraId="5061FCD0" w14:textId="08558866">
      <w:pPr>
        <w:tabs>
          <w:tab w:val="left" w:pos="-1080"/>
          <w:tab w:val="left" w:pos="360"/>
          <w:tab w:val="left" w:pos="720"/>
          <w:tab w:val="left" w:pos="1080"/>
        </w:tabs>
        <w:rPr>
          <w:sz w:val="24"/>
          <w:szCs w:val="24"/>
        </w:rPr>
      </w:pPr>
      <w:r>
        <w:rPr>
          <w:sz w:val="24"/>
          <w:szCs w:val="24"/>
        </w:rPr>
        <w:t>A subset of survey questions has been previously tested by S. McBride (</w:t>
      </w:r>
      <w:r w:rsidR="0030112F">
        <w:rPr>
          <w:sz w:val="24"/>
          <w:szCs w:val="24"/>
        </w:rPr>
        <w:t xml:space="preserve">USGS Natural Hazards Science Center). </w:t>
      </w:r>
      <w:r w:rsidR="00420E36">
        <w:rPr>
          <w:sz w:val="24"/>
          <w:szCs w:val="24"/>
        </w:rPr>
        <w:t xml:space="preserve">Prior to </w:t>
      </w:r>
      <w:r w:rsidR="000F1FC7">
        <w:rPr>
          <w:sz w:val="24"/>
          <w:szCs w:val="24"/>
        </w:rPr>
        <w:t>administration of the survey</w:t>
      </w:r>
      <w:r w:rsidR="00960C7F">
        <w:rPr>
          <w:sz w:val="24"/>
          <w:szCs w:val="24"/>
        </w:rPr>
        <w:t xml:space="preserve">(s) each will be tested by a small (3-8) group of USGS staff and </w:t>
      </w:r>
      <w:r w:rsidR="00B17FB9">
        <w:rPr>
          <w:sz w:val="24"/>
          <w:szCs w:val="24"/>
        </w:rPr>
        <w:t>external stakeholders within the target demographic and with whom we already work closely. The feedback from these tests will be used to improve the wording</w:t>
      </w:r>
      <w:r w:rsidR="007F7CF8">
        <w:rPr>
          <w:sz w:val="24"/>
          <w:szCs w:val="24"/>
        </w:rPr>
        <w:t xml:space="preserve"> and </w:t>
      </w:r>
      <w:r w:rsidR="007F7CF8">
        <w:rPr>
          <w:sz w:val="24"/>
          <w:szCs w:val="24"/>
        </w:rPr>
        <w:t xml:space="preserve">order of survey questions, survey length, and </w:t>
      </w:r>
      <w:r w:rsidR="00B94100">
        <w:rPr>
          <w:sz w:val="24"/>
          <w:szCs w:val="24"/>
        </w:rPr>
        <w:t>usability of the online application.</w:t>
      </w:r>
    </w:p>
    <w:p w:rsidR="00B66FD5" w:rsidRPr="00F14D6F" w:rsidP="00C9590C" w14:paraId="40931470" w14:textId="545424BF">
      <w:pPr>
        <w:tabs>
          <w:tab w:val="left" w:pos="360"/>
          <w:tab w:val="left" w:pos="720"/>
        </w:tabs>
        <w:rPr>
          <w:sz w:val="24"/>
          <w:szCs w:val="24"/>
        </w:rPr>
      </w:pPr>
    </w:p>
    <w:p w:rsidR="00EB3B45" w:rsidRPr="00F14D6F" w:rsidP="00F11910" w14:paraId="0DB7372B" w14:textId="77777777">
      <w:pPr>
        <w:tabs>
          <w:tab w:val="left" w:pos="360"/>
          <w:tab w:val="left" w:pos="720"/>
        </w:tabs>
        <w:rPr>
          <w:b/>
          <w:sz w:val="24"/>
          <w:szCs w:val="24"/>
        </w:rPr>
      </w:pPr>
      <w:r w:rsidRPr="00F14D6F">
        <w:rPr>
          <w:b/>
          <w:sz w:val="24"/>
          <w:szCs w:val="24"/>
        </w:rPr>
        <w:t>5.</w:t>
      </w:r>
      <w:r w:rsidRPr="00F14D6F">
        <w:rPr>
          <w:b/>
          <w:sz w:val="24"/>
          <w:szCs w:val="24"/>
        </w:rPr>
        <w:tab/>
        <w:t>Provide the name</w:t>
      </w:r>
      <w:r w:rsidRPr="00F14D6F" w:rsidR="00DD29FE">
        <w:rPr>
          <w:b/>
          <w:sz w:val="24"/>
          <w:szCs w:val="24"/>
        </w:rPr>
        <w:t>s</w:t>
      </w:r>
      <w:r w:rsidRPr="00F14D6F">
        <w:rPr>
          <w:b/>
          <w:sz w:val="24"/>
          <w:szCs w:val="24"/>
        </w:rPr>
        <w:t xml:space="preserve"> and telephone number</w:t>
      </w:r>
      <w:r w:rsidRPr="00F14D6F" w:rsidR="00DD29FE">
        <w:rPr>
          <w:b/>
          <w:sz w:val="24"/>
          <w:szCs w:val="24"/>
        </w:rPr>
        <w:t>s</w:t>
      </w:r>
      <w:r w:rsidRPr="00F14D6F">
        <w:rPr>
          <w:b/>
          <w:sz w:val="24"/>
          <w:szCs w:val="24"/>
        </w:rPr>
        <w:t xml:space="preserve"> of individuals consulted on statistical aspects of the design and the name of the agency unit, contractor(s), grantee(s), or other person(s) who will </w:t>
      </w:r>
      <w:r w:rsidRPr="00F14D6F">
        <w:rPr>
          <w:b/>
          <w:sz w:val="24"/>
          <w:szCs w:val="24"/>
        </w:rPr>
        <w:t>actually collect</w:t>
      </w:r>
      <w:r w:rsidRPr="00F14D6F">
        <w:rPr>
          <w:b/>
          <w:sz w:val="24"/>
          <w:szCs w:val="24"/>
        </w:rPr>
        <w:t xml:space="preserve"> and/or analyze the information for the agency.</w:t>
      </w:r>
    </w:p>
    <w:p w:rsidR="00A76BEF" w:rsidRPr="00F14D6F" w:rsidP="00056F19" w14:paraId="48CC37EC" w14:textId="77777777">
      <w:pPr>
        <w:tabs>
          <w:tab w:val="left" w:pos="360"/>
          <w:tab w:val="left" w:pos="720"/>
        </w:tabs>
        <w:ind w:left="360" w:hanging="360"/>
        <w:rPr>
          <w:sz w:val="24"/>
          <w:szCs w:val="24"/>
        </w:rPr>
      </w:pPr>
    </w:p>
    <w:p w:rsidR="00F51D6E" w:rsidRPr="00324636" w:rsidP="00F51D6E" w14:paraId="5CF16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5007B1">
        <w:rPr>
          <w:b/>
          <w:bCs/>
          <w:sz w:val="24"/>
          <w:szCs w:val="24"/>
        </w:rPr>
        <w:t>Statistical consultants:</w:t>
      </w:r>
    </w:p>
    <w:p w:rsidR="00F51D6E" w:rsidP="00F51D6E" w14:paraId="34D55AFC" w14:textId="12BB83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Dr. </w:t>
      </w:r>
      <w:r>
        <w:rPr>
          <w:sz w:val="24"/>
          <w:szCs w:val="24"/>
        </w:rPr>
        <w:t>Beth Bartel</w:t>
      </w:r>
    </w:p>
    <w:p w:rsidR="00F51D6E" w:rsidRPr="005007B1" w:rsidP="00F51D6E" w14:paraId="78103D2D" w14:textId="66EED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Volcano</w:t>
      </w:r>
      <w:r w:rsidRPr="005007B1">
        <w:rPr>
          <w:sz w:val="24"/>
          <w:szCs w:val="24"/>
        </w:rPr>
        <w:t xml:space="preserve"> Science Center</w:t>
      </w:r>
    </w:p>
    <w:p w:rsidR="00F51D6E" w:rsidRPr="005007B1" w:rsidP="00F51D6E" w14:paraId="2207DA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007B1">
        <w:rPr>
          <w:sz w:val="24"/>
          <w:szCs w:val="24"/>
        </w:rPr>
        <w:t>U.S. Geological Survey</w:t>
      </w:r>
    </w:p>
    <w:p w:rsidR="00C84D96" w:rsidRPr="00C84D96" w:rsidP="00C84D96" w14:paraId="5FD0918E" w14:textId="5E9D76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C84D96">
        <w:rPr>
          <w:sz w:val="24"/>
          <w:szCs w:val="24"/>
        </w:rPr>
        <w:t>1300 SE Cardinal Ct.</w:t>
      </w:r>
      <w:r>
        <w:rPr>
          <w:sz w:val="24"/>
          <w:szCs w:val="24"/>
        </w:rPr>
        <w:t xml:space="preserve"> </w:t>
      </w:r>
      <w:r w:rsidRPr="00C84D96">
        <w:rPr>
          <w:sz w:val="24"/>
          <w:szCs w:val="24"/>
        </w:rPr>
        <w:t>STE 100</w:t>
      </w:r>
    </w:p>
    <w:p w:rsidR="00C84D96" w:rsidRPr="00C84D96" w:rsidP="00C84D96" w14:paraId="5F6CE3B4" w14:textId="59E93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C84D96">
        <w:rPr>
          <w:sz w:val="24"/>
          <w:szCs w:val="24"/>
        </w:rPr>
        <w:t>Vancouver, WA 98683</w:t>
      </w:r>
    </w:p>
    <w:p w:rsidR="00F51D6E" w:rsidP="00F51D6E" w14:paraId="3F0FEEBF" w14:textId="6F68B4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Phone: </w:t>
      </w:r>
      <w:r w:rsidR="00C84D96">
        <w:rPr>
          <w:sz w:val="24"/>
          <w:szCs w:val="24"/>
        </w:rPr>
        <w:t>303</w:t>
      </w:r>
      <w:r>
        <w:rPr>
          <w:sz w:val="24"/>
          <w:szCs w:val="24"/>
        </w:rPr>
        <w:t>-</w:t>
      </w:r>
      <w:r w:rsidR="00C84D96">
        <w:rPr>
          <w:sz w:val="24"/>
          <w:szCs w:val="24"/>
        </w:rPr>
        <w:t>717</w:t>
      </w:r>
      <w:r>
        <w:rPr>
          <w:sz w:val="24"/>
          <w:szCs w:val="24"/>
        </w:rPr>
        <w:t>-</w:t>
      </w:r>
      <w:r w:rsidR="00C84D96">
        <w:rPr>
          <w:sz w:val="24"/>
          <w:szCs w:val="24"/>
        </w:rPr>
        <w:t>2225</w:t>
      </w:r>
    </w:p>
    <w:p w:rsidR="00F51D6E" w:rsidP="00F51D6E" w14:paraId="6146F5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51D6E" w:rsidRPr="005007B1" w:rsidP="00F51D6E" w14:paraId="7A48AA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sz w:val="24"/>
          <w:szCs w:val="24"/>
        </w:rPr>
        <w:tab/>
      </w:r>
      <w:r w:rsidRPr="005007B1">
        <w:rPr>
          <w:b/>
          <w:bCs/>
          <w:sz w:val="24"/>
          <w:szCs w:val="24"/>
        </w:rPr>
        <w:t>Collection and analysis agency:</w:t>
      </w:r>
    </w:p>
    <w:p w:rsidR="00F51D6E" w:rsidRPr="005007B1" w:rsidP="00F51D6E" w14:paraId="50CB5C1E" w14:textId="28F1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227F9D">
        <w:rPr>
          <w:sz w:val="24"/>
          <w:szCs w:val="24"/>
        </w:rPr>
        <w:t>Volcano Science Center</w:t>
      </w:r>
    </w:p>
    <w:p w:rsidR="00F51D6E" w:rsidRPr="005007B1" w:rsidP="00F51D6E" w14:paraId="2499D8F8" w14:textId="06D04F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227F9D">
        <w:rPr>
          <w:sz w:val="24"/>
          <w:szCs w:val="24"/>
        </w:rPr>
        <w:t>Natural Hazards Mission Area</w:t>
      </w:r>
    </w:p>
    <w:p w:rsidR="00F51D6E" w:rsidRPr="005007B1" w:rsidP="00F51D6E" w14:paraId="3D257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007B1">
        <w:rPr>
          <w:sz w:val="24"/>
          <w:szCs w:val="24"/>
        </w:rPr>
        <w:t>U.S. Geological Survey</w:t>
      </w:r>
    </w:p>
    <w:p w:rsidR="006F0E7F" w:rsidRPr="006F0E7F" w:rsidP="006F0E7F" w14:paraId="5E852DD5" w14:textId="725C4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6F0E7F">
        <w:rPr>
          <w:sz w:val="24"/>
          <w:szCs w:val="24"/>
        </w:rPr>
        <w:t>4230 University Drive</w:t>
      </w:r>
      <w:r>
        <w:rPr>
          <w:sz w:val="24"/>
          <w:szCs w:val="24"/>
        </w:rPr>
        <w:t xml:space="preserve"> </w:t>
      </w:r>
      <w:r w:rsidRPr="006F0E7F">
        <w:rPr>
          <w:sz w:val="24"/>
          <w:szCs w:val="24"/>
        </w:rPr>
        <w:t>Suite 100</w:t>
      </w:r>
    </w:p>
    <w:p w:rsidR="00C9590C" w:rsidRPr="00F14D6F" w:rsidP="006F0E7F" w14:paraId="5DF44672" w14:textId="58BF46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6F0E7F">
        <w:rPr>
          <w:sz w:val="24"/>
          <w:szCs w:val="24"/>
        </w:rPr>
        <w:t>Anchorage, AK 99508</w:t>
      </w:r>
    </w:p>
    <w:p w:rsidR="00C9590C" w:rsidRPr="00F14D6F" w:rsidP="00C9590C" w14:paraId="5009C414" w14:textId="5EBDD08E">
      <w:pPr>
        <w:tabs>
          <w:tab w:val="left" w:pos="-1080"/>
          <w:tab w:val="left" w:pos="360"/>
          <w:tab w:val="left" w:pos="720"/>
          <w:tab w:val="left" w:pos="1080"/>
        </w:tabs>
        <w:ind w:left="360" w:hanging="360"/>
        <w:rPr>
          <w:sz w:val="24"/>
          <w:szCs w:val="24"/>
        </w:rPr>
      </w:pPr>
    </w:p>
    <w:p w:rsidR="00C9590C" w:rsidRPr="00F14D6F" w:rsidP="00C9590C" w14:paraId="32F6BCD1" w14:textId="77777777">
      <w:pPr>
        <w:tabs>
          <w:tab w:val="left" w:pos="-1080"/>
          <w:tab w:val="left" w:pos="360"/>
          <w:tab w:val="left" w:pos="720"/>
          <w:tab w:val="left" w:pos="1080"/>
        </w:tabs>
        <w:ind w:left="360" w:hanging="360"/>
        <w:rPr>
          <w:sz w:val="24"/>
          <w:szCs w:val="24"/>
        </w:rPr>
      </w:pPr>
    </w:p>
    <w:p w:rsidR="00C9590C" w:rsidRPr="00F14D6F" w:rsidP="00C9590C" w14:paraId="7F3F6292" w14:textId="77777777">
      <w:pPr>
        <w:tabs>
          <w:tab w:val="left" w:pos="-1080"/>
          <w:tab w:val="left" w:pos="360"/>
          <w:tab w:val="left" w:pos="720"/>
          <w:tab w:val="left" w:pos="1080"/>
        </w:tabs>
        <w:rPr>
          <w:b/>
          <w:sz w:val="24"/>
          <w:szCs w:val="24"/>
        </w:rPr>
      </w:pPr>
      <w:r w:rsidRPr="00F14D6F">
        <w:rPr>
          <w:b/>
          <w:sz w:val="24"/>
          <w:szCs w:val="24"/>
          <w:highlight w:val="yellow"/>
          <w:u w:val="single"/>
        </w:rPr>
        <w:t>For Additional Guidance/Information</w:t>
      </w:r>
      <w:r w:rsidRPr="00F14D6F">
        <w:rPr>
          <w:b/>
          <w:sz w:val="24"/>
          <w:szCs w:val="24"/>
          <w:highlight w:val="yellow"/>
        </w:rPr>
        <w:t>:</w:t>
      </w:r>
    </w:p>
    <w:p w:rsidR="00C9590C" w:rsidRPr="00F14D6F" w:rsidP="00C9590C" w14:paraId="596ED5A1" w14:textId="77777777">
      <w:pPr>
        <w:tabs>
          <w:tab w:val="left" w:pos="-1080"/>
          <w:tab w:val="left" w:pos="360"/>
          <w:tab w:val="left" w:pos="720"/>
          <w:tab w:val="left" w:pos="1080"/>
        </w:tabs>
        <w:rPr>
          <w:sz w:val="24"/>
          <w:szCs w:val="24"/>
        </w:rPr>
      </w:pPr>
      <w:r w:rsidRPr="00F14D6F">
        <w:rPr>
          <w:sz w:val="24"/>
          <w:szCs w:val="24"/>
        </w:rPr>
        <w:t xml:space="preserve">OMB-OIRA has produced </w:t>
      </w:r>
      <w:r w:rsidRPr="00F14D6F">
        <w:rPr>
          <w:sz w:val="24"/>
          <w:szCs w:val="24"/>
        </w:rPr>
        <w:t>a number of</w:t>
      </w:r>
      <w:r w:rsidRPr="00F14D6F">
        <w:rPr>
          <w:sz w:val="24"/>
          <w:szCs w:val="24"/>
        </w:rPr>
        <w:t xml:space="preserve"> documents that may serve as useful reference material for completing Supporting Statement B.  </w:t>
      </w:r>
    </w:p>
    <w:p w:rsidR="00C9590C" w:rsidRPr="00F14D6F" w:rsidP="00C9590C" w14:paraId="6F54245C" w14:textId="77777777">
      <w:pPr>
        <w:tabs>
          <w:tab w:val="left" w:pos="-1080"/>
          <w:tab w:val="left" w:pos="360"/>
          <w:tab w:val="left" w:pos="720"/>
          <w:tab w:val="left" w:pos="1080"/>
        </w:tabs>
        <w:rPr>
          <w:sz w:val="24"/>
          <w:szCs w:val="24"/>
        </w:rPr>
      </w:pPr>
    </w:p>
    <w:p w:rsidR="00C9590C" w:rsidRPr="00F14D6F" w:rsidP="00C9590C" w14:paraId="3DB56F1A" w14:textId="0C0678C7">
      <w:pPr>
        <w:tabs>
          <w:tab w:val="left" w:pos="-1080"/>
          <w:tab w:val="left" w:pos="360"/>
          <w:tab w:val="left" w:pos="720"/>
          <w:tab w:val="left" w:pos="1080"/>
        </w:tabs>
        <w:rPr>
          <w:sz w:val="24"/>
          <w:szCs w:val="24"/>
        </w:rPr>
      </w:pPr>
      <w:r w:rsidRPr="00F14D6F">
        <w:rPr>
          <w:sz w:val="24"/>
          <w:szCs w:val="24"/>
        </w:rPr>
        <w:t xml:space="preserve">These can be found at:  </w:t>
      </w:r>
      <w:hyperlink r:id="rId8" w:tooltip="Reference material for completing Supporting Stated B" w:history="1">
        <w:r w:rsidRPr="00F14D6F">
          <w:rPr>
            <w:color w:val="0000FF" w:themeColor="hyperlink"/>
            <w:sz w:val="24"/>
            <w:szCs w:val="24"/>
            <w:u w:val="single"/>
          </w:rPr>
          <w:t>http://www.whitehouse.gov/omb/inforeg_statpolicy</w:t>
        </w:r>
      </w:hyperlink>
      <w:r w:rsidRPr="00F14D6F">
        <w:rPr>
          <w:sz w:val="24"/>
          <w:szCs w:val="24"/>
        </w:rPr>
        <w:t>.</w:t>
      </w:r>
    </w:p>
    <w:p w:rsidR="00A76BEF" w:rsidRPr="00F14D6F" w:rsidP="00C9590C" w14:paraId="09D5BDE6" w14:textId="74C83062">
      <w:pPr>
        <w:tabs>
          <w:tab w:val="left" w:pos="360"/>
          <w:tab w:val="left" w:pos="720"/>
        </w:tabs>
        <w:rPr>
          <w:sz w:val="24"/>
          <w:szCs w:val="24"/>
        </w:rPr>
      </w:pPr>
    </w:p>
    <w:sectPr w:rsidSect="00EB3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49C6B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53F6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33CDA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354AF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70D05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63D8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2944225">
    <w:abstractNumId w:val="2"/>
  </w:num>
  <w:num w:numId="2" w16cid:durableId="484708128">
    <w:abstractNumId w:val="0"/>
  </w:num>
  <w:num w:numId="3" w16cid:durableId="590430328">
    <w:abstractNumId w:val="1"/>
  </w:num>
  <w:num w:numId="4" w16cid:durableId="259028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06873"/>
    <w:rsid w:val="00007C88"/>
    <w:rsid w:val="000241CA"/>
    <w:rsid w:val="00056F19"/>
    <w:rsid w:val="000763CD"/>
    <w:rsid w:val="0008708B"/>
    <w:rsid w:val="000933B7"/>
    <w:rsid w:val="000A0B49"/>
    <w:rsid w:val="000B001B"/>
    <w:rsid w:val="000C30DF"/>
    <w:rsid w:val="000D1AD1"/>
    <w:rsid w:val="000F1FC7"/>
    <w:rsid w:val="000F40B2"/>
    <w:rsid w:val="000F5354"/>
    <w:rsid w:val="00116C5B"/>
    <w:rsid w:val="001231CA"/>
    <w:rsid w:val="00137938"/>
    <w:rsid w:val="001430AA"/>
    <w:rsid w:val="001460F8"/>
    <w:rsid w:val="001546BD"/>
    <w:rsid w:val="0016294F"/>
    <w:rsid w:val="00173115"/>
    <w:rsid w:val="00191E23"/>
    <w:rsid w:val="001C2836"/>
    <w:rsid w:val="001D5FFC"/>
    <w:rsid w:val="001F3716"/>
    <w:rsid w:val="001F3973"/>
    <w:rsid w:val="00201307"/>
    <w:rsid w:val="002016F7"/>
    <w:rsid w:val="00215A89"/>
    <w:rsid w:val="00227F9D"/>
    <w:rsid w:val="002473DD"/>
    <w:rsid w:val="0027028D"/>
    <w:rsid w:val="002C11E4"/>
    <w:rsid w:val="002E5A47"/>
    <w:rsid w:val="0030112F"/>
    <w:rsid w:val="003139B0"/>
    <w:rsid w:val="0032016E"/>
    <w:rsid w:val="00324636"/>
    <w:rsid w:val="003305B5"/>
    <w:rsid w:val="003463DC"/>
    <w:rsid w:val="00347177"/>
    <w:rsid w:val="003473FF"/>
    <w:rsid w:val="00371FFD"/>
    <w:rsid w:val="00374B27"/>
    <w:rsid w:val="0039177A"/>
    <w:rsid w:val="00391E62"/>
    <w:rsid w:val="00393E57"/>
    <w:rsid w:val="0039416E"/>
    <w:rsid w:val="00394CA6"/>
    <w:rsid w:val="0039672F"/>
    <w:rsid w:val="003C664A"/>
    <w:rsid w:val="003F7C7E"/>
    <w:rsid w:val="00407BD8"/>
    <w:rsid w:val="00420E36"/>
    <w:rsid w:val="00422569"/>
    <w:rsid w:val="0042291E"/>
    <w:rsid w:val="00471C93"/>
    <w:rsid w:val="0047607D"/>
    <w:rsid w:val="004822D1"/>
    <w:rsid w:val="00484081"/>
    <w:rsid w:val="00491721"/>
    <w:rsid w:val="004A6D12"/>
    <w:rsid w:val="004C4B8C"/>
    <w:rsid w:val="004C63D2"/>
    <w:rsid w:val="004C6BE6"/>
    <w:rsid w:val="004F59FA"/>
    <w:rsid w:val="005007B1"/>
    <w:rsid w:val="005074EB"/>
    <w:rsid w:val="00512395"/>
    <w:rsid w:val="00541894"/>
    <w:rsid w:val="00547CD2"/>
    <w:rsid w:val="00554EE4"/>
    <w:rsid w:val="005752FB"/>
    <w:rsid w:val="00590400"/>
    <w:rsid w:val="00591A35"/>
    <w:rsid w:val="005A1B51"/>
    <w:rsid w:val="005A6517"/>
    <w:rsid w:val="005C6E40"/>
    <w:rsid w:val="005D5236"/>
    <w:rsid w:val="005F1E0F"/>
    <w:rsid w:val="00602D97"/>
    <w:rsid w:val="00603C2E"/>
    <w:rsid w:val="00605CD5"/>
    <w:rsid w:val="0061721C"/>
    <w:rsid w:val="006225B3"/>
    <w:rsid w:val="00634269"/>
    <w:rsid w:val="00636C8B"/>
    <w:rsid w:val="0064007C"/>
    <w:rsid w:val="00646EA2"/>
    <w:rsid w:val="0066731D"/>
    <w:rsid w:val="0067150B"/>
    <w:rsid w:val="00684A68"/>
    <w:rsid w:val="00695ECA"/>
    <w:rsid w:val="00697BDD"/>
    <w:rsid w:val="006C3815"/>
    <w:rsid w:val="006C676C"/>
    <w:rsid w:val="006D05A3"/>
    <w:rsid w:val="006F0E7F"/>
    <w:rsid w:val="00730F22"/>
    <w:rsid w:val="00731150"/>
    <w:rsid w:val="007357E8"/>
    <w:rsid w:val="00746B39"/>
    <w:rsid w:val="007522D5"/>
    <w:rsid w:val="00781CF3"/>
    <w:rsid w:val="007A5D7A"/>
    <w:rsid w:val="007C6449"/>
    <w:rsid w:val="007C6FE4"/>
    <w:rsid w:val="007D3F92"/>
    <w:rsid w:val="007F7CF8"/>
    <w:rsid w:val="00802FF7"/>
    <w:rsid w:val="0081029B"/>
    <w:rsid w:val="008126AE"/>
    <w:rsid w:val="00813CA1"/>
    <w:rsid w:val="00820CEF"/>
    <w:rsid w:val="008548FD"/>
    <w:rsid w:val="00857F9F"/>
    <w:rsid w:val="0086536C"/>
    <w:rsid w:val="008722EE"/>
    <w:rsid w:val="008A51DB"/>
    <w:rsid w:val="008A7410"/>
    <w:rsid w:val="008B2D66"/>
    <w:rsid w:val="008B3DBD"/>
    <w:rsid w:val="008E4390"/>
    <w:rsid w:val="009127A9"/>
    <w:rsid w:val="00916581"/>
    <w:rsid w:val="00930B18"/>
    <w:rsid w:val="00952325"/>
    <w:rsid w:val="0095713C"/>
    <w:rsid w:val="0096019A"/>
    <w:rsid w:val="00960C7F"/>
    <w:rsid w:val="009622A3"/>
    <w:rsid w:val="00985593"/>
    <w:rsid w:val="00990B96"/>
    <w:rsid w:val="00991250"/>
    <w:rsid w:val="009B38B6"/>
    <w:rsid w:val="009B5457"/>
    <w:rsid w:val="009B7DCD"/>
    <w:rsid w:val="009C26A2"/>
    <w:rsid w:val="009E3695"/>
    <w:rsid w:val="009F488F"/>
    <w:rsid w:val="00A13824"/>
    <w:rsid w:val="00A24F2E"/>
    <w:rsid w:val="00A2651B"/>
    <w:rsid w:val="00A278FB"/>
    <w:rsid w:val="00A338DD"/>
    <w:rsid w:val="00A575C1"/>
    <w:rsid w:val="00A72886"/>
    <w:rsid w:val="00A76A1A"/>
    <w:rsid w:val="00A76BEF"/>
    <w:rsid w:val="00A8296F"/>
    <w:rsid w:val="00A84B83"/>
    <w:rsid w:val="00A84CF8"/>
    <w:rsid w:val="00A96E86"/>
    <w:rsid w:val="00AA1997"/>
    <w:rsid w:val="00AD59BC"/>
    <w:rsid w:val="00AD769F"/>
    <w:rsid w:val="00AE2FDE"/>
    <w:rsid w:val="00AE462B"/>
    <w:rsid w:val="00AF0530"/>
    <w:rsid w:val="00B0079A"/>
    <w:rsid w:val="00B17FB9"/>
    <w:rsid w:val="00B31159"/>
    <w:rsid w:val="00B31CAC"/>
    <w:rsid w:val="00B45C82"/>
    <w:rsid w:val="00B66FD5"/>
    <w:rsid w:val="00B770CE"/>
    <w:rsid w:val="00B92E7A"/>
    <w:rsid w:val="00B94100"/>
    <w:rsid w:val="00BA376C"/>
    <w:rsid w:val="00BC4544"/>
    <w:rsid w:val="00BD2108"/>
    <w:rsid w:val="00BD3874"/>
    <w:rsid w:val="00BE0CD0"/>
    <w:rsid w:val="00BE73C7"/>
    <w:rsid w:val="00BF2349"/>
    <w:rsid w:val="00C07772"/>
    <w:rsid w:val="00C142A4"/>
    <w:rsid w:val="00C32E34"/>
    <w:rsid w:val="00C639DA"/>
    <w:rsid w:val="00C63A2F"/>
    <w:rsid w:val="00C6547A"/>
    <w:rsid w:val="00C772C1"/>
    <w:rsid w:val="00C84D96"/>
    <w:rsid w:val="00C9590C"/>
    <w:rsid w:val="00C973CF"/>
    <w:rsid w:val="00CB0F8F"/>
    <w:rsid w:val="00CB6E05"/>
    <w:rsid w:val="00CB7D30"/>
    <w:rsid w:val="00CC4714"/>
    <w:rsid w:val="00CD02F8"/>
    <w:rsid w:val="00CE793A"/>
    <w:rsid w:val="00D11220"/>
    <w:rsid w:val="00D12424"/>
    <w:rsid w:val="00D1647F"/>
    <w:rsid w:val="00D22DEE"/>
    <w:rsid w:val="00D36C4D"/>
    <w:rsid w:val="00D40D04"/>
    <w:rsid w:val="00D4277D"/>
    <w:rsid w:val="00D43546"/>
    <w:rsid w:val="00D45572"/>
    <w:rsid w:val="00D551CC"/>
    <w:rsid w:val="00D816CD"/>
    <w:rsid w:val="00D83329"/>
    <w:rsid w:val="00D94D36"/>
    <w:rsid w:val="00D965D4"/>
    <w:rsid w:val="00DA446F"/>
    <w:rsid w:val="00DA72F9"/>
    <w:rsid w:val="00DB180C"/>
    <w:rsid w:val="00DD29FE"/>
    <w:rsid w:val="00DD4426"/>
    <w:rsid w:val="00DF196E"/>
    <w:rsid w:val="00DF6315"/>
    <w:rsid w:val="00E0320D"/>
    <w:rsid w:val="00E22A08"/>
    <w:rsid w:val="00E25769"/>
    <w:rsid w:val="00E278FF"/>
    <w:rsid w:val="00E563DF"/>
    <w:rsid w:val="00E70945"/>
    <w:rsid w:val="00EB3B45"/>
    <w:rsid w:val="00EC77C5"/>
    <w:rsid w:val="00ED37A8"/>
    <w:rsid w:val="00ED6794"/>
    <w:rsid w:val="00EE01F4"/>
    <w:rsid w:val="00EE1A82"/>
    <w:rsid w:val="00F05AF5"/>
    <w:rsid w:val="00F100D2"/>
    <w:rsid w:val="00F10275"/>
    <w:rsid w:val="00F11910"/>
    <w:rsid w:val="00F14D6F"/>
    <w:rsid w:val="00F33615"/>
    <w:rsid w:val="00F35C82"/>
    <w:rsid w:val="00F51D6E"/>
    <w:rsid w:val="00F81CC5"/>
    <w:rsid w:val="00F81D98"/>
    <w:rsid w:val="00F83B55"/>
    <w:rsid w:val="00FA3098"/>
    <w:rsid w:val="00FB19DE"/>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A96E86"/>
    <w:pPr>
      <w:tabs>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997"/>
    <w:rPr>
      <w:sz w:val="16"/>
      <w:szCs w:val="16"/>
    </w:rPr>
  </w:style>
  <w:style w:type="paragraph" w:styleId="CommentText">
    <w:name w:val="annotation text"/>
    <w:basedOn w:val="Normal"/>
    <w:link w:val="CommentTextChar"/>
    <w:uiPriority w:val="99"/>
    <w:semiHidden/>
    <w:unhideWhenUsed/>
    <w:rsid w:val="00AA1997"/>
  </w:style>
  <w:style w:type="character" w:customStyle="1" w:styleId="CommentTextChar">
    <w:name w:val="Comment Text Char"/>
    <w:basedOn w:val="DefaultParagraphFont"/>
    <w:link w:val="CommentText"/>
    <w:uiPriority w:val="99"/>
    <w:semiHidden/>
    <w:rsid w:val="00AA19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1997"/>
    <w:rPr>
      <w:b/>
      <w:bCs/>
    </w:rPr>
  </w:style>
  <w:style w:type="character" w:customStyle="1" w:styleId="CommentSubjectChar">
    <w:name w:val="Comment Subject Char"/>
    <w:basedOn w:val="CommentTextChar"/>
    <w:link w:val="CommentSubject"/>
    <w:uiPriority w:val="99"/>
    <w:semiHidden/>
    <w:rsid w:val="00AA199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whitehouse.gov/omb/inforeg_statpolic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6" ma:contentTypeDescription="Create a new document." ma:contentTypeScope="" ma:versionID="92b7c965619282ec3441a91ec482c664">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d0f2e28a0e7142d00693f3dedad2076d"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3.xml><?xml version="1.0" encoding="utf-8"?>
<ds:datastoreItem xmlns:ds="http://schemas.openxmlformats.org/officeDocument/2006/customXml" ds:itemID="{5313878D-BFED-43E4-9A46-DF1B1F55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2024-08-26T16:51:00Z</dcterms:created>
  <dcterms:modified xsi:type="dcterms:W3CDTF">2024-10-08T22:57:00Z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