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653" w14:paraId="31F2AFD0" w14:textId="7E25B53E">
      <w:pPr>
        <w:jc w:val="center"/>
        <w:rPr>
          <w:b/>
          <w:bCs/>
        </w:rPr>
      </w:pPr>
      <w:r>
        <w:rPr>
          <w:b/>
          <w:bCs/>
        </w:rPr>
        <w:t xml:space="preserve"> </w:t>
      </w:r>
      <w:r>
        <w:rPr>
          <w:b/>
          <w:bCs/>
        </w:rPr>
        <w:t>SUPPORTING STATEMENT</w:t>
      </w:r>
      <w:r w:rsidR="00B33D02">
        <w:rPr>
          <w:b/>
          <w:bCs/>
        </w:rPr>
        <w:t xml:space="preserve"> A</w:t>
      </w:r>
    </w:p>
    <w:p w:rsidR="00FC2653" w14:paraId="464F7A21" w14:textId="77777777">
      <w:pPr>
        <w:ind w:firstLine="2880"/>
        <w:rPr>
          <w:b/>
          <w:bCs/>
        </w:rPr>
      </w:pPr>
    </w:p>
    <w:p w:rsidR="00FC2653" w:rsidRPr="00A93482" w14:paraId="720D2D56" w14:textId="77777777">
      <w:pPr>
        <w:jc w:val="center"/>
        <w:rPr>
          <w:bCs/>
        </w:rPr>
      </w:pPr>
      <w:r w:rsidRPr="00A93482">
        <w:rPr>
          <w:bCs/>
        </w:rPr>
        <w:t>Law Enforcement Congressional Badge of Bravery</w:t>
      </w:r>
    </w:p>
    <w:p w:rsidR="00FC2653" w14:paraId="7E9124EA" w14:textId="77777777">
      <w:pPr>
        <w:jc w:val="center"/>
        <w:rPr>
          <w:b/>
          <w:bCs/>
        </w:rPr>
      </w:pPr>
    </w:p>
    <w:p w:rsidR="00FC2653" w14:paraId="21421BC5" w14:textId="77777777">
      <w:pPr>
        <w:rPr>
          <w:b/>
          <w:bCs/>
        </w:rPr>
      </w:pPr>
      <w:r>
        <w:rPr>
          <w:b/>
          <w:bCs/>
        </w:rPr>
        <w:t>A.  J</w:t>
      </w:r>
      <w:r w:rsidR="0020447E">
        <w:rPr>
          <w:b/>
          <w:bCs/>
        </w:rPr>
        <w:t>USTIFICATION</w:t>
      </w:r>
    </w:p>
    <w:p w:rsidR="00FC2653" w14:paraId="00302AAA" w14:textId="77777777">
      <w:pPr>
        <w:rPr>
          <w:b/>
          <w:bCs/>
        </w:rPr>
      </w:pPr>
    </w:p>
    <w:p w:rsidR="00707607" w14:paraId="000BEA56" w14:textId="33543A5D">
      <w:pPr>
        <w:rPr>
          <w:b/>
          <w:bCs/>
        </w:rPr>
      </w:pPr>
      <w:r w:rsidRPr="00F60971">
        <w:rPr>
          <w:b/>
        </w:rPr>
        <w:t>1</w:t>
      </w:r>
      <w:r w:rsidRPr="00F60971">
        <w:rPr>
          <w:i/>
        </w:rPr>
        <w:t>.</w:t>
      </w:r>
      <w:r>
        <w:t xml:space="preserve"> </w:t>
      </w: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7607" w14:paraId="4B787B8A" w14:textId="77777777"/>
    <w:p w:rsidR="00FE12F2" w14:paraId="52E163EB" w14:textId="6429A41B">
      <w:r>
        <w:rPr>
          <w:b/>
          <w:bCs/>
        </w:rPr>
        <w:t>Necessity of Information:</w:t>
      </w:r>
      <w:r>
        <w:t xml:space="preserve"> </w:t>
      </w:r>
      <w:r>
        <w:t>The United States Congress passed “Law Enforcement Congressional Badge of Bravery Act of 2008</w:t>
      </w:r>
      <w:r w:rsidR="00A54B2D">
        <w:t xml:space="preserve"> (Act)</w:t>
      </w:r>
      <w:r>
        <w:t xml:space="preserve">,” which was later signed into law on July 31, 2008. </w:t>
      </w:r>
      <w:r w:rsidR="00C67419">
        <w:t xml:space="preserve"> </w:t>
      </w:r>
    </w:p>
    <w:p w:rsidR="00FE12F2" w14:paraId="2BC31600" w14:textId="77777777"/>
    <w:p w:rsidR="00FE12F2" w14:paraId="762FC7E0" w14:textId="77777777">
      <w:r>
        <w:t xml:space="preserve">Under Title I of the Act, the Law states: The Attorney General may award, and a Member of Congress or the Attorney General may present, in the name of Congress a Federal Law Enforcement Congressional Badge of Bravery to a Federal law enforcement officer who is cited by the Attorney General, upon the recommendation of the Federal Board, for performing an act of bravery while in the line of duty. </w:t>
      </w:r>
    </w:p>
    <w:p w:rsidR="00FE12F2" w14:paraId="2213E053" w14:textId="77777777"/>
    <w:p w:rsidR="00F83FCA" w:rsidP="00F83FCA" w14:paraId="6F91A50B" w14:textId="77777777">
      <w:r>
        <w:t xml:space="preserve">Under Title II of the Act, the Law states: </w:t>
      </w:r>
      <w:r>
        <w:t xml:space="preserve">The Attorney General may award, and a Member of Congress or the Attorney General may present, in the name of Congress a State and local Law Enforcement Congressional Badge of Bravery to a State or local law enforcement officer who is cited by the Attorney General, upon the recommendation of the State and Local Board, for performing an act of bravery while in the line of duty. </w:t>
      </w:r>
    </w:p>
    <w:p w:rsidR="00FE12F2" w14:paraId="41758F7B" w14:textId="77777777"/>
    <w:p w:rsidR="00A54B2D" w14:paraId="560E3E85" w14:textId="77777777">
      <w:r>
        <w:t xml:space="preserve">Under the </w:t>
      </w:r>
      <w:r>
        <w:t xml:space="preserve">Contents sections of the </w:t>
      </w:r>
      <w:r>
        <w:t>Act</w:t>
      </w:r>
      <w:r>
        <w:t xml:space="preserve"> – A nomination shall include: </w:t>
      </w:r>
      <w:r w:rsidR="00924F6E">
        <w:t>(1) a written narrative, of not more than 2 pages, describing the circumstances under which the nominee performed the act of bravery described in subsection (a) and how the circumstances meet the criteria described in such subsection; (2) the full name of the nominee; (3) the home mailing address of the nominee; (4) the agency in which the nominee serve</w:t>
      </w:r>
      <w:r w:rsidR="000A4C9B">
        <w:t>d</w:t>
      </w:r>
      <w:r w:rsidR="00924F6E">
        <w:t xml:space="preserve"> on the date when such nominee performed the act of bravery described in subsection (a); (5) the occupational title and grade or rank of the nominee; (6) the field office address of the nominee on the date when such nominee performed the act of bravery described in subsection (a); and (7) the number of years of Government service by the nominee as of the date when such nominee performed the act of bravery described in subsection (a).</w:t>
      </w:r>
    </w:p>
    <w:p w:rsidR="00FC2653" w14:paraId="7B81502D" w14:textId="77777777">
      <w:r>
        <w:t xml:space="preserve"> </w:t>
      </w:r>
    </w:p>
    <w:p w:rsidR="00AC386E" w14:paraId="2AEDC2B7" w14:textId="77777777">
      <w:r>
        <w:t xml:space="preserve">In addition, under the Submission Deadline sections of the Act – A </w:t>
      </w:r>
      <w:r w:rsidR="00856805">
        <w:t>Federal/</w:t>
      </w:r>
      <w:r>
        <w:t xml:space="preserve">State and Local agency head shall submit each nomination under subsection (a) to the </w:t>
      </w:r>
      <w:r w:rsidR="003A140A">
        <w:t xml:space="preserve">Congressional Badge of Bravery (CBOB) </w:t>
      </w:r>
      <w:r>
        <w:t>Office not later than February 15 of the year following the date on which the nominee performed the act of bravery described in subsection (a).</w:t>
      </w:r>
    </w:p>
    <w:p w:rsidR="00AC386E" w14:paraId="7E539D66" w14:textId="77777777"/>
    <w:p w:rsidR="00707607" w:rsidP="00707607" w14:paraId="323B9FCC" w14:textId="77777777">
      <w:pPr>
        <w:widowControl/>
        <w:rPr>
          <w:b/>
          <w:bCs/>
        </w:rPr>
      </w:pPr>
      <w:r w:rsidRPr="00F60971">
        <w:rPr>
          <w:b/>
        </w:rPr>
        <w:t>2.</w:t>
      </w:r>
      <w:r>
        <w:t xml:space="preserve">  </w:t>
      </w:r>
      <w:r w:rsidRPr="00D53DEB">
        <w:rPr>
          <w:b/>
          <w:bCs/>
        </w:rPr>
        <w:t>Indicate how, by whom, and for what purpose the information is to be used.  Except for a new collection, indicate the actual use the agency has made of the information received from the current collection.</w:t>
      </w:r>
    </w:p>
    <w:p w:rsidR="00707607" w:rsidP="00D01535" w14:paraId="19A38BEC" w14:textId="346E1E64"/>
    <w:p w:rsidR="00D01535" w:rsidP="00D01535" w14:paraId="68CA57B9" w14:textId="48770910">
      <w:r>
        <w:rPr>
          <w:b/>
          <w:bCs/>
        </w:rPr>
        <w:t xml:space="preserve">Purpose </w:t>
      </w:r>
      <w:r w:rsidR="00F60971">
        <w:rPr>
          <w:b/>
          <w:bCs/>
        </w:rPr>
        <w:t>for</w:t>
      </w:r>
      <w:r>
        <w:rPr>
          <w:b/>
          <w:bCs/>
        </w:rPr>
        <w:t xml:space="preserve"> Use:</w:t>
      </w:r>
      <w:r>
        <w:t xml:space="preserve"> BJA</w:t>
      </w:r>
      <w:r w:rsidR="007F303A">
        <w:t>’</w:t>
      </w:r>
      <w:r>
        <w:t xml:space="preserve">s </w:t>
      </w:r>
      <w:r w:rsidR="003A140A">
        <w:t>CBOB</w:t>
      </w:r>
      <w:r>
        <w:t xml:space="preserve"> </w:t>
      </w:r>
      <w:r w:rsidR="007F303A">
        <w:t>Office</w:t>
      </w:r>
      <w:r>
        <w:t xml:space="preserve"> will use the </w:t>
      </w:r>
      <w:r>
        <w:t>CBOB</w:t>
      </w:r>
      <w:r>
        <w:t xml:space="preserve"> </w:t>
      </w:r>
      <w:r w:rsidR="00F706F7">
        <w:t>nomination</w:t>
      </w:r>
      <w:r>
        <w:t xml:space="preserve"> information to confirm the eligibility of </w:t>
      </w:r>
      <w:r w:rsidR="00F706F7">
        <w:t>nominee</w:t>
      </w:r>
      <w:r>
        <w:t xml:space="preserve">s to </w:t>
      </w:r>
      <w:r>
        <w:t xml:space="preserve">be considered for the </w:t>
      </w:r>
      <w:r>
        <w:t>CBOB, and</w:t>
      </w:r>
      <w:r>
        <w:t xml:space="preserve"> forward the </w:t>
      </w:r>
      <w:r w:rsidR="00F706F7">
        <w:t>nomination</w:t>
      </w:r>
      <w:r>
        <w:t xml:space="preserve"> as appropriate to the Federal or the State and Local CBOB Board for their further consideration</w:t>
      </w:r>
      <w:r>
        <w:t xml:space="preserve">.  </w:t>
      </w:r>
      <w:r>
        <w:t xml:space="preserve">In General – A Federal/State and Local agency head many nominate for a Federal/State and Local Law Enforcement Badge and individual – (1) who is a Federal/State and Local law enforcement officer working within the agency of the Federal/State and Local agency head making the nomination; and (2) who – (A)(i) sustained a physical injury while – (I) engaged in the lawful duties of the individual; and (II) performing an act characterized as bravery by the Federal/State and Local agency head making the nomination; and (ii) put the individual at personal risk when the injury described in clause (i) occurred; or (B) </w:t>
      </w:r>
      <w:r w:rsidR="000A4C9B">
        <w:t>while not injured, performed an</w:t>
      </w:r>
      <w:r>
        <w:t xml:space="preserve"> act characterized as bravery by the Federal/State and Local agency head making the nomination that placed the individual at risk of serious physical injury or death.  The U.S. Department of Justice’s Office of Justice Programs’ Bureau of Justice Assistance has been authorized to administer the Law Enforcement Congressional Badge of Bravery (CBOB) Program. </w:t>
      </w:r>
    </w:p>
    <w:p w:rsidR="00D01535" w14:paraId="35945635" w14:textId="77777777"/>
    <w:p w:rsidR="00FC2653" w14:paraId="16BC0EB7" w14:textId="77777777">
      <w:r>
        <w:t xml:space="preserve">The </w:t>
      </w:r>
      <w:r w:rsidR="00D01535">
        <w:t xml:space="preserve">electronic </w:t>
      </w:r>
      <w:r w:rsidR="00F706F7">
        <w:t>nomination</w:t>
      </w:r>
      <w:r>
        <w:t xml:space="preserve"> form ha</w:t>
      </w:r>
      <w:r w:rsidR="007F303A">
        <w:t>s</w:t>
      </w:r>
      <w:r>
        <w:t xml:space="preserve"> been </w:t>
      </w:r>
      <w:r w:rsidR="007F303A">
        <w:t>created</w:t>
      </w:r>
      <w:r>
        <w:t xml:space="preserve"> </w:t>
      </w:r>
      <w:r>
        <w:t>in an effort to</w:t>
      </w:r>
      <w:r>
        <w:t xml:space="preserve"> streamline the </w:t>
      </w:r>
      <w:r w:rsidR="00F706F7">
        <w:t>nomination</w:t>
      </w:r>
      <w:r>
        <w:t xml:space="preserve"> process</w:t>
      </w:r>
      <w:r w:rsidR="00D01535">
        <w:t xml:space="preserve">, collect all required information as established under the Act, and make available such </w:t>
      </w:r>
      <w:r w:rsidR="00F706F7">
        <w:t>nomination</w:t>
      </w:r>
      <w:r w:rsidR="00D01535">
        <w:t>s to the relevant CBOB Board for their review and consideration.</w:t>
      </w:r>
    </w:p>
    <w:p w:rsidR="00FC2653" w14:paraId="478D45B1" w14:textId="77777777"/>
    <w:p w:rsidR="00707607" w:rsidRPr="00D53DEB" w:rsidP="00707607" w14:paraId="0ED3E2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60971">
        <w:rPr>
          <w:b/>
        </w:rPr>
        <w:t>3.</w:t>
      </w:r>
      <w:r>
        <w:t xml:space="preserve">  </w:t>
      </w:r>
      <w:r w:rsidRPr="00D53DE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7607" w14:paraId="767C04DF" w14:textId="71A58D09"/>
    <w:p w:rsidR="001C0B68" w14:paraId="11B76E85" w14:textId="75311192">
      <w:r>
        <w:rPr>
          <w:b/>
          <w:bCs/>
        </w:rPr>
        <w:t xml:space="preserve">Use of Information Technology: </w:t>
      </w:r>
      <w:r w:rsidRPr="001C0B68">
        <w:rPr>
          <w:bCs/>
        </w:rPr>
        <w:t xml:space="preserve">The </w:t>
      </w:r>
      <w:r w:rsidR="00E74E4C">
        <w:t>CBOB</w:t>
      </w:r>
      <w:r w:rsidRPr="001C0B68">
        <w:rPr>
          <w:bCs/>
        </w:rPr>
        <w:t xml:space="preserve"> </w:t>
      </w:r>
      <w:r w:rsidR="00F706F7">
        <w:rPr>
          <w:bCs/>
        </w:rPr>
        <w:t>nomination</w:t>
      </w:r>
      <w:r w:rsidRPr="001C0B68">
        <w:rPr>
          <w:bCs/>
        </w:rPr>
        <w:t xml:space="preserve"> form </w:t>
      </w:r>
      <w:r>
        <w:t>is</w:t>
      </w:r>
      <w:r w:rsidR="006C74D2">
        <w:t xml:space="preserve"> only </w:t>
      </w:r>
      <w:r>
        <w:t xml:space="preserve">accessible by the Internet at the </w:t>
      </w:r>
      <w:r w:rsidR="00E74E4C">
        <w:t>CBOB</w:t>
      </w:r>
      <w:r w:rsidR="007F303A">
        <w:t xml:space="preserve"> websit</w:t>
      </w:r>
      <w:r w:rsidR="000A4C9B">
        <w:t>e:</w:t>
      </w:r>
      <w:r w:rsidR="00E74E4C">
        <w:t xml:space="preserve"> </w:t>
      </w:r>
      <w:hyperlink r:id="rId5" w:history="1">
        <w:r w:rsidRPr="000A6881" w:rsidR="00E74E4C">
          <w:rPr>
            <w:rStyle w:val="Hyperlink"/>
          </w:rPr>
          <w:t>www.bja.gov/CBOB</w:t>
        </w:r>
      </w:hyperlink>
      <w:r w:rsidR="007F303A">
        <w:t xml:space="preserve">. </w:t>
      </w:r>
    </w:p>
    <w:p w:rsidR="00597EC7" w:rsidP="00E74E4C" w14:paraId="4517A847" w14:textId="77777777">
      <w:pPr>
        <w:rPr>
          <w:b/>
          <w:bCs/>
        </w:rPr>
      </w:pPr>
      <w:r>
        <w:tab/>
      </w:r>
      <w:r>
        <w:tab/>
      </w:r>
    </w:p>
    <w:p w:rsidR="00707607" w:rsidRPr="00D53DEB" w:rsidP="00707607" w14:paraId="6D5BED9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60971">
        <w:rPr>
          <w:b/>
        </w:rPr>
        <w:t>4.</w:t>
      </w:r>
      <w:r>
        <w:t xml:space="preserve">  </w:t>
      </w:r>
      <w:r w:rsidRPr="00D53DEB">
        <w:rPr>
          <w:b/>
          <w:bCs/>
        </w:rPr>
        <w:t>Describe efforts to identify duplication.  Show specifically why any similar information already available cannot be used or modified for use for the purposes described in Item A.2 above.</w:t>
      </w:r>
    </w:p>
    <w:p w:rsidR="00707607" w14:paraId="5992BCA5" w14:textId="7AB5B587"/>
    <w:p w:rsidR="00FC2653" w14:paraId="379F7BF8" w14:textId="4AFCA6AB">
      <w:r>
        <w:rPr>
          <w:b/>
          <w:bCs/>
        </w:rPr>
        <w:t>Identification of Duplication:</w:t>
      </w:r>
      <w:r>
        <w:t xml:space="preserve"> This is the only </w:t>
      </w:r>
      <w:r w:rsidR="00AD4D39">
        <w:t>F</w:t>
      </w:r>
      <w:r>
        <w:t xml:space="preserve">ederal program </w:t>
      </w:r>
      <w:r w:rsidR="006C74D2">
        <w:t>established by Congress strictly for the purpose of i</w:t>
      </w:r>
      <w:r w:rsidR="000A4C9B">
        <w:t>dentifying and acknowledging acts of</w:t>
      </w:r>
      <w:r w:rsidR="00667A96">
        <w:t xml:space="preserve"> bravery and federal, State and L</w:t>
      </w:r>
      <w:r w:rsidR="006C74D2">
        <w:t>ocal law enforcement officers</w:t>
      </w:r>
      <w:r>
        <w:t xml:space="preserve">. The </w:t>
      </w:r>
      <w:r w:rsidR="006C74D2">
        <w:t>CBOB</w:t>
      </w:r>
      <w:r>
        <w:t xml:space="preserve"> </w:t>
      </w:r>
      <w:r w:rsidR="00F706F7">
        <w:t>nomination</w:t>
      </w:r>
      <w:r>
        <w:t xml:space="preserve"> is the only form that asks the information required to determine if an individual is eligible for </w:t>
      </w:r>
      <w:r w:rsidR="006C74D2">
        <w:t>the CBOB</w:t>
      </w:r>
      <w:r>
        <w:t xml:space="preserve">. </w:t>
      </w:r>
    </w:p>
    <w:p w:rsidR="00B05721" w14:paraId="7C639A34" w14:textId="77777777"/>
    <w:p w:rsidR="00707607" w:rsidRPr="00D53DEB" w:rsidP="00707607" w14:paraId="200FA9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60971">
        <w:rPr>
          <w:b/>
        </w:rPr>
        <w:t>5.</w:t>
      </w:r>
      <w:r>
        <w:t xml:space="preserve">  </w:t>
      </w:r>
      <w:r w:rsidRPr="00D53DEB">
        <w:rPr>
          <w:b/>
          <w:bCs/>
        </w:rPr>
        <w:t>If the collection of information impacts small businesses or other small entities, describe any methods used to minimize burden.</w:t>
      </w:r>
    </w:p>
    <w:p w:rsidR="00707607" w14:paraId="4C277065" w14:textId="13DC34C5"/>
    <w:p w:rsidR="00FC2653" w14:paraId="141FB72D" w14:textId="3CDED894">
      <w:r>
        <w:rPr>
          <w:b/>
          <w:bCs/>
        </w:rPr>
        <w:t>Impact on Small Businesses or Other Entities:</w:t>
      </w:r>
      <w:r>
        <w:t xml:space="preserve"> The information collection requirements do not impact small businesses or other entities as described in the instructions for completing OMB Form 83-I.</w:t>
      </w:r>
    </w:p>
    <w:p w:rsidR="00FC2653" w14:paraId="1FC2FD9C" w14:textId="77777777"/>
    <w:p w:rsidR="00FC2653" w14:paraId="16880F5C" w14:textId="77777777">
      <w:pPr>
        <w:sectPr>
          <w:headerReference w:type="default" r:id="rId6"/>
          <w:pgSz w:w="12240" w:h="15840"/>
          <w:pgMar w:top="1440" w:right="1440" w:bottom="1440" w:left="1440" w:header="1440" w:footer="1440" w:gutter="0"/>
          <w:cols w:space="720"/>
          <w:noEndnote/>
        </w:sectPr>
      </w:pPr>
    </w:p>
    <w:p w:rsidR="00707607" w:rsidP="00707607" w14:paraId="09FFF0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60971">
        <w:rPr>
          <w:b/>
        </w:rPr>
        <w:t>6.</w:t>
      </w:r>
      <w:r>
        <w:t xml:space="preserve">  </w:t>
      </w:r>
      <w:r w:rsidRPr="00D53DEB">
        <w:rPr>
          <w:b/>
          <w:bCs/>
        </w:rPr>
        <w:t>Describe the consequence to federal program or policy activities if the collection is not conducted or is conducted less frequently, as well as any technical or legal obstacles to reducing burden.</w:t>
      </w:r>
    </w:p>
    <w:p w:rsidR="00707607" w14:paraId="050ACA4F" w14:textId="3AB544C7"/>
    <w:p w:rsidR="00FC2653" w14:paraId="7CC1ED0C" w14:textId="403D26EB">
      <w:r>
        <w:rPr>
          <w:b/>
          <w:bCs/>
        </w:rPr>
        <w:t>Consequences if Collect</w:t>
      </w:r>
      <w:r w:rsidR="00F60971">
        <w:rPr>
          <w:b/>
          <w:bCs/>
        </w:rPr>
        <w:t xml:space="preserve">ion is not </w:t>
      </w:r>
      <w:r w:rsidR="006C74D2">
        <w:rPr>
          <w:b/>
          <w:bCs/>
        </w:rPr>
        <w:t>conducted</w:t>
      </w:r>
      <w:r>
        <w:rPr>
          <w:b/>
          <w:bCs/>
        </w:rPr>
        <w:t>:</w:t>
      </w:r>
      <w:r>
        <w:t xml:space="preserve">  </w:t>
      </w:r>
      <w:r w:rsidR="003C38BD">
        <w:t>T</w:t>
      </w:r>
      <w:r>
        <w:t>he inf</w:t>
      </w:r>
      <w:r w:rsidR="003C38BD">
        <w:t xml:space="preserve">ormation collected on the </w:t>
      </w:r>
      <w:r w:rsidR="006C74D2">
        <w:t xml:space="preserve">CBOB </w:t>
      </w:r>
      <w:r w:rsidR="00F706F7">
        <w:t>nomination</w:t>
      </w:r>
      <w:r w:rsidR="006C74D2">
        <w:t xml:space="preserve"> </w:t>
      </w:r>
      <w:r w:rsidR="003C38BD">
        <w:t xml:space="preserve">is </w:t>
      </w:r>
      <w:r w:rsidR="006C74D2">
        <w:t xml:space="preserve">required under the </w:t>
      </w:r>
      <w:r w:rsidR="006C74D2">
        <w:t>Act, and</w:t>
      </w:r>
      <w:r w:rsidR="006C74D2">
        <w:t xml:space="preserve"> is </w:t>
      </w:r>
      <w:r w:rsidR="003C38BD">
        <w:t xml:space="preserve">necessary to </w:t>
      </w:r>
      <w:r>
        <w:t xml:space="preserve">confirm that </w:t>
      </w:r>
      <w:r w:rsidR="003C38BD">
        <w:t xml:space="preserve">the </w:t>
      </w:r>
      <w:r w:rsidR="00F706F7">
        <w:t>nominee</w:t>
      </w:r>
      <w:r w:rsidR="00597EC7">
        <w:t xml:space="preserve"> is </w:t>
      </w:r>
      <w:r>
        <w:t xml:space="preserve">eligible for </w:t>
      </w:r>
      <w:r w:rsidR="006C74D2">
        <w:t>the CBOB</w:t>
      </w:r>
      <w:r w:rsidR="003C38BD">
        <w:t xml:space="preserve">. Without the needed information, eligibility cannot be determined and consequently no </w:t>
      </w:r>
      <w:r w:rsidR="006C74D2">
        <w:t>awards</w:t>
      </w:r>
      <w:r w:rsidR="003C38BD">
        <w:t xml:space="preserve"> </w:t>
      </w:r>
      <w:r w:rsidR="00597EC7">
        <w:t>will be</w:t>
      </w:r>
      <w:r>
        <w:t xml:space="preserve"> </w:t>
      </w:r>
      <w:r w:rsidR="00104342">
        <w:t>made</w:t>
      </w:r>
      <w:r w:rsidR="00DD23AE">
        <w:t>.</w:t>
      </w:r>
    </w:p>
    <w:p w:rsidR="003C38BD" w14:paraId="36AFE124" w14:textId="77777777"/>
    <w:p w:rsidR="00707607" w:rsidRPr="00D53DEB" w:rsidP="00707607" w14:paraId="2FE4F8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0971">
        <w:rPr>
          <w:b/>
        </w:rPr>
        <w:t>7.</w:t>
      </w:r>
      <w:r>
        <w:t xml:space="preserve">  </w:t>
      </w:r>
      <w:r w:rsidRPr="00D53DEB">
        <w:rPr>
          <w:b/>
          <w:bCs/>
        </w:rPr>
        <w:t>Explain any special circumstances that would cause an information collection to be conducted in a manner:</w:t>
      </w:r>
    </w:p>
    <w:p w:rsidR="00707607" w:rsidRPr="00D53DEB" w:rsidP="00707607" w14:paraId="7E1AA5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07607" w:rsidRPr="00D53DEB" w:rsidP="00707607" w14:paraId="5F553C71"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707607" w:rsidRPr="00D53DEB" w:rsidP="00707607" w14:paraId="63FCB3C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70890B37"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707607" w:rsidRPr="00D53DEB" w:rsidP="00707607" w14:paraId="548032D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552B57AB"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707607" w:rsidRPr="00D53DEB" w:rsidP="00707607" w14:paraId="7ACF14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755B536D"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707607" w:rsidRPr="00D53DEB" w:rsidP="00707607" w14:paraId="4B9C62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4978C3BE"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707607" w:rsidRPr="00D53DEB" w:rsidP="00707607" w14:paraId="38FA293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700AF61E"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707607" w:rsidRPr="00D53DEB" w:rsidP="00707607" w14:paraId="6F90DB6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707607" w:rsidRPr="00D53DEB" w:rsidP="00707607" w14:paraId="233CE318"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07607" w:rsidRPr="00D53DEB" w:rsidP="00707607" w14:paraId="71E0D4E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7607" w:rsidRPr="00D53DEB" w:rsidP="00707607" w14:paraId="59538850"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707607" w14:paraId="16615ACC" w14:textId="74A1577A"/>
    <w:p w:rsidR="00E51C83" w14:paraId="145CFE9E" w14:textId="694EFD89">
      <w:r>
        <w:rPr>
          <w:b/>
          <w:bCs/>
        </w:rPr>
        <w:t>Special Circumstances:</w:t>
      </w:r>
      <w:r>
        <w:t xml:space="preserve"> </w:t>
      </w:r>
      <w:r w:rsidR="00F706F7">
        <w:t>Nomination</w:t>
      </w:r>
      <w:r w:rsidR="00163244">
        <w:t>s</w:t>
      </w:r>
      <w:r w:rsidR="00C67419">
        <w:t xml:space="preserve"> are voluntary.  Information is collected only if an agency decides to nominate a law enforcement officer for exceptional acts of bravery.  A separate </w:t>
      </w:r>
      <w:r w:rsidR="00F706F7">
        <w:t>nomination</w:t>
      </w:r>
      <w:r w:rsidR="00C67419">
        <w:t xml:space="preserve"> must be submitted for each law enforcement officer, per incident of bravery.</w:t>
      </w:r>
    </w:p>
    <w:p w:rsidR="00C67419" w14:paraId="4EA0B363" w14:textId="77777777"/>
    <w:p w:rsidR="00C67419" w14:paraId="060EBB74" w14:textId="77777777">
      <w:r>
        <w:t>Nomination</w:t>
      </w:r>
      <w:r>
        <w:t xml:space="preserve">s will be used only </w:t>
      </w:r>
      <w:r w:rsidR="00163244">
        <w:t xml:space="preserve">to nominate law enforcement officers </w:t>
      </w:r>
      <w:r>
        <w:t>for acts of bravery accomplished during a given eligibility period.  Each eligibility period runs from January 1</w:t>
      </w:r>
      <w:r w:rsidRPr="00C67419">
        <w:rPr>
          <w:vertAlign w:val="superscript"/>
        </w:rPr>
        <w:t>st</w:t>
      </w:r>
      <w:r>
        <w:t xml:space="preserve"> through the following December 31</w:t>
      </w:r>
      <w:r w:rsidRPr="00C67419">
        <w:rPr>
          <w:vertAlign w:val="superscript"/>
        </w:rPr>
        <w:t>st</w:t>
      </w:r>
      <w:r>
        <w:t>.</w:t>
      </w:r>
    </w:p>
    <w:p w:rsidR="006E7876" w14:paraId="7E3A067C" w14:textId="77777777">
      <w:r>
        <w:tab/>
      </w:r>
    </w:p>
    <w:p w:rsidR="006E7876" w:rsidP="006E7876" w14:paraId="1317CFD7" w14:textId="77777777">
      <w:pPr>
        <w:numPr>
          <w:ilvl w:val="0"/>
          <w:numId w:val="2"/>
        </w:numPr>
      </w:pPr>
      <w:r>
        <w:t>Nominee</w:t>
      </w:r>
      <w:r>
        <w:t xml:space="preserve">s submit only a single </w:t>
      </w:r>
      <w:r>
        <w:t>nomination</w:t>
      </w:r>
      <w:r>
        <w:t xml:space="preserve"> per nomination</w:t>
      </w:r>
      <w:r w:rsidR="00163244">
        <w:t>.</w:t>
      </w:r>
    </w:p>
    <w:p w:rsidR="006E7876" w:rsidP="006E7876" w14:paraId="138D2A46" w14:textId="77777777">
      <w:pPr>
        <w:numPr>
          <w:ilvl w:val="0"/>
          <w:numId w:val="2"/>
        </w:numPr>
      </w:pPr>
      <w:r>
        <w:t xml:space="preserve">An official online CBOB </w:t>
      </w:r>
      <w:r w:rsidR="00F706F7">
        <w:t>nomination</w:t>
      </w:r>
      <w:r>
        <w:t xml:space="preserve"> must be submitted</w:t>
      </w:r>
      <w:r w:rsidR="00163244">
        <w:t>.</w:t>
      </w:r>
    </w:p>
    <w:p w:rsidR="00163244" w:rsidP="006E7876" w14:paraId="299B77A1" w14:textId="77777777">
      <w:pPr>
        <w:numPr>
          <w:ilvl w:val="0"/>
          <w:numId w:val="2"/>
        </w:numPr>
      </w:pPr>
      <w:r>
        <w:t xml:space="preserve">The online </w:t>
      </w:r>
      <w:r w:rsidR="00F706F7">
        <w:t>nomination</w:t>
      </w:r>
      <w:r>
        <w:t xml:space="preserve"> allows for the attachment of supporting material within certain limitations.</w:t>
      </w:r>
    </w:p>
    <w:p w:rsidR="006E7876" w:rsidP="006E7876" w14:paraId="4C4917CE" w14:textId="77777777">
      <w:pPr>
        <w:numPr>
          <w:ilvl w:val="0"/>
          <w:numId w:val="2"/>
        </w:numPr>
      </w:pPr>
      <w:r>
        <w:t>This collection is not part of a statistical survey</w:t>
      </w:r>
      <w:r w:rsidR="00163244">
        <w:t>.</w:t>
      </w:r>
    </w:p>
    <w:p w:rsidR="006E7876" w:rsidP="006E7876" w14:paraId="2B231C25" w14:textId="77777777">
      <w:pPr>
        <w:numPr>
          <w:ilvl w:val="0"/>
          <w:numId w:val="2"/>
        </w:numPr>
      </w:pPr>
      <w:r>
        <w:t>This collection does not require the use of statistical data</w:t>
      </w:r>
      <w:r w:rsidR="00163244">
        <w:t>.</w:t>
      </w:r>
    </w:p>
    <w:p w:rsidR="006E7876" w:rsidP="006E7876" w14:paraId="7CFB76E7" w14:textId="77777777">
      <w:pPr>
        <w:numPr>
          <w:ilvl w:val="0"/>
          <w:numId w:val="2"/>
        </w:numPr>
      </w:pPr>
      <w:r>
        <w:t>Under the Act, t</w:t>
      </w:r>
      <w:r>
        <w:t>he CBOB Boards shall not disclose any information which may compromise an ongoing law enforcement investigation or is otherwise require</w:t>
      </w:r>
      <w:r w:rsidR="000A4C9B">
        <w:t>d</w:t>
      </w:r>
      <w:r>
        <w:t xml:space="preserve"> by law to be kept confidential.</w:t>
      </w:r>
    </w:p>
    <w:p w:rsidR="00E51C83" w14:paraId="560D765A" w14:textId="77777777"/>
    <w:p w:rsidR="00707607" w:rsidRPr="00D53DEB" w:rsidP="00707607" w14:paraId="3EEFB3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51C83">
        <w:rPr>
          <w:b/>
        </w:rPr>
        <w:t>8.</w:t>
      </w:r>
      <w:r>
        <w:t xml:space="preserve">  </w:t>
      </w:r>
      <w:r w:rsidRPr="00D53DEB">
        <w:rPr>
          <w:b/>
          <w:bCs/>
        </w:rPr>
        <w:t xml:space="preserve">If applicable, provide a copy and identify the date and page number of </w:t>
      </w:r>
      <w:r w:rsidRPr="00D53DEB">
        <w:rPr>
          <w:b/>
          <w:bCs/>
        </w:rPr>
        <w:t>publication</w:t>
      </w:r>
      <w:r w:rsidRPr="00D53DEB">
        <w:rPr>
          <w:b/>
          <w:bCs/>
        </w:rPr>
        <w:t xml:space="preserve"> in the </w:t>
      </w:r>
      <w:r w:rsidRPr="00D53DEB">
        <w:rPr>
          <w:rStyle w:val="Heading2Char"/>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7607" w:rsidRPr="00D53DEB" w:rsidP="00707607" w14:paraId="0CC243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07607" w:rsidRPr="00D53DEB" w:rsidP="00707607" w14:paraId="13999C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7607" w:rsidRPr="00D53DEB" w:rsidP="00707607" w14:paraId="070851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07607" w:rsidRPr="00D53DEB" w:rsidP="00707607" w14:paraId="6533D9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707607" w14:paraId="605F8BE4" w14:textId="11300061"/>
    <w:p w:rsidR="00707607" w:rsidP="00707607" w14:paraId="19D35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40D34">
        <w:rPr>
          <w:b/>
        </w:rPr>
        <w:t>Publication:</w:t>
      </w:r>
      <w:r>
        <w:t xml:space="preserve">  </w:t>
      </w:r>
    </w:p>
    <w:p w:rsidR="00FC2653" w:rsidP="00707607" w14:paraId="6606CA5F" w14:textId="1A8BB513">
      <w:pPr>
        <w:widowControl/>
        <w:autoSpaceDE/>
        <w:autoSpaceDN/>
        <w:adjustRightInd/>
      </w:pPr>
      <w:r w:rsidRPr="00A2391E">
        <w:t xml:space="preserve">The 60-Day Notice was published in the Federal Register on </w:t>
      </w:r>
      <w:r>
        <w:t>September 15, 2023</w:t>
      </w:r>
      <w:r w:rsidRPr="00A2391E">
        <w:t xml:space="preserve"> </w:t>
      </w:r>
      <w:r>
        <w:t>(</w:t>
      </w:r>
      <w:r w:rsidRPr="00950ED2">
        <w:t>88 FR 63629</w:t>
      </w:r>
      <w:r w:rsidRPr="00A2391E">
        <w:t>). The comment period end</w:t>
      </w:r>
      <w:r>
        <w:t>s</w:t>
      </w:r>
      <w:r w:rsidRPr="00A2391E">
        <w:t xml:space="preserve"> on</w:t>
      </w:r>
      <w:r>
        <w:t xml:space="preserve"> November 14, 2023.</w:t>
      </w:r>
    </w:p>
    <w:p w:rsidR="00707607" w:rsidP="00707607" w14:paraId="452EDBAB" w14:textId="77777777">
      <w:pPr>
        <w:widowControl/>
        <w:autoSpaceDE/>
        <w:autoSpaceDN/>
        <w:adjustRightInd/>
      </w:pPr>
    </w:p>
    <w:p w:rsidR="00707607" w:rsidP="00C67419" w14:paraId="2B83EC10" w14:textId="525C3B12">
      <w:pPr>
        <w:rPr>
          <w:b/>
          <w:bCs/>
        </w:rPr>
      </w:pPr>
      <w:r w:rsidRPr="00E51C83">
        <w:rPr>
          <w:b/>
        </w:rPr>
        <w:t xml:space="preserve">9. </w:t>
      </w:r>
      <w:r w:rsidRPr="00D53DEB">
        <w:rPr>
          <w:b/>
          <w:bCs/>
        </w:rPr>
        <w:t>Explain any decision to provide any payments or gift</w:t>
      </w:r>
      <w:r>
        <w:rPr>
          <w:b/>
          <w:bCs/>
        </w:rPr>
        <w:t>s</w:t>
      </w:r>
      <w:r w:rsidRPr="00D53DEB">
        <w:rPr>
          <w:b/>
          <w:bCs/>
        </w:rPr>
        <w:t xml:space="preserve"> to respondents, other than remuneration of contractors or grantees</w:t>
      </w:r>
    </w:p>
    <w:p w:rsidR="00707607" w:rsidP="00C67419" w14:paraId="73B15681" w14:textId="77777777">
      <w:pPr>
        <w:rPr>
          <w:b/>
        </w:rPr>
      </w:pPr>
    </w:p>
    <w:p w:rsidR="00972815" w:rsidP="00C67419" w14:paraId="2D8E9460" w14:textId="7F03DDAD">
      <w:r>
        <w:rPr>
          <w:b/>
          <w:bCs/>
        </w:rPr>
        <w:t>Payment to Respondents:</w:t>
      </w:r>
      <w:r w:rsidRPr="00D40D34" w:rsidR="00D40D34">
        <w:t xml:space="preserve"> </w:t>
      </w:r>
      <w:r w:rsidR="00C67419">
        <w:t>None.</w:t>
      </w:r>
    </w:p>
    <w:p w:rsidR="00972815" w14:paraId="51DEF600" w14:textId="77777777"/>
    <w:p w:rsidR="00BD718A" w:rsidP="00217B30" w14:paraId="740A2A53" w14:textId="4506AAB6">
      <w:pPr>
        <w:rPr>
          <w:b/>
          <w:bCs/>
        </w:rPr>
      </w:pPr>
      <w:r w:rsidRPr="00E51C83">
        <w:rPr>
          <w:b/>
        </w:rPr>
        <w:t xml:space="preserve">10.  </w:t>
      </w:r>
      <w:r w:rsidRPr="00D53DEB">
        <w:rPr>
          <w:b/>
          <w:bCs/>
        </w:rPr>
        <w:t>Describe any assurance of confidentiality provided to respondents and the basis for the assurance in statute, regulation, or agency policy.</w:t>
      </w:r>
    </w:p>
    <w:p w:rsidR="00BD718A" w:rsidP="00217B30" w14:paraId="63326664" w14:textId="77777777">
      <w:pPr>
        <w:rPr>
          <w:b/>
        </w:rPr>
      </w:pPr>
    </w:p>
    <w:p w:rsidR="00217B30" w:rsidRPr="00F50FB7" w:rsidP="00217B30" w14:paraId="719030A5" w14:textId="70C2963A">
      <w:r>
        <w:rPr>
          <w:b/>
          <w:bCs/>
        </w:rPr>
        <w:t>Assurance of Confidentiality:</w:t>
      </w:r>
      <w:r>
        <w:t xml:space="preserve"> </w:t>
      </w:r>
      <w:r w:rsidRPr="00F50FB7">
        <w:rPr>
          <w:bCs/>
        </w:rPr>
        <w:t xml:space="preserve">As required </w:t>
      </w:r>
      <w:r>
        <w:rPr>
          <w:bCs/>
        </w:rPr>
        <w:t>by 42 U.S.C. § 15231 note et seq., the recipients of this information “shall not disclose any information which may compromise an ongoing law enforcement investigation or is otherwise required by law to be kept confidential.”</w:t>
      </w:r>
    </w:p>
    <w:p w:rsidR="00E51C83" w14:paraId="43A71131" w14:textId="77777777"/>
    <w:p w:rsidR="00BD718A" w:rsidP="00BD718A" w14:paraId="0C285D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10462D">
        <w:rPr>
          <w:b/>
        </w:rPr>
        <w:t>11.</w:t>
      </w:r>
      <w:r>
        <w:t xml:space="preserve">  </w:t>
      </w:r>
      <w:r w:rsidRPr="00D53DE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718A" w14:paraId="121AA8C8" w14:textId="77777777">
      <w:pPr>
        <w:rPr>
          <w:b/>
          <w:bCs/>
        </w:rPr>
      </w:pPr>
    </w:p>
    <w:p w:rsidR="00FC2653" w14:paraId="7B4B6A53" w14:textId="7D3FC2A1">
      <w:r>
        <w:rPr>
          <w:b/>
          <w:bCs/>
        </w:rPr>
        <w:t>Questions of a Sensitive Nature:</w:t>
      </w:r>
      <w:r>
        <w:t xml:space="preserve"> </w:t>
      </w:r>
      <w:r w:rsidR="006318B4">
        <w:t xml:space="preserve">The Act requires that among other information, each </w:t>
      </w:r>
      <w:r w:rsidR="00F706F7">
        <w:t>nomination</w:t>
      </w:r>
      <w:r w:rsidR="006318B4">
        <w:t xml:space="preserve"> include the nominee’s home address information.</w:t>
      </w:r>
    </w:p>
    <w:p w:rsidR="00FC2653" w14:paraId="173AF714" w14:textId="77777777"/>
    <w:p w:rsidR="0068488E" w:rsidRPr="00E7721F" w:rsidP="00DE5EDD" w14:paraId="4C2576BB" w14:textId="2D8524CB">
      <w:pPr>
        <w:rPr>
          <w:bCs/>
        </w:rPr>
      </w:pPr>
      <w:r w:rsidRPr="0010462D">
        <w:rPr>
          <w:b/>
        </w:rPr>
        <w:t>12.</w:t>
      </w:r>
      <w:r>
        <w:t xml:space="preserve">  </w:t>
      </w:r>
      <w:r>
        <w:rPr>
          <w:b/>
          <w:bCs/>
        </w:rPr>
        <w:t>Estimate of the Hour Burden:</w:t>
      </w:r>
      <w:r>
        <w:rPr>
          <w:b/>
          <w:bCs/>
        </w:rPr>
        <w:t xml:space="preserve"> </w:t>
      </w:r>
      <w:r w:rsidRPr="006318B4" w:rsidR="006318B4">
        <w:rPr>
          <w:bCs/>
        </w:rPr>
        <w:t>During the</w:t>
      </w:r>
      <w:r w:rsidR="006318B4">
        <w:rPr>
          <w:b/>
          <w:bCs/>
        </w:rPr>
        <w:t xml:space="preserve"> </w:t>
      </w:r>
      <w:r w:rsidR="00286632">
        <w:rPr>
          <w:bCs/>
        </w:rPr>
        <w:t xml:space="preserve">7 </w:t>
      </w:r>
      <w:r w:rsidR="006318B4">
        <w:rPr>
          <w:bCs/>
        </w:rPr>
        <w:t>years of operation for the CBOB program, there has been an average of thirty-</w:t>
      </w:r>
      <w:r w:rsidR="005519A8">
        <w:rPr>
          <w:bCs/>
        </w:rPr>
        <w:t xml:space="preserve">eight </w:t>
      </w:r>
      <w:r w:rsidR="006318B4">
        <w:rPr>
          <w:bCs/>
        </w:rPr>
        <w:t>(</w:t>
      </w:r>
      <w:r w:rsidR="005519A8">
        <w:rPr>
          <w:bCs/>
        </w:rPr>
        <w:t>38</w:t>
      </w:r>
      <w:r w:rsidR="006318B4">
        <w:rPr>
          <w:bCs/>
        </w:rPr>
        <w:t xml:space="preserve">) </w:t>
      </w:r>
      <w:r w:rsidR="00475D9F">
        <w:rPr>
          <w:bCs/>
        </w:rPr>
        <w:t>F</w:t>
      </w:r>
      <w:r w:rsidR="006318B4">
        <w:rPr>
          <w:bCs/>
        </w:rPr>
        <w:t xml:space="preserve">ederal </w:t>
      </w:r>
      <w:r w:rsidR="00F706F7">
        <w:rPr>
          <w:bCs/>
        </w:rPr>
        <w:t>nomination</w:t>
      </w:r>
      <w:r w:rsidR="006318B4">
        <w:rPr>
          <w:bCs/>
        </w:rPr>
        <w:t xml:space="preserve">s, and </w:t>
      </w:r>
      <w:r w:rsidR="00475D9F">
        <w:rPr>
          <w:bCs/>
        </w:rPr>
        <w:t xml:space="preserve">one hundred </w:t>
      </w:r>
      <w:r w:rsidR="005519A8">
        <w:rPr>
          <w:bCs/>
        </w:rPr>
        <w:t>twenty</w:t>
      </w:r>
      <w:r w:rsidR="00475D9F">
        <w:rPr>
          <w:bCs/>
        </w:rPr>
        <w:t>-</w:t>
      </w:r>
      <w:r w:rsidR="005519A8">
        <w:rPr>
          <w:bCs/>
        </w:rPr>
        <w:t xml:space="preserve">six  </w:t>
      </w:r>
      <w:r w:rsidR="00475D9F">
        <w:rPr>
          <w:bCs/>
        </w:rPr>
        <w:t>(</w:t>
      </w:r>
      <w:r w:rsidR="005519A8">
        <w:rPr>
          <w:bCs/>
        </w:rPr>
        <w:t>126</w:t>
      </w:r>
      <w:r w:rsidR="00475D9F">
        <w:rPr>
          <w:bCs/>
        </w:rPr>
        <w:t xml:space="preserve">) State and Local </w:t>
      </w:r>
      <w:r w:rsidR="00F706F7">
        <w:rPr>
          <w:bCs/>
        </w:rPr>
        <w:t>nomination</w:t>
      </w:r>
      <w:r w:rsidR="00475D9F">
        <w:rPr>
          <w:bCs/>
        </w:rPr>
        <w:t>s received.  The process is estimated to take approximately 20 minutes to gather the required</w:t>
      </w:r>
      <w:r w:rsidR="00E7721F">
        <w:rPr>
          <w:bCs/>
        </w:rPr>
        <w:t xml:space="preserve"> </w:t>
      </w:r>
      <w:r w:rsidR="00475D9F">
        <w:rPr>
          <w:bCs/>
        </w:rPr>
        <w:t xml:space="preserve">information and complete the online form. </w:t>
      </w:r>
    </w:p>
    <w:p w:rsidR="0068488E" w:rsidP="00DE5EDD" w14:paraId="5448D42D" w14:textId="77777777">
      <w:pPr>
        <w:rPr>
          <w:b/>
          <w:bCs/>
        </w:rPr>
      </w:pPr>
    </w:p>
    <w:p w:rsidR="0068488E" w:rsidRPr="00941306" w:rsidP="0068488E" w14:paraId="09009FF0" w14:textId="77777777">
      <w:pPr>
        <w:widowControl/>
        <w:numPr>
          <w:ilvl w:val="0"/>
          <w:numId w:val="1"/>
        </w:numPr>
        <w:autoSpaceDE/>
        <w:autoSpaceDN/>
        <w:adjustRightInd/>
        <w:spacing w:line="360" w:lineRule="auto"/>
      </w:pPr>
      <w:r>
        <w:t xml:space="preserve">Total average number </w:t>
      </w:r>
      <w:r w:rsidRPr="00941306">
        <w:t xml:space="preserve">of </w:t>
      </w:r>
      <w:r>
        <w:t xml:space="preserve">annual </w:t>
      </w:r>
      <w:r w:rsidR="00F706F7">
        <w:t>nomination</w:t>
      </w:r>
      <w:r>
        <w:t>s</w:t>
      </w:r>
      <w:r>
        <w:t>:</w:t>
      </w:r>
      <w:r w:rsidRPr="00941306">
        <w:t xml:space="preserve"> </w:t>
      </w:r>
      <w:r w:rsidR="007F303A">
        <w:t xml:space="preserve"> </w:t>
      </w:r>
      <w:r w:rsidR="005519A8">
        <w:t>164</w:t>
      </w:r>
    </w:p>
    <w:p w:rsidR="0068488E" w:rsidRPr="007A004F" w:rsidP="0068488E" w14:paraId="780468A4" w14:textId="77777777">
      <w:pPr>
        <w:widowControl/>
        <w:numPr>
          <w:ilvl w:val="0"/>
          <w:numId w:val="1"/>
        </w:numPr>
        <w:autoSpaceDE/>
        <w:autoSpaceDN/>
        <w:adjustRightInd/>
        <w:spacing w:line="360" w:lineRule="auto"/>
      </w:pPr>
      <w:r w:rsidRPr="007A004F">
        <w:t xml:space="preserve">Number of </w:t>
      </w:r>
      <w:r w:rsidR="00F706F7">
        <w:t>nomination</w:t>
      </w:r>
      <w:r w:rsidRPr="007A004F">
        <w:t>s submitted per</w:t>
      </w:r>
      <w:r>
        <w:t xml:space="preserve"> respondent</w:t>
      </w:r>
      <w:r w:rsidRPr="007A004F">
        <w:t xml:space="preserve">: </w:t>
      </w:r>
      <w:r w:rsidR="00475D9F">
        <w:t>varies</w:t>
      </w:r>
    </w:p>
    <w:p w:rsidR="0068488E" w:rsidP="0068488E" w14:paraId="5C2F4D18" w14:textId="5D13CBB7">
      <w:pPr>
        <w:widowControl/>
        <w:numPr>
          <w:ilvl w:val="0"/>
          <w:numId w:val="1"/>
        </w:numPr>
        <w:autoSpaceDE/>
        <w:autoSpaceDN/>
        <w:adjustRightInd/>
        <w:spacing w:line="360" w:lineRule="auto"/>
      </w:pPr>
      <w:r>
        <w:t xml:space="preserve">Estimated submission time </w:t>
      </w:r>
      <w:r>
        <w:t xml:space="preserve">per </w:t>
      </w:r>
      <w:r w:rsidR="00F706F7">
        <w:t>nomination</w:t>
      </w:r>
      <w:r>
        <w:t xml:space="preserve">: </w:t>
      </w:r>
      <w:r w:rsidR="00A62CF1">
        <w:t xml:space="preserve"> </w:t>
      </w:r>
      <w:r w:rsidR="00BD718A">
        <w:t>15</w:t>
      </w:r>
      <w:r>
        <w:t xml:space="preserve"> minutes</w:t>
      </w:r>
    </w:p>
    <w:p w:rsidR="0068488E" w:rsidP="0068488E" w14:paraId="1DAD72C1" w14:textId="518E22F1">
      <w:pPr>
        <w:widowControl/>
        <w:numPr>
          <w:ilvl w:val="0"/>
          <w:numId w:val="1"/>
        </w:numPr>
        <w:autoSpaceDE/>
        <w:autoSpaceDN/>
        <w:adjustRightInd/>
        <w:spacing w:line="360" w:lineRule="auto"/>
        <w:rPr>
          <w:b/>
          <w:bCs/>
        </w:rPr>
      </w:pPr>
      <w:r>
        <w:t xml:space="preserve">Total Annual Reporting Burden:  </w:t>
      </w:r>
      <w:r w:rsidR="005519A8">
        <w:t xml:space="preserve">164 </w:t>
      </w:r>
      <w:r>
        <w:t xml:space="preserve">x </w:t>
      </w:r>
      <w:r w:rsidR="00BD718A">
        <w:t>15</w:t>
      </w:r>
      <w:r>
        <w:t xml:space="preserve"> minutes per </w:t>
      </w:r>
      <w:r w:rsidR="00F706F7">
        <w:t>nomination</w:t>
      </w:r>
      <w:r>
        <w:t xml:space="preserve"> = </w:t>
      </w:r>
      <w:r w:rsidR="00BD718A">
        <w:t>2415</w:t>
      </w:r>
      <w:r w:rsidR="005519A8">
        <w:t xml:space="preserve"> </w:t>
      </w:r>
      <w:r>
        <w:t>minutes</w:t>
      </w:r>
      <w:r w:rsidR="00A62CF1">
        <w:t>/</w:t>
      </w:r>
      <w:r>
        <w:t xml:space="preserve"> by 60 minutes per hour = </w:t>
      </w:r>
      <w:r w:rsidR="00BD718A">
        <w:t>41</w:t>
      </w:r>
      <w:r w:rsidR="005519A8">
        <w:t xml:space="preserve"> </w:t>
      </w:r>
      <w:r>
        <w:t xml:space="preserve">hours. </w:t>
      </w:r>
    </w:p>
    <w:p w:rsidR="006F232C" w14:paraId="22181235" w14:textId="77777777">
      <w:pPr>
        <w:rPr>
          <w:b/>
        </w:rPr>
      </w:pPr>
    </w:p>
    <w:p w:rsidR="00BD718A" w:rsidRPr="00D53DEB" w:rsidP="00BD718A" w14:paraId="1257D4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10462D">
        <w:rPr>
          <w:b/>
        </w:rPr>
        <w:t>13.</w:t>
      </w:r>
      <w:r>
        <w:t xml:space="preserve">  </w:t>
      </w:r>
      <w:r w:rsidRPr="00D53DEB">
        <w:rPr>
          <w:b/>
        </w:rPr>
        <w:t>Provide an estimate of the total annual cost burden to respondents or recordkeepers resulting from the collection of information.  (Do not include the cost of any hour burden shown in Items 12 and 14).</w:t>
      </w:r>
    </w:p>
    <w:p w:rsidR="00BD718A" w:rsidRPr="00D53DEB" w:rsidP="00BD718A" w14:paraId="4E7412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BD718A" w:rsidP="00BD718A" w14:paraId="55F3A308"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w:t>
      </w:r>
      <w:r w:rsidRPr="006F6E13">
        <w:rPr>
          <w:b/>
        </w:rPr>
        <w:t>:  (</w:t>
      </w:r>
      <w:r w:rsidRPr="006F6E13">
        <w:rPr>
          <w:b/>
        </w:rPr>
        <w:t>a) a total capital</w:t>
      </w:r>
    </w:p>
    <w:p w:rsidR="00BD718A" w:rsidP="00BD718A" w14:paraId="7EC2560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 cost component (annualized over its expected useful life); and (b) a</w:t>
      </w:r>
    </w:p>
    <w:p w:rsidR="00BD718A" w:rsidP="00BD718A" w14:paraId="006B2882"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BD718A" w:rsidP="00BD718A" w14:paraId="29FDAE5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r w:rsidRPr="006F6E13">
        <w:rPr>
          <w:b/>
        </w:rPr>
        <w:t>take into account</w:t>
      </w:r>
      <w:r w:rsidRPr="006F6E13">
        <w:rPr>
          <w:b/>
        </w:rPr>
        <w:t xml:space="preserve"> costs associated with generating, </w:t>
      </w:r>
    </w:p>
    <w:p w:rsidR="00BD718A" w:rsidP="00BD718A" w14:paraId="0414F78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BD718A" w:rsidRPr="006F6E13" w:rsidP="00BD718A" w14:paraId="33699BF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BD718A" w:rsidRPr="00D53DEB" w:rsidP="00BD718A" w14:paraId="7590928D"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BD718A" w:rsidRPr="00D53DEB" w:rsidP="00BD718A" w14:paraId="4653288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BD718A" w:rsidRPr="00D53DEB" w:rsidP="00BD718A" w14:paraId="7F471B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D718A" w:rsidRPr="00D53DEB" w:rsidP="00BD718A" w14:paraId="65F18178"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18A" w14:paraId="05D68924" w14:textId="7D00CBE8"/>
    <w:p w:rsidR="0068488E" w14:paraId="107F48A8" w14:textId="528650CC">
      <w:r>
        <w:rPr>
          <w:b/>
          <w:bCs/>
        </w:rPr>
        <w:t>Estimate of the Total Annual Cost Burden:</w:t>
      </w:r>
      <w:r>
        <w:t xml:space="preserve"> There </w:t>
      </w:r>
      <w:r w:rsidR="003B7532">
        <w:t>are</w:t>
      </w:r>
      <w:r w:rsidR="00B64299">
        <w:t xml:space="preserve"> no </w:t>
      </w:r>
      <w:r w:rsidR="00395644">
        <w:t xml:space="preserve">direct costs to the </w:t>
      </w:r>
      <w:r w:rsidR="00F706F7">
        <w:t>nomination</w:t>
      </w:r>
      <w:r w:rsidR="00395644">
        <w:t xml:space="preserve">s other than the time taken to complete and submit the voluntary </w:t>
      </w:r>
      <w:r w:rsidR="00F706F7">
        <w:t>nomination</w:t>
      </w:r>
      <w:r w:rsidR="00395644">
        <w:t xml:space="preserve">.  </w:t>
      </w:r>
      <w:r w:rsidR="00F706F7">
        <w:t>Nominee</w:t>
      </w:r>
      <w:r w:rsidR="00395644">
        <w:t xml:space="preserve">s are not requested to create and maintain an independent data collection, reporting systems, nor travel.  Consequently, the </w:t>
      </w:r>
      <w:r w:rsidR="00F706F7">
        <w:t>nominee</w:t>
      </w:r>
      <w:r w:rsidR="00395644">
        <w:t>s incur no additional costs.</w:t>
      </w:r>
      <w:r>
        <w:t xml:space="preserve">  </w:t>
      </w:r>
    </w:p>
    <w:p w:rsidR="00DD23AE" w14:paraId="7E1320DB" w14:textId="77777777"/>
    <w:p w:rsidR="00BD718A" w:rsidRPr="00D53DEB" w:rsidP="00BD718A" w14:paraId="25E2DA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44ED6">
        <w:rPr>
          <w:b/>
        </w:rPr>
        <w:t>14.</w:t>
      </w:r>
      <w:r w:rsidRPr="00044ED6">
        <w:t xml:space="preserve">  </w:t>
      </w:r>
      <w:r w:rsidRPr="00D53DEB">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BD718A" w:rsidP="00D519CF" w14:paraId="39CDC3F2" w14:textId="0AF4AE68"/>
    <w:p w:rsidR="006F232C" w:rsidP="00D519CF" w14:paraId="3EE06ADE" w14:textId="10CA3E89">
      <w:pPr>
        <w:rPr>
          <w:b/>
          <w:bCs/>
        </w:rPr>
      </w:pPr>
      <w:r w:rsidRPr="00044ED6">
        <w:rPr>
          <w:b/>
          <w:bCs/>
        </w:rPr>
        <w:t>Estimate of Annualized Cost to the Federal Government:</w:t>
      </w:r>
      <w:r w:rsidRPr="00044ED6">
        <w:rPr>
          <w:b/>
          <w:bCs/>
        </w:rPr>
        <w:t xml:space="preserve"> </w:t>
      </w:r>
      <w:r w:rsidRPr="00044ED6">
        <w:t xml:space="preserve">The </w:t>
      </w:r>
      <w:r w:rsidRPr="00044ED6" w:rsidR="00104342">
        <w:t>primary</w:t>
      </w:r>
      <w:r w:rsidRPr="00044ED6">
        <w:t xml:space="preserve"> program </w:t>
      </w:r>
      <w:r w:rsidRPr="00044ED6" w:rsidR="00104342">
        <w:t>point of contact</w:t>
      </w:r>
      <w:r w:rsidRPr="00044ED6">
        <w:t xml:space="preserve"> for </w:t>
      </w:r>
      <w:r w:rsidR="008F6DA1">
        <w:t>CBOB</w:t>
      </w:r>
      <w:r w:rsidRPr="00044ED6" w:rsidR="00104342">
        <w:t xml:space="preserve"> </w:t>
      </w:r>
      <w:r w:rsidR="00D519CF">
        <w:t>is identified to spe</w:t>
      </w:r>
      <w:r w:rsidR="00B67458">
        <w:t>n</w:t>
      </w:r>
      <w:r w:rsidR="00D519CF">
        <w:t xml:space="preserve">d 25% of his </w:t>
      </w:r>
      <w:r w:rsidR="00D519CF">
        <w:t>tim</w:t>
      </w:r>
      <w:r w:rsidR="00B67458">
        <w:t>e, and</w:t>
      </w:r>
      <w:r w:rsidR="00B67458">
        <w:t xml:space="preserve"> is assisted by a second full-time employee (FT)</w:t>
      </w:r>
      <w:r w:rsidR="00D519CF">
        <w:t>, who is identified to spend 5% or her time on the operations of this program.  The combined total annual expenditure by these two federal employees is estima</w:t>
      </w:r>
      <w:r w:rsidR="00B67458">
        <w:t>ted to be approximately $40,750</w:t>
      </w:r>
      <w:r w:rsidR="00D519CF">
        <w:t xml:space="preserve">. </w:t>
      </w:r>
    </w:p>
    <w:p w:rsidR="006F232C" w14:paraId="4270A37C" w14:textId="77777777">
      <w:pPr>
        <w:rPr>
          <w:b/>
          <w:bCs/>
        </w:rPr>
      </w:pPr>
    </w:p>
    <w:p w:rsidR="00FC2653" w14:paraId="763CA7E8" w14:textId="77777777">
      <w:pPr>
        <w:sectPr>
          <w:type w:val="continuous"/>
          <w:pgSz w:w="12240" w:h="15840"/>
          <w:pgMar w:top="1440" w:right="1440" w:bottom="1440" w:left="1440" w:header="1440" w:footer="1440" w:gutter="0"/>
          <w:cols w:space="720"/>
          <w:noEndnote/>
        </w:sectPr>
      </w:pPr>
    </w:p>
    <w:p w:rsidR="006F232C" w14:paraId="100263A6" w14:textId="77777777">
      <w:r w:rsidRPr="0010462D">
        <w:rPr>
          <w:b/>
        </w:rPr>
        <w:t xml:space="preserve">15. </w:t>
      </w:r>
      <w:r>
        <w:t xml:space="preserve"> </w:t>
      </w:r>
      <w:r>
        <w:rPr>
          <w:b/>
          <w:bCs/>
        </w:rPr>
        <w:t>Program Changes or Adjustments:</w:t>
      </w:r>
      <w:r>
        <w:rPr>
          <w:b/>
          <w:bCs/>
        </w:rPr>
        <w:t xml:space="preserve"> </w:t>
      </w:r>
      <w:r w:rsidRPr="006F232C">
        <w:rPr>
          <w:bCs/>
        </w:rPr>
        <w:t xml:space="preserve"> None.</w:t>
      </w:r>
      <w:r>
        <w:rPr>
          <w:bCs/>
        </w:rPr>
        <w:t xml:space="preserve">  </w:t>
      </w:r>
    </w:p>
    <w:p w:rsidR="006F232C" w14:paraId="46B58E3A" w14:textId="77777777"/>
    <w:p w:rsidR="00DD1785" w14:paraId="446F23F4" w14:textId="76C31364">
      <w:r w:rsidRPr="0010462D">
        <w:rPr>
          <w:b/>
        </w:rPr>
        <w:t>16.</w:t>
      </w:r>
      <w:r>
        <w:t xml:space="preserve">  </w:t>
      </w:r>
      <w:r w:rsidRPr="00D53DEB">
        <w:rPr>
          <w:b/>
          <w:bCs/>
        </w:rPr>
        <w:t xml:space="preserve">For collections of information whose results will be published, outline plans for tabulations, and publication.  Address any complex analytical techniques that will be used.  </w:t>
      </w:r>
      <w:r w:rsidRPr="00D53DEB">
        <w:rPr>
          <w:b/>
          <w:bCs/>
        </w:rPr>
        <w:t>Provide the time schedule for the entire project, including beginning and ending dates of the collection of information, completion of report, publication dates, and other actions</w:t>
      </w:r>
      <w:r w:rsidRPr="00D53DEB">
        <w:t>.</w:t>
      </w:r>
    </w:p>
    <w:p w:rsidR="00FC2653" w14:paraId="3E1E2661" w14:textId="25979D02">
      <w:r>
        <w:rPr>
          <w:b/>
          <w:bCs/>
        </w:rPr>
        <w:t>Publishing Information:</w:t>
      </w:r>
      <w:r>
        <w:t xml:space="preserve"> The information collected will not be published.</w:t>
      </w:r>
    </w:p>
    <w:p w:rsidR="00FC2653" w14:paraId="25B332E1" w14:textId="77777777"/>
    <w:p w:rsidR="00DD1785" w:rsidRPr="00D53DEB" w:rsidP="00DD1785" w14:paraId="09FEBF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10462D">
        <w:rPr>
          <w:b/>
        </w:rPr>
        <w:t xml:space="preserve">17.  </w:t>
      </w:r>
      <w:r w:rsidRPr="00D53DEB">
        <w:rPr>
          <w:b/>
          <w:bCs/>
        </w:rPr>
        <w:t>If seeking approval to not display the expiration date for OMB approval of the information collection, explain the reasons that display would be inappropriate.</w:t>
      </w:r>
    </w:p>
    <w:p w:rsidR="00DD1785" w14:paraId="36A59981" w14:textId="0D0E48EC">
      <w:pPr>
        <w:rPr>
          <w:b/>
        </w:rPr>
      </w:pPr>
    </w:p>
    <w:p w:rsidR="00FC2653" w:rsidRPr="0020447E" w14:paraId="66B39AD5" w14:textId="0A3BE3FA">
      <w:r>
        <w:rPr>
          <w:b/>
          <w:bCs/>
        </w:rPr>
        <w:t xml:space="preserve">Approval to not </w:t>
      </w:r>
      <w:r w:rsidR="003B71A5">
        <w:rPr>
          <w:b/>
          <w:bCs/>
        </w:rPr>
        <w:t>d</w:t>
      </w:r>
      <w:r>
        <w:rPr>
          <w:b/>
          <w:bCs/>
        </w:rPr>
        <w:t>isplay the OMB</w:t>
      </w:r>
      <w:r w:rsidR="0020447E">
        <w:rPr>
          <w:b/>
          <w:bCs/>
        </w:rPr>
        <w:t xml:space="preserve"> Approval</w:t>
      </w:r>
      <w:r>
        <w:rPr>
          <w:b/>
          <w:bCs/>
        </w:rPr>
        <w:t xml:space="preserve">: </w:t>
      </w:r>
      <w:r w:rsidR="0020447E">
        <w:rPr>
          <w:bCs/>
        </w:rPr>
        <w:t>The present information collection request does not seek such an approval.</w:t>
      </w:r>
    </w:p>
    <w:p w:rsidR="00FC2653" w14:paraId="1347C6F5" w14:textId="77777777"/>
    <w:p w:rsidR="00FC2653" w14:paraId="43A855DB" w14:textId="77777777">
      <w:r w:rsidRPr="0010462D">
        <w:rPr>
          <w:b/>
        </w:rPr>
        <w:t xml:space="preserve">18.  </w:t>
      </w:r>
      <w:r>
        <w:rPr>
          <w:b/>
          <w:bCs/>
        </w:rPr>
        <w:t>Certification for Paperwork Reduction Act Submission:</w:t>
      </w:r>
      <w:r>
        <w:t xml:space="preserve"> </w:t>
      </w:r>
      <w:r w:rsidRPr="000A4C9B">
        <w:t>See attached Certification Statement.</w:t>
      </w:r>
    </w:p>
    <w:p w:rsidR="00DD23AE" w14:paraId="15795A47" w14:textId="77777777"/>
    <w:p w:rsidR="0020447E" w14:paraId="6B8916E7" w14:textId="77777777">
      <w:pPr>
        <w:rPr>
          <w:b/>
          <w:bCs/>
        </w:rPr>
      </w:pPr>
      <w:r>
        <w:rPr>
          <w:b/>
          <w:bCs/>
        </w:rPr>
        <w:t>B.  S</w:t>
      </w:r>
      <w:r>
        <w:rPr>
          <w:b/>
          <w:bCs/>
        </w:rPr>
        <w:t>TATISTICAL METHODS</w:t>
      </w:r>
    </w:p>
    <w:p w:rsidR="0020447E" w14:paraId="05409634" w14:textId="77777777">
      <w:pPr>
        <w:rPr>
          <w:b/>
          <w:bCs/>
        </w:rPr>
      </w:pPr>
    </w:p>
    <w:p w:rsidR="00F40274" w14:paraId="58A1C6DB" w14:textId="780EAB1E">
      <w:r>
        <w:t>This information collection does not employ</w:t>
      </w:r>
      <w:r w:rsidR="0020447E">
        <w:t xml:space="preserve"> the use </w:t>
      </w:r>
      <w:r>
        <w:t xml:space="preserve">of statistical </w:t>
      </w:r>
      <w:r w:rsidR="00DD23AE">
        <w:t xml:space="preserve">collection </w:t>
      </w:r>
      <w:r>
        <w:t>methods.</w:t>
      </w:r>
    </w:p>
    <w:sectPr w:rsidSect="00FC265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C1D" w:rsidRPr="006626FF" w:rsidP="00983C1D" w14:paraId="0061E8F8" w14:textId="7561ECF2">
    <w:pPr>
      <w:pStyle w:val="Header"/>
      <w:rPr>
        <w:bCs/>
        <w:sz w:val="20"/>
        <w:szCs w:val="20"/>
      </w:rPr>
    </w:pPr>
    <w:r w:rsidRPr="00983C1D">
      <w:rPr>
        <w:bCs/>
        <w:sz w:val="20"/>
        <w:szCs w:val="20"/>
      </w:rPr>
      <w:t>Law Enforcement Congressional Badge of Bravery</w:t>
    </w:r>
  </w:p>
  <w:p w:rsidR="00983C1D" w:rsidP="00983C1D" w14:paraId="47331E00" w14:textId="116CB900">
    <w:pPr>
      <w:pStyle w:val="Header"/>
      <w:rPr>
        <w:sz w:val="20"/>
        <w:szCs w:val="20"/>
      </w:rPr>
    </w:pPr>
    <w:r>
      <w:rPr>
        <w:sz w:val="20"/>
        <w:szCs w:val="20"/>
      </w:rPr>
      <w:t xml:space="preserve">OMB Control Number </w:t>
    </w:r>
    <w:r>
      <w:rPr>
        <w:sz w:val="20"/>
        <w:szCs w:val="20"/>
      </w:rPr>
      <w:t>1121-0</w:t>
    </w:r>
    <w:r w:rsidR="00B33D02">
      <w:rPr>
        <w:sz w:val="20"/>
        <w:szCs w:val="20"/>
      </w:rPr>
      <w:t>330</w:t>
    </w:r>
  </w:p>
  <w:p w:rsidR="00983C1D" w:rsidP="00983C1D" w14:paraId="0F12D0C7" w14:textId="607FFD5F">
    <w:pPr>
      <w:pStyle w:val="Header"/>
      <w:rPr>
        <w:sz w:val="20"/>
        <w:szCs w:val="20"/>
      </w:rPr>
    </w:pPr>
    <w:r>
      <w:rPr>
        <w:sz w:val="20"/>
        <w:szCs w:val="20"/>
      </w:rPr>
      <w:t xml:space="preserve">OMB Expiration Date: </w:t>
    </w:r>
    <w:r w:rsidR="00B33D02">
      <w:rPr>
        <w:sz w:val="20"/>
        <w:szCs w:val="20"/>
      </w:rPr>
      <w:t>09</w:t>
    </w:r>
    <w:r>
      <w:rPr>
        <w:sz w:val="20"/>
        <w:szCs w:val="20"/>
      </w:rPr>
      <w:t>/</w:t>
    </w:r>
    <w:r w:rsidR="00B33D02">
      <w:rPr>
        <w:sz w:val="20"/>
        <w:szCs w:val="20"/>
      </w:rPr>
      <w:t>30</w:t>
    </w:r>
    <w:r>
      <w:rPr>
        <w:sz w:val="20"/>
        <w:szCs w:val="20"/>
      </w:rPr>
      <w:t>/</w:t>
    </w:r>
    <w:r w:rsidR="00B33D02">
      <w:rPr>
        <w:sz w:val="20"/>
        <w:szCs w:val="20"/>
      </w:rPr>
      <w:t>2023</w:t>
    </w:r>
  </w:p>
  <w:p w:rsidR="003A6E10" w14:paraId="1FA538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5756DC1"/>
    <w:multiLevelType w:val="hybridMultilevel"/>
    <w:tmpl w:val="0E82DD7C"/>
    <w:lvl w:ilvl="0">
      <w:start w:val="1"/>
      <w:numFmt w:val="lowerLetter"/>
      <w:lvlText w:val="%1."/>
      <w:lvlJc w:val="left"/>
      <w:pPr>
        <w:tabs>
          <w:tab w:val="num" w:pos="1170"/>
        </w:tabs>
        <w:ind w:left="1170" w:hanging="360"/>
      </w:pPr>
      <w:rPr>
        <w:b w:val="0"/>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22361F6A"/>
    <w:multiLevelType w:val="hybridMultilevel"/>
    <w:tmpl w:val="A4E67B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7157474">
    <w:abstractNumId w:val="1"/>
  </w:num>
  <w:num w:numId="2" w16cid:durableId="1329362491">
    <w:abstractNumId w:val="3"/>
  </w:num>
  <w:num w:numId="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4" w16cid:durableId="327828054">
    <w:abstractNumId w:val="2"/>
  </w:num>
  <w:num w:numId="5" w16cid:durableId="493034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53"/>
    <w:rsid w:val="000034C7"/>
    <w:rsid w:val="00014686"/>
    <w:rsid w:val="00044ED6"/>
    <w:rsid w:val="00073913"/>
    <w:rsid w:val="000A4C9B"/>
    <w:rsid w:val="000A6881"/>
    <w:rsid w:val="00104342"/>
    <w:rsid w:val="0010462D"/>
    <w:rsid w:val="00163244"/>
    <w:rsid w:val="0019180B"/>
    <w:rsid w:val="00196531"/>
    <w:rsid w:val="001C0B68"/>
    <w:rsid w:val="0020447E"/>
    <w:rsid w:val="00217B30"/>
    <w:rsid w:val="002666F1"/>
    <w:rsid w:val="00286632"/>
    <w:rsid w:val="002C035D"/>
    <w:rsid w:val="003457A3"/>
    <w:rsid w:val="00395644"/>
    <w:rsid w:val="003A140A"/>
    <w:rsid w:val="003A415A"/>
    <w:rsid w:val="003A6E10"/>
    <w:rsid w:val="003B71A5"/>
    <w:rsid w:val="003B7532"/>
    <w:rsid w:val="003C38BD"/>
    <w:rsid w:val="00475D9F"/>
    <w:rsid w:val="004E21CE"/>
    <w:rsid w:val="00507C64"/>
    <w:rsid w:val="005519A8"/>
    <w:rsid w:val="00572178"/>
    <w:rsid w:val="00597EC7"/>
    <w:rsid w:val="005C78D1"/>
    <w:rsid w:val="005E3C5F"/>
    <w:rsid w:val="00622BDB"/>
    <w:rsid w:val="006318B4"/>
    <w:rsid w:val="006626FF"/>
    <w:rsid w:val="00667A96"/>
    <w:rsid w:val="0068488E"/>
    <w:rsid w:val="006C74D2"/>
    <w:rsid w:val="006E7876"/>
    <w:rsid w:val="006F232C"/>
    <w:rsid w:val="006F6E13"/>
    <w:rsid w:val="00700421"/>
    <w:rsid w:val="00707607"/>
    <w:rsid w:val="007735F9"/>
    <w:rsid w:val="007A004F"/>
    <w:rsid w:val="007D403D"/>
    <w:rsid w:val="007D59FC"/>
    <w:rsid w:val="007E7E23"/>
    <w:rsid w:val="007F303A"/>
    <w:rsid w:val="00814752"/>
    <w:rsid w:val="00826FE5"/>
    <w:rsid w:val="00856805"/>
    <w:rsid w:val="0087213C"/>
    <w:rsid w:val="008B350D"/>
    <w:rsid w:val="008E0CA9"/>
    <w:rsid w:val="008F6DA1"/>
    <w:rsid w:val="00924F6E"/>
    <w:rsid w:val="00941306"/>
    <w:rsid w:val="00947311"/>
    <w:rsid w:val="00950ED2"/>
    <w:rsid w:val="0095697B"/>
    <w:rsid w:val="00972815"/>
    <w:rsid w:val="00983C1D"/>
    <w:rsid w:val="009A566D"/>
    <w:rsid w:val="009C0009"/>
    <w:rsid w:val="009F3CEC"/>
    <w:rsid w:val="00A2391E"/>
    <w:rsid w:val="00A54B2D"/>
    <w:rsid w:val="00A57470"/>
    <w:rsid w:val="00A62CF1"/>
    <w:rsid w:val="00A93482"/>
    <w:rsid w:val="00AC386E"/>
    <w:rsid w:val="00AD4D39"/>
    <w:rsid w:val="00B05721"/>
    <w:rsid w:val="00B33D02"/>
    <w:rsid w:val="00B44876"/>
    <w:rsid w:val="00B62181"/>
    <w:rsid w:val="00B64299"/>
    <w:rsid w:val="00B67458"/>
    <w:rsid w:val="00BC4CA3"/>
    <w:rsid w:val="00BC685D"/>
    <w:rsid w:val="00BD718A"/>
    <w:rsid w:val="00C07107"/>
    <w:rsid w:val="00C67419"/>
    <w:rsid w:val="00D01535"/>
    <w:rsid w:val="00D40D34"/>
    <w:rsid w:val="00D519CF"/>
    <w:rsid w:val="00D53DEB"/>
    <w:rsid w:val="00DD1785"/>
    <w:rsid w:val="00DD23AE"/>
    <w:rsid w:val="00DE0ECD"/>
    <w:rsid w:val="00DE5EDD"/>
    <w:rsid w:val="00DF3892"/>
    <w:rsid w:val="00E30609"/>
    <w:rsid w:val="00E51C83"/>
    <w:rsid w:val="00E74E4C"/>
    <w:rsid w:val="00E7721F"/>
    <w:rsid w:val="00ED5C63"/>
    <w:rsid w:val="00F24045"/>
    <w:rsid w:val="00F40274"/>
    <w:rsid w:val="00F43044"/>
    <w:rsid w:val="00F50FB7"/>
    <w:rsid w:val="00F60971"/>
    <w:rsid w:val="00F706F7"/>
    <w:rsid w:val="00F83FCA"/>
    <w:rsid w:val="00FC2653"/>
    <w:rsid w:val="00FE1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AF2B13"/>
  <w15:chartTrackingRefBased/>
  <w15:docId w15:val="{2CBB9A11-B32C-4873-A6F0-7D85E5FE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707607"/>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1C0B68"/>
    <w:rPr>
      <w:rFonts w:ascii="Tahoma" w:hAnsi="Tahoma" w:cs="Tahoma"/>
      <w:sz w:val="16"/>
      <w:szCs w:val="16"/>
    </w:rPr>
  </w:style>
  <w:style w:type="character" w:styleId="Hyperlink">
    <w:name w:val="Hyperlink"/>
    <w:rsid w:val="001C0B68"/>
    <w:rPr>
      <w:color w:val="0000FF"/>
      <w:u w:val="single"/>
    </w:rPr>
  </w:style>
  <w:style w:type="character" w:styleId="CommentReference">
    <w:name w:val="annotation reference"/>
    <w:rsid w:val="00104342"/>
    <w:rPr>
      <w:sz w:val="16"/>
      <w:szCs w:val="16"/>
    </w:rPr>
  </w:style>
  <w:style w:type="paragraph" w:styleId="CommentText">
    <w:name w:val="annotation text"/>
    <w:basedOn w:val="Normal"/>
    <w:link w:val="CommentTextChar"/>
    <w:rsid w:val="00104342"/>
    <w:rPr>
      <w:sz w:val="20"/>
      <w:szCs w:val="20"/>
    </w:rPr>
  </w:style>
  <w:style w:type="paragraph" w:styleId="CommentSubject">
    <w:name w:val="annotation subject"/>
    <w:basedOn w:val="CommentText"/>
    <w:next w:val="CommentText"/>
    <w:semiHidden/>
    <w:rsid w:val="00104342"/>
    <w:rPr>
      <w:b/>
      <w:bCs/>
    </w:rPr>
  </w:style>
  <w:style w:type="character" w:styleId="FollowedHyperlink">
    <w:name w:val="FollowedHyperlink"/>
    <w:rsid w:val="007D403D"/>
    <w:rPr>
      <w:color w:val="606420"/>
      <w:u w:val="single"/>
    </w:rPr>
  </w:style>
  <w:style w:type="character" w:customStyle="1" w:styleId="CommentTextChar">
    <w:name w:val="Comment Text Char"/>
    <w:link w:val="CommentText"/>
    <w:rsid w:val="00707607"/>
  </w:style>
  <w:style w:type="paragraph" w:customStyle="1" w:styleId="Level1">
    <w:name w:val="Level 1"/>
    <w:basedOn w:val="Normal"/>
    <w:rsid w:val="00707607"/>
    <w:pPr>
      <w:ind w:left="360" w:hanging="360"/>
    </w:pPr>
  </w:style>
  <w:style w:type="character" w:customStyle="1" w:styleId="Heading2Char">
    <w:name w:val="Heading 2 Char"/>
    <w:basedOn w:val="DefaultParagraphFont"/>
    <w:link w:val="Heading2"/>
    <w:rsid w:val="00707607"/>
    <w:rPr>
      <w:rFonts w:ascii="Arial" w:hAnsi="Arial" w:cs="Arial"/>
      <w:b/>
      <w:bCs/>
      <w:i/>
      <w:iCs/>
      <w:sz w:val="28"/>
      <w:szCs w:val="28"/>
    </w:rPr>
  </w:style>
  <w:style w:type="paragraph" w:styleId="Header">
    <w:name w:val="header"/>
    <w:basedOn w:val="Normal"/>
    <w:link w:val="HeaderChar"/>
    <w:uiPriority w:val="99"/>
    <w:rsid w:val="003A6E10"/>
    <w:pPr>
      <w:tabs>
        <w:tab w:val="center" w:pos="4680"/>
        <w:tab w:val="right" w:pos="9360"/>
      </w:tabs>
    </w:pPr>
  </w:style>
  <w:style w:type="character" w:customStyle="1" w:styleId="HeaderChar">
    <w:name w:val="Header Char"/>
    <w:basedOn w:val="DefaultParagraphFont"/>
    <w:link w:val="Header"/>
    <w:uiPriority w:val="99"/>
    <w:rsid w:val="003A6E10"/>
    <w:rPr>
      <w:sz w:val="24"/>
      <w:szCs w:val="24"/>
    </w:rPr>
  </w:style>
  <w:style w:type="paragraph" w:styleId="Footer">
    <w:name w:val="footer"/>
    <w:basedOn w:val="Normal"/>
    <w:link w:val="FooterChar"/>
    <w:rsid w:val="003A6E10"/>
    <w:pPr>
      <w:tabs>
        <w:tab w:val="center" w:pos="4680"/>
        <w:tab w:val="right" w:pos="9360"/>
      </w:tabs>
    </w:pPr>
  </w:style>
  <w:style w:type="character" w:customStyle="1" w:styleId="FooterChar">
    <w:name w:val="Footer Char"/>
    <w:basedOn w:val="DefaultParagraphFont"/>
    <w:link w:val="Footer"/>
    <w:rsid w:val="003A6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ja.gov/CBOB"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D0A6-DBA2-4C74-ADBA-F0666533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presslem</dc:creator>
  <cp:lastModifiedBy>Amoah, Mammyaa (JMD) (CTR)</cp:lastModifiedBy>
  <cp:revision>6</cp:revision>
  <cp:lastPrinted>2006-05-09T15:29:00Z</cp:lastPrinted>
  <dcterms:created xsi:type="dcterms:W3CDTF">2023-09-22T21:43:00Z</dcterms:created>
  <dcterms:modified xsi:type="dcterms:W3CDTF">2023-09-22T21:45:00Z</dcterms:modified>
</cp:coreProperties>
</file>