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4DED" w:rsidRPr="005A761C" w:rsidP="001105B9" w14:paraId="7D7A25F1" w14:textId="77777777">
      <w:pPr>
        <w:tabs>
          <w:tab w:val="center" w:pos="4680"/>
        </w:tabs>
        <w:jc w:val="center"/>
        <w:rPr>
          <w:sz w:val="22"/>
        </w:rPr>
      </w:pPr>
      <w:r w:rsidRPr="005A761C">
        <w:rPr>
          <w:b/>
          <w:bCs/>
          <w:sz w:val="22"/>
        </w:rPr>
        <w:t xml:space="preserve">Justification for No Material or Nonsubstantive Change to </w:t>
      </w:r>
      <w:r w:rsidRPr="005A761C">
        <w:rPr>
          <w:b/>
          <w:bCs/>
          <w:sz w:val="22"/>
        </w:rPr>
        <w:t>Currently-Approved</w:t>
      </w:r>
      <w:r w:rsidRPr="005A761C">
        <w:rPr>
          <w:b/>
          <w:bCs/>
          <w:sz w:val="22"/>
        </w:rPr>
        <w:t xml:space="preserve"> Collection</w:t>
      </w:r>
    </w:p>
    <w:p w:rsidR="00F34DED" w:rsidRPr="005A761C" w:rsidP="00F34DED" w14:paraId="520E8DDA" w14:textId="77777777">
      <w:pPr>
        <w:rPr>
          <w:sz w:val="22"/>
        </w:rPr>
      </w:pPr>
    </w:p>
    <w:p w:rsidR="00F34DED" w:rsidRPr="005A761C" w:rsidP="00F34DED" w14:paraId="1364D56A" w14:textId="77777777">
      <w:pPr>
        <w:rPr>
          <w:sz w:val="22"/>
        </w:rPr>
      </w:pPr>
      <w:r w:rsidRPr="005A761C">
        <w:rPr>
          <w:b/>
          <w:bCs/>
          <w:sz w:val="22"/>
        </w:rPr>
        <w:t>AGENCY:</w:t>
      </w:r>
      <w:r w:rsidRPr="005A761C">
        <w:rPr>
          <w:sz w:val="22"/>
        </w:rPr>
        <w:tab/>
        <w:t>Pension Benefit Guaranty Corporation (PBGC)</w:t>
      </w:r>
    </w:p>
    <w:p w:rsidR="00F34DED" w:rsidRPr="005A761C" w:rsidP="00F34DED" w14:paraId="1E5C0898" w14:textId="77777777">
      <w:pPr>
        <w:rPr>
          <w:sz w:val="22"/>
        </w:rPr>
      </w:pPr>
    </w:p>
    <w:p w:rsidR="00F34DED" w:rsidRPr="005A761C" w:rsidP="00F34DED" w14:paraId="4BC274D4" w14:textId="387E074F">
      <w:pPr>
        <w:tabs>
          <w:tab w:val="left" w:pos="-1440"/>
        </w:tabs>
        <w:ind w:left="1440" w:hanging="1440"/>
        <w:rPr>
          <w:sz w:val="22"/>
        </w:rPr>
      </w:pPr>
      <w:r w:rsidRPr="005A761C">
        <w:rPr>
          <w:b/>
          <w:bCs/>
          <w:sz w:val="22"/>
        </w:rPr>
        <w:t>TITLE:</w:t>
      </w:r>
      <w:r w:rsidRPr="005A761C">
        <w:rPr>
          <w:sz w:val="22"/>
        </w:rPr>
        <w:tab/>
      </w:r>
      <w:r w:rsidRPr="007907C4" w:rsidR="007907C4">
        <w:rPr>
          <w:sz w:val="22"/>
        </w:rPr>
        <w:t xml:space="preserve">Application for Special Financial Assistance </w:t>
      </w:r>
      <w:r w:rsidR="006925E4">
        <w:rPr>
          <w:sz w:val="22"/>
        </w:rPr>
        <w:t>(2</w:t>
      </w:r>
      <w:r w:rsidRPr="006925E4" w:rsidR="006925E4">
        <w:rPr>
          <w:sz w:val="22"/>
        </w:rPr>
        <w:t>9 CFR part 4</w:t>
      </w:r>
      <w:r w:rsidR="007907C4">
        <w:rPr>
          <w:sz w:val="22"/>
        </w:rPr>
        <w:t>262</w:t>
      </w:r>
      <w:r w:rsidR="006925E4">
        <w:rPr>
          <w:sz w:val="22"/>
        </w:rPr>
        <w:t>)</w:t>
      </w:r>
    </w:p>
    <w:p w:rsidR="00F34DED" w:rsidRPr="005A761C" w:rsidP="00F34DED" w14:paraId="7E08B909" w14:textId="77777777">
      <w:pPr>
        <w:rPr>
          <w:sz w:val="22"/>
        </w:rPr>
      </w:pPr>
    </w:p>
    <w:p w:rsidR="00F34DED" w:rsidRPr="005A761C" w:rsidP="00F34DED" w14:paraId="2FAF8E2C" w14:textId="50F35D99">
      <w:pPr>
        <w:rPr>
          <w:sz w:val="22"/>
        </w:rPr>
      </w:pPr>
      <w:r w:rsidRPr="005A761C">
        <w:rPr>
          <w:b/>
          <w:bCs/>
          <w:sz w:val="22"/>
        </w:rPr>
        <w:t>STATUS:</w:t>
      </w:r>
      <w:r w:rsidRPr="005A761C">
        <w:rPr>
          <w:sz w:val="22"/>
        </w:rPr>
        <w:tab/>
        <w:t>OMB control number 1212</w:t>
      </w:r>
      <w:r w:rsidRPr="005A761C">
        <w:rPr>
          <w:sz w:val="22"/>
        </w:rPr>
        <w:noBreakHyphen/>
        <w:t>00</w:t>
      </w:r>
      <w:r w:rsidR="007907C4">
        <w:rPr>
          <w:sz w:val="22"/>
        </w:rPr>
        <w:t>74</w:t>
      </w:r>
      <w:r w:rsidRPr="005A761C">
        <w:rPr>
          <w:sz w:val="22"/>
        </w:rPr>
        <w:t xml:space="preserve">; expires </w:t>
      </w:r>
      <w:r w:rsidR="00F02A4D">
        <w:rPr>
          <w:sz w:val="22"/>
        </w:rPr>
        <w:t>0</w:t>
      </w:r>
      <w:r w:rsidR="005E2BA3">
        <w:rPr>
          <w:sz w:val="22"/>
        </w:rPr>
        <w:t>7</w:t>
      </w:r>
      <w:r w:rsidR="00F02A4D">
        <w:rPr>
          <w:sz w:val="22"/>
        </w:rPr>
        <w:t>/31/202</w:t>
      </w:r>
      <w:r w:rsidR="005E2BA3">
        <w:rPr>
          <w:sz w:val="22"/>
        </w:rPr>
        <w:t>6</w:t>
      </w:r>
    </w:p>
    <w:p w:rsidR="00F34DED" w:rsidRPr="005A761C" w:rsidP="00F34DED" w14:paraId="7CEE0A38" w14:textId="77777777">
      <w:pPr>
        <w:rPr>
          <w:sz w:val="22"/>
        </w:rPr>
      </w:pPr>
    </w:p>
    <w:p w:rsidR="00F34DED" w:rsidRPr="005A761C" w:rsidP="00F34DED" w14:paraId="530AF72F" w14:textId="7936E2F9">
      <w:pPr>
        <w:tabs>
          <w:tab w:val="left" w:pos="-1440"/>
        </w:tabs>
        <w:ind w:left="1440" w:hanging="1440"/>
        <w:rPr>
          <w:sz w:val="22"/>
        </w:rPr>
      </w:pPr>
      <w:r w:rsidRPr="005A761C">
        <w:rPr>
          <w:b/>
          <w:bCs/>
          <w:sz w:val="22"/>
        </w:rPr>
        <w:t>CONTACT:</w:t>
      </w:r>
      <w:r w:rsidRPr="005A761C">
        <w:rPr>
          <w:sz w:val="22"/>
        </w:rPr>
        <w:tab/>
      </w:r>
      <w:r w:rsidR="007907C4">
        <w:rPr>
          <w:sz w:val="22"/>
        </w:rPr>
        <w:t>Hilary Duke</w:t>
      </w:r>
      <w:r w:rsidR="00074D7F">
        <w:rPr>
          <w:sz w:val="22"/>
        </w:rPr>
        <w:t xml:space="preserve"> (</w:t>
      </w:r>
      <w:r w:rsidRPr="00074D7F" w:rsidR="00074D7F">
        <w:rPr>
          <w:sz w:val="22"/>
        </w:rPr>
        <w:t>202-229-3839</w:t>
      </w:r>
      <w:r w:rsidR="00074D7F">
        <w:rPr>
          <w:sz w:val="22"/>
        </w:rPr>
        <w:t>)</w:t>
      </w:r>
      <w:r w:rsidR="007907C4">
        <w:rPr>
          <w:sz w:val="22"/>
        </w:rPr>
        <w:t xml:space="preserve">, </w:t>
      </w:r>
      <w:r w:rsidR="002D2129">
        <w:rPr>
          <w:sz w:val="22"/>
        </w:rPr>
        <w:t xml:space="preserve">Melissa Rifkin </w:t>
      </w:r>
      <w:r w:rsidRPr="005A761C">
        <w:rPr>
          <w:sz w:val="22"/>
        </w:rPr>
        <w:t>(202-</w:t>
      </w:r>
      <w:r w:rsidR="002856E3">
        <w:rPr>
          <w:sz w:val="22"/>
        </w:rPr>
        <w:t>229-6</w:t>
      </w:r>
      <w:r w:rsidR="006925E4">
        <w:rPr>
          <w:sz w:val="22"/>
        </w:rPr>
        <w:t>563</w:t>
      </w:r>
      <w:r w:rsidRPr="005A761C">
        <w:rPr>
          <w:sz w:val="22"/>
        </w:rPr>
        <w:t>)</w:t>
      </w:r>
    </w:p>
    <w:p w:rsidR="00F34DED" w:rsidP="00F34DED" w14:paraId="66B9B531" w14:textId="77777777">
      <w:pPr>
        <w:rPr>
          <w:sz w:val="22"/>
        </w:rPr>
      </w:pPr>
    </w:p>
    <w:p w:rsidR="006621D8" w:rsidP="0042017A" w14:paraId="52AA481A" w14:textId="1A50E86B">
      <w:pPr>
        <w:pStyle w:val="NormalWeb"/>
        <w:spacing w:before="0" w:beforeAutospacing="0" w:after="0" w:afterAutospacing="0"/>
        <w:rPr>
          <w:rStyle w:val="apple-converted-space"/>
          <w:rFonts w:ascii="Times New Roman" w:hAnsi="Times New Roman" w:cs="Times New Roman"/>
          <w:sz w:val="24"/>
          <w:szCs w:val="24"/>
        </w:rPr>
      </w:pPr>
      <w:r w:rsidRPr="00BF7E2C">
        <w:rPr>
          <w:rStyle w:val="bumpedfont15"/>
          <w:rFonts w:ascii="Times New Roman" w:hAnsi="Times New Roman" w:cs="Times New Roman"/>
          <w:sz w:val="24"/>
          <w:szCs w:val="24"/>
        </w:rPr>
        <w:t>The</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Pension Benefit Guaranty Corporation (PBGC)</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is making</w:t>
      </w:r>
      <w:r w:rsidRPr="00BF7E2C">
        <w:rPr>
          <w:rStyle w:val="apple-converted-space"/>
          <w:rFonts w:ascii="Times New Roman" w:hAnsi="Times New Roman" w:cs="Times New Roman"/>
          <w:sz w:val="24"/>
          <w:szCs w:val="24"/>
        </w:rPr>
        <w:t> </w:t>
      </w:r>
      <w:r w:rsidR="00E9204F">
        <w:rPr>
          <w:rStyle w:val="apple-converted-space"/>
          <w:rFonts w:ascii="Times New Roman" w:hAnsi="Times New Roman" w:cs="Times New Roman"/>
          <w:sz w:val="24"/>
          <w:szCs w:val="24"/>
        </w:rPr>
        <w:t xml:space="preserve">two </w:t>
      </w:r>
      <w:r w:rsidRPr="00BF7E2C">
        <w:rPr>
          <w:rStyle w:val="apple-converted-space"/>
          <w:rFonts w:ascii="Times New Roman" w:hAnsi="Times New Roman" w:cs="Times New Roman"/>
          <w:sz w:val="24"/>
          <w:szCs w:val="24"/>
        </w:rPr>
        <w:t>changes </w:t>
      </w:r>
      <w:r w:rsidRPr="00BF7E2C">
        <w:rPr>
          <w:rStyle w:val="bumpedfont15"/>
          <w:rFonts w:ascii="Times New Roman" w:hAnsi="Times New Roman" w:cs="Times New Roman"/>
          <w:sz w:val="24"/>
          <w:szCs w:val="24"/>
        </w:rPr>
        <w:t>that are not material</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 xml:space="preserve">to </w:t>
      </w:r>
      <w:r w:rsidR="005E2BA3">
        <w:rPr>
          <w:rStyle w:val="bumpedfont15"/>
          <w:rFonts w:ascii="Times New Roman" w:hAnsi="Times New Roman" w:cs="Times New Roman"/>
          <w:sz w:val="24"/>
          <w:szCs w:val="24"/>
        </w:rPr>
        <w:t xml:space="preserve">the currently-approved general instructions </w:t>
      </w:r>
      <w:r w:rsidRPr="00BF7E2C">
        <w:rPr>
          <w:rStyle w:val="bumpedfont15"/>
          <w:rFonts w:ascii="Times New Roman" w:hAnsi="Times New Roman" w:cs="Times New Roman"/>
          <w:sz w:val="24"/>
          <w:szCs w:val="24"/>
        </w:rPr>
        <w:t>used by multiemployer plans to apply for Special Financial Assistance</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(SFA) under</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section 4262 of the Employee Retirement Income Security Act of 1974</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and</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part 4262 of PBGC’s regulations.</w:t>
      </w:r>
      <w:r w:rsidRPr="00BF7E2C">
        <w:rPr>
          <w:rStyle w:val="apple-converted-space"/>
          <w:rFonts w:ascii="Times New Roman" w:hAnsi="Times New Roman" w:cs="Times New Roman"/>
          <w:sz w:val="24"/>
          <w:szCs w:val="24"/>
        </w:rPr>
        <w:t> </w:t>
      </w:r>
      <w:r w:rsidR="007F4CB8">
        <w:rPr>
          <w:rStyle w:val="apple-converted-space"/>
          <w:rFonts w:ascii="Times New Roman" w:hAnsi="Times New Roman" w:cs="Times New Roman"/>
          <w:sz w:val="24"/>
          <w:szCs w:val="24"/>
        </w:rPr>
        <w:t xml:space="preserve"> </w:t>
      </w:r>
      <w:r w:rsidRPr="00BF7E2C">
        <w:rPr>
          <w:rStyle w:val="bumpedfont15"/>
          <w:rFonts w:ascii="Times New Roman" w:hAnsi="Times New Roman" w:cs="Times New Roman"/>
          <w:sz w:val="24"/>
          <w:szCs w:val="24"/>
        </w:rPr>
        <w:t>A</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plan</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must submit an application to PBGC, so that PBGC can</w:t>
      </w:r>
      <w:r w:rsidRPr="00BF7E2C">
        <w:rPr>
          <w:rStyle w:val="apple-converted-space"/>
          <w:rFonts w:ascii="Times New Roman" w:hAnsi="Times New Roman" w:cs="Times New Roman"/>
          <w:sz w:val="24"/>
          <w:szCs w:val="24"/>
        </w:rPr>
        <w:t> </w:t>
      </w:r>
      <w:r w:rsidRPr="00BF7E2C">
        <w:rPr>
          <w:rStyle w:val="bumpedfont15"/>
          <w:rFonts w:ascii="Times New Roman" w:hAnsi="Times New Roman" w:cs="Times New Roman"/>
          <w:sz w:val="24"/>
          <w:szCs w:val="24"/>
        </w:rPr>
        <w:t>review the plan’s eligibility for SFA and amount of requested SFA.</w:t>
      </w:r>
      <w:r w:rsidRPr="00BF7E2C">
        <w:rPr>
          <w:rStyle w:val="apple-converted-space"/>
          <w:rFonts w:ascii="Times New Roman" w:hAnsi="Times New Roman" w:cs="Times New Roman"/>
          <w:sz w:val="24"/>
          <w:szCs w:val="24"/>
        </w:rPr>
        <w:t> </w:t>
      </w:r>
      <w:r w:rsidR="00E66F0E">
        <w:rPr>
          <w:rStyle w:val="apple-converted-space"/>
          <w:rFonts w:ascii="Times New Roman" w:hAnsi="Times New Roman" w:cs="Times New Roman"/>
          <w:sz w:val="24"/>
          <w:szCs w:val="24"/>
        </w:rPr>
        <w:t xml:space="preserve"> </w:t>
      </w:r>
      <w:r w:rsidR="007F4CB8">
        <w:rPr>
          <w:rStyle w:val="apple-converted-space"/>
          <w:rFonts w:ascii="Times New Roman" w:hAnsi="Times New Roman" w:cs="Times New Roman"/>
          <w:sz w:val="24"/>
          <w:szCs w:val="24"/>
        </w:rPr>
        <w:t xml:space="preserve">If PBGC approves an application, then it will transfer the requested SFA to the plan. </w:t>
      </w:r>
    </w:p>
    <w:p w:rsidR="005E2BA3" w:rsidP="0042017A" w14:paraId="7B46C358" w14:textId="77777777">
      <w:pPr>
        <w:pStyle w:val="NormalWeb"/>
        <w:spacing w:before="0" w:beforeAutospacing="0" w:after="0" w:afterAutospacing="0"/>
        <w:rPr>
          <w:rStyle w:val="apple-converted-space"/>
          <w:rFonts w:ascii="Times New Roman" w:hAnsi="Times New Roman" w:cs="Times New Roman"/>
          <w:sz w:val="24"/>
          <w:szCs w:val="24"/>
        </w:rPr>
      </w:pPr>
    </w:p>
    <w:p w:rsidR="00CE7EA9" w:rsidP="0042017A" w14:paraId="6DE96EB2" w14:textId="7B302C98">
      <w:pPr>
        <w:pStyle w:val="NormalWeb"/>
        <w:spacing w:before="0" w:beforeAutospacing="0" w:after="0" w:afterAutospacing="0"/>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 xml:space="preserve">PBGC has become aware of </w:t>
      </w:r>
      <w:r w:rsidR="00F414A0">
        <w:rPr>
          <w:rStyle w:val="apple-converted-space"/>
          <w:rFonts w:ascii="Times New Roman" w:hAnsi="Times New Roman" w:cs="Times New Roman"/>
          <w:sz w:val="24"/>
          <w:szCs w:val="24"/>
        </w:rPr>
        <w:t>possible</w:t>
      </w:r>
      <w:r w:rsidR="00B17F9A">
        <w:rPr>
          <w:rStyle w:val="apple-converted-space"/>
          <w:rFonts w:ascii="Times New Roman" w:hAnsi="Times New Roman" w:cs="Times New Roman"/>
          <w:sz w:val="24"/>
          <w:szCs w:val="24"/>
        </w:rPr>
        <w:t xml:space="preserve"> </w:t>
      </w:r>
      <w:r>
        <w:rPr>
          <w:rStyle w:val="apple-converted-space"/>
          <w:rFonts w:ascii="Times New Roman" w:hAnsi="Times New Roman" w:cs="Times New Roman"/>
          <w:sz w:val="24"/>
          <w:szCs w:val="24"/>
        </w:rPr>
        <w:t>delay</w:t>
      </w:r>
      <w:r w:rsidR="00F414A0">
        <w:rPr>
          <w:rStyle w:val="apple-converted-space"/>
          <w:rFonts w:ascii="Times New Roman" w:hAnsi="Times New Roman" w:cs="Times New Roman"/>
          <w:sz w:val="24"/>
          <w:szCs w:val="24"/>
        </w:rPr>
        <w:t>s</w:t>
      </w:r>
      <w:r>
        <w:rPr>
          <w:rStyle w:val="apple-converted-space"/>
          <w:rFonts w:ascii="Times New Roman" w:hAnsi="Times New Roman" w:cs="Times New Roman"/>
          <w:sz w:val="24"/>
          <w:szCs w:val="24"/>
        </w:rPr>
        <w:t xml:space="preserve"> in transferring SFA funds after approval of an application</w:t>
      </w:r>
      <w:r w:rsidR="00B17F9A">
        <w:rPr>
          <w:rStyle w:val="apple-converted-space"/>
          <w:rFonts w:ascii="Times New Roman" w:hAnsi="Times New Roman" w:cs="Times New Roman"/>
          <w:sz w:val="24"/>
          <w:szCs w:val="24"/>
        </w:rPr>
        <w:t xml:space="preserve"> if the plan has an outstanding debt with the U.S. Department of Treasury</w:t>
      </w:r>
      <w:r>
        <w:rPr>
          <w:rStyle w:val="apple-converted-space"/>
          <w:rFonts w:ascii="Times New Roman" w:hAnsi="Times New Roman" w:cs="Times New Roman"/>
          <w:sz w:val="24"/>
          <w:szCs w:val="24"/>
        </w:rPr>
        <w:t>.  To assist plans in avoiding these delays, PBGC is adding information encouraging filers to</w:t>
      </w:r>
      <w:r w:rsidRPr="007F4CB8">
        <w:rPr>
          <w:rStyle w:val="apple-converted-space"/>
          <w:rFonts w:ascii="Times New Roman" w:hAnsi="Times New Roman" w:cs="Times New Roman"/>
          <w:sz w:val="24"/>
          <w:szCs w:val="24"/>
        </w:rPr>
        <w:t xml:space="preserve"> contact the Treasury Offset Program</w:t>
      </w:r>
      <w:r>
        <w:rPr>
          <w:rStyle w:val="apple-converted-space"/>
          <w:rFonts w:ascii="Times New Roman" w:hAnsi="Times New Roman" w:cs="Times New Roman"/>
          <w:sz w:val="24"/>
          <w:szCs w:val="24"/>
        </w:rPr>
        <w:t xml:space="preserve"> </w:t>
      </w:r>
      <w:r w:rsidRPr="007F4CB8">
        <w:rPr>
          <w:rStyle w:val="apple-converted-space"/>
          <w:rFonts w:ascii="Times New Roman" w:hAnsi="Times New Roman" w:cs="Times New Roman"/>
          <w:sz w:val="24"/>
          <w:szCs w:val="24"/>
        </w:rPr>
        <w:t>to determine if there are any outstanding debts associated with the plan</w:t>
      </w:r>
      <w:r>
        <w:rPr>
          <w:rStyle w:val="apple-converted-space"/>
          <w:rFonts w:ascii="Times New Roman" w:hAnsi="Times New Roman" w:cs="Times New Roman"/>
          <w:sz w:val="24"/>
          <w:szCs w:val="24"/>
        </w:rPr>
        <w:t xml:space="preserve">.  </w:t>
      </w:r>
      <w:r w:rsidR="005E2BA3">
        <w:rPr>
          <w:rStyle w:val="apple-converted-space"/>
          <w:rFonts w:ascii="Times New Roman" w:hAnsi="Times New Roman" w:cs="Times New Roman"/>
          <w:sz w:val="24"/>
          <w:szCs w:val="24"/>
        </w:rPr>
        <w:t xml:space="preserve">This </w:t>
      </w:r>
      <w:r w:rsidR="00B17F9A">
        <w:rPr>
          <w:rStyle w:val="apple-converted-space"/>
          <w:rFonts w:ascii="Times New Roman" w:hAnsi="Times New Roman" w:cs="Times New Roman"/>
          <w:sz w:val="24"/>
          <w:szCs w:val="24"/>
        </w:rPr>
        <w:t xml:space="preserve">addition is intended to offer plans additional information about the transfer process, and it </w:t>
      </w:r>
      <w:r w:rsidR="005E2BA3">
        <w:rPr>
          <w:rStyle w:val="apple-converted-space"/>
          <w:rFonts w:ascii="Times New Roman" w:hAnsi="Times New Roman" w:cs="Times New Roman"/>
          <w:sz w:val="24"/>
          <w:szCs w:val="24"/>
        </w:rPr>
        <w:t>will not affect the time or cost burden associated with the application for SFA</w:t>
      </w:r>
      <w:r w:rsidR="00B17F9A">
        <w:rPr>
          <w:rStyle w:val="apple-converted-space"/>
          <w:rFonts w:ascii="Times New Roman" w:hAnsi="Times New Roman" w:cs="Times New Roman"/>
          <w:sz w:val="24"/>
          <w:szCs w:val="24"/>
        </w:rPr>
        <w:t xml:space="preserve">. </w:t>
      </w:r>
    </w:p>
    <w:p w:rsidR="005E2BA3" w:rsidP="00CE7EA9" w14:paraId="7FC619D9" w14:textId="364F000A">
      <w:pPr>
        <w:pStyle w:val="NormalWeb"/>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 xml:space="preserve">In addition, PBGC has </w:t>
      </w:r>
      <w:r w:rsidR="00A76BEF">
        <w:rPr>
          <w:rStyle w:val="apple-converted-space"/>
          <w:rFonts w:ascii="Times New Roman" w:hAnsi="Times New Roman" w:cs="Times New Roman"/>
          <w:sz w:val="24"/>
          <w:szCs w:val="24"/>
        </w:rPr>
        <w:t>learned</w:t>
      </w:r>
      <w:r>
        <w:rPr>
          <w:rStyle w:val="apple-converted-space"/>
          <w:rFonts w:ascii="Times New Roman" w:hAnsi="Times New Roman" w:cs="Times New Roman"/>
          <w:sz w:val="24"/>
          <w:szCs w:val="24"/>
        </w:rPr>
        <w:t xml:space="preserve"> of an issue with its </w:t>
      </w:r>
      <w:r w:rsidRPr="000F294E">
        <w:rPr>
          <w:rStyle w:val="apple-converted-space"/>
          <w:rFonts w:ascii="Times New Roman" w:hAnsi="Times New Roman" w:cs="Times New Roman"/>
          <w:sz w:val="24"/>
          <w:szCs w:val="24"/>
          <w:shd w:val="clear" w:color="auto" w:fill="FFFFFF" w:themeFill="background1"/>
        </w:rPr>
        <w:t xml:space="preserve">instructions for submitting </w:t>
      </w:r>
      <w:r w:rsidRPr="000F294E" w:rsidR="005D7076">
        <w:rPr>
          <w:rStyle w:val="apple-converted-space"/>
          <w:rFonts w:ascii="Times New Roman" w:hAnsi="Times New Roman" w:cs="Times New Roman"/>
          <w:sz w:val="24"/>
          <w:szCs w:val="24"/>
          <w:shd w:val="clear" w:color="auto" w:fill="FFFFFF" w:themeFill="background1"/>
        </w:rPr>
        <w:t>information</w:t>
      </w:r>
      <w:r w:rsidRPr="000F294E" w:rsidR="000F294E">
        <w:rPr>
          <w:rStyle w:val="apple-converted-space"/>
          <w:rFonts w:ascii="Times New Roman" w:hAnsi="Times New Roman" w:cs="Times New Roman"/>
          <w:strike/>
          <w:sz w:val="24"/>
          <w:szCs w:val="24"/>
          <w:shd w:val="clear" w:color="auto" w:fill="FFFFFF" w:themeFill="background1"/>
        </w:rPr>
        <w:t xml:space="preserve"> </w:t>
      </w:r>
      <w:r w:rsidRPr="000F294E">
        <w:rPr>
          <w:rStyle w:val="apple-converted-space"/>
          <w:rFonts w:ascii="Times New Roman" w:hAnsi="Times New Roman" w:cs="Times New Roman"/>
          <w:sz w:val="24"/>
          <w:szCs w:val="24"/>
          <w:shd w:val="clear" w:color="auto" w:fill="FFFFFF" w:themeFill="background1"/>
        </w:rPr>
        <w:t xml:space="preserve">through the </w:t>
      </w:r>
      <w:r w:rsidRPr="000F294E">
        <w:rPr>
          <w:rStyle w:val="apple-converted-space"/>
          <w:rFonts w:ascii="Times New Roman" w:hAnsi="Times New Roman" w:cs="Times New Roman"/>
          <w:sz w:val="24"/>
          <w:szCs w:val="24"/>
          <w:shd w:val="clear" w:color="auto" w:fill="FFFFFF" w:themeFill="background1"/>
        </w:rPr>
        <w:t>LeapFile</w:t>
      </w:r>
      <w:r w:rsidRPr="000F294E">
        <w:rPr>
          <w:rStyle w:val="apple-converted-space"/>
          <w:rFonts w:ascii="Times New Roman" w:hAnsi="Times New Roman" w:cs="Times New Roman"/>
          <w:sz w:val="24"/>
          <w:szCs w:val="24"/>
          <w:shd w:val="clear" w:color="auto" w:fill="FFFFFF" w:themeFill="background1"/>
        </w:rPr>
        <w:t xml:space="preserve"> system, which is used for secure transmission of files containing </w:t>
      </w:r>
      <w:r w:rsidRPr="000F294E" w:rsidR="00A76BEF">
        <w:rPr>
          <w:rStyle w:val="apple-converted-space"/>
          <w:rFonts w:ascii="Times New Roman" w:hAnsi="Times New Roman" w:cs="Times New Roman"/>
          <w:sz w:val="24"/>
          <w:szCs w:val="24"/>
          <w:shd w:val="clear" w:color="auto" w:fill="FFFFFF" w:themeFill="background1"/>
        </w:rPr>
        <w:t>personally identifiable information</w:t>
      </w:r>
      <w:r w:rsidRPr="000F294E">
        <w:rPr>
          <w:rStyle w:val="apple-converted-space"/>
          <w:rFonts w:ascii="Times New Roman" w:hAnsi="Times New Roman" w:cs="Times New Roman"/>
          <w:sz w:val="24"/>
          <w:szCs w:val="24"/>
          <w:shd w:val="clear" w:color="auto" w:fill="FFFFFF" w:themeFill="background1"/>
        </w:rPr>
        <w:t xml:space="preserve">.  </w:t>
      </w:r>
      <w:r w:rsidRPr="000F294E" w:rsidR="00A67A39">
        <w:rPr>
          <w:rStyle w:val="apple-converted-space"/>
          <w:rFonts w:ascii="Times New Roman" w:hAnsi="Times New Roman" w:cs="Times New Roman"/>
          <w:sz w:val="24"/>
          <w:szCs w:val="24"/>
          <w:shd w:val="clear" w:color="auto" w:fill="FFFFFF" w:themeFill="background1"/>
        </w:rPr>
        <w:t>T</w:t>
      </w:r>
      <w:r w:rsidRPr="000F294E">
        <w:rPr>
          <w:rStyle w:val="apple-converted-space"/>
          <w:rFonts w:ascii="Times New Roman" w:hAnsi="Times New Roman" w:cs="Times New Roman"/>
          <w:sz w:val="24"/>
          <w:szCs w:val="24"/>
          <w:shd w:val="clear" w:color="auto" w:fill="FFFFFF" w:themeFill="background1"/>
        </w:rPr>
        <w:t xml:space="preserve">he system requires an individual employee’s email address, rather than a generic email address, to be listed as a recipient. </w:t>
      </w:r>
      <w:r w:rsidRPr="000F294E" w:rsidR="00A76BEF">
        <w:rPr>
          <w:rStyle w:val="apple-converted-space"/>
          <w:rFonts w:ascii="Times New Roman" w:hAnsi="Times New Roman" w:cs="Times New Roman"/>
          <w:sz w:val="24"/>
          <w:szCs w:val="24"/>
          <w:shd w:val="clear" w:color="auto" w:fill="FFFFFF" w:themeFill="background1"/>
        </w:rPr>
        <w:t xml:space="preserve"> </w:t>
      </w:r>
      <w:r w:rsidRPr="000F294E" w:rsidR="00A67A39">
        <w:rPr>
          <w:rStyle w:val="apple-converted-space"/>
          <w:rFonts w:ascii="Times New Roman" w:hAnsi="Times New Roman" w:cs="Times New Roman"/>
          <w:sz w:val="24"/>
          <w:szCs w:val="24"/>
          <w:shd w:val="clear" w:color="auto" w:fill="FFFFFF" w:themeFill="background1"/>
        </w:rPr>
        <w:t xml:space="preserve">Currently, filers are instructed to list “sfa@pbgc.gov” as the recipient email address when sending files through </w:t>
      </w:r>
      <w:r w:rsidRPr="000F294E" w:rsidR="00A67A39">
        <w:rPr>
          <w:rStyle w:val="apple-converted-space"/>
          <w:rFonts w:ascii="Times New Roman" w:hAnsi="Times New Roman" w:cs="Times New Roman"/>
          <w:sz w:val="24"/>
          <w:szCs w:val="24"/>
          <w:shd w:val="clear" w:color="auto" w:fill="FFFFFF" w:themeFill="background1"/>
        </w:rPr>
        <w:t>LeapFile</w:t>
      </w:r>
      <w:r w:rsidRPr="000F294E" w:rsidR="00A67A39">
        <w:rPr>
          <w:rStyle w:val="apple-converted-space"/>
          <w:rFonts w:ascii="Times New Roman" w:hAnsi="Times New Roman" w:cs="Times New Roman"/>
          <w:sz w:val="24"/>
          <w:szCs w:val="24"/>
          <w:shd w:val="clear" w:color="auto" w:fill="FFFFFF" w:themeFill="background1"/>
        </w:rPr>
        <w:t>.</w:t>
      </w:r>
      <w:r w:rsidR="00A67A39">
        <w:rPr>
          <w:rStyle w:val="apple-converted-space"/>
          <w:rFonts w:ascii="Times New Roman" w:hAnsi="Times New Roman" w:cs="Times New Roman"/>
          <w:sz w:val="24"/>
          <w:szCs w:val="24"/>
        </w:rPr>
        <w:t xml:space="preserve">  </w:t>
      </w:r>
      <w:r w:rsidR="00F414A0">
        <w:rPr>
          <w:rStyle w:val="apple-converted-space"/>
          <w:rFonts w:ascii="Times New Roman" w:hAnsi="Times New Roman" w:cs="Times New Roman"/>
          <w:sz w:val="24"/>
          <w:szCs w:val="24"/>
        </w:rPr>
        <w:t>Under this change</w:t>
      </w:r>
      <w:r w:rsidR="00A76BEF">
        <w:rPr>
          <w:rStyle w:val="apple-converted-space"/>
          <w:rFonts w:ascii="Times New Roman" w:hAnsi="Times New Roman" w:cs="Times New Roman"/>
          <w:sz w:val="24"/>
          <w:szCs w:val="24"/>
        </w:rPr>
        <w:t>, filers will be instruct</w:t>
      </w:r>
      <w:r w:rsidR="00E3055B">
        <w:rPr>
          <w:rStyle w:val="apple-converted-space"/>
          <w:rFonts w:ascii="Times New Roman" w:hAnsi="Times New Roman" w:cs="Times New Roman"/>
          <w:sz w:val="24"/>
          <w:szCs w:val="24"/>
        </w:rPr>
        <w:t>ed</w:t>
      </w:r>
      <w:r w:rsidR="00A76BEF">
        <w:rPr>
          <w:rStyle w:val="apple-converted-space"/>
          <w:rFonts w:ascii="Times New Roman" w:hAnsi="Times New Roman" w:cs="Times New Roman"/>
          <w:sz w:val="24"/>
          <w:szCs w:val="24"/>
        </w:rPr>
        <w:t xml:space="preserve"> to </w:t>
      </w:r>
      <w:r w:rsidR="00E3055B">
        <w:rPr>
          <w:rStyle w:val="apple-converted-space"/>
          <w:rFonts w:ascii="Times New Roman" w:hAnsi="Times New Roman" w:cs="Times New Roman"/>
          <w:sz w:val="24"/>
          <w:szCs w:val="24"/>
        </w:rPr>
        <w:t>send</w:t>
      </w:r>
      <w:r w:rsidR="00A76BEF">
        <w:rPr>
          <w:rStyle w:val="apple-converted-space"/>
          <w:rFonts w:ascii="Times New Roman" w:hAnsi="Times New Roman" w:cs="Times New Roman"/>
          <w:sz w:val="24"/>
          <w:szCs w:val="24"/>
        </w:rPr>
        <w:t xml:space="preserve"> PBGC </w:t>
      </w:r>
      <w:r w:rsidR="00E3055B">
        <w:rPr>
          <w:rStyle w:val="apple-converted-space"/>
          <w:rFonts w:ascii="Times New Roman" w:hAnsi="Times New Roman" w:cs="Times New Roman"/>
          <w:sz w:val="24"/>
          <w:szCs w:val="24"/>
        </w:rPr>
        <w:t>a</w:t>
      </w:r>
      <w:r w:rsidR="00A76BEF">
        <w:rPr>
          <w:rStyle w:val="apple-converted-space"/>
          <w:rFonts w:ascii="Times New Roman" w:hAnsi="Times New Roman" w:cs="Times New Roman"/>
          <w:sz w:val="24"/>
          <w:szCs w:val="24"/>
        </w:rPr>
        <w:t xml:space="preserve"> request</w:t>
      </w:r>
      <w:r w:rsidR="00E3055B">
        <w:rPr>
          <w:rStyle w:val="apple-converted-space"/>
          <w:rFonts w:ascii="Times New Roman" w:hAnsi="Times New Roman" w:cs="Times New Roman"/>
          <w:sz w:val="24"/>
          <w:szCs w:val="24"/>
        </w:rPr>
        <w:t xml:space="preserve"> for</w:t>
      </w:r>
      <w:r w:rsidR="00A76BEF">
        <w:rPr>
          <w:rStyle w:val="apple-converted-space"/>
          <w:rFonts w:ascii="Times New Roman" w:hAnsi="Times New Roman" w:cs="Times New Roman"/>
          <w:sz w:val="24"/>
          <w:szCs w:val="24"/>
        </w:rPr>
        <w:t xml:space="preserve"> an individual employee’s email address to list as the recipient of </w:t>
      </w:r>
      <w:r w:rsidR="00E3055B">
        <w:rPr>
          <w:rStyle w:val="apple-converted-space"/>
          <w:rFonts w:ascii="Times New Roman" w:hAnsi="Times New Roman" w:cs="Times New Roman"/>
          <w:sz w:val="24"/>
          <w:szCs w:val="24"/>
        </w:rPr>
        <w:t xml:space="preserve">the </w:t>
      </w:r>
      <w:r w:rsidR="00A76BEF">
        <w:rPr>
          <w:rStyle w:val="apple-converted-space"/>
          <w:rFonts w:ascii="Times New Roman" w:hAnsi="Times New Roman" w:cs="Times New Roman"/>
          <w:sz w:val="24"/>
          <w:szCs w:val="24"/>
        </w:rPr>
        <w:t xml:space="preserve">transmission through </w:t>
      </w:r>
      <w:r w:rsidR="00A76BEF">
        <w:rPr>
          <w:rStyle w:val="apple-converted-space"/>
          <w:rFonts w:ascii="Times New Roman" w:hAnsi="Times New Roman" w:cs="Times New Roman"/>
          <w:sz w:val="24"/>
          <w:szCs w:val="24"/>
        </w:rPr>
        <w:t>LeapFile</w:t>
      </w:r>
      <w:r w:rsidR="00A76BEF">
        <w:rPr>
          <w:rStyle w:val="apple-converted-space"/>
          <w:rFonts w:ascii="Times New Roman" w:hAnsi="Times New Roman" w:cs="Times New Roman"/>
          <w:sz w:val="24"/>
          <w:szCs w:val="24"/>
        </w:rPr>
        <w:t>.  This modification is intended to correct an issue with file transmission, and it will not affect the time or cost burden associated with the application for SFA.</w:t>
      </w:r>
    </w:p>
    <w:p w:rsidR="00923290" w:rsidP="00923290" w14:paraId="48899308" w14:textId="0FC14325">
      <w:pPr>
        <w:rPr>
          <w:rFonts w:cs="Times New Roman"/>
          <w:szCs w:val="24"/>
        </w:rPr>
      </w:pPr>
      <w:r>
        <w:rPr>
          <w:rFonts w:cs="Times New Roman"/>
          <w:szCs w:val="24"/>
        </w:rPr>
        <w:t>The changes</w:t>
      </w:r>
      <w:r w:rsidR="00A76BEF">
        <w:rPr>
          <w:rFonts w:cs="Times New Roman"/>
          <w:szCs w:val="24"/>
        </w:rPr>
        <w:t xml:space="preserve">, both on </w:t>
      </w:r>
      <w:r w:rsidR="009E4BFE">
        <w:rPr>
          <w:rFonts w:cs="Times New Roman"/>
          <w:szCs w:val="24"/>
        </w:rPr>
        <w:t>page 7</w:t>
      </w:r>
      <w:r w:rsidR="00A76BEF">
        <w:rPr>
          <w:rFonts w:cs="Times New Roman"/>
          <w:szCs w:val="24"/>
        </w:rPr>
        <w:t>,</w:t>
      </w:r>
      <w:r w:rsidR="009E4BFE">
        <w:rPr>
          <w:rFonts w:cs="Times New Roman"/>
          <w:szCs w:val="24"/>
        </w:rPr>
        <w:t xml:space="preserve"> of </w:t>
      </w:r>
      <w:r>
        <w:rPr>
          <w:rFonts w:cs="Times New Roman"/>
          <w:szCs w:val="24"/>
        </w:rPr>
        <w:t xml:space="preserve">the </w:t>
      </w:r>
      <w:r w:rsidR="009E4BFE">
        <w:rPr>
          <w:rFonts w:cs="Times New Roman"/>
          <w:szCs w:val="24"/>
        </w:rPr>
        <w:t xml:space="preserve">general </w:t>
      </w:r>
      <w:r w:rsidR="005E2BA3">
        <w:rPr>
          <w:rFonts w:cs="Times New Roman"/>
          <w:szCs w:val="24"/>
        </w:rPr>
        <w:t xml:space="preserve">instructions </w:t>
      </w:r>
      <w:r w:rsidR="009E4BFE">
        <w:rPr>
          <w:rFonts w:cs="Times New Roman"/>
          <w:szCs w:val="24"/>
        </w:rPr>
        <w:t xml:space="preserve">of the application for SFA </w:t>
      </w:r>
      <w:r>
        <w:rPr>
          <w:rFonts w:cs="Times New Roman"/>
          <w:szCs w:val="24"/>
        </w:rPr>
        <w:t xml:space="preserve">are </w:t>
      </w:r>
      <w:r w:rsidR="00F414A0">
        <w:rPr>
          <w:rFonts w:cs="Times New Roman"/>
          <w:szCs w:val="24"/>
        </w:rPr>
        <w:t xml:space="preserve">highlighted in </w:t>
      </w:r>
      <w:r>
        <w:rPr>
          <w:rFonts w:cs="Times New Roman"/>
          <w:szCs w:val="24"/>
        </w:rPr>
        <w:t>red below:</w:t>
      </w:r>
    </w:p>
    <w:p w:rsidR="00A76BEF" w:rsidP="00923290" w14:paraId="4B4DF9EE" w14:textId="77777777">
      <w:pPr>
        <w:rPr>
          <w:rFonts w:cs="Times New Roman"/>
          <w:szCs w:val="24"/>
        </w:rPr>
      </w:pPr>
    </w:p>
    <w:p w:rsidR="00A76BEF" w:rsidRPr="00A76BEF" w:rsidP="00A76BEF" w14:paraId="6EF9184D" w14:textId="3EA0DE7D">
      <w:pPr>
        <w:rPr>
          <w:rFonts w:cs="Times New Roman"/>
          <w:szCs w:val="24"/>
        </w:rPr>
      </w:pPr>
      <w:r w:rsidRPr="00A76BEF">
        <w:rPr>
          <w:rFonts w:cs="Times New Roman"/>
          <w:szCs w:val="24"/>
        </w:rPr>
        <w:t xml:space="preserve">For a plan that submits its census data early in accordance with this paragraph, a description of how the results of PBGC’s independent death audit are reflected for SFA calculation purposes. A plan that has filed a lock-in application may submit the plan’s terminated vested census data file and request that PBGC conduct the independent death audit before the plan submits its full revised application. To request the independent death audit before filing a full revised (not lock-in) application, submit the data file and the date of the census data through PBGC’s secure file transfer </w:t>
      </w:r>
      <w:r w:rsidRPr="00F06CB5">
        <w:rPr>
          <w:rFonts w:cs="Times New Roman"/>
          <w:szCs w:val="24"/>
        </w:rPr>
        <w:t xml:space="preserve">system, </w:t>
      </w:r>
      <w:r w:rsidRPr="00F06CB5">
        <w:rPr>
          <w:rFonts w:cs="Times New Roman"/>
          <w:szCs w:val="24"/>
        </w:rPr>
        <w:t>Leapfile</w:t>
      </w:r>
      <w:r w:rsidRPr="00F06CB5">
        <w:rPr>
          <w:rFonts w:cs="Times New Roman"/>
          <w:szCs w:val="24"/>
        </w:rPr>
        <w:t xml:space="preserve">. </w:t>
      </w:r>
      <w:r w:rsidRPr="001E5BD4" w:rsidR="00E3055B">
        <w:rPr>
          <w:rFonts w:cs="Times New Roman"/>
          <w:color w:val="FF0000"/>
          <w:szCs w:val="24"/>
        </w:rPr>
        <w:t>First send an email to sfa@pbgc.gov to request a recipient email address. Th</w:t>
      </w:r>
      <w:r w:rsidRPr="001E5BD4" w:rsidR="00604D71">
        <w:rPr>
          <w:rFonts w:cs="Times New Roman"/>
          <w:color w:val="FF0000"/>
          <w:szCs w:val="24"/>
        </w:rPr>
        <w:t>e</w:t>
      </w:r>
      <w:r w:rsidRPr="001E5BD4" w:rsidR="00E3055B">
        <w:rPr>
          <w:rFonts w:cs="Times New Roman"/>
          <w:color w:val="FF0000"/>
          <w:szCs w:val="24"/>
        </w:rPr>
        <w:t xml:space="preserve"> email address </w:t>
      </w:r>
      <w:r w:rsidRPr="001E5BD4" w:rsidR="00604D71">
        <w:rPr>
          <w:rFonts w:cs="Times New Roman"/>
          <w:color w:val="FF0000"/>
          <w:szCs w:val="24"/>
        </w:rPr>
        <w:t>provided will</w:t>
      </w:r>
      <w:r w:rsidRPr="001E5BD4" w:rsidR="00E3055B">
        <w:rPr>
          <w:rFonts w:cs="Times New Roman"/>
          <w:color w:val="FF0000"/>
          <w:szCs w:val="24"/>
        </w:rPr>
        <w:t xml:space="preserve"> be that of a PBGC staff member in the Multiemployer Program Division</w:t>
      </w:r>
      <w:r w:rsidRPr="001E5BD4" w:rsidR="00604D71">
        <w:rPr>
          <w:rFonts w:cs="Times New Roman"/>
          <w:color w:val="FF0000"/>
          <w:szCs w:val="24"/>
        </w:rPr>
        <w:t xml:space="preserve">, </w:t>
      </w:r>
      <w:r w:rsidRPr="001E5BD4" w:rsidR="00604D71">
        <w:rPr>
          <w:rFonts w:cs="Times New Roman"/>
          <w:color w:val="FF0000"/>
          <w:szCs w:val="24"/>
        </w:rPr>
        <w:t>e.g</w:t>
      </w:r>
      <w:r w:rsidRPr="001E5BD4" w:rsidR="00604D71">
        <w:rPr>
          <w:rFonts w:cs="Times New Roman"/>
          <w:color w:val="FF0000"/>
          <w:szCs w:val="24"/>
        </w:rPr>
        <w:t>, a “</w:t>
      </w:r>
      <w:r w:rsidRPr="001E5BD4" w:rsidR="001E5BD4">
        <w:rPr>
          <w:rFonts w:cs="Times New Roman"/>
          <w:color w:val="FF0000"/>
          <w:szCs w:val="24"/>
        </w:rPr>
        <w:t>[last name].[first name]@</w:t>
      </w:r>
      <w:r w:rsidRPr="001E5BD4" w:rsidR="00604D71">
        <w:rPr>
          <w:rFonts w:cs="Times New Roman"/>
          <w:color w:val="FF0000"/>
          <w:szCs w:val="24"/>
        </w:rPr>
        <w:t>pbgc.gov” email address</w:t>
      </w:r>
      <w:r w:rsidRPr="001E5BD4" w:rsidR="00E3055B">
        <w:rPr>
          <w:rFonts w:cs="Times New Roman"/>
          <w:color w:val="FF0000"/>
          <w:szCs w:val="24"/>
        </w:rPr>
        <w:t xml:space="preserve">. </w:t>
      </w:r>
      <w:r w:rsidRPr="00A76BEF">
        <w:rPr>
          <w:rFonts w:cs="Times New Roman"/>
          <w:szCs w:val="24"/>
        </w:rPr>
        <w:t xml:space="preserve">Go to http://pbgc.leapfile.com, click on “Secure Upload” and then enter </w:t>
      </w:r>
      <w:r w:rsidRPr="00E3055B">
        <w:rPr>
          <w:rFonts w:cs="Times New Roman"/>
          <w:strike/>
          <w:color w:val="FF0000"/>
          <w:szCs w:val="24"/>
        </w:rPr>
        <w:t>sfa@pbgc.gov</w:t>
      </w:r>
      <w:r w:rsidRPr="00E3055B">
        <w:rPr>
          <w:rFonts w:cs="Times New Roman"/>
          <w:color w:val="FF0000"/>
          <w:szCs w:val="24"/>
        </w:rPr>
        <w:t xml:space="preserve"> </w:t>
      </w:r>
      <w:r w:rsidR="00E3055B">
        <w:rPr>
          <w:rFonts w:cs="Times New Roman"/>
          <w:color w:val="FF0000"/>
          <w:szCs w:val="24"/>
        </w:rPr>
        <w:t xml:space="preserve">the </w:t>
      </w:r>
      <w:r w:rsidRPr="00E3055B" w:rsidR="00E3055B">
        <w:rPr>
          <w:rFonts w:cs="Times New Roman"/>
          <w:color w:val="FF0000"/>
          <w:szCs w:val="24"/>
        </w:rPr>
        <w:t>email addresses provided by PBGC</w:t>
      </w:r>
      <w:r w:rsidR="00E3055B">
        <w:rPr>
          <w:rFonts w:cs="Times New Roman"/>
          <w:color w:val="FF0000"/>
          <w:szCs w:val="24"/>
        </w:rPr>
        <w:t xml:space="preserve"> </w:t>
      </w:r>
      <w:r w:rsidRPr="00A76BEF">
        <w:rPr>
          <w:rFonts w:cs="Times New Roman"/>
          <w:szCs w:val="24"/>
        </w:rPr>
        <w:t>as the recipient email address and upload the file(s) for secure transmission.</w:t>
      </w:r>
    </w:p>
    <w:p w:rsidR="009E4BFE" w:rsidP="00923290" w14:paraId="11EE133F" w14:textId="77777777">
      <w:pPr>
        <w:rPr>
          <w:rFonts w:cs="Times New Roman"/>
          <w:szCs w:val="24"/>
        </w:rPr>
      </w:pPr>
    </w:p>
    <w:p w:rsidR="00E3055B" w:rsidRPr="00E3055B" w:rsidP="00E3055B" w14:paraId="7E2281C2" w14:textId="032F8915">
      <w:pPr>
        <w:jc w:val="center"/>
        <w:rPr>
          <w:rFonts w:cs="Times New Roman"/>
          <w:szCs w:val="24"/>
        </w:rPr>
      </w:pPr>
      <w:r>
        <w:rPr>
          <w:rFonts w:cs="Times New Roman"/>
          <w:szCs w:val="24"/>
        </w:rPr>
        <w:t>*</w:t>
      </w:r>
      <w:r>
        <w:rPr>
          <w:rFonts w:cs="Times New Roman"/>
          <w:szCs w:val="24"/>
        </w:rPr>
        <w:tab/>
        <w:t>*</w:t>
      </w:r>
      <w:r>
        <w:rPr>
          <w:rFonts w:cs="Times New Roman"/>
          <w:szCs w:val="24"/>
        </w:rPr>
        <w:tab/>
        <w:t xml:space="preserve">* </w:t>
      </w:r>
      <w:r>
        <w:rPr>
          <w:rFonts w:cs="Times New Roman"/>
          <w:szCs w:val="24"/>
        </w:rPr>
        <w:tab/>
        <w:t xml:space="preserve">* </w:t>
      </w:r>
      <w:r>
        <w:rPr>
          <w:rFonts w:cs="Times New Roman"/>
          <w:szCs w:val="24"/>
        </w:rPr>
        <w:tab/>
        <w:t>*</w:t>
      </w:r>
    </w:p>
    <w:p w:rsidR="00E3055B" w:rsidP="00923290" w14:paraId="7913BC18" w14:textId="77777777">
      <w:pPr>
        <w:rPr>
          <w:rFonts w:cs="Times New Roman"/>
          <w:szCs w:val="24"/>
        </w:rPr>
      </w:pPr>
    </w:p>
    <w:p w:rsidR="009E4BFE" w:rsidRPr="009E4BFE" w:rsidP="009E4BFE" w14:paraId="5D192CC7" w14:textId="4A84F468">
      <w:pPr>
        <w:rPr>
          <w:color w:val="FF0000"/>
        </w:rPr>
      </w:pPr>
      <w:r w:rsidRPr="009E4BFE">
        <w:rPr>
          <w:u w:val="single"/>
        </w:rPr>
        <w:t>Automated Clearing House (ACH) Vendor/Miscellaneous Payment Enrollment Form and required notarized bank letter</w:t>
      </w:r>
      <w:r>
        <w:t xml:space="preserve">.  This ACH form is used to enable the plan to receive electronic transfer of funds, if the SFA application is approved.  When transferring funds, PBGC will use ACH process or Fedwire process (preferred) for amounts up to $100 million (if further information is required for a sub account i.e., “further credit to” a Fedwire is required), and only Fedwire process for amounts over $100 million.  If the plan is requesting SFA in an amount that is over $100 million, then the filer must confirm the bank’s routing number listed on the ACH form for a Fedwire transfer and any other information necessary for the transfer.  </w:t>
      </w:r>
      <w:r w:rsidRPr="009E4BFE">
        <w:rPr>
          <w:color w:val="FF0000"/>
        </w:rPr>
        <w:t xml:space="preserve">Filers are encouraged to contact the Treasury Offset Program (TOP) call center at 800-304-3107 (800-877-8339 for TTY/TDD help) to determine if there are any outstanding debts associated with the plan’s EIN </w:t>
      </w:r>
      <w:r w:rsidR="00604D71">
        <w:rPr>
          <w:color w:val="FF0000"/>
        </w:rPr>
        <w:t xml:space="preserve">that must be </w:t>
      </w:r>
      <w:r w:rsidR="001E5BD4">
        <w:rPr>
          <w:color w:val="FF0000"/>
        </w:rPr>
        <w:t>resolved</w:t>
      </w:r>
      <w:r w:rsidR="00604D71">
        <w:rPr>
          <w:color w:val="FF0000"/>
        </w:rPr>
        <w:t xml:space="preserve"> </w:t>
      </w:r>
      <w:r w:rsidRPr="009E4BFE">
        <w:rPr>
          <w:color w:val="FF0000"/>
        </w:rPr>
        <w:t xml:space="preserve">to avoid possible delays in the transfer of funds.  </w:t>
      </w:r>
    </w:p>
    <w:p w:rsidR="009E4BFE" w:rsidP="00923290" w14:paraId="42408BA3" w14:textId="29D7C38F">
      <w:pPr>
        <w:rPr>
          <w:rFonts w:cs="Times New Roman"/>
          <w:szCs w:val="24"/>
        </w:rPr>
      </w:pPr>
    </w:p>
    <w:p w:rsidR="00704205" w:rsidRPr="00704205" w:rsidP="00704205" w14:paraId="0FD4F74A" w14:textId="4D7C7DE4">
      <w:pPr>
        <w:rPr>
          <w:rFonts w:cs="Times New Roman"/>
          <w:szCs w:val="24"/>
        </w:rPr>
      </w:pPr>
    </w:p>
    <w:sectPr w:rsidSect="00DF611B">
      <w:footerReference w:type="default" r:id="rId7"/>
      <w:footerReference w:type="first" r:id="rId8"/>
      <w:pgSz w:w="12240" w:h="15840" w:code="1"/>
      <w:pgMar w:top="1440" w:right="1440" w:bottom="99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1824102"/>
      <w:docPartObj>
        <w:docPartGallery w:val="Page Numbers (Bottom of Page)"/>
        <w:docPartUnique/>
      </w:docPartObj>
    </w:sdtPr>
    <w:sdtEndPr>
      <w:rPr>
        <w:noProof/>
      </w:rPr>
    </w:sdtEndPr>
    <w:sdtContent>
      <w:p w:rsidR="002465D5" w14:paraId="7C5ACF75" w14:textId="1D2A19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465D5" w14:paraId="19197D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746B" w14:paraId="75362B0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E07A61"/>
    <w:multiLevelType w:val="hybridMultilevel"/>
    <w:tmpl w:val="3EB4E2FC"/>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7D87D78"/>
    <w:multiLevelType w:val="hybridMultilevel"/>
    <w:tmpl w:val="8132BD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CEB160B"/>
    <w:multiLevelType w:val="hybridMultilevel"/>
    <w:tmpl w:val="B8AE96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CBA0A21"/>
    <w:multiLevelType w:val="multilevel"/>
    <w:tmpl w:val="64DEF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77428AB"/>
    <w:multiLevelType w:val="hybridMultilevel"/>
    <w:tmpl w:val="D0DAE6E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14737179">
    <w:abstractNumId w:val="2"/>
  </w:num>
  <w:num w:numId="2" w16cid:durableId="4486640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6462708">
    <w:abstractNumId w:val="1"/>
  </w:num>
  <w:num w:numId="4" w16cid:durableId="886184077">
    <w:abstractNumId w:val="4"/>
  </w:num>
  <w:num w:numId="5" w16cid:durableId="403139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6FE"/>
    <w:rsid w:val="0000209F"/>
    <w:rsid w:val="0000644C"/>
    <w:rsid w:val="00014968"/>
    <w:rsid w:val="00025120"/>
    <w:rsid w:val="00033CA5"/>
    <w:rsid w:val="000422DE"/>
    <w:rsid w:val="00062B89"/>
    <w:rsid w:val="00070EB7"/>
    <w:rsid w:val="0007287C"/>
    <w:rsid w:val="00074D7F"/>
    <w:rsid w:val="0008093D"/>
    <w:rsid w:val="00086CA2"/>
    <w:rsid w:val="000B19F5"/>
    <w:rsid w:val="000C2C31"/>
    <w:rsid w:val="000C5398"/>
    <w:rsid w:val="000D761D"/>
    <w:rsid w:val="000F294E"/>
    <w:rsid w:val="000F6C37"/>
    <w:rsid w:val="00105984"/>
    <w:rsid w:val="00105C0B"/>
    <w:rsid w:val="001105B9"/>
    <w:rsid w:val="00110ABE"/>
    <w:rsid w:val="00110F2B"/>
    <w:rsid w:val="00116CF6"/>
    <w:rsid w:val="00132391"/>
    <w:rsid w:val="00134B79"/>
    <w:rsid w:val="001444FB"/>
    <w:rsid w:val="00170F36"/>
    <w:rsid w:val="00172104"/>
    <w:rsid w:val="00172543"/>
    <w:rsid w:val="001760E9"/>
    <w:rsid w:val="00186539"/>
    <w:rsid w:val="001925E6"/>
    <w:rsid w:val="001A5C8A"/>
    <w:rsid w:val="001B15C8"/>
    <w:rsid w:val="001B196B"/>
    <w:rsid w:val="001B3AEB"/>
    <w:rsid w:val="001B5802"/>
    <w:rsid w:val="001B5E32"/>
    <w:rsid w:val="001C4744"/>
    <w:rsid w:val="001C5847"/>
    <w:rsid w:val="001C746B"/>
    <w:rsid w:val="001E5BD4"/>
    <w:rsid w:val="001E5CD0"/>
    <w:rsid w:val="001F2DBC"/>
    <w:rsid w:val="001F3BB9"/>
    <w:rsid w:val="001F54D5"/>
    <w:rsid w:val="002008D1"/>
    <w:rsid w:val="002139B3"/>
    <w:rsid w:val="00217516"/>
    <w:rsid w:val="00221F1D"/>
    <w:rsid w:val="0022452C"/>
    <w:rsid w:val="0024229E"/>
    <w:rsid w:val="002465D5"/>
    <w:rsid w:val="0025762B"/>
    <w:rsid w:val="00267F42"/>
    <w:rsid w:val="002856E3"/>
    <w:rsid w:val="002A33DB"/>
    <w:rsid w:val="002A4F4B"/>
    <w:rsid w:val="002B25D0"/>
    <w:rsid w:val="002B324E"/>
    <w:rsid w:val="002C1D2C"/>
    <w:rsid w:val="002C239E"/>
    <w:rsid w:val="002C419F"/>
    <w:rsid w:val="002D2129"/>
    <w:rsid w:val="002E0567"/>
    <w:rsid w:val="002F1F45"/>
    <w:rsid w:val="00300CA5"/>
    <w:rsid w:val="00305A40"/>
    <w:rsid w:val="00305E7E"/>
    <w:rsid w:val="00311DE7"/>
    <w:rsid w:val="003121FA"/>
    <w:rsid w:val="00314353"/>
    <w:rsid w:val="00321DEA"/>
    <w:rsid w:val="0032311D"/>
    <w:rsid w:val="00323315"/>
    <w:rsid w:val="0033116A"/>
    <w:rsid w:val="003379F8"/>
    <w:rsid w:val="00347152"/>
    <w:rsid w:val="003527F5"/>
    <w:rsid w:val="00365209"/>
    <w:rsid w:val="003653BE"/>
    <w:rsid w:val="00365858"/>
    <w:rsid w:val="003740F3"/>
    <w:rsid w:val="003823FB"/>
    <w:rsid w:val="00396569"/>
    <w:rsid w:val="0039700D"/>
    <w:rsid w:val="003A2B3D"/>
    <w:rsid w:val="003A3E42"/>
    <w:rsid w:val="003A56F3"/>
    <w:rsid w:val="003D259E"/>
    <w:rsid w:val="003D25CE"/>
    <w:rsid w:val="003D3F59"/>
    <w:rsid w:val="003D5206"/>
    <w:rsid w:val="003D7AC1"/>
    <w:rsid w:val="003E5366"/>
    <w:rsid w:val="004024D7"/>
    <w:rsid w:val="00407FC6"/>
    <w:rsid w:val="00412E43"/>
    <w:rsid w:val="0042017A"/>
    <w:rsid w:val="00422D40"/>
    <w:rsid w:val="00427C04"/>
    <w:rsid w:val="004324B3"/>
    <w:rsid w:val="004327E7"/>
    <w:rsid w:val="004542B8"/>
    <w:rsid w:val="00472A7B"/>
    <w:rsid w:val="004807EC"/>
    <w:rsid w:val="004826A3"/>
    <w:rsid w:val="00482D85"/>
    <w:rsid w:val="00482EB0"/>
    <w:rsid w:val="004A0E0F"/>
    <w:rsid w:val="004C0E87"/>
    <w:rsid w:val="004D0A23"/>
    <w:rsid w:val="004D6E85"/>
    <w:rsid w:val="004E0277"/>
    <w:rsid w:val="004E08A5"/>
    <w:rsid w:val="004F5774"/>
    <w:rsid w:val="0050556A"/>
    <w:rsid w:val="00514166"/>
    <w:rsid w:val="0052791C"/>
    <w:rsid w:val="00546765"/>
    <w:rsid w:val="0055164B"/>
    <w:rsid w:val="005527CB"/>
    <w:rsid w:val="005562EB"/>
    <w:rsid w:val="0057401E"/>
    <w:rsid w:val="005847FB"/>
    <w:rsid w:val="005A079F"/>
    <w:rsid w:val="005A0CAE"/>
    <w:rsid w:val="005A3D17"/>
    <w:rsid w:val="005A761C"/>
    <w:rsid w:val="005B5696"/>
    <w:rsid w:val="005C76A8"/>
    <w:rsid w:val="005D4F2F"/>
    <w:rsid w:val="005D53C3"/>
    <w:rsid w:val="005D7076"/>
    <w:rsid w:val="005E1EBB"/>
    <w:rsid w:val="005E2BA3"/>
    <w:rsid w:val="005E2E26"/>
    <w:rsid w:val="00604D71"/>
    <w:rsid w:val="00605348"/>
    <w:rsid w:val="00605E6D"/>
    <w:rsid w:val="00631D5B"/>
    <w:rsid w:val="0063366A"/>
    <w:rsid w:val="006517D0"/>
    <w:rsid w:val="0065442B"/>
    <w:rsid w:val="0065764A"/>
    <w:rsid w:val="006607AD"/>
    <w:rsid w:val="006621D8"/>
    <w:rsid w:val="00665987"/>
    <w:rsid w:val="006804DF"/>
    <w:rsid w:val="00690641"/>
    <w:rsid w:val="00691A71"/>
    <w:rsid w:val="006925E4"/>
    <w:rsid w:val="006B7B5B"/>
    <w:rsid w:val="006C2763"/>
    <w:rsid w:val="006E0DE0"/>
    <w:rsid w:val="006E2AAF"/>
    <w:rsid w:val="006E537F"/>
    <w:rsid w:val="006F1183"/>
    <w:rsid w:val="006F5DF4"/>
    <w:rsid w:val="00704205"/>
    <w:rsid w:val="00710FDD"/>
    <w:rsid w:val="00714A67"/>
    <w:rsid w:val="00716E37"/>
    <w:rsid w:val="007209FC"/>
    <w:rsid w:val="00722427"/>
    <w:rsid w:val="00725AA5"/>
    <w:rsid w:val="007358F1"/>
    <w:rsid w:val="0073715E"/>
    <w:rsid w:val="00744C5D"/>
    <w:rsid w:val="007478D6"/>
    <w:rsid w:val="00764966"/>
    <w:rsid w:val="007811C8"/>
    <w:rsid w:val="007812E9"/>
    <w:rsid w:val="00784D2A"/>
    <w:rsid w:val="007907C4"/>
    <w:rsid w:val="00791687"/>
    <w:rsid w:val="00794F29"/>
    <w:rsid w:val="00796027"/>
    <w:rsid w:val="007A38D9"/>
    <w:rsid w:val="007A4CF6"/>
    <w:rsid w:val="007A69AC"/>
    <w:rsid w:val="007A6DA1"/>
    <w:rsid w:val="007B2F1C"/>
    <w:rsid w:val="007B783E"/>
    <w:rsid w:val="007C653B"/>
    <w:rsid w:val="007E1873"/>
    <w:rsid w:val="007E2D43"/>
    <w:rsid w:val="007E312C"/>
    <w:rsid w:val="007E5D28"/>
    <w:rsid w:val="007F4CB8"/>
    <w:rsid w:val="00805E82"/>
    <w:rsid w:val="00806AF9"/>
    <w:rsid w:val="0081673F"/>
    <w:rsid w:val="00824481"/>
    <w:rsid w:val="00830513"/>
    <w:rsid w:val="00851246"/>
    <w:rsid w:val="008622EC"/>
    <w:rsid w:val="00863606"/>
    <w:rsid w:val="00865269"/>
    <w:rsid w:val="00874622"/>
    <w:rsid w:val="00883A9F"/>
    <w:rsid w:val="00885730"/>
    <w:rsid w:val="008C2137"/>
    <w:rsid w:val="008D0AC7"/>
    <w:rsid w:val="008D0CC3"/>
    <w:rsid w:val="008D50E8"/>
    <w:rsid w:val="008E3D12"/>
    <w:rsid w:val="008E5CD3"/>
    <w:rsid w:val="00905F3E"/>
    <w:rsid w:val="009065E0"/>
    <w:rsid w:val="009144C1"/>
    <w:rsid w:val="00922E62"/>
    <w:rsid w:val="00923290"/>
    <w:rsid w:val="00926887"/>
    <w:rsid w:val="009313C2"/>
    <w:rsid w:val="009406DA"/>
    <w:rsid w:val="00961934"/>
    <w:rsid w:val="0096265C"/>
    <w:rsid w:val="00963601"/>
    <w:rsid w:val="009637D1"/>
    <w:rsid w:val="00971C2F"/>
    <w:rsid w:val="00974129"/>
    <w:rsid w:val="00984202"/>
    <w:rsid w:val="00984710"/>
    <w:rsid w:val="00985B45"/>
    <w:rsid w:val="009A35E2"/>
    <w:rsid w:val="009A4C1B"/>
    <w:rsid w:val="009B1C08"/>
    <w:rsid w:val="009C52C0"/>
    <w:rsid w:val="009D056F"/>
    <w:rsid w:val="009D5532"/>
    <w:rsid w:val="009E1BE6"/>
    <w:rsid w:val="009E42FA"/>
    <w:rsid w:val="009E4BFE"/>
    <w:rsid w:val="009E768E"/>
    <w:rsid w:val="009E7D50"/>
    <w:rsid w:val="009F3710"/>
    <w:rsid w:val="00A061EE"/>
    <w:rsid w:val="00A11B93"/>
    <w:rsid w:val="00A1785C"/>
    <w:rsid w:val="00A21448"/>
    <w:rsid w:val="00A235DE"/>
    <w:rsid w:val="00A27F2E"/>
    <w:rsid w:val="00A32A56"/>
    <w:rsid w:val="00A34878"/>
    <w:rsid w:val="00A512C9"/>
    <w:rsid w:val="00A53BF9"/>
    <w:rsid w:val="00A62A49"/>
    <w:rsid w:val="00A64B90"/>
    <w:rsid w:val="00A67A39"/>
    <w:rsid w:val="00A755FC"/>
    <w:rsid w:val="00A76BEF"/>
    <w:rsid w:val="00A844DD"/>
    <w:rsid w:val="00A85B09"/>
    <w:rsid w:val="00A91F78"/>
    <w:rsid w:val="00A9655A"/>
    <w:rsid w:val="00AB0814"/>
    <w:rsid w:val="00AB1D3E"/>
    <w:rsid w:val="00AB1E5C"/>
    <w:rsid w:val="00AB75D8"/>
    <w:rsid w:val="00AE6EC4"/>
    <w:rsid w:val="00AF6795"/>
    <w:rsid w:val="00B002FE"/>
    <w:rsid w:val="00B00DE1"/>
    <w:rsid w:val="00B04998"/>
    <w:rsid w:val="00B05E50"/>
    <w:rsid w:val="00B17F9A"/>
    <w:rsid w:val="00B40719"/>
    <w:rsid w:val="00B53497"/>
    <w:rsid w:val="00B537DC"/>
    <w:rsid w:val="00B5551D"/>
    <w:rsid w:val="00B823D5"/>
    <w:rsid w:val="00B918FE"/>
    <w:rsid w:val="00B920D2"/>
    <w:rsid w:val="00B95808"/>
    <w:rsid w:val="00B96A39"/>
    <w:rsid w:val="00BA1BC8"/>
    <w:rsid w:val="00BA7F07"/>
    <w:rsid w:val="00BB4D88"/>
    <w:rsid w:val="00BC36F0"/>
    <w:rsid w:val="00BD1603"/>
    <w:rsid w:val="00BD4E25"/>
    <w:rsid w:val="00BD556E"/>
    <w:rsid w:val="00BE277F"/>
    <w:rsid w:val="00BE451A"/>
    <w:rsid w:val="00BF1EFD"/>
    <w:rsid w:val="00BF7E2C"/>
    <w:rsid w:val="00C068BA"/>
    <w:rsid w:val="00C122D0"/>
    <w:rsid w:val="00C345CD"/>
    <w:rsid w:val="00C36D5B"/>
    <w:rsid w:val="00C4796E"/>
    <w:rsid w:val="00C50770"/>
    <w:rsid w:val="00C538F3"/>
    <w:rsid w:val="00C566B6"/>
    <w:rsid w:val="00C57358"/>
    <w:rsid w:val="00C73616"/>
    <w:rsid w:val="00C77DFC"/>
    <w:rsid w:val="00C92A82"/>
    <w:rsid w:val="00C95FFB"/>
    <w:rsid w:val="00CA71D7"/>
    <w:rsid w:val="00CA7E53"/>
    <w:rsid w:val="00CB301B"/>
    <w:rsid w:val="00CB306A"/>
    <w:rsid w:val="00CB36E8"/>
    <w:rsid w:val="00CD7372"/>
    <w:rsid w:val="00CE7EA9"/>
    <w:rsid w:val="00CF147B"/>
    <w:rsid w:val="00CF5712"/>
    <w:rsid w:val="00D00EB0"/>
    <w:rsid w:val="00D0308B"/>
    <w:rsid w:val="00D10E0D"/>
    <w:rsid w:val="00D1439E"/>
    <w:rsid w:val="00D31452"/>
    <w:rsid w:val="00D43080"/>
    <w:rsid w:val="00D45C8F"/>
    <w:rsid w:val="00D50605"/>
    <w:rsid w:val="00D51200"/>
    <w:rsid w:val="00D53368"/>
    <w:rsid w:val="00D57850"/>
    <w:rsid w:val="00D6395C"/>
    <w:rsid w:val="00D64749"/>
    <w:rsid w:val="00D71646"/>
    <w:rsid w:val="00D71F37"/>
    <w:rsid w:val="00D731EE"/>
    <w:rsid w:val="00D87F02"/>
    <w:rsid w:val="00D96A05"/>
    <w:rsid w:val="00D97846"/>
    <w:rsid w:val="00DA47C5"/>
    <w:rsid w:val="00DA4CAC"/>
    <w:rsid w:val="00DB369B"/>
    <w:rsid w:val="00DB4949"/>
    <w:rsid w:val="00DB672F"/>
    <w:rsid w:val="00DB7057"/>
    <w:rsid w:val="00DB71C9"/>
    <w:rsid w:val="00DE5DEB"/>
    <w:rsid w:val="00DE76FE"/>
    <w:rsid w:val="00DF4026"/>
    <w:rsid w:val="00DF611B"/>
    <w:rsid w:val="00E016E1"/>
    <w:rsid w:val="00E04FAB"/>
    <w:rsid w:val="00E10F2F"/>
    <w:rsid w:val="00E12324"/>
    <w:rsid w:val="00E254F2"/>
    <w:rsid w:val="00E27396"/>
    <w:rsid w:val="00E3055B"/>
    <w:rsid w:val="00E469BE"/>
    <w:rsid w:val="00E61DBE"/>
    <w:rsid w:val="00E66F0E"/>
    <w:rsid w:val="00E70ACF"/>
    <w:rsid w:val="00E9204F"/>
    <w:rsid w:val="00EA37DD"/>
    <w:rsid w:val="00EA5AB8"/>
    <w:rsid w:val="00EB1C5A"/>
    <w:rsid w:val="00EC3288"/>
    <w:rsid w:val="00ED4633"/>
    <w:rsid w:val="00EE0744"/>
    <w:rsid w:val="00EE185A"/>
    <w:rsid w:val="00EE2829"/>
    <w:rsid w:val="00EE574C"/>
    <w:rsid w:val="00EF34AD"/>
    <w:rsid w:val="00EF6DA4"/>
    <w:rsid w:val="00F00CCA"/>
    <w:rsid w:val="00F02A4D"/>
    <w:rsid w:val="00F02F8A"/>
    <w:rsid w:val="00F06CB5"/>
    <w:rsid w:val="00F25413"/>
    <w:rsid w:val="00F25AC5"/>
    <w:rsid w:val="00F320F8"/>
    <w:rsid w:val="00F32C57"/>
    <w:rsid w:val="00F34DED"/>
    <w:rsid w:val="00F414A0"/>
    <w:rsid w:val="00F5053C"/>
    <w:rsid w:val="00F51987"/>
    <w:rsid w:val="00F52A9F"/>
    <w:rsid w:val="00F543B6"/>
    <w:rsid w:val="00F557B8"/>
    <w:rsid w:val="00F8266A"/>
    <w:rsid w:val="00F8283C"/>
    <w:rsid w:val="00F842ED"/>
    <w:rsid w:val="00F844F0"/>
    <w:rsid w:val="00FB31C0"/>
    <w:rsid w:val="00FD35CD"/>
    <w:rsid w:val="00FD4D7F"/>
    <w:rsid w:val="00FE5F79"/>
    <w:rsid w:val="00FF4D97"/>
    <w:rsid w:val="00FF6516"/>
    <w:rsid w:val="00FF65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6A11DD"/>
  <w15:chartTrackingRefBased/>
  <w15:docId w15:val="{30B7F4F1-C9C7-4664-BCC6-32744D2D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61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55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532"/>
    <w:rPr>
      <w:rFonts w:ascii="Segoe UI" w:hAnsi="Segoe UI" w:cs="Segoe UI"/>
      <w:sz w:val="18"/>
      <w:szCs w:val="18"/>
    </w:rPr>
  </w:style>
  <w:style w:type="paragraph" w:styleId="ListParagraph">
    <w:name w:val="List Paragraph"/>
    <w:basedOn w:val="Normal"/>
    <w:uiPriority w:val="34"/>
    <w:qFormat/>
    <w:rsid w:val="00AB75D8"/>
    <w:pPr>
      <w:ind w:left="720"/>
      <w:contextualSpacing/>
    </w:pPr>
  </w:style>
  <w:style w:type="character" w:styleId="CommentReference">
    <w:name w:val="annotation reference"/>
    <w:basedOn w:val="DefaultParagraphFont"/>
    <w:uiPriority w:val="99"/>
    <w:semiHidden/>
    <w:unhideWhenUsed/>
    <w:rsid w:val="004D0A23"/>
    <w:rPr>
      <w:sz w:val="16"/>
      <w:szCs w:val="16"/>
    </w:rPr>
  </w:style>
  <w:style w:type="paragraph" w:styleId="CommentText">
    <w:name w:val="annotation text"/>
    <w:basedOn w:val="Normal"/>
    <w:link w:val="CommentTextChar"/>
    <w:uiPriority w:val="99"/>
    <w:unhideWhenUsed/>
    <w:rsid w:val="004D0A23"/>
    <w:rPr>
      <w:sz w:val="20"/>
      <w:szCs w:val="20"/>
    </w:rPr>
  </w:style>
  <w:style w:type="character" w:customStyle="1" w:styleId="CommentTextChar">
    <w:name w:val="Comment Text Char"/>
    <w:basedOn w:val="DefaultParagraphFont"/>
    <w:link w:val="CommentText"/>
    <w:uiPriority w:val="99"/>
    <w:rsid w:val="004D0A23"/>
    <w:rPr>
      <w:sz w:val="20"/>
      <w:szCs w:val="20"/>
    </w:rPr>
  </w:style>
  <w:style w:type="paragraph" w:styleId="CommentSubject">
    <w:name w:val="annotation subject"/>
    <w:basedOn w:val="CommentText"/>
    <w:next w:val="CommentText"/>
    <w:link w:val="CommentSubjectChar"/>
    <w:uiPriority w:val="99"/>
    <w:semiHidden/>
    <w:unhideWhenUsed/>
    <w:rsid w:val="004D0A23"/>
    <w:rPr>
      <w:b/>
      <w:bCs/>
    </w:rPr>
  </w:style>
  <w:style w:type="character" w:customStyle="1" w:styleId="CommentSubjectChar">
    <w:name w:val="Comment Subject Char"/>
    <w:basedOn w:val="CommentTextChar"/>
    <w:link w:val="CommentSubject"/>
    <w:uiPriority w:val="99"/>
    <w:semiHidden/>
    <w:rsid w:val="004D0A23"/>
    <w:rPr>
      <w:b/>
      <w:bCs/>
      <w:sz w:val="20"/>
      <w:szCs w:val="20"/>
    </w:rPr>
  </w:style>
  <w:style w:type="paragraph" w:styleId="Revision">
    <w:name w:val="Revision"/>
    <w:hidden/>
    <w:uiPriority w:val="99"/>
    <w:semiHidden/>
    <w:rsid w:val="00B05E50"/>
  </w:style>
  <w:style w:type="character" w:styleId="Hyperlink">
    <w:name w:val="Hyperlink"/>
    <w:basedOn w:val="DefaultParagraphFont"/>
    <w:uiPriority w:val="99"/>
    <w:unhideWhenUsed/>
    <w:rsid w:val="003823FB"/>
    <w:rPr>
      <w:color w:val="0000FF" w:themeColor="hyperlink"/>
      <w:u w:val="single"/>
    </w:rPr>
  </w:style>
  <w:style w:type="character" w:styleId="UnresolvedMention">
    <w:name w:val="Unresolved Mention"/>
    <w:basedOn w:val="DefaultParagraphFont"/>
    <w:uiPriority w:val="99"/>
    <w:semiHidden/>
    <w:unhideWhenUsed/>
    <w:rsid w:val="003823FB"/>
    <w:rPr>
      <w:color w:val="605E5C"/>
      <w:shd w:val="clear" w:color="auto" w:fill="E1DFDD"/>
    </w:rPr>
  </w:style>
  <w:style w:type="paragraph" w:styleId="Header">
    <w:name w:val="header"/>
    <w:basedOn w:val="Normal"/>
    <w:link w:val="HeaderChar"/>
    <w:uiPriority w:val="99"/>
    <w:unhideWhenUsed/>
    <w:rsid w:val="001C746B"/>
    <w:pPr>
      <w:tabs>
        <w:tab w:val="center" w:pos="4680"/>
        <w:tab w:val="right" w:pos="9360"/>
      </w:tabs>
    </w:pPr>
  </w:style>
  <w:style w:type="character" w:customStyle="1" w:styleId="HeaderChar">
    <w:name w:val="Header Char"/>
    <w:basedOn w:val="DefaultParagraphFont"/>
    <w:link w:val="Header"/>
    <w:uiPriority w:val="99"/>
    <w:rsid w:val="001C746B"/>
  </w:style>
  <w:style w:type="paragraph" w:styleId="Footer">
    <w:name w:val="footer"/>
    <w:basedOn w:val="Normal"/>
    <w:link w:val="FooterChar"/>
    <w:uiPriority w:val="99"/>
    <w:unhideWhenUsed/>
    <w:rsid w:val="001C746B"/>
    <w:pPr>
      <w:tabs>
        <w:tab w:val="center" w:pos="4680"/>
        <w:tab w:val="right" w:pos="9360"/>
      </w:tabs>
    </w:pPr>
  </w:style>
  <w:style w:type="character" w:customStyle="1" w:styleId="FooterChar">
    <w:name w:val="Footer Char"/>
    <w:basedOn w:val="DefaultParagraphFont"/>
    <w:link w:val="Footer"/>
    <w:uiPriority w:val="99"/>
    <w:rsid w:val="001C746B"/>
  </w:style>
  <w:style w:type="paragraph" w:styleId="NormalWeb">
    <w:name w:val="Normal (Web)"/>
    <w:basedOn w:val="Normal"/>
    <w:uiPriority w:val="99"/>
    <w:unhideWhenUsed/>
    <w:rsid w:val="00BF7E2C"/>
    <w:pPr>
      <w:spacing w:before="100" w:beforeAutospacing="1" w:after="100" w:afterAutospacing="1"/>
    </w:pPr>
    <w:rPr>
      <w:rFonts w:ascii="Calibri" w:hAnsi="Calibri" w:cs="Calibri"/>
      <w:sz w:val="22"/>
    </w:rPr>
  </w:style>
  <w:style w:type="character" w:customStyle="1" w:styleId="bumpedfont15">
    <w:name w:val="bumpedfont15"/>
    <w:basedOn w:val="DefaultParagraphFont"/>
    <w:rsid w:val="00BF7E2C"/>
  </w:style>
  <w:style w:type="character" w:customStyle="1" w:styleId="apple-converted-space">
    <w:name w:val="apple-converted-space"/>
    <w:basedOn w:val="DefaultParagraphFont"/>
    <w:rsid w:val="00BF7E2C"/>
  </w:style>
  <w:style w:type="character" w:customStyle="1" w:styleId="Heading1Char">
    <w:name w:val="Heading 1 Char"/>
    <w:basedOn w:val="DefaultParagraphFont"/>
    <w:link w:val="Heading1"/>
    <w:uiPriority w:val="9"/>
    <w:rsid w:val="00C7361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df4c6c0-67bb-4aed-a8ca-b33d4c321c6a"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AA683A458BAF4991DB08B5E74D4E88" ma:contentTypeVersion="18" ma:contentTypeDescription="Create a new document." ma:contentTypeScope="" ma:versionID="1e35147afcd8b14468275a8d30a0809d">
  <xsd:schema xmlns:xsd="http://www.w3.org/2001/XMLSchema" xmlns:xs="http://www.w3.org/2001/XMLSchema" xmlns:p="http://schemas.microsoft.com/office/2006/metadata/properties" xmlns:ns1="http://schemas.microsoft.com/sharepoint/v3" xmlns:ns3="55c0ae41-5d44-4d7b-92bf-84c1df09567c" xmlns:ns4="7df4c6c0-67bb-4aed-a8ca-b33d4c321c6a" targetNamespace="http://schemas.microsoft.com/office/2006/metadata/properties" ma:root="true" ma:fieldsID="65b1a8541a751039c4e72845d7366bf6" ns1:_="" ns3:_="" ns4:_="">
    <xsd:import namespace="http://schemas.microsoft.com/sharepoint/v3"/>
    <xsd:import namespace="55c0ae41-5d44-4d7b-92bf-84c1df09567c"/>
    <xsd:import namespace="7df4c6c0-67bb-4aed-a8ca-b33d4c321c6a"/>
    <xsd:element name="properties">
      <xsd:complexType>
        <xsd:sequence>
          <xsd:element name="documentManagement">
            <xsd:complexType>
              <xsd:all>
                <xsd:element ref="ns3:SharedWithDetails" minOccurs="0"/>
                <xsd:element ref="ns3:SharedWithUser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0ae41-5d44-4d7b-92bf-84c1df09567c"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f4c6c0-67bb-4aed-a8ca-b33d4c321c6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890B16-A781-4190-9642-88BA393C486D}">
  <ds:schemaRefs>
    <ds:schemaRef ds:uri="http://schemas.microsoft.com/sharepoint/v3/contenttype/forms"/>
  </ds:schemaRefs>
</ds:datastoreItem>
</file>

<file path=customXml/itemProps2.xml><?xml version="1.0" encoding="utf-8"?>
<ds:datastoreItem xmlns:ds="http://schemas.openxmlformats.org/officeDocument/2006/customXml" ds:itemID="{47BE31C7-8C24-47F0-82B0-87EBC2548BB9}">
  <ds:schemaRefs>
    <ds:schemaRef ds:uri="http://schemas.microsoft.com/office/2006/metadata/properties"/>
    <ds:schemaRef ds:uri="http://schemas.microsoft.com/office/infopath/2007/PartnerControls"/>
    <ds:schemaRef ds:uri="7df4c6c0-67bb-4aed-a8ca-b33d4c321c6a"/>
    <ds:schemaRef ds:uri="http://schemas.microsoft.com/sharepoint/v3"/>
  </ds:schemaRefs>
</ds:datastoreItem>
</file>

<file path=customXml/itemProps3.xml><?xml version="1.0" encoding="utf-8"?>
<ds:datastoreItem xmlns:ds="http://schemas.openxmlformats.org/officeDocument/2006/customXml" ds:itemID="{80C39E33-4F75-407C-8775-267C8AB9B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c0ae41-5d44-4d7b-92bf-84c1df09567c"/>
    <ds:schemaRef ds:uri="7df4c6c0-67bb-4aed-a8ca-b33d4c321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Deborah</dc:creator>
  <cp:lastModifiedBy>Rifkin Melissa</cp:lastModifiedBy>
  <cp:revision>4</cp:revision>
  <dcterms:created xsi:type="dcterms:W3CDTF">2023-09-21T17:29:00Z</dcterms:created>
  <dcterms:modified xsi:type="dcterms:W3CDTF">2023-09-21T17:40:00Z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0x010100DCAA683A458BAF4991DB08B5E74D4E88</vt:lpwstr>
  </property>
  <property fmtid="{D5CDD505-2E9C-101B-9397-08002B2CF9AE}" pid="3" name="OGC Document Status">
    <vt:lpwstr>6;#Draft|4e9a4bc7-9032-4d66-87ab-b16dbcbcd63b</vt:lpwstr>
  </property>
  <property fmtid="{D5CDD505-2E9C-101B-9397-08002B2CF9AE}" pid="4" name="Order">
    <vt:r8>100</vt:r8>
  </property>
  <property fmtid="{D5CDD505-2E9C-101B-9397-08002B2CF9AE}" pid="5" name="Source Library">
    <vt:lpwstr/>
  </property>
  <property fmtid="{D5CDD505-2E9C-101B-9397-08002B2CF9AE}" pid="6" name="Source Type">
    <vt:lpwstr>File share</vt:lpwstr>
  </property>
</Properties>
</file>