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702A" w:rsidP="0088494D" w14:paraId="08E131BD" w14:textId="67946E0C">
      <w:pPr>
        <w:jc w:val="center"/>
        <w:rPr>
          <w:b/>
          <w:bCs/>
          <w:color w:val="000000"/>
          <w:sz w:val="24"/>
          <w:szCs w:val="24"/>
        </w:rPr>
      </w:pPr>
      <w:r>
        <w:rPr>
          <w:b/>
          <w:bCs/>
          <w:color w:val="000000"/>
          <w:sz w:val="24"/>
          <w:szCs w:val="24"/>
        </w:rPr>
        <w:t xml:space="preserve"> </w:t>
      </w:r>
    </w:p>
    <w:p w:rsidR="002C702A" w:rsidRPr="007056ED" w:rsidP="002C702A" w14:paraId="423DDAA1" w14:textId="2B79DEE5">
      <w:pPr>
        <w:jc w:val="center"/>
        <w:rPr>
          <w:bCs/>
          <w:color w:val="000000"/>
          <w:sz w:val="24"/>
          <w:szCs w:val="24"/>
        </w:rPr>
      </w:pPr>
      <w:r w:rsidRPr="007056ED">
        <w:rPr>
          <w:bCs/>
          <w:color w:val="000000"/>
          <w:sz w:val="24"/>
          <w:szCs w:val="24"/>
        </w:rPr>
        <w:t>Note to Reviewer</w:t>
      </w:r>
    </w:p>
    <w:p w:rsidR="002C702A" w:rsidRPr="007056ED" w:rsidP="002C702A" w14:paraId="59F92A74" w14:textId="77777777">
      <w:pPr>
        <w:jc w:val="center"/>
        <w:rPr>
          <w:bCs/>
          <w:color w:val="000000"/>
          <w:sz w:val="24"/>
          <w:szCs w:val="24"/>
        </w:rPr>
      </w:pPr>
    </w:p>
    <w:p w:rsidR="006071DD" w:rsidRPr="00A453EB" w:rsidP="005B7B38" w14:paraId="46DE876C" w14:textId="11302485">
      <w:pPr>
        <w:pStyle w:val="Title"/>
        <w:jc w:val="left"/>
        <w:rPr>
          <w:b w:val="0"/>
          <w:bCs w:val="0"/>
        </w:rPr>
      </w:pPr>
      <w:r w:rsidRPr="007B3234">
        <w:rPr>
          <w:b w:val="0"/>
        </w:rPr>
        <w:t>OSHA is revis</w:t>
      </w:r>
      <w:r w:rsidR="00212F26">
        <w:rPr>
          <w:b w:val="0"/>
        </w:rPr>
        <w:t>ing</w:t>
      </w:r>
      <w:r w:rsidRPr="007B3234">
        <w:rPr>
          <w:b w:val="0"/>
        </w:rPr>
        <w:t xml:space="preserve"> the Hazard Communication Standard (HCS), 29 CFR 1910.1200</w:t>
      </w:r>
      <w:r w:rsidR="007B3234">
        <w:rPr>
          <w:b w:val="0"/>
        </w:rPr>
        <w:t>,</w:t>
      </w:r>
      <w:r w:rsidR="00212F26">
        <w:rPr>
          <w:b w:val="0"/>
        </w:rPr>
        <w:t xml:space="preserve"> </w:t>
      </w:r>
      <w:r w:rsidR="007B3234">
        <w:rPr>
          <w:b w:val="0"/>
        </w:rPr>
        <w:t>which</w:t>
      </w:r>
      <w:r w:rsidRPr="007B3234">
        <w:rPr>
          <w:b w:val="0"/>
        </w:rPr>
        <w:t xml:space="preserve"> </w:t>
      </w:r>
      <w:r w:rsidRPr="007B3234" w:rsidR="005B7B38">
        <w:rPr>
          <w:b w:val="0"/>
        </w:rPr>
        <w:t xml:space="preserve">contains collection of information requirements </w:t>
      </w:r>
      <w:r w:rsidR="005B7B38">
        <w:rPr>
          <w:b w:val="0"/>
        </w:rPr>
        <w:t xml:space="preserve">previously approved by </w:t>
      </w:r>
      <w:r w:rsidR="004E50D6">
        <w:rPr>
          <w:b w:val="0"/>
        </w:rPr>
        <w:t xml:space="preserve">the </w:t>
      </w:r>
      <w:r>
        <w:rPr>
          <w:b w:val="0"/>
        </w:rPr>
        <w:t>Office of Management and Budget (</w:t>
      </w:r>
      <w:r w:rsidR="005B7B38">
        <w:rPr>
          <w:b w:val="0"/>
        </w:rPr>
        <w:t>OMB</w:t>
      </w:r>
      <w:r>
        <w:rPr>
          <w:b w:val="0"/>
        </w:rPr>
        <w:t>)</w:t>
      </w:r>
      <w:r w:rsidRPr="00E8267A" w:rsidR="005B7B38">
        <w:rPr>
          <w:b w:val="0"/>
        </w:rPr>
        <w:t xml:space="preserve"> under OMB control number 1218-0</w:t>
      </w:r>
      <w:r w:rsidR="005B7B38">
        <w:rPr>
          <w:b w:val="0"/>
        </w:rPr>
        <w:t>072</w:t>
      </w:r>
      <w:r w:rsidRPr="00E8267A" w:rsidR="005B7B38">
        <w:rPr>
          <w:b w:val="0"/>
        </w:rPr>
        <w:t xml:space="preserve">. </w:t>
      </w:r>
      <w:r>
        <w:rPr>
          <w:b w:val="0"/>
        </w:rPr>
        <w:t xml:space="preserve"> </w:t>
      </w:r>
      <w:r w:rsidRPr="00F97375" w:rsidR="00F97375">
        <w:rPr>
          <w:b w:val="0"/>
          <w:bCs w:val="0"/>
        </w:rPr>
        <w:t xml:space="preserve">OSHA is submitting a </w:t>
      </w:r>
      <w:r w:rsidRPr="00F97375" w:rsidR="00C57317">
        <w:rPr>
          <w:b w:val="0"/>
          <w:bCs w:val="0"/>
        </w:rPr>
        <w:t>revised Information</w:t>
      </w:r>
      <w:r w:rsidRPr="00F97375" w:rsidR="00F97375">
        <w:rPr>
          <w:b w:val="0"/>
          <w:bCs w:val="0"/>
        </w:rPr>
        <w:t xml:space="preserve"> Collection Request (ICR) to </w:t>
      </w:r>
      <w:r w:rsidR="00A453EB">
        <w:rPr>
          <w:b w:val="0"/>
          <w:bCs w:val="0"/>
        </w:rPr>
        <w:t xml:space="preserve">OMB to </w:t>
      </w:r>
      <w:r w:rsidRPr="00F97375" w:rsidR="00F97375">
        <w:rPr>
          <w:b w:val="0"/>
          <w:bCs w:val="0"/>
        </w:rPr>
        <w:t>include those </w:t>
      </w:r>
      <w:r w:rsidRPr="003F31F8" w:rsidR="00A453EB">
        <w:rPr>
          <w:b w:val="0"/>
          <w:bCs w:val="0"/>
        </w:rPr>
        <w:t>changes to the collection of information requirements contained in the final rule</w:t>
      </w:r>
      <w:r w:rsidR="00A453EB">
        <w:rPr>
          <w:b w:val="0"/>
          <w:bCs w:val="0"/>
        </w:rPr>
        <w:t>.</w:t>
      </w:r>
    </w:p>
    <w:p w:rsidR="006071DD" w:rsidP="005B7B38" w14:paraId="61FE078F" w14:textId="77777777">
      <w:pPr>
        <w:pStyle w:val="Title"/>
        <w:jc w:val="left"/>
        <w:rPr>
          <w:b w:val="0"/>
        </w:rPr>
      </w:pPr>
    </w:p>
    <w:p w:rsidR="002C702A" w:rsidP="007056ED" w14:paraId="6974E42B" w14:textId="3D94EB56">
      <w:pPr>
        <w:pStyle w:val="Title"/>
        <w:jc w:val="left"/>
      </w:pPr>
      <w:r>
        <w:rPr>
          <w:b w:val="0"/>
          <w:bCs w:val="0"/>
        </w:rPr>
        <w:t>T</w:t>
      </w:r>
      <w:r w:rsidR="007478C3">
        <w:rPr>
          <w:b w:val="0"/>
          <w:bCs w:val="0"/>
        </w:rPr>
        <w:t xml:space="preserve">he </w:t>
      </w:r>
      <w:r w:rsidR="00212F26">
        <w:rPr>
          <w:b w:val="0"/>
          <w:bCs w:val="0"/>
        </w:rPr>
        <w:t>final</w:t>
      </w:r>
      <w:r>
        <w:rPr>
          <w:b w:val="0"/>
          <w:bCs w:val="0"/>
        </w:rPr>
        <w:t xml:space="preserve"> rule will</w:t>
      </w:r>
      <w:r w:rsidRPr="007056ED" w:rsidR="0003536A">
        <w:rPr>
          <w:b w:val="0"/>
        </w:rPr>
        <w:t xml:space="preserve"> improve worker protection </w:t>
      </w:r>
      <w:r w:rsidRPr="007056ED" w:rsidR="0003536A">
        <w:rPr>
          <w:b w:val="0"/>
        </w:rPr>
        <w:t>with regard to</w:t>
      </w:r>
      <w:r w:rsidRPr="007056ED" w:rsidR="0003536A">
        <w:rPr>
          <w:b w:val="0"/>
        </w:rPr>
        <w:t xml:space="preserve"> hazard communication by incorporating new hazard classes and categories, improving and streamlining precautionary statements, and providing additional clarification of the regulatory requirements</w:t>
      </w:r>
      <w:r w:rsidRPr="007056ED" w:rsidR="00D54F89">
        <w:rPr>
          <w:b w:val="0"/>
        </w:rPr>
        <w:t xml:space="preserve"> </w:t>
      </w:r>
      <w:r w:rsidRPr="007056ED" w:rsidR="00427CF9">
        <w:rPr>
          <w:b w:val="0"/>
        </w:rPr>
        <w:t>with respect to</w:t>
      </w:r>
      <w:r w:rsidRPr="007056ED" w:rsidR="00D54F89">
        <w:rPr>
          <w:b w:val="0"/>
        </w:rPr>
        <w:t xml:space="preserve"> </w:t>
      </w:r>
      <w:r w:rsidR="004E50D6">
        <w:rPr>
          <w:b w:val="0"/>
        </w:rPr>
        <w:t xml:space="preserve">the </w:t>
      </w:r>
      <w:r w:rsidRPr="007056ED" w:rsidR="00D54F89">
        <w:rPr>
          <w:b w:val="0"/>
        </w:rPr>
        <w:t>labeling and transport of hazardous chemicals.</w:t>
      </w:r>
      <w:r w:rsidR="00D54F89">
        <w:t xml:space="preserve"> </w:t>
      </w:r>
    </w:p>
    <w:p w:rsidR="006071DD" w:rsidP="007056ED" w14:paraId="4462430D" w14:textId="77777777">
      <w:pPr>
        <w:pStyle w:val="Title"/>
        <w:jc w:val="left"/>
      </w:pPr>
    </w:p>
    <w:p w:rsidR="002C702A" w:rsidP="007056ED" w14:paraId="5BC9D896" w14:textId="77777777">
      <w:pPr>
        <w:rPr>
          <w:sz w:val="24"/>
          <w:szCs w:val="24"/>
        </w:rPr>
      </w:pPr>
    </w:p>
    <w:p w:rsidR="002C702A" w:rsidP="007056ED" w14:paraId="7548144E" w14:textId="77777777">
      <w:pPr>
        <w:rPr>
          <w:sz w:val="24"/>
          <w:szCs w:val="24"/>
        </w:rPr>
      </w:pPr>
    </w:p>
    <w:p w:rsidR="002C702A" w:rsidP="007056ED" w14:paraId="693FE1CE" w14:textId="77777777">
      <w:pPr>
        <w:rPr>
          <w:sz w:val="24"/>
          <w:szCs w:val="24"/>
        </w:rPr>
      </w:pPr>
    </w:p>
    <w:p w:rsidR="002C702A" w:rsidP="007056ED" w14:paraId="52C68436" w14:textId="77777777">
      <w:pPr>
        <w:rPr>
          <w:sz w:val="24"/>
          <w:szCs w:val="24"/>
        </w:rPr>
      </w:pPr>
    </w:p>
    <w:p w:rsidR="002C702A" w:rsidP="007056ED" w14:paraId="24CAE66F" w14:textId="77777777">
      <w:pPr>
        <w:rPr>
          <w:sz w:val="24"/>
          <w:szCs w:val="24"/>
        </w:rPr>
      </w:pPr>
    </w:p>
    <w:p w:rsidR="002C702A" w:rsidP="007056ED" w14:paraId="16F6E97F" w14:textId="77777777">
      <w:pPr>
        <w:rPr>
          <w:sz w:val="24"/>
          <w:szCs w:val="24"/>
        </w:rPr>
      </w:pPr>
    </w:p>
    <w:p w:rsidR="00672E5A" w:rsidP="007056ED" w14:paraId="19687752" w14:textId="77777777">
      <w:pPr>
        <w:rPr>
          <w:sz w:val="24"/>
          <w:szCs w:val="24"/>
        </w:rPr>
      </w:pPr>
    </w:p>
    <w:p w:rsidR="00672E5A" w:rsidP="007056ED" w14:paraId="57B63185" w14:textId="77777777">
      <w:pPr>
        <w:rPr>
          <w:sz w:val="24"/>
          <w:szCs w:val="24"/>
        </w:rPr>
      </w:pPr>
    </w:p>
    <w:p w:rsidR="00672E5A" w:rsidP="007056ED" w14:paraId="0396A605" w14:textId="77777777">
      <w:pPr>
        <w:rPr>
          <w:sz w:val="24"/>
          <w:szCs w:val="24"/>
        </w:rPr>
      </w:pPr>
    </w:p>
    <w:p w:rsidR="00672E5A" w:rsidP="007056ED" w14:paraId="456BB41B" w14:textId="77777777">
      <w:pPr>
        <w:rPr>
          <w:sz w:val="24"/>
          <w:szCs w:val="24"/>
        </w:rPr>
      </w:pPr>
    </w:p>
    <w:p w:rsidR="00672E5A" w:rsidP="007056ED" w14:paraId="4FE942AE" w14:textId="77777777">
      <w:pPr>
        <w:rPr>
          <w:sz w:val="24"/>
          <w:szCs w:val="24"/>
        </w:rPr>
      </w:pPr>
    </w:p>
    <w:p w:rsidR="00672E5A" w:rsidP="007056ED" w14:paraId="42AFE301" w14:textId="77777777">
      <w:pPr>
        <w:rPr>
          <w:sz w:val="24"/>
          <w:szCs w:val="24"/>
        </w:rPr>
      </w:pPr>
    </w:p>
    <w:p w:rsidR="00672E5A" w:rsidP="007056ED" w14:paraId="70A47660" w14:textId="77777777">
      <w:pPr>
        <w:rPr>
          <w:sz w:val="24"/>
          <w:szCs w:val="24"/>
        </w:rPr>
      </w:pPr>
    </w:p>
    <w:p w:rsidR="00672E5A" w:rsidP="007056ED" w14:paraId="705E38FC" w14:textId="77777777">
      <w:pPr>
        <w:rPr>
          <w:sz w:val="24"/>
          <w:szCs w:val="24"/>
        </w:rPr>
      </w:pPr>
    </w:p>
    <w:p w:rsidR="00672E5A" w:rsidP="007056ED" w14:paraId="69BCFBFA" w14:textId="77777777">
      <w:pPr>
        <w:rPr>
          <w:sz w:val="24"/>
          <w:szCs w:val="24"/>
        </w:rPr>
      </w:pPr>
    </w:p>
    <w:p w:rsidR="00672E5A" w:rsidP="007056ED" w14:paraId="121B9D56" w14:textId="77777777">
      <w:pPr>
        <w:rPr>
          <w:sz w:val="24"/>
          <w:szCs w:val="24"/>
        </w:rPr>
      </w:pPr>
    </w:p>
    <w:p w:rsidR="00672E5A" w:rsidP="007056ED" w14:paraId="486F94DA" w14:textId="77777777">
      <w:pPr>
        <w:rPr>
          <w:sz w:val="24"/>
          <w:szCs w:val="24"/>
        </w:rPr>
      </w:pPr>
    </w:p>
    <w:p w:rsidR="00672E5A" w:rsidP="007056ED" w14:paraId="7BAE5A44" w14:textId="77777777">
      <w:pPr>
        <w:rPr>
          <w:sz w:val="24"/>
          <w:szCs w:val="24"/>
        </w:rPr>
      </w:pPr>
    </w:p>
    <w:p w:rsidR="002C702A" w:rsidP="007056ED" w14:paraId="6AC9D232" w14:textId="77777777">
      <w:pPr>
        <w:rPr>
          <w:sz w:val="24"/>
          <w:szCs w:val="24"/>
        </w:rPr>
      </w:pPr>
    </w:p>
    <w:p w:rsidR="002C702A" w:rsidP="007056ED" w14:paraId="5B91ACCB" w14:textId="77777777">
      <w:pPr>
        <w:rPr>
          <w:sz w:val="24"/>
          <w:szCs w:val="24"/>
        </w:rPr>
      </w:pPr>
    </w:p>
    <w:p w:rsidR="002C702A" w:rsidP="007056ED" w14:paraId="7E9EBF7C" w14:textId="77777777">
      <w:pPr>
        <w:rPr>
          <w:sz w:val="24"/>
          <w:szCs w:val="24"/>
        </w:rPr>
      </w:pPr>
    </w:p>
    <w:p w:rsidR="00E44C7D" w:rsidP="007056ED" w14:paraId="2B24ECC9" w14:textId="77777777">
      <w:pPr>
        <w:rPr>
          <w:sz w:val="24"/>
          <w:szCs w:val="24"/>
        </w:rPr>
      </w:pPr>
    </w:p>
    <w:p w:rsidR="00E44C7D" w:rsidP="007056ED" w14:paraId="429CB4DC" w14:textId="77777777">
      <w:pPr>
        <w:rPr>
          <w:sz w:val="24"/>
          <w:szCs w:val="24"/>
        </w:rPr>
      </w:pPr>
    </w:p>
    <w:p w:rsidR="002C702A" w:rsidP="007056ED" w14:paraId="10D32D99" w14:textId="77777777">
      <w:pPr>
        <w:rPr>
          <w:sz w:val="24"/>
          <w:szCs w:val="24"/>
        </w:rPr>
      </w:pPr>
    </w:p>
    <w:p w:rsidR="002C702A" w:rsidP="001866E2" w14:paraId="1088F99D" w14:textId="544953DC">
      <w:pPr>
        <w:rPr>
          <w:sz w:val="24"/>
          <w:szCs w:val="24"/>
        </w:rPr>
      </w:pPr>
    </w:p>
    <w:p w:rsidR="001866E2" w:rsidP="001866E2" w14:paraId="1C23050D" w14:textId="4C6EF8C5">
      <w:pPr>
        <w:rPr>
          <w:sz w:val="24"/>
          <w:szCs w:val="24"/>
        </w:rPr>
      </w:pPr>
    </w:p>
    <w:p w:rsidR="001866E2" w:rsidP="001866E2" w14:paraId="584A7276" w14:textId="77777777">
      <w:pPr>
        <w:rPr>
          <w:sz w:val="24"/>
          <w:szCs w:val="24"/>
        </w:rPr>
      </w:pPr>
    </w:p>
    <w:p w:rsidR="002C702A" w:rsidP="002C702A" w14:paraId="71DCA3E5" w14:textId="77777777">
      <w:pPr>
        <w:jc w:val="center"/>
        <w:rPr>
          <w:sz w:val="24"/>
          <w:szCs w:val="24"/>
        </w:rPr>
      </w:pPr>
    </w:p>
    <w:p w:rsidR="009F7873" w:rsidP="002C702A" w14:paraId="7218A583" w14:textId="77777777">
      <w:pPr>
        <w:jc w:val="center"/>
        <w:rPr>
          <w:sz w:val="24"/>
          <w:szCs w:val="24"/>
        </w:rPr>
      </w:pPr>
    </w:p>
    <w:p w:rsidR="009F7873" w:rsidP="002C702A" w14:paraId="639307D5" w14:textId="77777777">
      <w:pPr>
        <w:jc w:val="center"/>
        <w:rPr>
          <w:sz w:val="24"/>
          <w:szCs w:val="24"/>
        </w:rPr>
      </w:pPr>
    </w:p>
    <w:p w:rsidR="009F7873" w:rsidP="002C702A" w14:paraId="5EF2D1BE" w14:textId="77777777">
      <w:pPr>
        <w:jc w:val="center"/>
        <w:rPr>
          <w:sz w:val="24"/>
          <w:szCs w:val="24"/>
        </w:rPr>
      </w:pPr>
    </w:p>
    <w:p w:rsidR="002C702A" w:rsidP="002C702A" w14:paraId="38887A4F" w14:textId="77777777">
      <w:pPr>
        <w:jc w:val="center"/>
        <w:rPr>
          <w:b/>
          <w:bCs/>
          <w:color w:val="000000"/>
          <w:sz w:val="24"/>
          <w:szCs w:val="24"/>
        </w:rPr>
      </w:pPr>
    </w:p>
    <w:p w:rsidR="00DA610F" w:rsidP="0088494D" w14:paraId="66C8F4C0" w14:textId="2759F91F">
      <w:pPr>
        <w:jc w:val="center"/>
        <w:rPr>
          <w:b/>
          <w:bCs/>
          <w:color w:val="000000"/>
          <w:sz w:val="24"/>
          <w:szCs w:val="24"/>
        </w:rPr>
      </w:pPr>
      <w:r>
        <w:rPr>
          <w:b/>
          <w:bCs/>
          <w:color w:val="000000"/>
          <w:sz w:val="24"/>
          <w:szCs w:val="24"/>
        </w:rPr>
        <w:t>SUPPORTING STATEMENT FOR THE</w:t>
      </w:r>
    </w:p>
    <w:p w:rsidR="001866E2" w:rsidRPr="00AC6D72" w:rsidP="00AC6D72" w14:paraId="4D79F0C6" w14:textId="7DD85C4E">
      <w:pPr>
        <w:jc w:val="center"/>
        <w:rPr>
          <w:b/>
          <w:bCs/>
          <w:sz w:val="24"/>
          <w:szCs w:val="24"/>
        </w:rPr>
      </w:pPr>
      <w:r w:rsidRPr="002D67A0">
        <w:rPr>
          <w:b/>
          <w:sz w:val="24"/>
          <w:szCs w:val="24"/>
          <w:lang w:val="x-none"/>
        </w:rPr>
        <w:t xml:space="preserve">INFORMATION COLLECTION REQUIREMENTS </w:t>
      </w:r>
      <w:r w:rsidRPr="002D67A0">
        <w:rPr>
          <w:b/>
          <w:sz w:val="24"/>
          <w:szCs w:val="24"/>
          <w:lang w:val="x-none"/>
        </w:rPr>
        <w:br/>
        <w:t>IN THE</w:t>
      </w:r>
      <w:r w:rsidR="003D042C">
        <w:rPr>
          <w:b/>
          <w:sz w:val="24"/>
          <w:szCs w:val="24"/>
        </w:rPr>
        <w:t xml:space="preserve"> </w:t>
      </w:r>
      <w:r w:rsidRPr="002D67A0">
        <w:rPr>
          <w:b/>
          <w:sz w:val="24"/>
          <w:szCs w:val="24"/>
        </w:rPr>
        <w:t xml:space="preserve"> </w:t>
      </w:r>
      <w:r w:rsidRPr="006F05A5" w:rsidR="00E44C7D">
        <w:rPr>
          <w:b/>
          <w:bCs/>
          <w:color w:val="000000"/>
          <w:sz w:val="24"/>
          <w:szCs w:val="24"/>
        </w:rPr>
        <w:t>H</w:t>
      </w:r>
      <w:r w:rsidR="00E44C7D">
        <w:rPr>
          <w:b/>
          <w:bCs/>
          <w:color w:val="000000"/>
          <w:sz w:val="24"/>
          <w:szCs w:val="24"/>
        </w:rPr>
        <w:t>AZARD COMMUNICATION STANDARD</w:t>
      </w:r>
      <w:r>
        <w:rPr>
          <w:b/>
          <w:color w:val="000000"/>
          <w:sz w:val="24"/>
          <w:szCs w:val="24"/>
          <w:vertAlign w:val="superscript"/>
        </w:rPr>
        <w:footnoteReference w:id="2"/>
      </w:r>
      <w:r w:rsidRPr="00CB5054" w:rsidR="00E44C7D">
        <w:rPr>
          <w:b/>
          <w:color w:val="000000"/>
          <w:sz w:val="24"/>
          <w:szCs w:val="24"/>
        </w:rPr>
        <w:t>(29 CFR 1910.1200)</w:t>
      </w:r>
      <w:r w:rsidR="00E44C7D">
        <w:rPr>
          <w:b/>
          <w:color w:val="000000"/>
          <w:sz w:val="24"/>
          <w:szCs w:val="24"/>
        </w:rPr>
        <w:t xml:space="preserve"> </w:t>
      </w:r>
      <w:r>
        <w:rPr>
          <w:rStyle w:val="FootnoteReference"/>
          <w:b/>
          <w:color w:val="000000"/>
          <w:sz w:val="24"/>
          <w:szCs w:val="24"/>
        </w:rPr>
        <w:footnoteReference w:id="3"/>
      </w:r>
      <w:r>
        <w:rPr>
          <w:b/>
          <w:color w:val="000000"/>
          <w:sz w:val="24"/>
          <w:szCs w:val="24"/>
        </w:rPr>
        <w:t xml:space="preserve"> </w:t>
      </w:r>
      <w:r w:rsidRPr="00AC6D72">
        <w:rPr>
          <w:b/>
          <w:bCs/>
          <w:sz w:val="24"/>
          <w:szCs w:val="24"/>
        </w:rPr>
        <w:t>OFFICE OF MANAGEMENT AND BUDGET (OMB)</w:t>
      </w:r>
    </w:p>
    <w:p w:rsidR="00AE312F" w:rsidP="00AE312F" w14:paraId="2D1A1B78" w14:textId="09FDF03C">
      <w:pPr>
        <w:jc w:val="center"/>
        <w:rPr>
          <w:b/>
          <w:bCs/>
          <w:color w:val="000000"/>
          <w:sz w:val="24"/>
          <w:szCs w:val="24"/>
        </w:rPr>
      </w:pPr>
      <w:r w:rsidRPr="00AC6D72">
        <w:rPr>
          <w:b/>
          <w:bCs/>
          <w:sz w:val="24"/>
          <w:szCs w:val="24"/>
        </w:rPr>
        <w:t>CONTROL N</w:t>
      </w:r>
      <w:r w:rsidR="009F5A75">
        <w:rPr>
          <w:b/>
          <w:bCs/>
          <w:sz w:val="24"/>
          <w:szCs w:val="24"/>
        </w:rPr>
        <w:t>UMBER</w:t>
      </w:r>
      <w:r w:rsidRPr="00AC6D72">
        <w:rPr>
          <w:b/>
          <w:bCs/>
          <w:sz w:val="24"/>
          <w:szCs w:val="24"/>
        </w:rPr>
        <w:t xml:space="preserve"> 1218-0072</w:t>
      </w:r>
      <w:r w:rsidRPr="00AC6D72">
        <w:rPr>
          <w:b/>
          <w:color w:val="000000"/>
          <w:sz w:val="24"/>
          <w:szCs w:val="24"/>
        </w:rPr>
        <w:t xml:space="preserve"> </w:t>
      </w:r>
      <w:r w:rsidRPr="00AC6D72">
        <w:rPr>
          <w:b/>
          <w:bCs/>
          <w:color w:val="000000"/>
          <w:sz w:val="24"/>
          <w:szCs w:val="24"/>
        </w:rPr>
        <w:t>(</w:t>
      </w:r>
      <w:r w:rsidR="00BA2815">
        <w:rPr>
          <w:b/>
          <w:bCs/>
          <w:color w:val="000000"/>
          <w:sz w:val="24"/>
          <w:szCs w:val="24"/>
        </w:rPr>
        <w:t>November</w:t>
      </w:r>
      <w:r w:rsidRPr="00AC6D72" w:rsidR="005C093B">
        <w:rPr>
          <w:b/>
          <w:bCs/>
          <w:color w:val="000000"/>
          <w:sz w:val="24"/>
          <w:szCs w:val="24"/>
        </w:rPr>
        <w:t xml:space="preserve"> 202</w:t>
      </w:r>
      <w:r w:rsidR="007C68CC">
        <w:rPr>
          <w:b/>
          <w:bCs/>
          <w:color w:val="000000"/>
          <w:sz w:val="24"/>
          <w:szCs w:val="24"/>
        </w:rPr>
        <w:t>3</w:t>
      </w:r>
      <w:r w:rsidRPr="00AC6D72">
        <w:rPr>
          <w:b/>
          <w:bCs/>
          <w:color w:val="000000"/>
          <w:sz w:val="24"/>
          <w:szCs w:val="24"/>
        </w:rPr>
        <w:t>)</w:t>
      </w:r>
    </w:p>
    <w:p w:rsidR="00AC6D72" w:rsidRPr="00AC6D72" w:rsidP="00AE312F" w14:paraId="655B48F3" w14:textId="77777777">
      <w:pPr>
        <w:jc w:val="center"/>
        <w:rPr>
          <w:b/>
          <w:bCs/>
          <w:color w:val="000000"/>
          <w:sz w:val="24"/>
          <w:szCs w:val="24"/>
        </w:rPr>
      </w:pPr>
    </w:p>
    <w:p w:rsidR="00B25178" w:rsidRPr="00AC6D72" w:rsidP="00D80711" w14:paraId="5D9C8FFA" w14:textId="77777777">
      <w:pPr>
        <w:rPr>
          <w:color w:val="000000"/>
          <w:sz w:val="24"/>
          <w:szCs w:val="24"/>
        </w:rPr>
      </w:pPr>
    </w:p>
    <w:p w:rsidR="00D80711" w:rsidRPr="00CB5054" w:rsidP="00D80711" w14:paraId="5A4C4B4D" w14:textId="77777777">
      <w:pPr>
        <w:rPr>
          <w:b/>
          <w:bCs/>
          <w:color w:val="000000"/>
          <w:sz w:val="24"/>
          <w:szCs w:val="24"/>
        </w:rPr>
      </w:pPr>
      <w:r w:rsidRPr="00CB5054">
        <w:rPr>
          <w:b/>
          <w:color w:val="000000"/>
          <w:sz w:val="24"/>
          <w:szCs w:val="24"/>
        </w:rPr>
        <w:t xml:space="preserve">A. </w:t>
      </w:r>
      <w:r w:rsidR="0041296B">
        <w:rPr>
          <w:b/>
          <w:color w:val="000000"/>
          <w:sz w:val="24"/>
          <w:szCs w:val="24"/>
        </w:rPr>
        <w:t xml:space="preserve"> </w:t>
      </w:r>
      <w:r w:rsidRPr="00CB5054">
        <w:rPr>
          <w:b/>
          <w:bCs/>
          <w:color w:val="000000"/>
          <w:sz w:val="24"/>
          <w:szCs w:val="24"/>
        </w:rPr>
        <w:t>J</w:t>
      </w:r>
      <w:r w:rsidRPr="00CB5054">
        <w:rPr>
          <w:b/>
          <w:bCs/>
          <w:color w:val="000000"/>
          <w:sz w:val="24"/>
          <w:szCs w:val="24"/>
        </w:rPr>
        <w:t>USTIFICATION</w:t>
      </w:r>
      <w:r w:rsidRPr="00CB5054">
        <w:rPr>
          <w:b/>
          <w:bCs/>
          <w:color w:val="000000"/>
          <w:sz w:val="24"/>
          <w:szCs w:val="24"/>
        </w:rPr>
        <w:tab/>
      </w:r>
    </w:p>
    <w:p w:rsidR="00D80711" w:rsidRPr="00CB5054" w:rsidP="00D80711" w14:paraId="3BF1AEE0" w14:textId="777777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CB5054">
        <w:rPr>
          <w:b/>
          <w:bCs/>
          <w:color w:val="000000"/>
          <w:sz w:val="24"/>
          <w:szCs w:val="24"/>
        </w:rPr>
        <w:tab/>
      </w:r>
    </w:p>
    <w:p w:rsidR="00D80711" w:rsidRPr="00AB0B90" w:rsidP="00D80711" w14:paraId="41CEA26A" w14:textId="77777777">
      <w:pPr>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1</w:t>
      </w:r>
      <w:r w:rsidRPr="00FF1F12">
        <w:rPr>
          <w:b/>
          <w:bCs/>
          <w:color w:val="000000"/>
          <w:sz w:val="24"/>
          <w:szCs w:val="24"/>
        </w:rPr>
        <w:t xml:space="preserve">.  </w:t>
      </w:r>
      <w:r w:rsidRPr="00AB0B90">
        <w:rPr>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2496E" w:rsidRPr="00CB5054" w:rsidP="0012496E" w14:paraId="2F398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12496E" w:rsidRPr="00CB5054" w:rsidP="0012496E" w14:paraId="4D865A4F" w14:textId="104FF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main objective of the Occupational Safety and Health Act of 1970 (</w:t>
      </w:r>
      <w:r w:rsidR="000B34FB">
        <w:rPr>
          <w:color w:val="000000"/>
          <w:sz w:val="24"/>
          <w:szCs w:val="24"/>
        </w:rPr>
        <w:t>t</w:t>
      </w:r>
      <w:r w:rsidRPr="00CB5054">
        <w:rPr>
          <w:color w:val="000000"/>
          <w:sz w:val="24"/>
          <w:szCs w:val="24"/>
        </w:rPr>
        <w:t>he Act) is to “assure so far as possible every working</w:t>
      </w:r>
      <w:r w:rsidR="000A1263">
        <w:rPr>
          <w:color w:val="000000"/>
          <w:sz w:val="24"/>
          <w:szCs w:val="24"/>
        </w:rPr>
        <w:t xml:space="preserve"> m</w:t>
      </w:r>
      <w:r w:rsidRPr="00CB5054">
        <w:rPr>
          <w:color w:val="000000"/>
          <w:sz w:val="24"/>
          <w:szCs w:val="24"/>
        </w:rPr>
        <w:t>a</w:t>
      </w:r>
      <w:r w:rsidR="000A1263">
        <w:rPr>
          <w:color w:val="000000"/>
          <w:sz w:val="24"/>
          <w:szCs w:val="24"/>
        </w:rPr>
        <w:t>n</w:t>
      </w:r>
      <w:r w:rsidRPr="00CB5054">
        <w:rPr>
          <w:color w:val="000000"/>
          <w:sz w:val="24"/>
          <w:szCs w:val="24"/>
        </w:rPr>
        <w:t xml:space="preserve"> and woman in the Nation safe and healthful working conditions and to preserve our human resources</w:t>
      </w:r>
      <w:r w:rsidR="000B34FB">
        <w:rPr>
          <w:color w:val="000000"/>
          <w:sz w:val="24"/>
          <w:szCs w:val="24"/>
        </w:rPr>
        <w:t>.</w:t>
      </w:r>
      <w:r w:rsidRPr="00CB5054">
        <w:rPr>
          <w:color w:val="000000"/>
          <w:sz w:val="24"/>
          <w:szCs w:val="24"/>
        </w:rPr>
        <w:t>”</w:t>
      </w:r>
      <w:r w:rsidR="000A1263">
        <w:rPr>
          <w:color w:val="000000"/>
          <w:sz w:val="24"/>
          <w:szCs w:val="24"/>
        </w:rPr>
        <w:t xml:space="preserve"> </w:t>
      </w:r>
      <w:r w:rsidRPr="00CB5054" w:rsidR="000A1263">
        <w:rPr>
          <w:color w:val="000000"/>
          <w:sz w:val="24"/>
          <w:szCs w:val="24"/>
        </w:rPr>
        <w:t>29 U.S.C. 651</w:t>
      </w:r>
      <w:r w:rsidR="000A1263">
        <w:rPr>
          <w:color w:val="000000"/>
          <w:sz w:val="24"/>
          <w:szCs w:val="24"/>
        </w:rPr>
        <w:t>.</w:t>
      </w:r>
      <w:r w:rsidRPr="00CB5054" w:rsidR="000A1263">
        <w:rPr>
          <w:color w:val="000000"/>
          <w:sz w:val="24"/>
          <w:szCs w:val="24"/>
        </w:rPr>
        <w:t xml:space="preserve"> </w:t>
      </w:r>
      <w:r w:rsidR="000A1263">
        <w:rPr>
          <w:color w:val="000000"/>
          <w:sz w:val="24"/>
          <w:szCs w:val="24"/>
        </w:rPr>
        <w:t xml:space="preserve"> T</w:t>
      </w:r>
      <w:r w:rsidRPr="00CB5054">
        <w:rPr>
          <w:color w:val="000000"/>
          <w:sz w:val="24"/>
          <w:szCs w:val="24"/>
        </w:rPr>
        <w:t>o achieve this objective, the Act authori</w:t>
      </w:r>
      <w:r w:rsidR="000A1263">
        <w:rPr>
          <w:color w:val="000000"/>
          <w:sz w:val="24"/>
          <w:szCs w:val="24"/>
        </w:rPr>
        <w:t>zes</w:t>
      </w:r>
      <w:r w:rsidRPr="00CB5054">
        <w:rPr>
          <w:color w:val="000000"/>
          <w:sz w:val="24"/>
          <w:szCs w:val="24"/>
        </w:rPr>
        <w:t xml:space="preserve"> “the development and promulgation of occupational safety and health standards</w:t>
      </w:r>
      <w:r w:rsidR="000B34FB">
        <w:rPr>
          <w:color w:val="000000"/>
          <w:sz w:val="24"/>
          <w:szCs w:val="24"/>
        </w:rPr>
        <w:t>.</w:t>
      </w:r>
      <w:r w:rsidRPr="00CB5054">
        <w:rPr>
          <w:color w:val="000000"/>
          <w:sz w:val="24"/>
          <w:szCs w:val="24"/>
        </w:rPr>
        <w:t>” 29 U.S.C.</w:t>
      </w:r>
      <w:r w:rsidR="00733EAB">
        <w:rPr>
          <w:color w:val="000000"/>
          <w:sz w:val="24"/>
          <w:szCs w:val="24"/>
        </w:rPr>
        <w:t xml:space="preserve"> </w:t>
      </w:r>
      <w:r w:rsidRPr="00CB5054">
        <w:rPr>
          <w:color w:val="000000"/>
          <w:sz w:val="24"/>
          <w:szCs w:val="24"/>
        </w:rPr>
        <w:t>651.</w:t>
      </w:r>
    </w:p>
    <w:p w:rsidR="0012496E" w:rsidP="0012496E" w14:paraId="36435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12496E" w:rsidP="0012496E" w14:paraId="51508381" w14:textId="2302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Section 6(b)(7) of the Act states that any occupational safety or health standard promulgated by the Secretary of Labor </w:t>
      </w:r>
      <w:r w:rsidR="000B34FB">
        <w:rPr>
          <w:color w:val="000000"/>
          <w:sz w:val="24"/>
          <w:szCs w:val="24"/>
        </w:rPr>
        <w:t>using</w:t>
      </w:r>
      <w:r w:rsidRPr="00CB5054" w:rsidR="000B34FB">
        <w:rPr>
          <w:color w:val="000000"/>
          <w:sz w:val="24"/>
          <w:szCs w:val="24"/>
        </w:rPr>
        <w:t xml:space="preserve"> </w:t>
      </w:r>
      <w:r w:rsidRPr="00CB5054">
        <w:rPr>
          <w:color w:val="000000"/>
          <w:sz w:val="24"/>
          <w:szCs w:val="24"/>
        </w:rPr>
        <w:t xml:space="preserve">section 6(b) rulemaking authority </w:t>
      </w:r>
      <w:r w:rsidR="000B34FB">
        <w:rPr>
          <w:color w:val="000000"/>
          <w:sz w:val="24"/>
          <w:szCs w:val="24"/>
        </w:rPr>
        <w:t>“</w:t>
      </w:r>
      <w:r w:rsidRPr="00CB5054">
        <w:rPr>
          <w:color w:val="000000"/>
          <w:sz w:val="24"/>
          <w:szCs w:val="24"/>
        </w:rPr>
        <w:t xml:space="preserve">shall prescribe the use of labels or other appropriate forms of warning as are necessary to insure that employees are apprised of all hazards to which they are exposed, relevant symptoms and appropriate emergency treatment, and proper conditions and precautions of safe use </w:t>
      </w:r>
      <w:r w:rsidRPr="00CB5054" w:rsidR="000B34FB">
        <w:rPr>
          <w:color w:val="000000"/>
          <w:sz w:val="24"/>
          <w:szCs w:val="24"/>
        </w:rPr>
        <w:t>o</w:t>
      </w:r>
      <w:r w:rsidR="000B34FB">
        <w:rPr>
          <w:color w:val="000000"/>
          <w:sz w:val="24"/>
          <w:szCs w:val="24"/>
        </w:rPr>
        <w:t xml:space="preserve">r </w:t>
      </w:r>
      <w:r w:rsidRPr="00CB5054">
        <w:rPr>
          <w:color w:val="000000"/>
          <w:sz w:val="24"/>
          <w:szCs w:val="24"/>
        </w:rPr>
        <w:t>exposure.</w:t>
      </w:r>
      <w:r w:rsidR="000B34FB">
        <w:rPr>
          <w:color w:val="000000"/>
          <w:sz w:val="24"/>
          <w:szCs w:val="24"/>
        </w:rPr>
        <w:t>”</w:t>
      </w:r>
      <w:r w:rsidRPr="00CB5054">
        <w:rPr>
          <w:color w:val="000000"/>
          <w:sz w:val="24"/>
          <w:szCs w:val="24"/>
        </w:rPr>
        <w:t xml:space="preserve">  </w:t>
      </w:r>
      <w:r w:rsidR="00644F68">
        <w:rPr>
          <w:color w:val="000000"/>
          <w:sz w:val="24"/>
          <w:szCs w:val="24"/>
        </w:rPr>
        <w:t>The Secretary</w:t>
      </w:r>
      <w:r w:rsidR="00B67AF2">
        <w:rPr>
          <w:color w:val="000000"/>
          <w:sz w:val="24"/>
          <w:szCs w:val="24"/>
        </w:rPr>
        <w:t xml:space="preserve"> of Labor</w:t>
      </w:r>
      <w:r w:rsidRPr="00CB5054" w:rsidR="00644F68">
        <w:rPr>
          <w:color w:val="000000"/>
          <w:sz w:val="24"/>
          <w:szCs w:val="24"/>
        </w:rPr>
        <w:t xml:space="preserve"> </w:t>
      </w:r>
      <w:r w:rsidR="00EB1D45">
        <w:rPr>
          <w:color w:val="000000"/>
          <w:sz w:val="24"/>
          <w:szCs w:val="24"/>
        </w:rPr>
        <w:t xml:space="preserve">(Secretary) </w:t>
      </w:r>
      <w:r w:rsidR="008916E5">
        <w:rPr>
          <w:color w:val="000000"/>
          <w:sz w:val="24"/>
          <w:szCs w:val="24"/>
        </w:rPr>
        <w:t xml:space="preserve">has </w:t>
      </w:r>
      <w:r w:rsidRPr="00CB5054">
        <w:rPr>
          <w:color w:val="000000"/>
          <w:sz w:val="24"/>
          <w:szCs w:val="24"/>
        </w:rPr>
        <w:t>followed this Congressional directive</w:t>
      </w:r>
      <w:r w:rsidR="008916E5">
        <w:rPr>
          <w:color w:val="000000"/>
          <w:sz w:val="24"/>
          <w:szCs w:val="24"/>
        </w:rPr>
        <w:t xml:space="preserve"> when </w:t>
      </w:r>
      <w:r w:rsidRPr="00CB5054" w:rsidR="008916E5">
        <w:rPr>
          <w:color w:val="000000"/>
          <w:sz w:val="24"/>
          <w:szCs w:val="24"/>
        </w:rPr>
        <w:t>promulgating substance</w:t>
      </w:r>
      <w:r w:rsidRPr="00CB5054" w:rsidR="008916E5">
        <w:rPr>
          <w:color w:val="000000"/>
          <w:sz w:val="24"/>
          <w:szCs w:val="24"/>
        </w:rPr>
        <w:noBreakHyphen/>
        <w:t xml:space="preserve">specific rules to address the hazards of </w:t>
      </w:r>
      <w:r w:rsidRPr="00CB5054" w:rsidR="008916E5">
        <w:rPr>
          <w:color w:val="000000"/>
          <w:sz w:val="24"/>
          <w:szCs w:val="24"/>
        </w:rPr>
        <w:t>particular chemical</w:t>
      </w:r>
      <w:r w:rsidR="00B67AF2">
        <w:rPr>
          <w:color w:val="000000"/>
          <w:sz w:val="24"/>
          <w:szCs w:val="24"/>
        </w:rPr>
        <w:t>s</w:t>
      </w:r>
      <w:r w:rsidRPr="00CB5054">
        <w:rPr>
          <w:color w:val="000000"/>
          <w:sz w:val="24"/>
          <w:szCs w:val="24"/>
        </w:rPr>
        <w:t>.  However, given the universe of chemicals present in American workplaces, and the time</w:t>
      </w:r>
      <w:r w:rsidRPr="00CB5054">
        <w:rPr>
          <w:color w:val="000000"/>
          <w:sz w:val="24"/>
          <w:szCs w:val="24"/>
        </w:rPr>
        <w:noBreakHyphen/>
        <w:t>consuming nature of OSHA</w:t>
      </w:r>
      <w:r w:rsidR="008916E5">
        <w:rPr>
          <w:color w:val="000000"/>
          <w:sz w:val="24"/>
          <w:szCs w:val="24"/>
        </w:rPr>
        <w:t>’</w:t>
      </w:r>
      <w:r w:rsidRPr="00CB5054">
        <w:rPr>
          <w:color w:val="000000"/>
          <w:sz w:val="24"/>
          <w:szCs w:val="24"/>
        </w:rPr>
        <w:t xml:space="preserve">s rulemaking process, it became clear that little information would be available to employees if </w:t>
      </w:r>
      <w:r w:rsidR="00C12157">
        <w:rPr>
          <w:color w:val="000000"/>
          <w:sz w:val="24"/>
          <w:szCs w:val="24"/>
        </w:rPr>
        <w:t xml:space="preserve">the agency </w:t>
      </w:r>
      <w:r w:rsidR="00B67AF2">
        <w:rPr>
          <w:color w:val="000000"/>
          <w:sz w:val="24"/>
          <w:szCs w:val="24"/>
        </w:rPr>
        <w:t>took only a</w:t>
      </w:r>
      <w:r w:rsidRPr="00CB5054">
        <w:rPr>
          <w:color w:val="000000"/>
          <w:sz w:val="24"/>
          <w:szCs w:val="24"/>
        </w:rPr>
        <w:t xml:space="preserve"> substance</w:t>
      </w:r>
      <w:r w:rsidRPr="00CB5054">
        <w:rPr>
          <w:color w:val="000000"/>
          <w:sz w:val="24"/>
          <w:szCs w:val="24"/>
        </w:rPr>
        <w:noBreakHyphen/>
        <w:t>by</w:t>
      </w:r>
      <w:r w:rsidRPr="00CB5054">
        <w:rPr>
          <w:color w:val="000000"/>
          <w:sz w:val="24"/>
          <w:szCs w:val="24"/>
        </w:rPr>
        <w:noBreakHyphen/>
        <w:t xml:space="preserve">substance approach.  Workers exposed to chemicals would continue to encounter a myriad of hazards.  Many chemicals </w:t>
      </w:r>
      <w:r w:rsidR="008916E5">
        <w:rPr>
          <w:color w:val="000000"/>
          <w:sz w:val="24"/>
          <w:szCs w:val="24"/>
        </w:rPr>
        <w:t xml:space="preserve">can </w:t>
      </w:r>
      <w:r w:rsidRPr="00CB5054">
        <w:rPr>
          <w:color w:val="000000"/>
          <w:sz w:val="24"/>
          <w:szCs w:val="24"/>
        </w:rPr>
        <w:t xml:space="preserve">cause acute injuries or illnesses such as rashes, burns and poisoning, or chronic effects such as cancer or liver damage.  Also, chemicals can pose physical hazards to workers by contributing to accidents such as fires and explosions.  To prevent such occupational hazards, the </w:t>
      </w:r>
      <w:r w:rsidR="00415074">
        <w:rPr>
          <w:color w:val="000000"/>
          <w:sz w:val="24"/>
          <w:szCs w:val="24"/>
        </w:rPr>
        <w:t>a</w:t>
      </w:r>
      <w:r w:rsidRPr="00CB5054">
        <w:rPr>
          <w:color w:val="000000"/>
          <w:sz w:val="24"/>
          <w:szCs w:val="24"/>
        </w:rPr>
        <w:t>gency addressed the issue of hazard information transmittal on a generic basis</w:t>
      </w:r>
      <w:r w:rsidR="008916E5">
        <w:rPr>
          <w:color w:val="000000"/>
          <w:sz w:val="24"/>
          <w:szCs w:val="24"/>
        </w:rPr>
        <w:t xml:space="preserve"> in the </w:t>
      </w:r>
      <w:r w:rsidR="00644F68">
        <w:rPr>
          <w:color w:val="000000"/>
          <w:sz w:val="24"/>
          <w:szCs w:val="24"/>
        </w:rPr>
        <w:t>Hazard Communication Standard (</w:t>
      </w:r>
      <w:r w:rsidR="008916E5">
        <w:rPr>
          <w:color w:val="000000"/>
          <w:sz w:val="24"/>
          <w:szCs w:val="24"/>
        </w:rPr>
        <w:t>HCS</w:t>
      </w:r>
      <w:r w:rsidR="00644F68">
        <w:rPr>
          <w:color w:val="000000"/>
          <w:sz w:val="24"/>
          <w:szCs w:val="24"/>
        </w:rPr>
        <w:t>) (29 CFR 1910.1200)</w:t>
      </w:r>
      <w:r w:rsidRPr="00CB5054">
        <w:rPr>
          <w:color w:val="000000"/>
          <w:sz w:val="24"/>
          <w:szCs w:val="24"/>
        </w:rPr>
        <w:t>.</w:t>
      </w:r>
    </w:p>
    <w:p w:rsidR="004F651F" w:rsidP="0012496E" w14:paraId="18D1C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F651F" w:rsidP="004F651F" w14:paraId="42DC7917" w14:textId="4450C4FB">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sidR="005D1E33">
        <w:rPr>
          <w:sz w:val="24"/>
          <w:szCs w:val="24"/>
        </w:rPr>
        <w:t>final</w:t>
      </w:r>
      <w:r w:rsidRPr="00BD1586">
        <w:rPr>
          <w:sz w:val="24"/>
          <w:szCs w:val="24"/>
        </w:rPr>
        <w:t xml:space="preserve"> rule</w:t>
      </w:r>
      <w:r>
        <w:rPr>
          <w:sz w:val="24"/>
          <w:szCs w:val="24"/>
          <w:lang w:val="x-none"/>
        </w:rPr>
        <w:t xml:space="preserve"> </w:t>
      </w:r>
      <w:r>
        <w:rPr>
          <w:sz w:val="24"/>
          <w:szCs w:val="24"/>
        </w:rPr>
        <w:t xml:space="preserve">to revise </w:t>
      </w:r>
      <w:r>
        <w:rPr>
          <w:sz w:val="24"/>
          <w:szCs w:val="24"/>
        </w:rPr>
        <w:t xml:space="preserve">the </w:t>
      </w:r>
      <w:r w:rsidR="00644F68">
        <w:rPr>
          <w:color w:val="000000"/>
          <w:sz w:val="24"/>
          <w:szCs w:val="24"/>
        </w:rPr>
        <w:t>HCS</w:t>
      </w:r>
      <w:r>
        <w:rPr>
          <w:sz w:val="24"/>
          <w:szCs w:val="24"/>
          <w:lang w:val="x-none"/>
        </w:rPr>
        <w:t>.</w:t>
      </w:r>
      <w:r>
        <w:rPr>
          <w:sz w:val="24"/>
          <w:szCs w:val="24"/>
        </w:rPr>
        <w:t xml:space="preserve">  </w:t>
      </w:r>
      <w:r w:rsidRPr="00CB5054" w:rsidR="00BF0018">
        <w:rPr>
          <w:color w:val="000000"/>
          <w:sz w:val="24"/>
          <w:szCs w:val="24"/>
        </w:rPr>
        <w:t>The purpose of th</w:t>
      </w:r>
      <w:r w:rsidR="00BF0018">
        <w:rPr>
          <w:color w:val="000000"/>
          <w:sz w:val="24"/>
          <w:szCs w:val="24"/>
        </w:rPr>
        <w:t>is revision</w:t>
      </w:r>
      <w:r w:rsidRPr="00CB5054" w:rsidR="00BF0018">
        <w:rPr>
          <w:color w:val="000000"/>
          <w:sz w:val="24"/>
          <w:szCs w:val="24"/>
        </w:rPr>
        <w:t xml:space="preserve"> is to </w:t>
      </w:r>
      <w:r w:rsidRPr="00644F68" w:rsidR="00644F68">
        <w:rPr>
          <w:color w:val="000000"/>
          <w:sz w:val="24"/>
          <w:szCs w:val="24"/>
        </w:rPr>
        <w:t xml:space="preserve">improve worker protection </w:t>
      </w:r>
      <w:r w:rsidRPr="00644F68" w:rsidR="00644F68">
        <w:rPr>
          <w:color w:val="000000"/>
          <w:sz w:val="24"/>
          <w:szCs w:val="24"/>
        </w:rPr>
        <w:t>with regard to</w:t>
      </w:r>
      <w:r w:rsidRPr="00644F68" w:rsidR="00644F68">
        <w:rPr>
          <w:color w:val="000000"/>
          <w:sz w:val="24"/>
          <w:szCs w:val="24"/>
        </w:rPr>
        <w:t xml:space="preserve"> hazard communication by incorporating new hazard classes and categories, improving and streamlining precautionary statements, and providing additional clarification of the regulatory requirements with respect to the labeling and transport of hazardous chemicals</w:t>
      </w:r>
      <w:r w:rsidR="00644F68">
        <w:rPr>
          <w:color w:val="000000"/>
          <w:sz w:val="24"/>
          <w:szCs w:val="24"/>
        </w:rPr>
        <w:t xml:space="preserve">.  </w:t>
      </w:r>
    </w:p>
    <w:p w:rsidR="005B5D3A" w:rsidRPr="00FF1F12" w:rsidP="005B5D3A" w14:paraId="1F1E2EB1" w14:textId="77777777">
      <w:pPr>
        <w:numPr>
          <w:ilvl w:val="0"/>
          <w:numId w:val="2"/>
        </w:numPr>
        <w:shd w:val="solid" w:color="FFFFFF" w:fill="FFFFFF"/>
        <w:tabs>
          <w:tab w:val="left" w:pos="-216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AB0B90">
        <w:rPr>
          <w:b/>
          <w:bCs/>
          <w:color w:val="000000"/>
          <w:sz w:val="24"/>
          <w:szCs w:val="24"/>
        </w:rPr>
        <w:t>Indicate how, by whom, and for what purpose the information is to be used.  Except for a new collection, indicate the actual use the agency has made of the information received from the current collection.</w:t>
      </w:r>
    </w:p>
    <w:p w:rsidR="005B5D3A" w:rsidRPr="00CB5054" w:rsidP="005B5D3A" w14:paraId="63F1ECC7" w14:textId="77777777">
      <w:pPr>
        <w:shd w:val="solid" w:color="FFFFFF" w:fill="FFFFFF"/>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4"/>
          <w:szCs w:val="24"/>
        </w:rPr>
      </w:pPr>
    </w:p>
    <w:p w:rsidR="00DA610F" w:rsidP="00DA610F" w14:paraId="53157C23" w14:textId="3B7AC344">
      <w:pPr>
        <w:rPr>
          <w:rFonts w:ascii="Courier New" w:hAnsi="Courier New" w:cs="Courier New"/>
          <w:bCs/>
          <w:color w:val="000000"/>
        </w:rPr>
      </w:pPr>
      <w:r w:rsidRPr="00CB5054">
        <w:rPr>
          <w:bCs/>
          <w:color w:val="000000"/>
          <w:sz w:val="24"/>
          <w:szCs w:val="24"/>
        </w:rPr>
        <w:t xml:space="preserve">The </w:t>
      </w:r>
      <w:r w:rsidR="006635C2">
        <w:rPr>
          <w:bCs/>
          <w:color w:val="000000"/>
          <w:sz w:val="24"/>
          <w:szCs w:val="24"/>
        </w:rPr>
        <w:t>HCS</w:t>
      </w:r>
      <w:r w:rsidRPr="00CB5054" w:rsidR="00C7405E">
        <w:rPr>
          <w:bCs/>
          <w:color w:val="000000"/>
          <w:sz w:val="24"/>
          <w:szCs w:val="24"/>
        </w:rPr>
        <w:t xml:space="preserve"> </w:t>
      </w:r>
      <w:r w:rsidR="006635C2">
        <w:rPr>
          <w:bCs/>
          <w:color w:val="000000"/>
          <w:sz w:val="24"/>
          <w:szCs w:val="24"/>
        </w:rPr>
        <w:t>standard</w:t>
      </w:r>
      <w:r w:rsidR="00B72720">
        <w:rPr>
          <w:bCs/>
          <w:color w:val="000000"/>
          <w:sz w:val="24"/>
          <w:szCs w:val="24"/>
        </w:rPr>
        <w:t xml:space="preserve"> </w:t>
      </w:r>
      <w:r w:rsidRPr="00CB5054">
        <w:rPr>
          <w:bCs/>
          <w:color w:val="000000"/>
          <w:sz w:val="24"/>
          <w:szCs w:val="24"/>
        </w:rPr>
        <w:t>affect</w:t>
      </w:r>
      <w:r w:rsidRPr="00CB5054" w:rsidR="00C7405E">
        <w:rPr>
          <w:bCs/>
          <w:color w:val="000000"/>
          <w:sz w:val="24"/>
          <w:szCs w:val="24"/>
        </w:rPr>
        <w:t>s</w:t>
      </w:r>
      <w:r w:rsidRPr="00CB5054">
        <w:rPr>
          <w:bCs/>
          <w:color w:val="000000"/>
          <w:sz w:val="24"/>
          <w:szCs w:val="24"/>
        </w:rPr>
        <w:t xml:space="preserve"> employers and employees in many different industries. </w:t>
      </w:r>
      <w:r w:rsidR="004A08B9">
        <w:rPr>
          <w:bCs/>
          <w:color w:val="000000"/>
          <w:sz w:val="24"/>
          <w:szCs w:val="24"/>
        </w:rPr>
        <w:t xml:space="preserve"> </w:t>
      </w:r>
      <w:r w:rsidRPr="00CB5054" w:rsidR="00047891">
        <w:rPr>
          <w:bCs/>
          <w:color w:val="000000"/>
          <w:sz w:val="24"/>
          <w:szCs w:val="24"/>
        </w:rPr>
        <w:t>T</w:t>
      </w:r>
      <w:r w:rsidRPr="00CB5054">
        <w:rPr>
          <w:bCs/>
          <w:color w:val="000000"/>
          <w:sz w:val="24"/>
          <w:szCs w:val="24"/>
        </w:rPr>
        <w:t xml:space="preserve">he HCS covers over five million workplaces in which employees are potentially exposed to hazardous chemicals.  </w:t>
      </w:r>
    </w:p>
    <w:p w:rsidR="005B5D3A" w:rsidRPr="00CB5054" w:rsidP="005B5D3A" w14:paraId="7A482F7D" w14:textId="77777777">
      <w:pPr>
        <w:ind w:firstLine="720"/>
        <w:rPr>
          <w:color w:val="000000"/>
          <w:sz w:val="24"/>
          <w:szCs w:val="24"/>
        </w:rPr>
      </w:pPr>
    </w:p>
    <w:p w:rsidR="00D80711" w:rsidRPr="00CB5054" w:rsidP="00D80711" w14:paraId="3E52D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000000"/>
          <w:sz w:val="24"/>
          <w:szCs w:val="24"/>
        </w:rPr>
      </w:pPr>
      <w:r w:rsidRPr="00CB5054">
        <w:rPr>
          <w:color w:val="000000"/>
          <w:sz w:val="24"/>
          <w:szCs w:val="24"/>
        </w:rPr>
        <w:t>The following paragraphs identify the paperwork requirements contained in the</w:t>
      </w:r>
      <w:r w:rsidR="00F012C6">
        <w:rPr>
          <w:color w:val="000000"/>
          <w:sz w:val="24"/>
          <w:szCs w:val="24"/>
        </w:rPr>
        <w:t xml:space="preserve"> HCS.</w:t>
      </w:r>
      <w:r w:rsidRPr="00CB5054">
        <w:rPr>
          <w:color w:val="000000"/>
          <w:sz w:val="24"/>
          <w:szCs w:val="24"/>
        </w:rPr>
        <w:t xml:space="preserve">  </w:t>
      </w:r>
      <w:r w:rsidR="00C95FBF">
        <w:rPr>
          <w:color w:val="000000"/>
          <w:sz w:val="24"/>
          <w:szCs w:val="24"/>
        </w:rPr>
        <w:t>Estimated b</w:t>
      </w:r>
      <w:r w:rsidRPr="00CB5054">
        <w:rPr>
          <w:color w:val="000000"/>
          <w:sz w:val="24"/>
          <w:szCs w:val="24"/>
        </w:rPr>
        <w:t>urden hours and costs are discussed under Item 12.</w:t>
      </w:r>
    </w:p>
    <w:p w:rsidR="00D80711" w:rsidRPr="00CB5054" w:rsidP="00D80711" w14:paraId="0B907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sz w:val="24"/>
          <w:szCs w:val="24"/>
        </w:rPr>
      </w:pPr>
    </w:p>
    <w:p w:rsidR="00D80711" w:rsidRPr="00832C02" w:rsidP="00D80711" w14:paraId="40B49FF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832C02">
        <w:rPr>
          <w:b/>
          <w:color w:val="000000"/>
          <w:sz w:val="24"/>
          <w:szCs w:val="24"/>
        </w:rPr>
        <w:t xml:space="preserve">Hazard Classification </w:t>
      </w:r>
      <w:r w:rsidR="00832C02">
        <w:rPr>
          <w:b/>
          <w:color w:val="000000"/>
          <w:sz w:val="24"/>
          <w:szCs w:val="24"/>
        </w:rPr>
        <w:t>§1910.1200(d)</w:t>
      </w:r>
    </w:p>
    <w:p w:rsidR="00D80711" w:rsidRPr="00CB5054" w:rsidP="00D80711" w14:paraId="6C6A1C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315CA5" w:rsidRPr="007D3C84" w:rsidP="00FF1BCC" w14:paraId="64DF0415" w14:textId="5C2D2ADC">
      <w:pPr>
        <w:pStyle w:val="block1"/>
        <w:spacing w:before="0" w:beforeAutospacing="0" w:after="0" w:afterAutospacing="0"/>
      </w:pPr>
      <w:bookmarkStart w:id="0" w:name="1910.1200(d)(1)"/>
      <w:bookmarkEnd w:id="0"/>
      <w:r w:rsidRPr="00CB5054">
        <w:rPr>
          <w:i/>
          <w:color w:val="000000"/>
        </w:rPr>
        <w:t>§1910.1200(d)(1)</w:t>
      </w:r>
      <w:r w:rsidRPr="00CB5054">
        <w:rPr>
          <w:color w:val="000000"/>
        </w:rPr>
        <w:t xml:space="preserve"> - </w:t>
      </w:r>
      <w:r w:rsidR="00FF1BCC">
        <w:t xml:space="preserve">Chemical manufacturers and importers shall evaluate chemicals produced in their workplaces or imported by them to classify the chemicals in accordance with this section.  For each chemical, the chemical manufacturer or importer shall determine the hazard classes, and </w:t>
      </w:r>
      <w:r w:rsidRPr="003A15DB" w:rsidR="00FF1BCC">
        <w:rPr>
          <w:iCs/>
        </w:rPr>
        <w:t>where appropriate</w:t>
      </w:r>
      <w:r w:rsidR="00FF1BCC">
        <w:t>, the category of each class that apply to the chemical being classified</w:t>
      </w:r>
      <w:r w:rsidRPr="007D3C84" w:rsidR="006D1517">
        <w:t>.  The hazard classification shall include any hazards associated with</w:t>
      </w:r>
      <w:r w:rsidRPr="007D3C84" w:rsidR="00EA05D9">
        <w:t xml:space="preserve"> the chemical’s intrinsic properties including</w:t>
      </w:r>
      <w:r w:rsidRPr="007D3C84" w:rsidR="00667B77">
        <w:t>:</w:t>
      </w:r>
      <w:r w:rsidRPr="007D3C84" w:rsidR="006D1517">
        <w:t xml:space="preserve"> </w:t>
      </w:r>
    </w:p>
    <w:p w:rsidR="00CE5FBF" w:rsidRPr="007D3C84" w:rsidP="00781E36" w14:paraId="742086CB" w14:textId="7789595F">
      <w:pPr>
        <w:pStyle w:val="BodyText"/>
        <w:spacing w:before="95"/>
        <w:ind w:left="514" w:right="1040"/>
        <w:rPr>
          <w:sz w:val="24"/>
          <w:szCs w:val="24"/>
          <w:u w:val="single" w:color="B5082D"/>
        </w:rPr>
      </w:pPr>
      <w:r w:rsidRPr="007D3C84">
        <w:rPr>
          <w:spacing w:val="4"/>
          <w:sz w:val="24"/>
          <w:szCs w:val="24"/>
        </w:rPr>
        <w:t>(</w:t>
      </w:r>
      <w:r w:rsidRPr="007D3C84">
        <w:rPr>
          <w:spacing w:val="4"/>
          <w:sz w:val="24"/>
          <w:szCs w:val="24"/>
        </w:rPr>
        <w:t>i</w:t>
      </w:r>
      <w:r w:rsidRPr="007D3C84">
        <w:rPr>
          <w:spacing w:val="4"/>
          <w:sz w:val="24"/>
          <w:szCs w:val="24"/>
        </w:rPr>
        <w:t xml:space="preserve">) </w:t>
      </w:r>
      <w:r w:rsidRPr="007D3C84">
        <w:rPr>
          <w:sz w:val="24"/>
          <w:szCs w:val="24"/>
        </w:rPr>
        <w:t>a</w:t>
      </w:r>
      <w:r w:rsidRPr="007D3C84">
        <w:rPr>
          <w:spacing w:val="3"/>
          <w:sz w:val="24"/>
          <w:szCs w:val="24"/>
        </w:rPr>
        <w:t xml:space="preserve"> </w:t>
      </w:r>
      <w:r w:rsidRPr="007D3C84">
        <w:rPr>
          <w:sz w:val="24"/>
          <w:szCs w:val="24"/>
        </w:rPr>
        <w:t>change</w:t>
      </w:r>
      <w:r w:rsidRPr="007D3C84">
        <w:rPr>
          <w:spacing w:val="3"/>
          <w:sz w:val="24"/>
          <w:szCs w:val="24"/>
        </w:rPr>
        <w:t xml:space="preserve"> </w:t>
      </w:r>
      <w:r w:rsidRPr="007D3C84">
        <w:rPr>
          <w:sz w:val="24"/>
          <w:szCs w:val="24"/>
        </w:rPr>
        <w:t>in</w:t>
      </w:r>
      <w:r w:rsidRPr="007D3C84">
        <w:rPr>
          <w:spacing w:val="3"/>
          <w:sz w:val="24"/>
          <w:szCs w:val="24"/>
        </w:rPr>
        <w:t xml:space="preserve"> </w:t>
      </w:r>
      <w:r w:rsidRPr="007D3C84">
        <w:rPr>
          <w:sz w:val="24"/>
          <w:szCs w:val="24"/>
        </w:rPr>
        <w:t>the</w:t>
      </w:r>
      <w:r w:rsidRPr="007D3C84">
        <w:rPr>
          <w:spacing w:val="3"/>
          <w:sz w:val="24"/>
          <w:szCs w:val="24"/>
        </w:rPr>
        <w:t xml:space="preserve"> </w:t>
      </w:r>
      <w:r w:rsidRPr="007D3C84" w:rsidR="00AC1E4B">
        <w:rPr>
          <w:spacing w:val="3"/>
          <w:sz w:val="24"/>
          <w:szCs w:val="24"/>
        </w:rPr>
        <w:t>c</w:t>
      </w:r>
      <w:r w:rsidRPr="007D3C84">
        <w:rPr>
          <w:sz w:val="24"/>
          <w:szCs w:val="24"/>
        </w:rPr>
        <w:t>hemical’s</w:t>
      </w:r>
      <w:r w:rsidRPr="007D3C84">
        <w:rPr>
          <w:spacing w:val="6"/>
          <w:sz w:val="24"/>
          <w:szCs w:val="24"/>
        </w:rPr>
        <w:t xml:space="preserve"> </w:t>
      </w:r>
      <w:r w:rsidRPr="007D3C84">
        <w:rPr>
          <w:sz w:val="24"/>
          <w:szCs w:val="24"/>
        </w:rPr>
        <w:t>physical</w:t>
      </w:r>
      <w:r w:rsidRPr="007D3C84">
        <w:rPr>
          <w:spacing w:val="3"/>
          <w:sz w:val="24"/>
          <w:szCs w:val="24"/>
        </w:rPr>
        <w:t xml:space="preserve"> </w:t>
      </w:r>
      <w:r w:rsidRPr="007D3C84">
        <w:rPr>
          <w:sz w:val="24"/>
          <w:szCs w:val="24"/>
        </w:rPr>
        <w:t xml:space="preserve">form </w:t>
      </w:r>
      <w:r w:rsidRPr="007D3C84">
        <w:rPr>
          <w:sz w:val="24"/>
          <w:szCs w:val="24"/>
        </w:rPr>
        <w:t>and;</w:t>
      </w:r>
    </w:p>
    <w:p w:rsidR="00CE5FBF" w:rsidRPr="007D3C84" w:rsidP="00781E36" w14:paraId="1EE00ABE" w14:textId="18376422">
      <w:pPr>
        <w:pStyle w:val="BodyText"/>
        <w:spacing w:before="95"/>
        <w:ind w:left="514" w:right="1040"/>
        <w:rPr>
          <w:spacing w:val="8"/>
          <w:sz w:val="24"/>
          <w:szCs w:val="24"/>
          <w:u w:val="single" w:color="B5082D"/>
        </w:rPr>
      </w:pPr>
      <w:r w:rsidRPr="007D3C84">
        <w:rPr>
          <w:spacing w:val="4"/>
          <w:sz w:val="24"/>
          <w:szCs w:val="24"/>
        </w:rPr>
        <w:t>(ii)</w:t>
      </w:r>
      <w:r w:rsidRPr="007D3C84">
        <w:rPr>
          <w:sz w:val="24"/>
          <w:szCs w:val="24"/>
        </w:rPr>
        <w:t xml:space="preserve"> chemical reaction</w:t>
      </w:r>
      <w:r w:rsidRPr="007D3C84" w:rsidR="00D97895">
        <w:rPr>
          <w:sz w:val="24"/>
          <w:szCs w:val="24"/>
        </w:rPr>
        <w:t xml:space="preserve"> product</w:t>
      </w:r>
      <w:r w:rsidRPr="007D3C84">
        <w:rPr>
          <w:sz w:val="24"/>
          <w:szCs w:val="24"/>
        </w:rPr>
        <w:t>s associated with known or reasonably anticipated uses or applications.</w:t>
      </w:r>
    </w:p>
    <w:p w:rsidR="00FF1BCC" w:rsidP="00401304" w14:paraId="3DD43CCE" w14:textId="02C2451A">
      <w:pPr>
        <w:pStyle w:val="block1"/>
        <w:spacing w:before="0" w:beforeAutospacing="0" w:after="0" w:afterAutospacing="0"/>
      </w:pPr>
      <w:r>
        <w:t xml:space="preserve">Employers are not required to classify chemicals unless they choose not to rely on the classification performed by the chemical manufacturer or importer for the chemical to satisfy </w:t>
      </w:r>
      <w:r w:rsidR="00DD64BA">
        <w:t>paragraph (d)(1)</w:t>
      </w:r>
      <w:r>
        <w:t>.</w:t>
      </w:r>
    </w:p>
    <w:p w:rsidR="00394F69" w:rsidP="00FF1BCC" w14:paraId="122D90AB" w14:textId="77777777">
      <w:pPr>
        <w:pStyle w:val="block1"/>
        <w:spacing w:before="0" w:beforeAutospacing="0" w:after="0" w:afterAutospacing="0"/>
      </w:pPr>
    </w:p>
    <w:p w:rsidR="00D80711" w:rsidRPr="00220BC5" w:rsidP="00FF1BCC" w14:paraId="79139DD3" w14:textId="77777777">
      <w:pPr>
        <w:pStyle w:val="block1"/>
        <w:spacing w:before="0" w:beforeAutospacing="0"/>
        <w:rPr>
          <w:color w:val="000000"/>
        </w:rPr>
      </w:pPr>
      <w:bookmarkStart w:id="1" w:name="1910.1200(d)(2)"/>
      <w:bookmarkEnd w:id="1"/>
      <w:r w:rsidRPr="00220BC5">
        <w:rPr>
          <w:i/>
          <w:color w:val="000000"/>
        </w:rPr>
        <w:t>§1910.1200(d)(2)</w:t>
      </w:r>
      <w:r w:rsidRPr="00220BC5">
        <w:rPr>
          <w:color w:val="000000"/>
        </w:rPr>
        <w:t xml:space="preserve"> - Chemical manufacturers, importers or employers classifying chemicals shall identify and consider the full range of available scientific literature and other evidence concerning the potential hazards. There is no requirement to test the chemical to determine how to classify its hazards.  Appendix A to §1910.1200 shall be consulted for classification of health hazards, and Appendix B to §1910.1200 shall be consulted for the classification of physical hazards.</w:t>
      </w:r>
      <w:bookmarkStart w:id="2" w:name="1910.1200(d)(3)"/>
      <w:bookmarkStart w:id="3" w:name="1910.1200(d)(3)(i)"/>
      <w:bookmarkStart w:id="4" w:name="1910.1200(d)(4)"/>
      <w:bookmarkStart w:id="5" w:name="1910.1200(d)(4)(i)"/>
      <w:bookmarkStart w:id="6" w:name="1910.1200(d)(4)(ii)"/>
      <w:bookmarkStart w:id="7" w:name="1910.1200(d)(4)(iii)"/>
      <w:bookmarkStart w:id="8" w:name="1910.1200(d)(5)"/>
      <w:bookmarkStart w:id="9" w:name="1910.1200(d)(5)(i)"/>
      <w:bookmarkStart w:id="10" w:name="1910.1200(d)(5)(iii)"/>
      <w:bookmarkStart w:id="11" w:name="1910.1200(d)(5)(iv)"/>
      <w:bookmarkStart w:id="12" w:name="1910.1200(d)(6)"/>
      <w:bookmarkEnd w:id="2"/>
      <w:bookmarkEnd w:id="3"/>
      <w:bookmarkEnd w:id="4"/>
      <w:bookmarkEnd w:id="5"/>
      <w:bookmarkEnd w:id="6"/>
      <w:bookmarkEnd w:id="7"/>
      <w:bookmarkEnd w:id="8"/>
      <w:bookmarkEnd w:id="9"/>
      <w:bookmarkEnd w:id="10"/>
      <w:bookmarkEnd w:id="11"/>
      <w:bookmarkEnd w:id="12"/>
    </w:p>
    <w:p w:rsidR="00D80711" w:rsidRPr="00220BC5" w:rsidP="00933BFC" w14:paraId="009AA037" w14:textId="4FAE507E">
      <w:pPr>
        <w:pStyle w:val="block1"/>
        <w:spacing w:before="0" w:beforeAutospacing="0"/>
        <w:rPr>
          <w:color w:val="000000"/>
        </w:rPr>
      </w:pPr>
      <w:r w:rsidRPr="00220BC5">
        <w:rPr>
          <w:i/>
          <w:color w:val="000000"/>
        </w:rPr>
        <w:t>Mixtures</w:t>
      </w:r>
      <w:r w:rsidRPr="00220BC5" w:rsidR="005326FE">
        <w:rPr>
          <w:i/>
          <w:color w:val="000000"/>
        </w:rPr>
        <w:t>.</w:t>
      </w:r>
      <w:r w:rsidRPr="00220BC5">
        <w:rPr>
          <w:i/>
          <w:color w:val="000000"/>
        </w:rPr>
        <w:t xml:space="preserve"> §1910.1200(d)(3)(</w:t>
      </w:r>
      <w:r w:rsidRPr="00220BC5">
        <w:rPr>
          <w:i/>
          <w:color w:val="000000"/>
        </w:rPr>
        <w:t>i</w:t>
      </w:r>
      <w:r w:rsidRPr="00220BC5">
        <w:rPr>
          <w:i/>
          <w:color w:val="000000"/>
        </w:rPr>
        <w:t xml:space="preserve">) - </w:t>
      </w:r>
      <w:r w:rsidRPr="00220BC5">
        <w:rPr>
          <w:color w:val="000000"/>
        </w:rPr>
        <w:t xml:space="preserve">Chemical manufacturers, importers, or employers evaluating chemicals shall follow the procedures described in </w:t>
      </w:r>
      <w:r w:rsidRPr="00220BC5" w:rsidR="005326FE">
        <w:rPr>
          <w:color w:val="000000"/>
        </w:rPr>
        <w:t xml:space="preserve">Appendices </w:t>
      </w:r>
      <w:r w:rsidRPr="00220BC5">
        <w:rPr>
          <w:color w:val="000000"/>
        </w:rPr>
        <w:t xml:space="preserve">A and B to </w:t>
      </w:r>
      <w:r w:rsidR="00987386">
        <w:rPr>
          <w:color w:val="000000"/>
        </w:rPr>
        <w:t>§</w:t>
      </w:r>
      <w:r w:rsidRPr="00220BC5" w:rsidR="00DD64BA">
        <w:rPr>
          <w:color w:val="000000"/>
        </w:rPr>
        <w:t xml:space="preserve"> </w:t>
      </w:r>
      <w:r w:rsidRPr="00220BC5">
        <w:rPr>
          <w:color w:val="000000"/>
        </w:rPr>
        <w:t xml:space="preserve">1910.1200 to classify the hazards of the chemicals, including determinations regarding when mixtures of the classified chemicals are covered by this section. </w:t>
      </w:r>
    </w:p>
    <w:p w:rsidR="00CB1E30" w:rsidRPr="00220BC5" w:rsidP="00933BFC" w14:paraId="47011B7F" w14:textId="3B98DEA6">
      <w:pPr>
        <w:pStyle w:val="block1"/>
        <w:spacing w:before="0" w:beforeAutospacing="0"/>
        <w:rPr>
          <w:b/>
          <w:color w:val="000000"/>
        </w:rPr>
      </w:pPr>
      <w:r w:rsidRPr="00220BC5">
        <w:rPr>
          <w:i/>
          <w:color w:val="000000"/>
        </w:rPr>
        <w:t>§1910.1200(d)(3)(ii)</w:t>
      </w:r>
      <w:r w:rsidRPr="00220BC5">
        <w:rPr>
          <w:color w:val="000000"/>
        </w:rPr>
        <w:t xml:space="preserve"> </w:t>
      </w:r>
      <w:r w:rsidR="003532BF">
        <w:rPr>
          <w:color w:val="000000"/>
        </w:rPr>
        <w:t>-</w:t>
      </w:r>
      <w:r w:rsidRPr="00220BC5" w:rsidR="003532BF">
        <w:rPr>
          <w:color w:val="000000"/>
        </w:rPr>
        <w:t xml:space="preserve"> </w:t>
      </w:r>
      <w:r w:rsidRPr="00220BC5" w:rsidR="00804F23">
        <w:rPr>
          <w:color w:val="000000"/>
        </w:rPr>
        <w:t xml:space="preserve">When classifying </w:t>
      </w:r>
      <w:r w:rsidRPr="00220BC5" w:rsidR="00804F23">
        <w:rPr>
          <w:color w:val="000000"/>
        </w:rPr>
        <w:t>mixtures</w:t>
      </w:r>
      <w:r w:rsidRPr="00220BC5" w:rsidR="00804F23">
        <w:rPr>
          <w:color w:val="000000"/>
        </w:rPr>
        <w:t xml:space="preserve"> they produce or import, chemical</w:t>
      </w:r>
      <w:r w:rsidRPr="00220BC5">
        <w:rPr>
          <w:color w:val="000000"/>
        </w:rPr>
        <w:t xml:space="preserve"> manufacturer</w:t>
      </w:r>
      <w:r w:rsidRPr="00220BC5" w:rsidR="00804F23">
        <w:rPr>
          <w:color w:val="000000"/>
        </w:rPr>
        <w:t>s</w:t>
      </w:r>
      <w:r w:rsidRPr="00220BC5">
        <w:rPr>
          <w:color w:val="000000"/>
        </w:rPr>
        <w:t xml:space="preserve"> </w:t>
      </w:r>
      <w:r w:rsidRPr="00220BC5" w:rsidR="00804F23">
        <w:rPr>
          <w:color w:val="000000"/>
        </w:rPr>
        <w:t>and</w:t>
      </w:r>
      <w:r w:rsidRPr="00220BC5">
        <w:rPr>
          <w:color w:val="000000"/>
        </w:rPr>
        <w:t xml:space="preserve"> importer</w:t>
      </w:r>
      <w:r w:rsidRPr="00220BC5" w:rsidR="00804F23">
        <w:rPr>
          <w:color w:val="000000"/>
        </w:rPr>
        <w:t>s</w:t>
      </w:r>
      <w:r w:rsidRPr="00220BC5" w:rsidR="002C7D1E">
        <w:rPr>
          <w:color w:val="000000"/>
        </w:rPr>
        <w:t xml:space="preserve"> of</w:t>
      </w:r>
      <w:r w:rsidRPr="00220BC5">
        <w:rPr>
          <w:color w:val="000000"/>
        </w:rPr>
        <w:t xml:space="preserve"> mixture</w:t>
      </w:r>
      <w:r w:rsidRPr="00220BC5" w:rsidR="002C7D1E">
        <w:rPr>
          <w:color w:val="000000"/>
        </w:rPr>
        <w:t>s</w:t>
      </w:r>
      <w:r w:rsidRPr="00220BC5">
        <w:rPr>
          <w:color w:val="000000"/>
        </w:rPr>
        <w:t xml:space="preserve"> </w:t>
      </w:r>
      <w:r w:rsidRPr="00220BC5" w:rsidR="002C7D1E">
        <w:rPr>
          <w:color w:val="000000"/>
        </w:rPr>
        <w:t>may rely on the information provided</w:t>
      </w:r>
      <w:r w:rsidRPr="00220BC5">
        <w:rPr>
          <w:color w:val="000000"/>
        </w:rPr>
        <w:t xml:space="preserve"> </w:t>
      </w:r>
      <w:r w:rsidRPr="00220BC5" w:rsidR="002C7D1E">
        <w:rPr>
          <w:color w:val="000000"/>
        </w:rPr>
        <w:t>on the current sa</w:t>
      </w:r>
      <w:r w:rsidRPr="00220BC5">
        <w:rPr>
          <w:color w:val="000000"/>
        </w:rPr>
        <w:t>fety data sheets</w:t>
      </w:r>
      <w:r w:rsidRPr="00220BC5" w:rsidR="002C7D1E">
        <w:rPr>
          <w:color w:val="000000"/>
        </w:rPr>
        <w:t xml:space="preserve"> of individual ingredients except where the chemical manufacture</w:t>
      </w:r>
      <w:r w:rsidRPr="00220BC5" w:rsidR="005326FE">
        <w:rPr>
          <w:color w:val="000000"/>
        </w:rPr>
        <w:t>r</w:t>
      </w:r>
      <w:r w:rsidRPr="00220BC5" w:rsidR="002C7D1E">
        <w:rPr>
          <w:color w:val="000000"/>
        </w:rPr>
        <w:t xml:space="preserve"> or importer knows, or in the exercise of reasonable </w:t>
      </w:r>
      <w:r w:rsidRPr="00220BC5" w:rsidR="00BD52E7">
        <w:rPr>
          <w:color w:val="000000"/>
        </w:rPr>
        <w:t xml:space="preserve">diligence </w:t>
      </w:r>
      <w:r w:rsidRPr="00220BC5" w:rsidR="002C7D1E">
        <w:rPr>
          <w:color w:val="000000"/>
        </w:rPr>
        <w:t>should know, that the safety data sheet misstates or omits information required by this section</w:t>
      </w:r>
      <w:r w:rsidRPr="00220BC5">
        <w:rPr>
          <w:color w:val="000000"/>
        </w:rPr>
        <w:t>.</w:t>
      </w:r>
    </w:p>
    <w:p w:rsidR="00CB1E30" w:rsidRPr="00220BC5" w:rsidP="002C0B15" w14:paraId="1088B5DA" w14:textId="77777777">
      <w:pPr>
        <w:pStyle w:val="block1"/>
        <w:rPr>
          <w:b/>
          <w:color w:val="000000"/>
        </w:rPr>
      </w:pPr>
      <w:r w:rsidRPr="00220BC5">
        <w:rPr>
          <w:b/>
          <w:bCs/>
          <w:color w:val="000000"/>
        </w:rPr>
        <w:t>Written Hazard Communication Program § 1910.1200(e)</w:t>
      </w:r>
    </w:p>
    <w:p w:rsidR="002732BA" w:rsidRPr="00220BC5" w:rsidP="003A15DB" w14:paraId="3FD69C6E" w14:textId="6D0A9861">
      <w:pPr>
        <w:shd w:val="clear" w:color="auto" w:fill="FFFFFF"/>
        <w:spacing w:before="100" w:beforeAutospacing="1" w:after="100" w:afterAutospacing="1"/>
        <w:rPr>
          <w:sz w:val="24"/>
          <w:szCs w:val="24"/>
          <w:lang w:val="en"/>
        </w:rPr>
      </w:pPr>
      <w:r w:rsidRPr="00220BC5">
        <w:rPr>
          <w:i/>
          <w:iCs/>
          <w:sz w:val="24"/>
          <w:szCs w:val="24"/>
          <w:lang w:val="en"/>
        </w:rPr>
        <w:t>Written hazard communication program.</w:t>
      </w:r>
      <w:r w:rsidRPr="00220BC5">
        <w:rPr>
          <w:sz w:val="24"/>
          <w:szCs w:val="24"/>
          <w:lang w:val="en"/>
        </w:rPr>
        <w:t xml:space="preserve"> </w:t>
      </w:r>
      <w:r w:rsidRPr="00220BC5">
        <w:rPr>
          <w:i/>
          <w:color w:val="000000"/>
          <w:sz w:val="24"/>
          <w:szCs w:val="24"/>
        </w:rPr>
        <w:t>§1910.1200(e)(1)</w:t>
      </w:r>
      <w:r w:rsidRPr="00220BC5">
        <w:rPr>
          <w:sz w:val="24"/>
          <w:szCs w:val="24"/>
          <w:lang w:val="en"/>
        </w:rPr>
        <w:t xml:space="preserve"> </w:t>
      </w:r>
      <w:r w:rsidR="001B5756">
        <w:rPr>
          <w:sz w:val="24"/>
          <w:szCs w:val="24"/>
          <w:lang w:val="en"/>
        </w:rPr>
        <w:t>-</w:t>
      </w:r>
      <w:r w:rsidRPr="00220BC5" w:rsidR="001B5756">
        <w:rPr>
          <w:sz w:val="24"/>
          <w:szCs w:val="24"/>
          <w:lang w:val="en"/>
        </w:rPr>
        <w:t xml:space="preserve"> </w:t>
      </w:r>
      <w:r w:rsidRPr="00220BC5">
        <w:rPr>
          <w:sz w:val="24"/>
          <w:szCs w:val="24"/>
          <w:lang w:val="en"/>
        </w:rPr>
        <w:t>Employers shall develop, implement, and maintain at each workplace, a written hazard communication program which at least describes how the criteria specified in paragraphs (f), (g), and (h)</w:t>
      </w:r>
      <w:r>
        <w:rPr>
          <w:rStyle w:val="FootnoteReference"/>
          <w:sz w:val="24"/>
          <w:szCs w:val="24"/>
          <w:lang w:val="en"/>
        </w:rPr>
        <w:footnoteReference w:id="4"/>
      </w:r>
      <w:r w:rsidRPr="00220BC5">
        <w:rPr>
          <w:sz w:val="24"/>
          <w:szCs w:val="24"/>
          <w:lang w:val="en"/>
        </w:rPr>
        <w:t xml:space="preserve"> of this section for labels and other forms of warning, safety data sheets, and employee information and training will be met, and which also includes the following:</w:t>
      </w:r>
    </w:p>
    <w:p w:rsidR="002732BA" w:rsidRPr="00220BC5" w:rsidP="003A15DB" w14:paraId="273C0579" w14:textId="33D90BE0">
      <w:pPr>
        <w:shd w:val="clear" w:color="auto" w:fill="FFFFFF"/>
        <w:spacing w:before="100" w:beforeAutospacing="1" w:after="100" w:afterAutospacing="1"/>
        <w:rPr>
          <w:sz w:val="24"/>
          <w:szCs w:val="24"/>
          <w:lang w:val="en"/>
        </w:rPr>
      </w:pPr>
      <w:r w:rsidRPr="00220BC5">
        <w:rPr>
          <w:i/>
          <w:color w:val="000000"/>
          <w:sz w:val="24"/>
          <w:szCs w:val="24"/>
        </w:rPr>
        <w:t>§1910.1200(e)(1)</w:t>
      </w:r>
      <w:r w:rsidRPr="00401304">
        <w:rPr>
          <w:i/>
          <w:iCs/>
          <w:sz w:val="24"/>
          <w:szCs w:val="24"/>
          <w:lang w:val="en"/>
        </w:rPr>
        <w:t>(</w:t>
      </w:r>
      <w:r w:rsidRPr="00401304">
        <w:rPr>
          <w:i/>
          <w:iCs/>
          <w:sz w:val="24"/>
          <w:szCs w:val="24"/>
          <w:lang w:val="en"/>
        </w:rPr>
        <w:t>i</w:t>
      </w:r>
      <w:r w:rsidRPr="00401304">
        <w:rPr>
          <w:i/>
          <w:iCs/>
          <w:sz w:val="24"/>
          <w:szCs w:val="24"/>
          <w:lang w:val="en"/>
        </w:rPr>
        <w:t>)</w:t>
      </w:r>
      <w:r w:rsidRPr="00220BC5">
        <w:rPr>
          <w:sz w:val="24"/>
          <w:szCs w:val="24"/>
          <w:lang w:val="en"/>
        </w:rPr>
        <w:t xml:space="preserve"> </w:t>
      </w:r>
      <w:r w:rsidR="001B5756">
        <w:rPr>
          <w:sz w:val="24"/>
          <w:szCs w:val="24"/>
          <w:lang w:val="en"/>
        </w:rPr>
        <w:t xml:space="preserve">- </w:t>
      </w:r>
      <w:r w:rsidRPr="00220BC5">
        <w:rPr>
          <w:sz w:val="24"/>
          <w:szCs w:val="24"/>
          <w:lang w:val="en"/>
        </w:rPr>
        <w:t>A list of the hazardous chemicals</w:t>
      </w:r>
      <w:r>
        <w:rPr>
          <w:rStyle w:val="FootnoteReference"/>
          <w:sz w:val="24"/>
          <w:szCs w:val="24"/>
          <w:lang w:val="en"/>
        </w:rPr>
        <w:footnoteReference w:id="5"/>
      </w:r>
      <w:r w:rsidRPr="00220BC5">
        <w:rPr>
          <w:sz w:val="24"/>
          <w:szCs w:val="24"/>
          <w:lang w:val="en"/>
        </w:rPr>
        <w:t xml:space="preserve"> known to be present using a product identifier that is referenced on the appropriate safety data sheet (the list may be compiled for the workplace as a whole or for individual work areas); and,</w:t>
      </w:r>
    </w:p>
    <w:p w:rsidR="002732BA" w:rsidRPr="00220BC5" w:rsidP="003A15DB" w14:paraId="44AAC0CF" w14:textId="56B948EF">
      <w:pPr>
        <w:shd w:val="clear" w:color="auto" w:fill="FFFFFF"/>
        <w:spacing w:before="100" w:beforeAutospacing="1" w:after="100" w:afterAutospacing="1"/>
        <w:rPr>
          <w:sz w:val="24"/>
          <w:szCs w:val="24"/>
          <w:lang w:val="en"/>
        </w:rPr>
      </w:pPr>
      <w:r w:rsidRPr="00220BC5">
        <w:rPr>
          <w:i/>
          <w:color w:val="000000"/>
          <w:sz w:val="24"/>
          <w:szCs w:val="24"/>
        </w:rPr>
        <w:t>§1910.1200(e)(1)</w:t>
      </w:r>
      <w:r w:rsidRPr="00401304">
        <w:rPr>
          <w:i/>
          <w:iCs/>
          <w:sz w:val="24"/>
          <w:szCs w:val="24"/>
          <w:lang w:val="en"/>
        </w:rPr>
        <w:t>(ii)</w:t>
      </w:r>
      <w:r w:rsidRPr="00220BC5">
        <w:rPr>
          <w:sz w:val="24"/>
          <w:szCs w:val="24"/>
          <w:lang w:val="en"/>
        </w:rPr>
        <w:t xml:space="preserve"> </w:t>
      </w:r>
      <w:r w:rsidR="001B5756">
        <w:rPr>
          <w:sz w:val="24"/>
          <w:szCs w:val="24"/>
          <w:lang w:val="en"/>
        </w:rPr>
        <w:t xml:space="preserve">- </w:t>
      </w:r>
      <w:r w:rsidRPr="00220BC5">
        <w:rPr>
          <w:sz w:val="24"/>
          <w:szCs w:val="24"/>
          <w:lang w:val="en"/>
        </w:rPr>
        <w:t>The methods the employer will use to inform employees of the hazards of non-routine tasks (for example, the cleaning of reactor vessels), and the hazards associated with chemicals contained in unlabeled pipes in their work areas.</w:t>
      </w:r>
    </w:p>
    <w:p w:rsidR="002732BA" w:rsidRPr="00220BC5" w:rsidP="003A15DB" w14:paraId="65B39479" w14:textId="4AEE738E">
      <w:pPr>
        <w:shd w:val="clear" w:color="auto" w:fill="FFFFFF"/>
        <w:spacing w:before="100" w:beforeAutospacing="1" w:after="100" w:afterAutospacing="1"/>
        <w:rPr>
          <w:sz w:val="24"/>
          <w:szCs w:val="24"/>
          <w:lang w:val="en"/>
        </w:rPr>
      </w:pPr>
      <w:r w:rsidRPr="00220BC5">
        <w:rPr>
          <w:i/>
          <w:color w:val="000000"/>
          <w:sz w:val="24"/>
          <w:szCs w:val="24"/>
        </w:rPr>
        <w:t>§1910.1200(e)(2)</w:t>
      </w:r>
      <w:r w:rsidRPr="00220BC5">
        <w:rPr>
          <w:sz w:val="24"/>
          <w:szCs w:val="24"/>
          <w:lang w:val="en"/>
        </w:rPr>
        <w:t xml:space="preserve"> </w:t>
      </w:r>
      <w:r w:rsidRPr="00220BC5">
        <w:rPr>
          <w:i/>
          <w:iCs/>
          <w:sz w:val="24"/>
          <w:szCs w:val="24"/>
          <w:lang w:val="en"/>
        </w:rPr>
        <w:t>Multi-employer</w:t>
      </w:r>
      <w:r w:rsidRPr="00220BC5">
        <w:rPr>
          <w:i/>
          <w:iCs/>
          <w:sz w:val="24"/>
          <w:szCs w:val="24"/>
          <w:lang w:val="en"/>
        </w:rPr>
        <w:t xml:space="preserve"> workplaces.</w:t>
      </w:r>
      <w:r w:rsidRPr="00220BC5">
        <w:rPr>
          <w:sz w:val="24"/>
          <w:szCs w:val="24"/>
          <w:lang w:val="en"/>
        </w:rPr>
        <w:t xml:space="preserve"> Employers who produce, use, or store hazardous chemicals at a workplace in such a way that the employees of other employer(s) may be exposed (for example, employees of a construction contractor working on-site) shall additionally ensure that the hazard communication programs developed and implemented under this paragraph (e) include the following:</w:t>
      </w:r>
    </w:p>
    <w:p w:rsidR="002732BA" w:rsidRPr="00220BC5" w:rsidP="003A15DB" w14:paraId="3553C68A" w14:textId="423D2399">
      <w:pPr>
        <w:shd w:val="clear" w:color="auto" w:fill="FFFFFF"/>
        <w:spacing w:before="100" w:beforeAutospacing="1" w:after="100" w:afterAutospacing="1"/>
        <w:rPr>
          <w:sz w:val="24"/>
          <w:szCs w:val="24"/>
          <w:lang w:val="en"/>
        </w:rPr>
      </w:pPr>
      <w:r w:rsidRPr="00220BC5">
        <w:rPr>
          <w:i/>
          <w:color w:val="000000"/>
          <w:sz w:val="24"/>
          <w:szCs w:val="24"/>
        </w:rPr>
        <w:t>§1910.1200(e)(2)</w:t>
      </w:r>
      <w:r w:rsidRPr="00401304">
        <w:rPr>
          <w:i/>
          <w:iCs/>
          <w:sz w:val="24"/>
          <w:szCs w:val="24"/>
          <w:lang w:val="en"/>
        </w:rPr>
        <w:t>(</w:t>
      </w:r>
      <w:r w:rsidRPr="00401304">
        <w:rPr>
          <w:i/>
          <w:iCs/>
          <w:sz w:val="24"/>
          <w:szCs w:val="24"/>
          <w:lang w:val="en"/>
        </w:rPr>
        <w:t>i</w:t>
      </w:r>
      <w:r w:rsidRPr="00401304">
        <w:rPr>
          <w:i/>
          <w:iCs/>
          <w:sz w:val="24"/>
          <w:szCs w:val="24"/>
          <w:lang w:val="en"/>
        </w:rPr>
        <w:t>)</w:t>
      </w:r>
      <w:r w:rsidRPr="00220BC5">
        <w:rPr>
          <w:sz w:val="24"/>
          <w:szCs w:val="24"/>
          <w:lang w:val="en"/>
        </w:rPr>
        <w:t xml:space="preserve"> </w:t>
      </w:r>
      <w:r w:rsidR="00A70302">
        <w:rPr>
          <w:sz w:val="24"/>
          <w:szCs w:val="24"/>
          <w:lang w:val="en"/>
        </w:rPr>
        <w:t xml:space="preserve">- </w:t>
      </w:r>
      <w:r w:rsidRPr="00220BC5">
        <w:rPr>
          <w:sz w:val="24"/>
          <w:szCs w:val="24"/>
          <w:lang w:val="en"/>
        </w:rPr>
        <w:t>The methods the employer will use to provide the other employer(s) on-site access to safety data sheets for each hazardous chemical the other employer(s)</w:t>
      </w:r>
      <w:r w:rsidR="00A70302">
        <w:rPr>
          <w:sz w:val="24"/>
          <w:szCs w:val="24"/>
          <w:lang w:val="en"/>
        </w:rPr>
        <w:t>’</w:t>
      </w:r>
      <w:r w:rsidRPr="00220BC5">
        <w:rPr>
          <w:sz w:val="24"/>
          <w:szCs w:val="24"/>
          <w:lang w:val="en"/>
        </w:rPr>
        <w:t xml:space="preserve"> employees may be exposed to while </w:t>
      </w:r>
      <w:r w:rsidRPr="00220BC5">
        <w:rPr>
          <w:sz w:val="24"/>
          <w:szCs w:val="24"/>
          <w:lang w:val="en"/>
        </w:rPr>
        <w:t>working;</w:t>
      </w:r>
    </w:p>
    <w:p w:rsidR="002732BA" w:rsidRPr="00220BC5" w:rsidP="003A15DB" w14:paraId="69F47B24" w14:textId="2517F043">
      <w:pPr>
        <w:shd w:val="clear" w:color="auto" w:fill="FFFFFF"/>
        <w:spacing w:before="100" w:beforeAutospacing="1" w:after="100" w:afterAutospacing="1"/>
        <w:rPr>
          <w:sz w:val="24"/>
          <w:szCs w:val="24"/>
          <w:lang w:val="en"/>
        </w:rPr>
      </w:pPr>
      <w:r w:rsidRPr="00220BC5">
        <w:rPr>
          <w:i/>
          <w:color w:val="000000"/>
          <w:sz w:val="24"/>
          <w:szCs w:val="24"/>
        </w:rPr>
        <w:t>§1910.1200(e)(2)</w:t>
      </w:r>
      <w:r w:rsidRPr="00401304">
        <w:rPr>
          <w:i/>
          <w:iCs/>
          <w:sz w:val="24"/>
          <w:szCs w:val="24"/>
          <w:lang w:val="en"/>
        </w:rPr>
        <w:t>(ii)</w:t>
      </w:r>
      <w:r w:rsidRPr="00220BC5">
        <w:rPr>
          <w:sz w:val="24"/>
          <w:szCs w:val="24"/>
          <w:lang w:val="en"/>
        </w:rPr>
        <w:t xml:space="preserve"> </w:t>
      </w:r>
      <w:r w:rsidR="00A70302">
        <w:rPr>
          <w:sz w:val="24"/>
          <w:szCs w:val="24"/>
          <w:lang w:val="en"/>
        </w:rPr>
        <w:t xml:space="preserve">- </w:t>
      </w:r>
      <w:r w:rsidRPr="00220BC5">
        <w:rPr>
          <w:sz w:val="24"/>
          <w:szCs w:val="24"/>
          <w:lang w:val="en"/>
        </w:rPr>
        <w:t>The methods the employer will use to inform the other employer(s) of any precautionary measures that need to be taken to protect employees during the workplace's normal operating conditions and in foreseeable emergencies; and,</w:t>
      </w:r>
    </w:p>
    <w:p w:rsidR="002732BA" w:rsidRPr="00220BC5" w:rsidP="003A15DB" w14:paraId="6324FA34" w14:textId="7887A987">
      <w:pPr>
        <w:shd w:val="clear" w:color="auto" w:fill="FFFFFF"/>
        <w:spacing w:before="100" w:beforeAutospacing="1" w:after="100" w:afterAutospacing="1"/>
        <w:rPr>
          <w:sz w:val="24"/>
          <w:szCs w:val="24"/>
          <w:lang w:val="en"/>
        </w:rPr>
      </w:pPr>
      <w:r w:rsidRPr="00220BC5">
        <w:rPr>
          <w:i/>
          <w:color w:val="000000"/>
          <w:sz w:val="24"/>
          <w:szCs w:val="24"/>
        </w:rPr>
        <w:t>§1910.1200(e)(2)</w:t>
      </w:r>
      <w:r w:rsidRPr="00401304">
        <w:rPr>
          <w:i/>
          <w:iCs/>
          <w:sz w:val="24"/>
          <w:szCs w:val="24"/>
          <w:lang w:val="en"/>
        </w:rPr>
        <w:t>(iii)</w:t>
      </w:r>
      <w:r w:rsidRPr="00220BC5">
        <w:rPr>
          <w:sz w:val="24"/>
          <w:szCs w:val="24"/>
          <w:lang w:val="en"/>
        </w:rPr>
        <w:t xml:space="preserve"> </w:t>
      </w:r>
      <w:r w:rsidR="00A70302">
        <w:rPr>
          <w:sz w:val="24"/>
          <w:szCs w:val="24"/>
          <w:lang w:val="en"/>
        </w:rPr>
        <w:t xml:space="preserve">- </w:t>
      </w:r>
      <w:r w:rsidRPr="00220BC5">
        <w:rPr>
          <w:sz w:val="24"/>
          <w:szCs w:val="24"/>
          <w:lang w:val="en"/>
        </w:rPr>
        <w:t>The methods the employer will use to inform the other employer(s) of the labeling system used in the workplace.</w:t>
      </w:r>
    </w:p>
    <w:p w:rsidR="002732BA" w:rsidRPr="00220BC5" w:rsidP="003A15DB" w14:paraId="1C9F8CD6" w14:textId="54CACCD8">
      <w:pPr>
        <w:shd w:val="clear" w:color="auto" w:fill="FFFFFF"/>
        <w:spacing w:before="100" w:beforeAutospacing="1" w:after="100" w:afterAutospacing="1"/>
        <w:rPr>
          <w:sz w:val="24"/>
          <w:szCs w:val="24"/>
          <w:lang w:val="en"/>
        </w:rPr>
      </w:pPr>
      <w:r w:rsidRPr="00220BC5">
        <w:rPr>
          <w:i/>
          <w:color w:val="000000"/>
          <w:sz w:val="24"/>
          <w:szCs w:val="24"/>
        </w:rPr>
        <w:t>§1910.1200(e)(3)</w:t>
      </w:r>
      <w:r w:rsidRPr="00220BC5">
        <w:rPr>
          <w:sz w:val="24"/>
          <w:szCs w:val="24"/>
          <w:lang w:val="en"/>
        </w:rPr>
        <w:t xml:space="preserve"> </w:t>
      </w:r>
      <w:r w:rsidR="00401304">
        <w:rPr>
          <w:sz w:val="24"/>
          <w:szCs w:val="24"/>
          <w:lang w:val="en"/>
        </w:rPr>
        <w:t xml:space="preserve">- </w:t>
      </w:r>
      <w:r w:rsidRPr="00220BC5">
        <w:rPr>
          <w:sz w:val="24"/>
          <w:szCs w:val="24"/>
          <w:lang w:val="en"/>
        </w:rPr>
        <w:t xml:space="preserve">The employer may rely on an existing hazard communication program to comply with these requirements, </w:t>
      </w:r>
      <w:r w:rsidRPr="00220BC5">
        <w:rPr>
          <w:sz w:val="24"/>
          <w:szCs w:val="24"/>
          <w:lang w:val="en"/>
        </w:rPr>
        <w:t>provided that</w:t>
      </w:r>
      <w:r w:rsidRPr="00220BC5">
        <w:rPr>
          <w:sz w:val="24"/>
          <w:szCs w:val="24"/>
          <w:lang w:val="en"/>
        </w:rPr>
        <w:t xml:space="preserve"> it meets the criteria established in this paragraph (e).</w:t>
      </w:r>
    </w:p>
    <w:p w:rsidR="002732BA" w:rsidRPr="00220BC5" w:rsidP="003A15DB" w14:paraId="2FEAAF75" w14:textId="7C4F5BC9">
      <w:pPr>
        <w:shd w:val="clear" w:color="auto" w:fill="FFFFFF"/>
        <w:spacing w:before="100" w:beforeAutospacing="1" w:after="100" w:afterAutospacing="1"/>
        <w:rPr>
          <w:sz w:val="24"/>
          <w:szCs w:val="24"/>
          <w:lang w:val="en"/>
        </w:rPr>
      </w:pPr>
      <w:r w:rsidRPr="00220BC5">
        <w:rPr>
          <w:i/>
          <w:color w:val="000000"/>
          <w:sz w:val="24"/>
          <w:szCs w:val="24"/>
        </w:rPr>
        <w:t>§1910.1200(e)(4)</w:t>
      </w:r>
      <w:r w:rsidRPr="00220BC5">
        <w:rPr>
          <w:sz w:val="24"/>
          <w:szCs w:val="24"/>
          <w:lang w:val="en"/>
        </w:rPr>
        <w:t xml:space="preserve"> </w:t>
      </w:r>
      <w:r w:rsidR="00A70302">
        <w:rPr>
          <w:sz w:val="24"/>
          <w:szCs w:val="24"/>
          <w:lang w:val="en"/>
        </w:rPr>
        <w:t xml:space="preserve">- </w:t>
      </w:r>
      <w:r w:rsidRPr="00220BC5">
        <w:rPr>
          <w:sz w:val="24"/>
          <w:szCs w:val="24"/>
          <w:lang w:val="en"/>
        </w:rPr>
        <w:t xml:space="preserve">The employer shall make the written hazard communication program available, upon request, to employees, their designated representatives, the Assistant </w:t>
      </w:r>
      <w:r w:rsidRPr="00220BC5">
        <w:rPr>
          <w:sz w:val="24"/>
          <w:szCs w:val="24"/>
          <w:lang w:val="en"/>
        </w:rPr>
        <w:t>Secretary</w:t>
      </w:r>
      <w:r w:rsidRPr="00220BC5">
        <w:rPr>
          <w:sz w:val="24"/>
          <w:szCs w:val="24"/>
          <w:lang w:val="en"/>
        </w:rPr>
        <w:t xml:space="preserve"> and the Director, in accordance with the requirements of </w:t>
      </w:r>
      <w:r w:rsidRPr="00220BC5" w:rsidR="000D071D">
        <w:rPr>
          <w:sz w:val="24"/>
          <w:szCs w:val="24"/>
          <w:lang w:val="en"/>
        </w:rPr>
        <w:t>§</w:t>
      </w:r>
      <w:r w:rsidRPr="00220BC5">
        <w:rPr>
          <w:sz w:val="24"/>
          <w:szCs w:val="24"/>
          <w:lang w:val="en"/>
        </w:rPr>
        <w:t>1910.</w:t>
      </w:r>
      <w:r w:rsidRPr="00220BC5" w:rsidR="001C4006">
        <w:rPr>
          <w:sz w:val="24"/>
          <w:szCs w:val="24"/>
          <w:lang w:val="en"/>
        </w:rPr>
        <w:t>10</w:t>
      </w:r>
      <w:r w:rsidRPr="00220BC5">
        <w:rPr>
          <w:sz w:val="24"/>
          <w:szCs w:val="24"/>
          <w:lang w:val="en"/>
        </w:rPr>
        <w:t>20(e).</w:t>
      </w:r>
    </w:p>
    <w:p w:rsidR="002732BA" w:rsidRPr="00220BC5" w:rsidP="003A15DB" w14:paraId="5959DA71" w14:textId="255DAFF9">
      <w:pPr>
        <w:shd w:val="clear" w:color="auto" w:fill="FFFFFF"/>
        <w:spacing w:before="100" w:beforeAutospacing="1" w:after="100" w:afterAutospacing="1"/>
        <w:rPr>
          <w:sz w:val="24"/>
          <w:szCs w:val="24"/>
          <w:lang w:val="en"/>
        </w:rPr>
      </w:pPr>
      <w:r w:rsidRPr="00220BC5">
        <w:rPr>
          <w:i/>
          <w:color w:val="000000"/>
          <w:sz w:val="24"/>
          <w:szCs w:val="24"/>
        </w:rPr>
        <w:t>§1910.1200(e)(5)</w:t>
      </w:r>
      <w:r w:rsidRPr="00220BC5">
        <w:rPr>
          <w:sz w:val="24"/>
          <w:szCs w:val="24"/>
          <w:lang w:val="en"/>
        </w:rPr>
        <w:t xml:space="preserve"> </w:t>
      </w:r>
      <w:r w:rsidR="00A70302">
        <w:rPr>
          <w:sz w:val="24"/>
          <w:szCs w:val="24"/>
          <w:lang w:val="en"/>
        </w:rPr>
        <w:t xml:space="preserve">- </w:t>
      </w:r>
      <w:r w:rsidRPr="00220BC5">
        <w:rPr>
          <w:sz w:val="24"/>
          <w:szCs w:val="24"/>
          <w:lang w:val="en"/>
        </w:rPr>
        <w:t xml:space="preserve">Where employees must travel between workplaces during a </w:t>
      </w:r>
      <w:r w:rsidRPr="00220BC5">
        <w:rPr>
          <w:sz w:val="24"/>
          <w:szCs w:val="24"/>
          <w:lang w:val="en"/>
        </w:rPr>
        <w:t>workshift</w:t>
      </w:r>
      <w:r w:rsidRPr="00220BC5">
        <w:rPr>
          <w:sz w:val="24"/>
          <w:szCs w:val="24"/>
          <w:lang w:val="en"/>
        </w:rPr>
        <w:t xml:space="preserve">, </w:t>
      </w:r>
      <w:r w:rsidRPr="00220BC5">
        <w:rPr>
          <w:i/>
          <w:iCs/>
          <w:sz w:val="24"/>
          <w:szCs w:val="24"/>
          <w:lang w:val="en"/>
        </w:rPr>
        <w:t>i.e.,</w:t>
      </w:r>
      <w:r w:rsidRPr="00220BC5">
        <w:rPr>
          <w:sz w:val="24"/>
          <w:szCs w:val="24"/>
          <w:lang w:val="en"/>
        </w:rPr>
        <w:t xml:space="preserve"> their work is carried out at more than one geographical location, the written hazard communication program may be kept at the primary workplace facility.</w:t>
      </w:r>
    </w:p>
    <w:p w:rsidR="00933BFC" w:rsidRPr="00220BC5" w:rsidP="00933BFC" w14:paraId="29E318D4" w14:textId="77777777">
      <w:pPr>
        <w:pStyle w:val="block1"/>
        <w:spacing w:before="0" w:beforeAutospacing="0"/>
        <w:rPr>
          <w:b/>
          <w:color w:val="000000"/>
        </w:rPr>
      </w:pPr>
      <w:r w:rsidRPr="00220BC5">
        <w:rPr>
          <w:b/>
          <w:color w:val="000000"/>
        </w:rPr>
        <w:t>Labels and other forms of warning</w:t>
      </w:r>
      <w:bookmarkStart w:id="13" w:name="1910.1200(f)(1)"/>
      <w:bookmarkEnd w:id="13"/>
      <w:r w:rsidRPr="00220BC5">
        <w:rPr>
          <w:b/>
          <w:color w:val="000000"/>
        </w:rPr>
        <w:t xml:space="preserve"> §1910.1200(f) </w:t>
      </w:r>
    </w:p>
    <w:p w:rsidR="00D80711" w:rsidRPr="00220BC5" w:rsidP="00AB0B90" w14:paraId="083C3763" w14:textId="33E46B0C">
      <w:pPr>
        <w:pStyle w:val="block1"/>
        <w:spacing w:before="0" w:beforeAutospacing="0"/>
      </w:pPr>
      <w:r w:rsidRPr="00220BC5">
        <w:rPr>
          <w:i/>
          <w:color w:val="000000"/>
        </w:rPr>
        <w:t>(f)</w:t>
      </w:r>
      <w:r w:rsidRPr="00220BC5" w:rsidR="009D6366">
        <w:rPr>
          <w:i/>
          <w:color w:val="000000"/>
        </w:rPr>
        <w:t xml:space="preserve">(1) - </w:t>
      </w:r>
      <w:r w:rsidRPr="00220BC5">
        <w:rPr>
          <w:i/>
          <w:color w:val="000000"/>
        </w:rPr>
        <w:t>Labels on shipped containers</w:t>
      </w:r>
      <w:r w:rsidRPr="00220BC5" w:rsidR="000B24DE">
        <w:rPr>
          <w:i/>
          <w:color w:val="000000"/>
        </w:rPr>
        <w:t>.</w:t>
      </w:r>
      <w:r w:rsidRPr="00220BC5">
        <w:rPr>
          <w:i/>
          <w:color w:val="000000"/>
        </w:rPr>
        <w:t xml:space="preserve"> </w:t>
      </w:r>
      <w:r w:rsidRPr="00220BC5" w:rsidR="00290D13">
        <w:t xml:space="preserve">The chemical manufacturer, importer, or distributor shall ensure that each container of hazardous chemicals leaving the workplace is labeled, tagged, or marked. </w:t>
      </w:r>
      <w:r w:rsidRPr="00220BC5" w:rsidR="00290D13">
        <w:rPr>
          <w:color w:val="FF0000"/>
        </w:rPr>
        <w:t xml:space="preserve"> </w:t>
      </w:r>
      <w:r w:rsidRPr="00220BC5" w:rsidR="00290D13">
        <w:t xml:space="preserve">Hazards not otherwise </w:t>
      </w:r>
      <w:r w:rsidRPr="00220BC5" w:rsidR="00290D13">
        <w:t>classified</w:t>
      </w:r>
      <w:r w:rsidRPr="00220BC5" w:rsidR="00290D13">
        <w:t xml:space="preserve"> </w:t>
      </w:r>
      <w:r w:rsidRPr="00401304" w:rsidR="00E92645">
        <w:t xml:space="preserve">and hazards </w:t>
      </w:r>
      <w:r w:rsidRPr="00401304" w:rsidR="004A1EEE">
        <w:t>iden</w:t>
      </w:r>
      <w:r w:rsidRPr="00401304" w:rsidR="00E71295">
        <w:t xml:space="preserve">tified and classified under </w:t>
      </w:r>
      <w:r w:rsidRPr="00401304" w:rsidR="00656ED3">
        <w:t>(d)(1)(ii)</w:t>
      </w:r>
      <w:r w:rsidRPr="00401304" w:rsidR="00E92645">
        <w:t xml:space="preserve"> </w:t>
      </w:r>
      <w:r w:rsidRPr="00401304" w:rsidR="00290D13">
        <w:t>do not have to be addressed on the container.  Where the chemical manufacturer</w:t>
      </w:r>
      <w:r w:rsidRPr="00401304" w:rsidR="000B24DE">
        <w:t>,</w:t>
      </w:r>
      <w:r w:rsidRPr="00401304" w:rsidR="00290D13">
        <w:t xml:space="preserve"> importer</w:t>
      </w:r>
      <w:r w:rsidRPr="00401304" w:rsidR="000B24DE">
        <w:t>, or distributor</w:t>
      </w:r>
      <w:r w:rsidRPr="00401304" w:rsidR="00290D13">
        <w:t xml:space="preserve"> is required to label, </w:t>
      </w:r>
      <w:r w:rsidRPr="00401304" w:rsidR="00290D13">
        <w:t>tag</w:t>
      </w:r>
      <w:r w:rsidRPr="00401304" w:rsidR="00290D13">
        <w:t xml:space="preserve"> or mark the following information shall be provided:</w:t>
      </w:r>
    </w:p>
    <w:p w:rsidR="00D80711" w:rsidRPr="00220BC5" w:rsidP="003A15DB" w14:paraId="0925978D" w14:textId="77777777">
      <w:pPr>
        <w:pStyle w:val="block1"/>
        <w:spacing w:before="0" w:beforeAutospacing="0"/>
        <w:rPr>
          <w:color w:val="000000"/>
        </w:rPr>
      </w:pPr>
      <w:r w:rsidRPr="00220BC5">
        <w:rPr>
          <w:i/>
          <w:color w:val="000000"/>
        </w:rPr>
        <w:t>§1910.1200(f)(1)(</w:t>
      </w:r>
      <w:r w:rsidRPr="00220BC5">
        <w:rPr>
          <w:i/>
          <w:color w:val="000000"/>
        </w:rPr>
        <w:t>i</w:t>
      </w:r>
      <w:r w:rsidRPr="00220BC5">
        <w:rPr>
          <w:i/>
          <w:color w:val="000000"/>
        </w:rPr>
        <w:t>)</w:t>
      </w:r>
      <w:r w:rsidRPr="00220BC5">
        <w:rPr>
          <w:color w:val="000000"/>
        </w:rPr>
        <w:t xml:space="preserve"> - Product </w:t>
      </w:r>
      <w:r w:rsidRPr="00220BC5">
        <w:rPr>
          <w:color w:val="000000"/>
        </w:rPr>
        <w:t>identifier;</w:t>
      </w:r>
    </w:p>
    <w:p w:rsidR="00D80711" w:rsidRPr="00220BC5" w:rsidP="003A15DB" w14:paraId="0233B3C0" w14:textId="77777777">
      <w:pPr>
        <w:pStyle w:val="block1"/>
        <w:spacing w:before="0" w:beforeAutospacing="0"/>
        <w:rPr>
          <w:color w:val="000000"/>
        </w:rPr>
      </w:pPr>
      <w:bookmarkStart w:id="14" w:name="1910.1200(f)(1)(ii)"/>
      <w:bookmarkEnd w:id="14"/>
      <w:r w:rsidRPr="00220BC5">
        <w:rPr>
          <w:i/>
          <w:color w:val="000000"/>
        </w:rPr>
        <w:t>§1910.1200(f)(1)(ii)</w:t>
      </w:r>
      <w:r w:rsidRPr="00220BC5">
        <w:rPr>
          <w:color w:val="000000"/>
        </w:rPr>
        <w:t xml:space="preserve"> - Signal </w:t>
      </w:r>
      <w:r w:rsidRPr="00220BC5">
        <w:rPr>
          <w:color w:val="000000"/>
        </w:rPr>
        <w:t>word;</w:t>
      </w:r>
    </w:p>
    <w:p w:rsidR="00D80711" w:rsidRPr="00220BC5" w:rsidP="003A15DB" w14:paraId="148370B8" w14:textId="77777777">
      <w:pPr>
        <w:pStyle w:val="block1"/>
        <w:spacing w:before="0" w:beforeAutospacing="0"/>
        <w:rPr>
          <w:color w:val="000000"/>
        </w:rPr>
      </w:pPr>
      <w:r w:rsidRPr="00220BC5">
        <w:rPr>
          <w:i/>
          <w:color w:val="000000"/>
        </w:rPr>
        <w:t>§1910.1200(f)(1)(iii)</w:t>
      </w:r>
      <w:r w:rsidRPr="00220BC5">
        <w:rPr>
          <w:color w:val="000000"/>
        </w:rPr>
        <w:t xml:space="preserve"> - Hazard statement(s</w:t>
      </w:r>
      <w:r w:rsidRPr="00220BC5">
        <w:rPr>
          <w:color w:val="000000"/>
        </w:rPr>
        <w:t>);</w:t>
      </w:r>
      <w:r w:rsidRPr="00220BC5">
        <w:rPr>
          <w:color w:val="000000"/>
        </w:rPr>
        <w:t xml:space="preserve"> </w:t>
      </w:r>
    </w:p>
    <w:p w:rsidR="00D80711" w:rsidRPr="00220BC5" w:rsidP="003A15DB" w14:paraId="1187FD85" w14:textId="77777777">
      <w:pPr>
        <w:pStyle w:val="block1"/>
        <w:spacing w:before="0" w:beforeAutospacing="0"/>
        <w:rPr>
          <w:color w:val="000000"/>
        </w:rPr>
      </w:pPr>
      <w:r w:rsidRPr="00220BC5">
        <w:rPr>
          <w:i/>
          <w:color w:val="000000"/>
        </w:rPr>
        <w:t>§1910.1200(f)(1)(iv)</w:t>
      </w:r>
      <w:r w:rsidRPr="00220BC5">
        <w:rPr>
          <w:color w:val="000000"/>
        </w:rPr>
        <w:t xml:space="preserve"> - Pictogram(s</w:t>
      </w:r>
      <w:r w:rsidRPr="00220BC5">
        <w:rPr>
          <w:color w:val="000000"/>
        </w:rPr>
        <w:t>);</w:t>
      </w:r>
    </w:p>
    <w:p w:rsidR="00D80711" w:rsidRPr="00220BC5" w:rsidP="003A15DB" w14:paraId="2915840D" w14:textId="66072B51">
      <w:pPr>
        <w:pStyle w:val="block1"/>
        <w:spacing w:before="0" w:beforeAutospacing="0"/>
        <w:rPr>
          <w:strike/>
          <w:color w:val="000000"/>
        </w:rPr>
      </w:pPr>
      <w:r w:rsidRPr="00220BC5">
        <w:rPr>
          <w:i/>
          <w:color w:val="000000"/>
        </w:rPr>
        <w:t>§1910.1200(f)(1)(v)</w:t>
      </w:r>
      <w:r w:rsidRPr="00220BC5">
        <w:rPr>
          <w:color w:val="000000"/>
        </w:rPr>
        <w:t xml:space="preserve"> - Precautionary statement(s); </w:t>
      </w:r>
      <w:r w:rsidRPr="00220BC5" w:rsidR="00B83B76">
        <w:rPr>
          <w:color w:val="000000"/>
        </w:rPr>
        <w:t>and</w:t>
      </w:r>
    </w:p>
    <w:p w:rsidR="00A73CC4" w:rsidRPr="00220BC5" w:rsidP="003A15DB" w14:paraId="3977AB0F" w14:textId="4F648C86">
      <w:pPr>
        <w:pStyle w:val="block1"/>
        <w:spacing w:before="0" w:beforeAutospacing="0"/>
        <w:rPr>
          <w:color w:val="00B050"/>
        </w:rPr>
      </w:pPr>
      <w:r w:rsidRPr="00220BC5">
        <w:rPr>
          <w:i/>
          <w:color w:val="000000"/>
        </w:rPr>
        <w:t>§1910.1200(f)(1)(vi)</w:t>
      </w:r>
      <w:r w:rsidRPr="00220BC5">
        <w:rPr>
          <w:color w:val="000000"/>
        </w:rPr>
        <w:t xml:space="preserve"> </w:t>
      </w:r>
      <w:bookmarkStart w:id="15" w:name="1910.1200(f)(1)(iii)"/>
      <w:bookmarkEnd w:id="15"/>
      <w:r w:rsidRPr="00220BC5">
        <w:rPr>
          <w:color w:val="000000"/>
        </w:rPr>
        <w:t xml:space="preserve">- Name, </w:t>
      </w:r>
      <w:r w:rsidR="00ED2580">
        <w:rPr>
          <w:color w:val="000000"/>
        </w:rPr>
        <w:t xml:space="preserve">U.S. </w:t>
      </w:r>
      <w:r w:rsidRPr="00220BC5">
        <w:rPr>
          <w:color w:val="000000"/>
        </w:rPr>
        <w:t xml:space="preserve">address, and </w:t>
      </w:r>
      <w:r w:rsidR="00ED2580">
        <w:rPr>
          <w:color w:val="000000"/>
        </w:rPr>
        <w:t xml:space="preserve">U.S. </w:t>
      </w:r>
      <w:r w:rsidRPr="00220BC5">
        <w:rPr>
          <w:color w:val="000000"/>
        </w:rPr>
        <w:t>telephone number of the chemical manufacturer, importer, or other responsible party</w:t>
      </w:r>
      <w:r w:rsidRPr="00401304" w:rsidR="005752ED">
        <w:t>.</w:t>
      </w:r>
    </w:p>
    <w:p w:rsidR="00D80711" w:rsidRPr="00220BC5" w:rsidP="00933BFC" w14:paraId="38845751" w14:textId="68626E7C">
      <w:pPr>
        <w:pStyle w:val="block1"/>
        <w:spacing w:before="0" w:beforeAutospacing="0"/>
        <w:rPr>
          <w:color w:val="000000"/>
        </w:rPr>
      </w:pPr>
      <w:r w:rsidRPr="00220BC5">
        <w:rPr>
          <w:i/>
          <w:color w:val="000000"/>
        </w:rPr>
        <w:t xml:space="preserve">§1910.1200(f)(2) - </w:t>
      </w:r>
      <w:r w:rsidRPr="00220BC5" w:rsidR="002C7D1E">
        <w:rPr>
          <w:color w:val="000000"/>
        </w:rPr>
        <w:t>The chemical manufacturer, importer, or distributor shall ensure that the information provided under (f)(1)(</w:t>
      </w:r>
      <w:r w:rsidRPr="00220BC5" w:rsidR="002C7D1E">
        <w:rPr>
          <w:color w:val="000000"/>
        </w:rPr>
        <w:t>i</w:t>
      </w:r>
      <w:r w:rsidRPr="00220BC5" w:rsidR="002C7D1E">
        <w:rPr>
          <w:color w:val="000000"/>
        </w:rPr>
        <w:t xml:space="preserve">) through (v) </w:t>
      </w:r>
      <w:r w:rsidRPr="00220BC5" w:rsidR="007E290B">
        <w:rPr>
          <w:color w:val="000000"/>
        </w:rPr>
        <w:t xml:space="preserve">of this section </w:t>
      </w:r>
      <w:r w:rsidRPr="00220BC5" w:rsidR="002C7D1E">
        <w:rPr>
          <w:color w:val="000000"/>
        </w:rPr>
        <w:t>is in accordance with Appendix C</w:t>
      </w:r>
      <w:r w:rsidRPr="00220BC5" w:rsidR="007E290B">
        <w:rPr>
          <w:color w:val="000000"/>
        </w:rPr>
        <w:t xml:space="preserve"> to § 1910.1200 [</w:t>
      </w:r>
      <w:r w:rsidRPr="00220BC5" w:rsidR="002C7D1E">
        <w:rPr>
          <w:color w:val="000000"/>
        </w:rPr>
        <w:t>Allocation of Label Elements</w:t>
      </w:r>
      <w:r w:rsidRPr="00220BC5" w:rsidR="007E290B">
        <w:rPr>
          <w:color w:val="000000"/>
        </w:rPr>
        <w:t>]</w:t>
      </w:r>
      <w:r w:rsidRPr="00220BC5" w:rsidR="002C7D1E">
        <w:rPr>
          <w:color w:val="000000"/>
        </w:rPr>
        <w:t>, for each hazard class and associated hazard category for the hazardous chemical, prominently displayed, and in English (other languages may also be included if appropriate).</w:t>
      </w:r>
    </w:p>
    <w:p w:rsidR="00D80711" w:rsidRPr="00220BC5" w:rsidP="00933BFC" w14:paraId="48169438" w14:textId="1DC345D3">
      <w:pPr>
        <w:pStyle w:val="block1"/>
        <w:spacing w:before="0" w:beforeAutospacing="0"/>
        <w:rPr>
          <w:color w:val="000000"/>
        </w:rPr>
      </w:pPr>
      <w:bookmarkStart w:id="16" w:name="1910.1200(f)(2)"/>
      <w:bookmarkEnd w:id="16"/>
      <w:r w:rsidRPr="00220BC5">
        <w:rPr>
          <w:i/>
          <w:color w:val="000000"/>
        </w:rPr>
        <w:t>§1910.1200(f)(3) -</w:t>
      </w:r>
      <w:r w:rsidRPr="00220BC5">
        <w:rPr>
          <w:color w:val="000000"/>
        </w:rPr>
        <w:t xml:space="preserve"> </w:t>
      </w:r>
      <w:r w:rsidRPr="00220BC5" w:rsidR="002C7D1E">
        <w:rPr>
          <w:color w:val="000000"/>
        </w:rPr>
        <w:t xml:space="preserve">The chemical manufacturer, importer, or distributor shall ensure that the information provided under </w:t>
      </w:r>
      <w:r w:rsidRPr="00220BC5" w:rsidR="00290D13">
        <w:rPr>
          <w:color w:val="000000"/>
        </w:rPr>
        <w:t xml:space="preserve">paragraphs </w:t>
      </w:r>
      <w:r w:rsidRPr="00220BC5" w:rsidR="002C7D1E">
        <w:rPr>
          <w:color w:val="000000"/>
        </w:rPr>
        <w:t xml:space="preserve">(f)(1)(ii) through (iv) </w:t>
      </w:r>
      <w:r w:rsidRPr="00220BC5" w:rsidR="007E290B">
        <w:rPr>
          <w:color w:val="000000"/>
        </w:rPr>
        <w:t xml:space="preserve">of this section </w:t>
      </w:r>
      <w:r w:rsidRPr="00220BC5" w:rsidR="002C7D1E">
        <w:rPr>
          <w:color w:val="000000"/>
        </w:rPr>
        <w:t>is located together on the label, tag, or mark.</w:t>
      </w:r>
    </w:p>
    <w:p w:rsidR="00F8554A" w:rsidRPr="00220BC5" w:rsidP="00933BFC" w14:paraId="2541015C" w14:textId="0283A88D">
      <w:pPr>
        <w:pStyle w:val="block1"/>
        <w:spacing w:before="0" w:beforeAutospacing="0"/>
        <w:rPr>
          <w:i/>
          <w:color w:val="000000"/>
        </w:rPr>
      </w:pPr>
      <w:r w:rsidRPr="00220BC5">
        <w:rPr>
          <w:i/>
          <w:color w:val="000000"/>
        </w:rPr>
        <w:t xml:space="preserve">§1910.1200(f)(4) </w:t>
      </w:r>
      <w:r w:rsidRPr="00220BC5" w:rsidR="002E4815">
        <w:rPr>
          <w:i/>
          <w:color w:val="000000"/>
        </w:rPr>
        <w:t>Solid Materials</w:t>
      </w:r>
    </w:p>
    <w:p w:rsidR="00D80711" w:rsidRPr="00220BC5" w:rsidP="00933BFC" w14:paraId="49DDF82B" w14:textId="77777777">
      <w:pPr>
        <w:pStyle w:val="block1"/>
        <w:spacing w:before="0" w:beforeAutospacing="0"/>
        <w:rPr>
          <w:color w:val="000000"/>
        </w:rPr>
      </w:pPr>
      <w:r w:rsidRPr="00220BC5">
        <w:rPr>
          <w:i/>
          <w:color w:val="000000"/>
        </w:rPr>
        <w:t>§1910.1200(f)(</w:t>
      </w:r>
      <w:r w:rsidRPr="00220BC5" w:rsidR="00A96E0C">
        <w:rPr>
          <w:i/>
          <w:color w:val="000000"/>
        </w:rPr>
        <w:t>4</w:t>
      </w:r>
      <w:r w:rsidRPr="00220BC5">
        <w:rPr>
          <w:i/>
          <w:color w:val="000000"/>
        </w:rPr>
        <w:t>)(</w:t>
      </w:r>
      <w:r w:rsidRPr="00220BC5">
        <w:rPr>
          <w:i/>
          <w:color w:val="000000"/>
        </w:rPr>
        <w:t>i</w:t>
      </w:r>
      <w:r w:rsidRPr="00220BC5">
        <w:rPr>
          <w:i/>
          <w:color w:val="000000"/>
        </w:rPr>
        <w:t>)</w:t>
      </w:r>
      <w:r w:rsidRPr="00220BC5">
        <w:rPr>
          <w:color w:val="000000"/>
        </w:rPr>
        <w:t xml:space="preserve"> - For solid metal (such as a steel beam or a metal casting), solid wood, or plastic items that are not exempted as articles due to their downstream use, or shipments of whole grain, the required label may be transmitted to the customer at the time of the initial shipment, and need not be included with subsequent shipments to the same employer unless the information on the label changes;</w:t>
      </w:r>
    </w:p>
    <w:p w:rsidR="00D80711" w:rsidRPr="00220BC5" w:rsidP="00933BFC" w14:paraId="638669FA" w14:textId="77777777">
      <w:pPr>
        <w:pStyle w:val="block1"/>
        <w:spacing w:before="0" w:beforeAutospacing="0"/>
        <w:rPr>
          <w:color w:val="000000"/>
        </w:rPr>
      </w:pPr>
      <w:bookmarkStart w:id="17" w:name="1910.1200(f)(2)(ii)"/>
      <w:bookmarkEnd w:id="17"/>
      <w:r w:rsidRPr="00220BC5">
        <w:rPr>
          <w:i/>
          <w:color w:val="000000"/>
        </w:rPr>
        <w:t>§1910.1200(f)(</w:t>
      </w:r>
      <w:r w:rsidRPr="00220BC5" w:rsidR="00A96E0C">
        <w:rPr>
          <w:i/>
          <w:color w:val="000000"/>
        </w:rPr>
        <w:t>4</w:t>
      </w:r>
      <w:r w:rsidRPr="00220BC5">
        <w:rPr>
          <w:i/>
          <w:color w:val="000000"/>
        </w:rPr>
        <w:t>)(ii)</w:t>
      </w:r>
      <w:r w:rsidRPr="00220BC5">
        <w:rPr>
          <w:color w:val="000000"/>
        </w:rPr>
        <w:t xml:space="preserve"> - The label may be transmitted with the initial shipment itself, or with the safety data sheet that is to be provided prior to or at the time of the first shipment; and,</w:t>
      </w:r>
    </w:p>
    <w:p w:rsidR="00D80711" w:rsidRPr="00220BC5" w:rsidP="00933BFC" w14:paraId="369C8C4A" w14:textId="77777777">
      <w:pPr>
        <w:pStyle w:val="block1"/>
        <w:spacing w:before="0" w:beforeAutospacing="0"/>
        <w:rPr>
          <w:color w:val="000000"/>
        </w:rPr>
      </w:pPr>
      <w:bookmarkStart w:id="18" w:name="1910.1200(f)(2)(iii)"/>
      <w:bookmarkEnd w:id="18"/>
      <w:r w:rsidRPr="00220BC5">
        <w:rPr>
          <w:i/>
          <w:color w:val="000000"/>
        </w:rPr>
        <w:t>§1910.1200(f)(</w:t>
      </w:r>
      <w:r w:rsidRPr="00220BC5" w:rsidR="00A96E0C">
        <w:rPr>
          <w:i/>
          <w:color w:val="000000"/>
        </w:rPr>
        <w:t>4</w:t>
      </w:r>
      <w:r w:rsidRPr="00220BC5">
        <w:rPr>
          <w:i/>
          <w:color w:val="000000"/>
        </w:rPr>
        <w:t>)(iii)</w:t>
      </w:r>
      <w:r w:rsidRPr="00220BC5">
        <w:rPr>
          <w:color w:val="000000"/>
        </w:rPr>
        <w:t xml:space="preserve"> - This exception to requiring labels on every container of hazardous chemicals is only for the solid material </w:t>
      </w:r>
      <w:r w:rsidRPr="00220BC5">
        <w:rPr>
          <w:color w:val="000000"/>
        </w:rPr>
        <w:t>itself, and</w:t>
      </w:r>
      <w:r w:rsidRPr="00220BC5">
        <w:rPr>
          <w:color w:val="000000"/>
        </w:rPr>
        <w:t xml:space="preserve"> does not apply to hazardous chemicals used in conjunction with, or known to be present with, the material and to which employees handling the items in transit may be exposed (for example, cutting fluids or pesticides in grains).</w:t>
      </w:r>
    </w:p>
    <w:p w:rsidR="00A73CC4" w:rsidRPr="00220BC5" w:rsidP="00933BFC" w14:paraId="2EBEBF03" w14:textId="3E990DC0">
      <w:pPr>
        <w:pStyle w:val="block1"/>
        <w:spacing w:before="0" w:beforeAutospacing="0"/>
        <w:rPr>
          <w:color w:val="000000"/>
        </w:rPr>
      </w:pPr>
    </w:p>
    <w:p w:rsidR="00D80711" w:rsidRPr="004C3AB8" w:rsidP="00933BFC" w14:paraId="66B29E8B" w14:textId="56147383">
      <w:pPr>
        <w:pStyle w:val="block1"/>
        <w:spacing w:before="0" w:beforeAutospacing="0"/>
      </w:pPr>
      <w:r w:rsidRPr="004C3AB8">
        <w:rPr>
          <w:i/>
        </w:rPr>
        <w:t>Transportation</w:t>
      </w:r>
      <w:r w:rsidRPr="004C3AB8">
        <w:t xml:space="preserve">. </w:t>
      </w:r>
      <w:r w:rsidRPr="004C3AB8">
        <w:rPr>
          <w:i/>
        </w:rPr>
        <w:t>§1910.1200(f)(5)</w:t>
      </w:r>
      <w:r w:rsidRPr="004C3AB8" w:rsidR="00A73CC4">
        <w:rPr>
          <w:i/>
          <w:iCs/>
        </w:rPr>
        <w:t>(</w:t>
      </w:r>
      <w:r w:rsidRPr="004C3AB8" w:rsidR="00A73CC4">
        <w:rPr>
          <w:i/>
          <w:iCs/>
        </w:rPr>
        <w:t>i</w:t>
      </w:r>
      <w:r w:rsidRPr="004C3AB8" w:rsidR="00A73CC4">
        <w:rPr>
          <w:i/>
          <w:iCs/>
        </w:rPr>
        <w:t>)</w:t>
      </w:r>
      <w:r w:rsidRPr="004C3AB8" w:rsidR="00A73CC4">
        <w:t xml:space="preserve"> </w:t>
      </w:r>
      <w:r w:rsidRPr="004C3AB8" w:rsidR="0038011B">
        <w:t xml:space="preserve">- </w:t>
      </w:r>
      <w:r w:rsidRPr="004C3AB8">
        <w:t>Chemical manufacturers, importers, or distributors shall ensure that each container of hazardous chemicals leaving the workplace is labeled, tagged, or marked in accordance with this section in a manner which does not conflict with the requirements of the Hazardous Materials Transportation Act (49 U.S.C. 1801 et seq.) and regulations issued under that Act by the Department of Transportation.</w:t>
      </w:r>
      <w:bookmarkStart w:id="19" w:name="1910.1200(f)(4)"/>
      <w:bookmarkEnd w:id="19"/>
      <w:r w:rsidRPr="004C3AB8">
        <w:t xml:space="preserve"> </w:t>
      </w:r>
      <w:bookmarkStart w:id="20" w:name="1910.1200(f)(5)"/>
      <w:bookmarkEnd w:id="20"/>
      <w:r w:rsidRPr="004C3AB8">
        <w:t xml:space="preserve"> </w:t>
      </w:r>
    </w:p>
    <w:p w:rsidR="002F7605" w:rsidP="004C3AB8" w14:paraId="5CC56E1B" w14:textId="50D5C88A">
      <w:pPr>
        <w:pStyle w:val="paragraph"/>
        <w:textAlignment w:val="baseline"/>
      </w:pPr>
      <w:r w:rsidRPr="004C3AB8">
        <w:rPr>
          <w:i/>
        </w:rPr>
        <w:t>§1910.1200(f)(5)</w:t>
      </w:r>
      <w:r w:rsidRPr="004C3AB8">
        <w:rPr>
          <w:i/>
          <w:iCs/>
        </w:rPr>
        <w:t>(ii)</w:t>
      </w:r>
      <w:r w:rsidRPr="004C3AB8">
        <w:t xml:space="preserve"> </w:t>
      </w:r>
      <w:r w:rsidRPr="004C3AB8" w:rsidR="0038011B">
        <w:t xml:space="preserve">- </w:t>
      </w:r>
      <w:r w:rsidRPr="004C3AB8">
        <w:t xml:space="preserve">The label for bulk shipments of hazardous chemicals </w:t>
      </w:r>
      <w:r w:rsidRPr="004C3AB8" w:rsidR="00664556">
        <w:t xml:space="preserve">must </w:t>
      </w:r>
      <w:r w:rsidRPr="004C3AB8">
        <w:t>be on the immediate container</w:t>
      </w:r>
      <w:r w:rsidRPr="004C3AB8" w:rsidR="00597FEB">
        <w:t>,</w:t>
      </w:r>
      <w:r w:rsidRPr="004C3AB8">
        <w:t xml:space="preserve"> transmitted with the shipping papers</w:t>
      </w:r>
      <w:r w:rsidRPr="004C3AB8" w:rsidR="00764C09">
        <w:t xml:space="preserve"> or the</w:t>
      </w:r>
      <w:r w:rsidRPr="004C3AB8">
        <w:t xml:space="preserve"> bills of lading, or</w:t>
      </w:r>
      <w:r w:rsidRPr="004C3AB8" w:rsidR="00161AD8">
        <w:t>, with the agreement of the receiving entity,</w:t>
      </w:r>
      <w:r w:rsidRPr="004C3AB8">
        <w:t xml:space="preserve"> </w:t>
      </w:r>
      <w:r w:rsidRPr="004C3AB8" w:rsidR="00161AD8">
        <w:t xml:space="preserve">transmitted by </w:t>
      </w:r>
      <w:r w:rsidRPr="004C3AB8">
        <w:t>technological or electronic means so that it is immediately available to workers in printed form on the receiving end of shipment.</w:t>
      </w:r>
    </w:p>
    <w:p w:rsidR="004C3AB8" w:rsidRPr="007E40FB" w:rsidP="004C3AB8" w14:paraId="0B4F6609" w14:textId="77777777">
      <w:pPr>
        <w:pStyle w:val="paragraph"/>
        <w:textAlignment w:val="baseline"/>
        <w:rPr>
          <w:color w:val="00B050"/>
        </w:rPr>
      </w:pPr>
    </w:p>
    <w:p w:rsidR="002F7605" w:rsidRPr="004C3AB8" w:rsidP="00646424" w14:paraId="1D1DEC49" w14:textId="00FACA94">
      <w:pPr>
        <w:pStyle w:val="block1"/>
        <w:spacing w:before="0" w:beforeAutospacing="0"/>
      </w:pPr>
      <w:r w:rsidRPr="004C3AB8">
        <w:rPr>
          <w:i/>
        </w:rPr>
        <w:t>§1910.1200(f)(5)</w:t>
      </w:r>
      <w:r w:rsidRPr="004C3AB8">
        <w:rPr>
          <w:i/>
          <w:iCs/>
        </w:rPr>
        <w:t>(iii)</w:t>
      </w:r>
      <w:r w:rsidRPr="004C3AB8">
        <w:t xml:space="preserve"> </w:t>
      </w:r>
      <w:r w:rsidRPr="004C3AB8" w:rsidR="0038011B">
        <w:rPr>
          <w:rStyle w:val="normaltextrun1"/>
        </w:rPr>
        <w:t xml:space="preserve">- </w:t>
      </w:r>
      <w:r w:rsidRPr="004C3AB8">
        <w:rPr>
          <w:rStyle w:val="normaltextrun1"/>
        </w:rPr>
        <w:t xml:space="preserve">Where a pictogram required by the Department of Transportation under Title 49 of the Code of Federal Regulations appears on a shipped container, the pictogram specified in </w:t>
      </w:r>
      <w:r w:rsidRPr="004C3AB8" w:rsidR="000766D7">
        <w:rPr>
          <w:rStyle w:val="normaltextrun1"/>
        </w:rPr>
        <w:t>a</w:t>
      </w:r>
      <w:r w:rsidRPr="004C3AB8">
        <w:rPr>
          <w:rStyle w:val="normaltextrun1"/>
        </w:rPr>
        <w:t xml:space="preserve">ppendix C.4 </w:t>
      </w:r>
      <w:r w:rsidRPr="004C3AB8" w:rsidR="000766D7">
        <w:rPr>
          <w:rStyle w:val="normaltextrun1"/>
        </w:rPr>
        <w:t xml:space="preserve">of this section </w:t>
      </w:r>
      <w:r w:rsidRPr="004C3AB8">
        <w:rPr>
          <w:rStyle w:val="normaltextrun1"/>
        </w:rPr>
        <w:t>for the same hazard is not required on the label.</w:t>
      </w:r>
    </w:p>
    <w:p w:rsidR="00D80711" w:rsidRPr="00220BC5" w:rsidP="00933BFC" w14:paraId="1FFE6445" w14:textId="751180B0">
      <w:pPr>
        <w:pStyle w:val="block1"/>
        <w:spacing w:before="0" w:beforeAutospacing="0"/>
        <w:rPr>
          <w:color w:val="000000"/>
        </w:rPr>
      </w:pPr>
      <w:r w:rsidRPr="00220BC5">
        <w:rPr>
          <w:i/>
          <w:color w:val="000000"/>
        </w:rPr>
        <w:t>Workplace labeling</w:t>
      </w:r>
      <w:r w:rsidRPr="00220BC5" w:rsidR="000B24DE">
        <w:rPr>
          <w:i/>
          <w:color w:val="000000"/>
        </w:rPr>
        <w:t>.</w:t>
      </w:r>
      <w:r w:rsidRPr="00220BC5">
        <w:rPr>
          <w:i/>
          <w:color w:val="000000"/>
        </w:rPr>
        <w:t xml:space="preserve"> §1910.1200(f)(</w:t>
      </w:r>
      <w:r w:rsidRPr="00220BC5" w:rsidR="00A96E0C">
        <w:rPr>
          <w:i/>
          <w:color w:val="000000"/>
        </w:rPr>
        <w:t>6</w:t>
      </w:r>
      <w:r w:rsidRPr="00220BC5">
        <w:rPr>
          <w:i/>
          <w:color w:val="000000"/>
        </w:rPr>
        <w:t>) -</w:t>
      </w:r>
      <w:r w:rsidRPr="00220BC5">
        <w:rPr>
          <w:color w:val="000000"/>
        </w:rPr>
        <w:t xml:space="preserve"> Except as provided in paragraphs (f)(</w:t>
      </w:r>
      <w:r w:rsidRPr="00220BC5" w:rsidR="00BD52E7">
        <w:rPr>
          <w:color w:val="000000"/>
        </w:rPr>
        <w:t>7</w:t>
      </w:r>
      <w:r w:rsidRPr="00220BC5">
        <w:rPr>
          <w:color w:val="000000"/>
        </w:rPr>
        <w:t>) and (f)(</w:t>
      </w:r>
      <w:r w:rsidRPr="00220BC5" w:rsidR="00BD52E7">
        <w:rPr>
          <w:color w:val="000000"/>
        </w:rPr>
        <w:t>8</w:t>
      </w:r>
      <w:r w:rsidRPr="00220BC5">
        <w:rPr>
          <w:color w:val="000000"/>
        </w:rPr>
        <w:t xml:space="preserve">) of this section, the employer shall ensure that each container of hazardous chemicals in the workplace is labeled, </w:t>
      </w:r>
      <w:r w:rsidRPr="00220BC5">
        <w:rPr>
          <w:color w:val="000000"/>
        </w:rPr>
        <w:t>tagged</w:t>
      </w:r>
      <w:r w:rsidRPr="00220BC5">
        <w:rPr>
          <w:color w:val="000000"/>
        </w:rPr>
        <w:t xml:space="preserve"> or marked with either:</w:t>
      </w:r>
    </w:p>
    <w:p w:rsidR="00D80711" w:rsidRPr="00220BC5" w:rsidP="00933BFC" w14:paraId="7D5963EF" w14:textId="7A4736D7">
      <w:pPr>
        <w:pStyle w:val="block1"/>
        <w:spacing w:before="0" w:beforeAutospacing="0"/>
        <w:rPr>
          <w:color w:val="000000"/>
        </w:rPr>
      </w:pPr>
      <w:r w:rsidRPr="00220BC5">
        <w:rPr>
          <w:i/>
          <w:color w:val="000000"/>
        </w:rPr>
        <w:t>§1910.1200(f)(</w:t>
      </w:r>
      <w:r w:rsidRPr="00220BC5" w:rsidR="00A96E0C">
        <w:rPr>
          <w:i/>
          <w:color w:val="000000"/>
        </w:rPr>
        <w:t>6</w:t>
      </w:r>
      <w:r w:rsidRPr="00220BC5">
        <w:rPr>
          <w:i/>
          <w:color w:val="000000"/>
        </w:rPr>
        <w:t>)(</w:t>
      </w:r>
      <w:r w:rsidRPr="00220BC5">
        <w:rPr>
          <w:i/>
          <w:color w:val="000000"/>
        </w:rPr>
        <w:t>i</w:t>
      </w:r>
      <w:r w:rsidRPr="00220BC5">
        <w:rPr>
          <w:i/>
          <w:color w:val="000000"/>
        </w:rPr>
        <w:t>)</w:t>
      </w:r>
      <w:r w:rsidRPr="00220BC5">
        <w:rPr>
          <w:color w:val="000000"/>
        </w:rPr>
        <w:t xml:space="preserve"> - The information specified under </w:t>
      </w:r>
      <w:r w:rsidRPr="00220BC5" w:rsidR="00AA62CD">
        <w:rPr>
          <w:color w:val="000000"/>
        </w:rPr>
        <w:t xml:space="preserve">paragraphs </w:t>
      </w:r>
      <w:r w:rsidRPr="00220BC5">
        <w:rPr>
          <w:color w:val="000000"/>
        </w:rPr>
        <w:t>(f)(1)(</w:t>
      </w:r>
      <w:r w:rsidRPr="00220BC5">
        <w:rPr>
          <w:color w:val="000000"/>
        </w:rPr>
        <w:t>i</w:t>
      </w:r>
      <w:r w:rsidRPr="00220BC5">
        <w:rPr>
          <w:color w:val="000000"/>
        </w:rPr>
        <w:t xml:space="preserve">) through (v) </w:t>
      </w:r>
      <w:r w:rsidRPr="00220BC5" w:rsidR="00AA62CD">
        <w:rPr>
          <w:color w:val="000000"/>
        </w:rPr>
        <w:t xml:space="preserve">of this section </w:t>
      </w:r>
      <w:r w:rsidRPr="00220BC5">
        <w:rPr>
          <w:color w:val="000000"/>
        </w:rPr>
        <w:t>for labels on shipped containers; or,</w:t>
      </w:r>
    </w:p>
    <w:p w:rsidR="00D80711" w:rsidRPr="00220BC5" w:rsidP="00933BFC" w14:paraId="695BC2DB" w14:textId="77777777">
      <w:pPr>
        <w:pStyle w:val="block1"/>
        <w:spacing w:before="0" w:beforeAutospacing="0"/>
        <w:rPr>
          <w:color w:val="000000"/>
        </w:rPr>
      </w:pPr>
      <w:r w:rsidRPr="00220BC5">
        <w:rPr>
          <w:i/>
          <w:color w:val="000000"/>
        </w:rPr>
        <w:t>§1910.1200(f)(</w:t>
      </w:r>
      <w:r w:rsidRPr="00220BC5" w:rsidR="00A96E0C">
        <w:rPr>
          <w:i/>
          <w:color w:val="000000"/>
        </w:rPr>
        <w:t>6</w:t>
      </w:r>
      <w:r w:rsidRPr="00220BC5">
        <w:rPr>
          <w:i/>
          <w:color w:val="000000"/>
        </w:rPr>
        <w:t>)(ii)</w:t>
      </w:r>
      <w:r w:rsidRPr="00220BC5">
        <w:rPr>
          <w:color w:val="000000"/>
        </w:rPr>
        <w:t xml:space="preserve"> - Product identifier and</w:t>
      </w:r>
      <w:bookmarkStart w:id="21" w:name="1910.1200(f)(5)(i)"/>
      <w:bookmarkStart w:id="22" w:name="1910.1200(f)(5)(ii)"/>
      <w:bookmarkEnd w:id="21"/>
      <w:bookmarkEnd w:id="22"/>
      <w:r w:rsidRPr="00220BC5">
        <w:rPr>
          <w:color w:val="000000"/>
        </w:rPr>
        <w:t xml:space="preserve"> words, pictures, symbols, or combination thereof, which provide at least general information regarding the hazards of the chemicals, and which, in conjunction with the other information immediately available to </w:t>
      </w:r>
      <w:r w:rsidRPr="00220BC5">
        <w:rPr>
          <w:color w:val="000000"/>
        </w:rPr>
        <w:t>employees under the hazard communication program, will provide employees with the specific information regarding the physical and health hazards of the hazardous chemical.</w:t>
      </w:r>
    </w:p>
    <w:p w:rsidR="00D80711" w:rsidRPr="00220BC5" w:rsidP="00933BFC" w14:paraId="004F2F4B" w14:textId="0DC3889D">
      <w:pPr>
        <w:pStyle w:val="block1"/>
        <w:spacing w:before="0" w:beforeAutospacing="0"/>
        <w:rPr>
          <w:color w:val="000000"/>
        </w:rPr>
      </w:pPr>
      <w:r w:rsidRPr="00220BC5">
        <w:rPr>
          <w:i/>
          <w:color w:val="000000"/>
        </w:rPr>
        <w:t>§1910.1200(f)(</w:t>
      </w:r>
      <w:r w:rsidRPr="00220BC5" w:rsidR="00295680">
        <w:rPr>
          <w:i/>
          <w:color w:val="000000"/>
        </w:rPr>
        <w:t>7</w:t>
      </w:r>
      <w:r w:rsidRPr="00220BC5">
        <w:rPr>
          <w:i/>
          <w:color w:val="000000"/>
        </w:rPr>
        <w:t xml:space="preserve">) </w:t>
      </w:r>
      <w:r w:rsidRPr="00220BC5" w:rsidR="0001732F">
        <w:rPr>
          <w:i/>
          <w:color w:val="000000"/>
        </w:rPr>
        <w:t xml:space="preserve">- </w:t>
      </w:r>
      <w:r w:rsidRPr="00220BC5" w:rsidR="0001732F">
        <w:rPr>
          <w:color w:val="000000"/>
        </w:rPr>
        <w:t>The</w:t>
      </w:r>
      <w:r w:rsidRPr="00220BC5">
        <w:rPr>
          <w:color w:val="000000"/>
        </w:rPr>
        <w:t xml:space="preserve"> employer may use signs, placards, process sheets, batch tickets, operating procedures, or other such written materials in lieu of affixing labels to individual stationary process containers, </w:t>
      </w:r>
      <w:r w:rsidRPr="00220BC5">
        <w:rPr>
          <w:color w:val="000000"/>
        </w:rPr>
        <w:t>as long as</w:t>
      </w:r>
      <w:r w:rsidRPr="00220BC5">
        <w:rPr>
          <w:color w:val="000000"/>
        </w:rPr>
        <w:t xml:space="preserve"> the alternative method identifies the containers to which it is applicable and conveys the information required by paragraph (f)(</w:t>
      </w:r>
      <w:r w:rsidRPr="00220BC5" w:rsidR="00295680">
        <w:rPr>
          <w:color w:val="000000"/>
        </w:rPr>
        <w:t>6</w:t>
      </w:r>
      <w:r w:rsidRPr="00220BC5">
        <w:rPr>
          <w:color w:val="000000"/>
        </w:rPr>
        <w:t>) of this section to be on a label. The employer shall ensure the written materials are readily accessible to the employees in their work area throughout each work shift.</w:t>
      </w:r>
    </w:p>
    <w:p w:rsidR="00D80711" w:rsidRPr="00220BC5" w:rsidP="00933BFC" w14:paraId="78D5FAA7" w14:textId="77777777">
      <w:pPr>
        <w:pStyle w:val="block1"/>
        <w:spacing w:before="0" w:beforeAutospacing="0"/>
        <w:rPr>
          <w:color w:val="000000"/>
        </w:rPr>
      </w:pPr>
      <w:bookmarkStart w:id="23" w:name="1910.1200(f)(7)"/>
      <w:bookmarkEnd w:id="23"/>
      <w:r w:rsidRPr="00220BC5">
        <w:rPr>
          <w:i/>
          <w:color w:val="000000"/>
        </w:rPr>
        <w:t>§1910.1200(f)(</w:t>
      </w:r>
      <w:r w:rsidRPr="00220BC5" w:rsidR="00295680">
        <w:rPr>
          <w:i/>
          <w:color w:val="000000"/>
        </w:rPr>
        <w:t>8</w:t>
      </w:r>
      <w:r w:rsidRPr="00220BC5">
        <w:rPr>
          <w:i/>
          <w:color w:val="000000"/>
        </w:rPr>
        <w:t xml:space="preserve">) - </w:t>
      </w:r>
      <w:r w:rsidRPr="00220BC5">
        <w:rPr>
          <w:color w:val="000000"/>
        </w:rPr>
        <w:t>The employer is not required to label portable containers into which hazardous chemicals are transferred from labeled containers, and which are intended only for the immediate use of the employee who performs the transfer. For purposes of this section, drugs which are dispensed by a pharmacy to a health care provider for direct administration to a patient are exempted from labeling.</w:t>
      </w:r>
    </w:p>
    <w:p w:rsidR="00D80711" w:rsidRPr="00220BC5" w:rsidP="00933BFC" w14:paraId="43FDD187" w14:textId="77777777">
      <w:pPr>
        <w:pStyle w:val="block1"/>
        <w:spacing w:before="0" w:beforeAutospacing="0"/>
        <w:rPr>
          <w:color w:val="000000"/>
        </w:rPr>
      </w:pPr>
      <w:bookmarkStart w:id="24" w:name="1910.1200(f)(8)"/>
      <w:bookmarkEnd w:id="24"/>
      <w:r w:rsidRPr="00220BC5">
        <w:rPr>
          <w:i/>
          <w:color w:val="000000"/>
        </w:rPr>
        <w:t>§1910.1200(f)(</w:t>
      </w:r>
      <w:r w:rsidRPr="00220BC5" w:rsidR="00295680">
        <w:rPr>
          <w:i/>
          <w:color w:val="000000"/>
        </w:rPr>
        <w:t>9</w:t>
      </w:r>
      <w:r w:rsidRPr="00220BC5">
        <w:rPr>
          <w:i/>
          <w:color w:val="000000"/>
        </w:rPr>
        <w:t>) -</w:t>
      </w:r>
      <w:r w:rsidRPr="00220BC5">
        <w:rPr>
          <w:color w:val="000000"/>
        </w:rPr>
        <w:t xml:space="preserve"> The employer shall not remove or deface existing labels on incoming containers of hazardous </w:t>
      </w:r>
      <w:r w:rsidRPr="00220BC5">
        <w:rPr>
          <w:color w:val="000000"/>
        </w:rPr>
        <w:t>chemicals, unless</w:t>
      </w:r>
      <w:r w:rsidRPr="00220BC5">
        <w:rPr>
          <w:color w:val="000000"/>
        </w:rPr>
        <w:t xml:space="preserve"> the container is immediately marked with the required information.</w:t>
      </w:r>
    </w:p>
    <w:p w:rsidR="00D80711" w:rsidRPr="00220BC5" w:rsidP="00933BFC" w14:paraId="7B5C0FD1" w14:textId="3A47DCBB">
      <w:pPr>
        <w:pStyle w:val="block1"/>
        <w:spacing w:before="0" w:beforeAutospacing="0"/>
        <w:rPr>
          <w:color w:val="000000"/>
        </w:rPr>
      </w:pPr>
      <w:bookmarkStart w:id="25" w:name="1910.1200(f)(9)"/>
      <w:bookmarkEnd w:id="25"/>
      <w:r w:rsidRPr="00220BC5">
        <w:rPr>
          <w:i/>
          <w:color w:val="000000"/>
        </w:rPr>
        <w:t>§1910.1200(f)(1</w:t>
      </w:r>
      <w:r w:rsidRPr="00220BC5" w:rsidR="00295680">
        <w:rPr>
          <w:i/>
          <w:color w:val="000000"/>
        </w:rPr>
        <w:t>0</w:t>
      </w:r>
      <w:r w:rsidRPr="00220BC5">
        <w:rPr>
          <w:i/>
          <w:color w:val="000000"/>
        </w:rPr>
        <w:t xml:space="preserve">) </w:t>
      </w:r>
      <w:r w:rsidRPr="00220BC5" w:rsidR="0001732F">
        <w:rPr>
          <w:i/>
          <w:color w:val="000000"/>
        </w:rPr>
        <w:t xml:space="preserve">- </w:t>
      </w:r>
      <w:r w:rsidRPr="00220BC5" w:rsidR="0001732F">
        <w:rPr>
          <w:color w:val="000000"/>
        </w:rPr>
        <w:t>The</w:t>
      </w:r>
      <w:r w:rsidRPr="00220BC5">
        <w:rPr>
          <w:color w:val="000000"/>
        </w:rPr>
        <w:t xml:space="preserve"> employer shall ensure that workplace labels or other forms of warning are legible, in English, and prominently displayed on the container, or readily available in the work area throughout each work shift. Employers having employees who speak other languages may add the information in their language to the material presented, </w:t>
      </w:r>
      <w:r w:rsidRPr="00220BC5">
        <w:rPr>
          <w:color w:val="000000"/>
        </w:rPr>
        <w:t>as long as</w:t>
      </w:r>
      <w:r w:rsidRPr="00220BC5">
        <w:rPr>
          <w:color w:val="000000"/>
        </w:rPr>
        <w:t xml:space="preserve"> the information is presented in English as well.</w:t>
      </w:r>
    </w:p>
    <w:p w:rsidR="00D80711" w:rsidRPr="00220BC5" w:rsidP="00933BFC" w14:paraId="15D7B4B9" w14:textId="392DF84A">
      <w:pPr>
        <w:pStyle w:val="block1"/>
        <w:spacing w:before="0" w:beforeAutospacing="0"/>
        <w:rPr>
          <w:color w:val="000000"/>
        </w:rPr>
      </w:pPr>
      <w:bookmarkStart w:id="26" w:name="1910.1200(f)(10)"/>
      <w:bookmarkEnd w:id="26"/>
      <w:r>
        <w:rPr>
          <w:i/>
          <w:color w:val="000000"/>
        </w:rPr>
        <w:t xml:space="preserve">Label Updates. </w:t>
      </w:r>
      <w:r w:rsidRPr="00220BC5">
        <w:rPr>
          <w:i/>
          <w:color w:val="000000"/>
        </w:rPr>
        <w:t>§1910.1200(f)(1</w:t>
      </w:r>
      <w:r w:rsidRPr="00220BC5" w:rsidR="00295680">
        <w:rPr>
          <w:i/>
          <w:color w:val="000000"/>
        </w:rPr>
        <w:t>1</w:t>
      </w:r>
      <w:r w:rsidRPr="00220BC5">
        <w:rPr>
          <w:i/>
          <w:color w:val="000000"/>
        </w:rPr>
        <w:t xml:space="preserve">) - </w:t>
      </w:r>
      <w:r w:rsidRPr="00220BC5">
        <w:rPr>
          <w:color w:val="000000"/>
        </w:rPr>
        <w:t xml:space="preserve">Chemical manufacturers, importers, distributors, or employers who become newly aware of any significant information regarding the hazards of a chemical shall revise the labels for the chemical within </w:t>
      </w:r>
      <w:r w:rsidRPr="00220BC5" w:rsidR="00295680">
        <w:rPr>
          <w:color w:val="000000"/>
        </w:rPr>
        <w:t>six</w:t>
      </w:r>
      <w:r w:rsidRPr="00220BC5">
        <w:rPr>
          <w:color w:val="000000"/>
        </w:rPr>
        <w:t xml:space="preserve"> months of becoming aware of the new </w:t>
      </w:r>
      <w:r w:rsidRPr="00220BC5">
        <w:rPr>
          <w:color w:val="000000"/>
        </w:rPr>
        <w:t>information, and</w:t>
      </w:r>
      <w:r w:rsidRPr="00220BC5">
        <w:rPr>
          <w:color w:val="000000"/>
        </w:rPr>
        <w:t xml:space="preserve"> shall ensure that labels on containers of hazardous chemicals shipped after that time contain the new information</w:t>
      </w:r>
      <w:r w:rsidRPr="007E40FB">
        <w:rPr>
          <w:color w:val="000000"/>
        </w:rPr>
        <w:t>.</w:t>
      </w:r>
      <w:r w:rsidRPr="004C3AB8">
        <w:t xml:space="preserve"> </w:t>
      </w:r>
      <w:r w:rsidRPr="004C3AB8" w:rsidR="00350626">
        <w:t>F</w:t>
      </w:r>
      <w:r w:rsidRPr="004C3AB8" w:rsidR="00EC209A">
        <w:t>or c</w:t>
      </w:r>
      <w:r w:rsidRPr="004C3AB8" w:rsidR="0040736A">
        <w:t>hemicals that have been released for shipment and are awaiting future distribution</w:t>
      </w:r>
      <w:r w:rsidRPr="004C3AB8" w:rsidR="00E05910">
        <w:t>, c</w:t>
      </w:r>
      <w:r w:rsidRPr="004C3AB8" w:rsidR="00BF3AF9">
        <w:t>hemical manufacturers, importers, distri</w:t>
      </w:r>
      <w:r w:rsidRPr="004C3AB8" w:rsidR="0033253E">
        <w:t>butors, or employers have the option</w:t>
      </w:r>
      <w:r w:rsidRPr="004C3AB8" w:rsidR="0040736A">
        <w:t xml:space="preserve"> not </w:t>
      </w:r>
      <w:r w:rsidRPr="004C3AB8" w:rsidR="007D1EA1">
        <w:t>to</w:t>
      </w:r>
      <w:r w:rsidRPr="004C3AB8" w:rsidR="0040736A">
        <w:t xml:space="preserve"> relabel</w:t>
      </w:r>
      <w:r w:rsidRPr="004C3AB8" w:rsidR="00D56BF4">
        <w:t xml:space="preserve"> those con</w:t>
      </w:r>
      <w:r w:rsidRPr="004C3AB8" w:rsidR="005C5010">
        <w:t>tainers</w:t>
      </w:r>
      <w:r w:rsidRPr="004C3AB8" w:rsidR="0040736A">
        <w:t xml:space="preserve">; however, </w:t>
      </w:r>
      <w:r w:rsidRPr="004C3AB8" w:rsidR="00DB4AEA">
        <w:t>if they</w:t>
      </w:r>
      <w:r w:rsidRPr="004C3AB8" w:rsidR="00D44CF1">
        <w:t xml:space="preserve"> do not relabel the containers, they must </w:t>
      </w:r>
      <w:r w:rsidRPr="004C3AB8" w:rsidR="00BA24F6">
        <w:t xml:space="preserve">either </w:t>
      </w:r>
      <w:r w:rsidRPr="004C3AB8" w:rsidR="0040736A">
        <w:t>provide the updated label for each individual container with each shipment</w:t>
      </w:r>
      <w:r w:rsidRPr="004C3AB8" w:rsidR="008927D6">
        <w:t xml:space="preserve"> or</w:t>
      </w:r>
      <w:r w:rsidRPr="004C3AB8" w:rsidR="00A42EBA">
        <w:t>,</w:t>
      </w:r>
      <w:r w:rsidRPr="004C3AB8" w:rsidR="008927D6">
        <w:t xml:space="preserve"> with</w:t>
      </w:r>
      <w:r w:rsidRPr="004C3AB8" w:rsidR="00441287">
        <w:t xml:space="preserve"> the agreement of the receiving entity, transmit the labels </w:t>
      </w:r>
      <w:r w:rsidRPr="004C3AB8" w:rsidR="005E6CFA">
        <w:t>by el</w:t>
      </w:r>
      <w:r w:rsidRPr="004C3AB8" w:rsidR="00C36171">
        <w:t>ectronic or other technolog</w:t>
      </w:r>
      <w:r w:rsidRPr="004C3AB8" w:rsidR="00FF2FDE">
        <w:t>ical means</w:t>
      </w:r>
      <w:r w:rsidRPr="004C3AB8" w:rsidR="0040736A">
        <w:t xml:space="preserve">. </w:t>
      </w:r>
      <w:r w:rsidRPr="00220BC5">
        <w:rPr>
          <w:color w:val="000000"/>
        </w:rPr>
        <w:t>If the chemical is not currently produced or imported, the chemical manufacturer, importer, distributor, or employer shall add the information to the label before the chemical is shipped or introduced into the workplace again.</w:t>
      </w:r>
    </w:p>
    <w:p w:rsidR="00180636" w:rsidRPr="0074314E" w:rsidP="007056ED" w14:paraId="095040D8" w14:textId="6E32EFE1">
      <w:pPr>
        <w:pStyle w:val="NormalWeb"/>
        <w:shd w:val="clear" w:color="auto" w:fill="FFFFFF"/>
        <w:spacing w:before="0" w:beforeAutospacing="0" w:after="0" w:afterAutospacing="0"/>
      </w:pPr>
      <w:r w:rsidRPr="0074314E">
        <w:rPr>
          <w:i/>
          <w:iCs/>
          <w:u w:val="single"/>
        </w:rPr>
        <w:t xml:space="preserve">Small container labelling. </w:t>
      </w:r>
      <w:r w:rsidRPr="0074314E">
        <w:rPr>
          <w:i/>
        </w:rPr>
        <w:t>§1910.1200(f)(12)</w:t>
      </w:r>
      <w:r w:rsidRPr="0074314E" w:rsidR="0092344A">
        <w:rPr>
          <w:i/>
        </w:rPr>
        <w:t>(</w:t>
      </w:r>
      <w:r w:rsidRPr="0074314E" w:rsidR="0092344A">
        <w:rPr>
          <w:i/>
        </w:rPr>
        <w:t>i</w:t>
      </w:r>
      <w:r w:rsidRPr="0074314E" w:rsidR="0092344A">
        <w:rPr>
          <w:i/>
        </w:rPr>
        <w:t>) -</w:t>
      </w:r>
      <w:r w:rsidRPr="0074314E">
        <w:rPr>
          <w:i/>
        </w:rPr>
        <w:t xml:space="preserve"> </w:t>
      </w:r>
      <w:r w:rsidRPr="0074314E">
        <w:t xml:space="preserve">This paragraph </w:t>
      </w:r>
      <w:r w:rsidRPr="0074314E" w:rsidR="00AA62CD">
        <w:t xml:space="preserve">(f)(12) </w:t>
      </w:r>
      <w:r w:rsidRPr="0074314E">
        <w:t xml:space="preserve">applies where the chemical manufacturer, importer, or distributor can demonstrate that it is not feasible to use pull-out labels, fold-back labels, or tags containing the full label information required by </w:t>
      </w:r>
      <w:r w:rsidRPr="0074314E" w:rsidR="00AA62CD">
        <w:t xml:space="preserve">paragraph </w:t>
      </w:r>
      <w:r w:rsidRPr="0074314E">
        <w:t xml:space="preserve">(f)(1) of this section. </w:t>
      </w:r>
    </w:p>
    <w:p w:rsidR="00180636" w:rsidRPr="0074314E" w:rsidP="007056ED" w14:paraId="66D447D4" w14:textId="77777777">
      <w:pPr>
        <w:pStyle w:val="NormalWeb"/>
        <w:shd w:val="clear" w:color="auto" w:fill="FFFFFF"/>
        <w:spacing w:before="0" w:beforeAutospacing="0" w:after="0" w:afterAutospacing="0"/>
      </w:pPr>
    </w:p>
    <w:p w:rsidR="00180636" w:rsidRPr="0074314E" w:rsidP="007056ED" w14:paraId="78D4740B" w14:textId="5F549EEE">
      <w:pPr>
        <w:pStyle w:val="NormalWeb"/>
        <w:shd w:val="clear" w:color="auto" w:fill="FFFFFF"/>
        <w:spacing w:before="0" w:beforeAutospacing="0" w:after="0" w:afterAutospacing="0"/>
      </w:pPr>
      <w:r w:rsidRPr="0074314E">
        <w:rPr>
          <w:i/>
        </w:rPr>
        <w:t>§1910.1200(f)(12)</w:t>
      </w:r>
      <w:r w:rsidRPr="0074314E">
        <w:rPr>
          <w:i/>
          <w:iCs/>
        </w:rPr>
        <w:t>(ii)</w:t>
      </w:r>
      <w:r w:rsidRPr="0074314E">
        <w:t xml:space="preserve"> </w:t>
      </w:r>
      <w:r w:rsidRPr="0074314E" w:rsidR="00F4118F">
        <w:t xml:space="preserve">- </w:t>
      </w:r>
      <w:r w:rsidRPr="0074314E">
        <w:t>For a container less than or equal to 100 ml capacity, the chemical manufacturer, importer, or distributor must include, at a minimum, the following information on the label of the container:</w:t>
      </w:r>
    </w:p>
    <w:p w:rsidR="000B51BA" w:rsidRPr="0074314E" w:rsidP="007056ED" w14:paraId="788D7110" w14:textId="77777777">
      <w:pPr>
        <w:shd w:val="clear" w:color="auto" w:fill="FFFFFF"/>
        <w:ind w:left="360" w:firstLine="720"/>
        <w:rPr>
          <w:sz w:val="24"/>
          <w:szCs w:val="24"/>
        </w:rPr>
      </w:pPr>
    </w:p>
    <w:p w:rsidR="00180636" w:rsidRPr="0074314E" w:rsidP="007056ED" w14:paraId="0974B6A5" w14:textId="26894EF7">
      <w:pPr>
        <w:shd w:val="clear" w:color="auto" w:fill="FFFFFF"/>
        <w:ind w:left="360" w:firstLine="720"/>
        <w:rPr>
          <w:sz w:val="24"/>
          <w:szCs w:val="24"/>
        </w:rPr>
      </w:pPr>
      <w:r w:rsidRPr="0074314E">
        <w:rPr>
          <w:i/>
          <w:sz w:val="24"/>
          <w:szCs w:val="24"/>
        </w:rPr>
        <w:t>§1910.1200(f)(12)</w:t>
      </w:r>
      <w:r w:rsidRPr="0074314E">
        <w:rPr>
          <w:i/>
          <w:iCs/>
          <w:sz w:val="24"/>
          <w:szCs w:val="24"/>
        </w:rPr>
        <w:t>(ii)</w:t>
      </w:r>
      <w:r w:rsidRPr="0074314E" w:rsidR="009F3E5C">
        <w:rPr>
          <w:i/>
          <w:iCs/>
          <w:sz w:val="24"/>
          <w:szCs w:val="24"/>
        </w:rPr>
        <w:t>(A)</w:t>
      </w:r>
      <w:r w:rsidRPr="0074314E">
        <w:rPr>
          <w:sz w:val="24"/>
          <w:szCs w:val="24"/>
        </w:rPr>
        <w:tab/>
        <w:t xml:space="preserve">Product </w:t>
      </w:r>
      <w:r w:rsidRPr="0074314E">
        <w:rPr>
          <w:sz w:val="24"/>
          <w:szCs w:val="24"/>
        </w:rPr>
        <w:t>identifier;</w:t>
      </w:r>
    </w:p>
    <w:p w:rsidR="000B51BA" w:rsidRPr="0074314E" w:rsidP="007056ED" w14:paraId="25C72B67" w14:textId="77777777">
      <w:pPr>
        <w:shd w:val="clear" w:color="auto" w:fill="FFFFFF"/>
        <w:ind w:left="360" w:firstLine="720"/>
        <w:rPr>
          <w:i/>
        </w:rPr>
      </w:pPr>
    </w:p>
    <w:p w:rsidR="00180636" w:rsidRPr="0074314E" w:rsidP="007056ED" w14:paraId="5D8F9A1A" w14:textId="10EF3C3C">
      <w:pPr>
        <w:shd w:val="clear" w:color="auto" w:fill="FFFFFF"/>
        <w:ind w:left="360" w:firstLine="720"/>
        <w:rPr>
          <w:sz w:val="24"/>
          <w:szCs w:val="24"/>
        </w:rPr>
      </w:pPr>
      <w:r w:rsidRPr="0074314E">
        <w:rPr>
          <w:i/>
          <w:sz w:val="24"/>
          <w:szCs w:val="24"/>
        </w:rPr>
        <w:t>§1910.1200(f)(12)</w:t>
      </w:r>
      <w:r w:rsidRPr="0074314E">
        <w:rPr>
          <w:i/>
          <w:iCs/>
          <w:sz w:val="24"/>
          <w:szCs w:val="24"/>
        </w:rPr>
        <w:t>(ii)</w:t>
      </w:r>
      <w:r w:rsidRPr="0074314E" w:rsidR="00FE5FDA">
        <w:rPr>
          <w:i/>
          <w:iCs/>
          <w:sz w:val="24"/>
          <w:szCs w:val="24"/>
        </w:rPr>
        <w:t>(B)</w:t>
      </w:r>
      <w:r w:rsidRPr="0074314E">
        <w:rPr>
          <w:sz w:val="24"/>
          <w:szCs w:val="24"/>
        </w:rPr>
        <w:tab/>
        <w:t>Pictogram(s</w:t>
      </w:r>
      <w:r w:rsidRPr="0074314E">
        <w:rPr>
          <w:sz w:val="24"/>
          <w:szCs w:val="24"/>
        </w:rPr>
        <w:t>);</w:t>
      </w:r>
    </w:p>
    <w:p w:rsidR="000B51BA" w:rsidRPr="0074314E" w:rsidP="007056ED" w14:paraId="0247A287" w14:textId="77777777">
      <w:pPr>
        <w:shd w:val="clear" w:color="auto" w:fill="FFFFFF"/>
        <w:ind w:left="360" w:firstLine="720"/>
        <w:rPr>
          <w:i/>
        </w:rPr>
      </w:pPr>
    </w:p>
    <w:p w:rsidR="00180636" w:rsidRPr="0074314E" w:rsidP="007056ED" w14:paraId="6917C031" w14:textId="2772859D">
      <w:pPr>
        <w:shd w:val="clear" w:color="auto" w:fill="FFFFFF"/>
        <w:ind w:left="360" w:firstLine="720"/>
        <w:rPr>
          <w:sz w:val="24"/>
          <w:szCs w:val="24"/>
        </w:rPr>
      </w:pPr>
      <w:r w:rsidRPr="0074314E">
        <w:rPr>
          <w:i/>
          <w:sz w:val="24"/>
          <w:szCs w:val="24"/>
        </w:rPr>
        <w:t>§1910.1200(f)(12)</w:t>
      </w:r>
      <w:r w:rsidRPr="0074314E">
        <w:rPr>
          <w:i/>
          <w:iCs/>
          <w:sz w:val="24"/>
          <w:szCs w:val="24"/>
        </w:rPr>
        <w:t>(ii)</w:t>
      </w:r>
      <w:r w:rsidRPr="0074314E" w:rsidR="00FE5FDA">
        <w:rPr>
          <w:i/>
          <w:iCs/>
          <w:sz w:val="24"/>
          <w:szCs w:val="24"/>
        </w:rPr>
        <w:t>(C)</w:t>
      </w:r>
      <w:r w:rsidRPr="0074314E">
        <w:rPr>
          <w:i/>
          <w:iCs/>
          <w:sz w:val="24"/>
          <w:szCs w:val="24"/>
        </w:rPr>
        <w:tab/>
      </w:r>
      <w:r w:rsidRPr="0074314E">
        <w:rPr>
          <w:sz w:val="24"/>
          <w:szCs w:val="24"/>
        </w:rPr>
        <w:t xml:space="preserve">Signal </w:t>
      </w:r>
      <w:r w:rsidRPr="0074314E">
        <w:rPr>
          <w:sz w:val="24"/>
          <w:szCs w:val="24"/>
        </w:rPr>
        <w:t>word;</w:t>
      </w:r>
    </w:p>
    <w:p w:rsidR="000B51BA" w:rsidRPr="0074314E" w:rsidP="007056ED" w14:paraId="3AD9E7BB" w14:textId="77777777">
      <w:pPr>
        <w:shd w:val="clear" w:color="auto" w:fill="FFFFFF"/>
        <w:ind w:left="360" w:firstLine="720"/>
        <w:rPr>
          <w:i/>
        </w:rPr>
      </w:pPr>
    </w:p>
    <w:p w:rsidR="00180636" w:rsidRPr="0074314E" w:rsidP="007056ED" w14:paraId="4F351574" w14:textId="281AA613">
      <w:pPr>
        <w:shd w:val="clear" w:color="auto" w:fill="FFFFFF"/>
        <w:ind w:left="360" w:firstLine="720"/>
        <w:rPr>
          <w:sz w:val="24"/>
          <w:szCs w:val="24"/>
        </w:rPr>
      </w:pPr>
      <w:r w:rsidRPr="0074314E">
        <w:rPr>
          <w:i/>
          <w:sz w:val="24"/>
          <w:szCs w:val="24"/>
        </w:rPr>
        <w:t>§1910.1200(f)(12)(ii)</w:t>
      </w:r>
      <w:r w:rsidRPr="0074314E" w:rsidR="00FE5FDA">
        <w:rPr>
          <w:i/>
          <w:sz w:val="24"/>
          <w:szCs w:val="24"/>
        </w:rPr>
        <w:t>(D)</w:t>
      </w:r>
      <w:r w:rsidRPr="0074314E">
        <w:rPr>
          <w:sz w:val="24"/>
          <w:szCs w:val="24"/>
        </w:rPr>
        <w:tab/>
        <w:t>Chemical manufacturer’s name and phone number; and</w:t>
      </w:r>
    </w:p>
    <w:p w:rsidR="00180636" w:rsidRPr="0074314E" w:rsidP="007056ED" w14:paraId="4284F46F" w14:textId="2B0657E7">
      <w:pPr>
        <w:shd w:val="clear" w:color="auto" w:fill="FFFFFF"/>
        <w:ind w:left="1440" w:hanging="360"/>
        <w:rPr>
          <w:sz w:val="24"/>
          <w:szCs w:val="24"/>
        </w:rPr>
      </w:pPr>
      <w:r w:rsidRPr="0074314E">
        <w:rPr>
          <w:i/>
          <w:sz w:val="24"/>
          <w:szCs w:val="24"/>
        </w:rPr>
        <w:t>§1910.1200(f)(12)</w:t>
      </w:r>
      <w:r w:rsidRPr="0074314E">
        <w:rPr>
          <w:i/>
          <w:iCs/>
          <w:sz w:val="24"/>
          <w:szCs w:val="24"/>
        </w:rPr>
        <w:t>(ii)</w:t>
      </w:r>
      <w:r w:rsidRPr="0074314E" w:rsidR="001C2550">
        <w:rPr>
          <w:i/>
          <w:iCs/>
          <w:sz w:val="24"/>
          <w:szCs w:val="24"/>
        </w:rPr>
        <w:t>(E)</w:t>
      </w:r>
      <w:r w:rsidRPr="0074314E">
        <w:rPr>
          <w:i/>
          <w:iCs/>
          <w:sz w:val="24"/>
          <w:szCs w:val="24"/>
        </w:rPr>
        <w:tab/>
      </w:r>
      <w:r w:rsidRPr="0074314E">
        <w:rPr>
          <w:sz w:val="24"/>
          <w:szCs w:val="24"/>
        </w:rPr>
        <w:t xml:space="preserve">A statement that the full label information for the </w:t>
      </w:r>
      <w:r w:rsidRPr="0074314E" w:rsidR="009F3E5C">
        <w:rPr>
          <w:sz w:val="24"/>
          <w:szCs w:val="24"/>
        </w:rPr>
        <w:t xml:space="preserve">hazardous </w:t>
      </w:r>
      <w:r w:rsidRPr="0074314E">
        <w:rPr>
          <w:sz w:val="24"/>
          <w:szCs w:val="24"/>
        </w:rPr>
        <w:t xml:space="preserve">chemical is provided on the immediate outer package.  </w:t>
      </w:r>
    </w:p>
    <w:p w:rsidR="00180636" w:rsidRPr="0074314E" w:rsidP="007056ED" w14:paraId="01A21261" w14:textId="77777777">
      <w:pPr>
        <w:shd w:val="clear" w:color="auto" w:fill="FFFFFF"/>
        <w:rPr>
          <w:sz w:val="24"/>
          <w:szCs w:val="24"/>
        </w:rPr>
      </w:pPr>
    </w:p>
    <w:p w:rsidR="00180636" w:rsidRPr="0074314E" w:rsidP="007056ED" w14:paraId="41A7D4BA" w14:textId="2FDCF887">
      <w:pPr>
        <w:shd w:val="clear" w:color="auto" w:fill="FFFFFF"/>
        <w:rPr>
          <w:sz w:val="24"/>
          <w:szCs w:val="24"/>
        </w:rPr>
      </w:pPr>
      <w:r w:rsidRPr="0074314E">
        <w:rPr>
          <w:i/>
          <w:sz w:val="24"/>
          <w:szCs w:val="24"/>
        </w:rPr>
        <w:t>§1910.1200(f)(12)</w:t>
      </w:r>
      <w:r w:rsidRPr="0074314E">
        <w:rPr>
          <w:i/>
          <w:iCs/>
          <w:sz w:val="24"/>
          <w:szCs w:val="24"/>
        </w:rPr>
        <w:t>(iii)</w:t>
      </w:r>
      <w:r w:rsidRPr="0074314E">
        <w:rPr>
          <w:sz w:val="24"/>
          <w:szCs w:val="24"/>
        </w:rPr>
        <w:t xml:space="preserve"> </w:t>
      </w:r>
      <w:r w:rsidRPr="0074314E" w:rsidR="001C2550">
        <w:rPr>
          <w:sz w:val="24"/>
          <w:szCs w:val="24"/>
        </w:rPr>
        <w:t xml:space="preserve">- </w:t>
      </w:r>
      <w:r w:rsidRPr="0074314E">
        <w:rPr>
          <w:sz w:val="24"/>
          <w:szCs w:val="24"/>
        </w:rPr>
        <w:t xml:space="preserve">For a container less than or equal to 3 ml capacity, where the chemical manufacturer, importer, or distributor can demonstrate that </w:t>
      </w:r>
      <w:r w:rsidRPr="0074314E" w:rsidR="004B5397">
        <w:rPr>
          <w:sz w:val="24"/>
          <w:szCs w:val="24"/>
        </w:rPr>
        <w:t xml:space="preserve">any </w:t>
      </w:r>
      <w:r w:rsidRPr="0074314E">
        <w:rPr>
          <w:sz w:val="24"/>
          <w:szCs w:val="24"/>
        </w:rPr>
        <w:t xml:space="preserve">label interferes with the normal use of the container, no label is required, but the container must bear, at a minimum, the product identifier.  </w:t>
      </w:r>
    </w:p>
    <w:p w:rsidR="00180636" w:rsidRPr="00220BC5" w:rsidP="007056ED" w14:paraId="5E98B3F8" w14:textId="77777777">
      <w:pPr>
        <w:shd w:val="clear" w:color="auto" w:fill="FFFFFF"/>
        <w:spacing w:after="150"/>
        <w:rPr>
          <w:color w:val="00B050"/>
          <w:sz w:val="24"/>
          <w:szCs w:val="24"/>
        </w:rPr>
      </w:pPr>
    </w:p>
    <w:p w:rsidR="00180636" w:rsidRPr="0074314E" w:rsidP="007056ED" w14:paraId="233D1294" w14:textId="3D9E7EF7">
      <w:pPr>
        <w:shd w:val="clear" w:color="auto" w:fill="FFFFFF"/>
        <w:spacing w:after="150"/>
        <w:rPr>
          <w:sz w:val="24"/>
          <w:szCs w:val="24"/>
        </w:rPr>
      </w:pPr>
      <w:r w:rsidRPr="0074314E">
        <w:rPr>
          <w:i/>
          <w:sz w:val="24"/>
          <w:szCs w:val="24"/>
        </w:rPr>
        <w:t>§1910.1200(f)(12)</w:t>
      </w:r>
      <w:r w:rsidRPr="0074314E">
        <w:rPr>
          <w:i/>
          <w:iCs/>
          <w:sz w:val="24"/>
          <w:szCs w:val="24"/>
        </w:rPr>
        <w:t>(iv)</w:t>
      </w:r>
      <w:r w:rsidRPr="0074314E" w:rsidR="004B5397">
        <w:rPr>
          <w:sz w:val="24"/>
          <w:szCs w:val="24"/>
        </w:rPr>
        <w:t xml:space="preserve"> -</w:t>
      </w:r>
      <w:r w:rsidRPr="0074314E">
        <w:rPr>
          <w:sz w:val="24"/>
          <w:szCs w:val="24"/>
        </w:rPr>
        <w:t xml:space="preserve"> </w:t>
      </w:r>
      <w:r w:rsidRPr="0074314E">
        <w:rPr>
          <w:sz w:val="24"/>
          <w:szCs w:val="24"/>
        </w:rPr>
        <w:t xml:space="preserve">For all small containers covered by </w:t>
      </w:r>
      <w:r w:rsidRPr="0074314E" w:rsidR="00AA62CD">
        <w:rPr>
          <w:sz w:val="24"/>
          <w:szCs w:val="24"/>
        </w:rPr>
        <w:t xml:space="preserve">paragraph </w:t>
      </w:r>
      <w:r w:rsidRPr="0074314E">
        <w:rPr>
          <w:sz w:val="24"/>
          <w:szCs w:val="24"/>
        </w:rPr>
        <w:t xml:space="preserve">(f)(12)(ii) </w:t>
      </w:r>
      <w:r w:rsidRPr="0074314E" w:rsidR="00255512">
        <w:rPr>
          <w:sz w:val="24"/>
          <w:szCs w:val="24"/>
        </w:rPr>
        <w:t xml:space="preserve">or </w:t>
      </w:r>
      <w:r w:rsidRPr="0074314E">
        <w:rPr>
          <w:sz w:val="24"/>
          <w:szCs w:val="24"/>
        </w:rPr>
        <w:t>(iii)</w:t>
      </w:r>
      <w:r w:rsidRPr="0074314E" w:rsidR="00AA62CD">
        <w:rPr>
          <w:sz w:val="24"/>
          <w:szCs w:val="24"/>
        </w:rPr>
        <w:t xml:space="preserve"> of this section</w:t>
      </w:r>
      <w:r w:rsidRPr="0074314E">
        <w:rPr>
          <w:sz w:val="24"/>
          <w:szCs w:val="24"/>
        </w:rPr>
        <w:t>, the immediate outer package must include:</w:t>
      </w:r>
    </w:p>
    <w:p w:rsidR="00180636" w:rsidRPr="0074314E" w:rsidP="003A15DB" w14:paraId="78FE774D" w14:textId="34FD2672">
      <w:pPr>
        <w:widowControl/>
        <w:shd w:val="clear" w:color="auto" w:fill="FFFFFF"/>
        <w:overflowPunct/>
        <w:autoSpaceDE/>
        <w:autoSpaceDN/>
        <w:adjustRightInd/>
        <w:spacing w:after="150"/>
        <w:ind w:left="1080"/>
        <w:rPr>
          <w:sz w:val="24"/>
          <w:szCs w:val="24"/>
        </w:rPr>
      </w:pPr>
      <w:r w:rsidRPr="0074314E">
        <w:rPr>
          <w:i/>
          <w:sz w:val="24"/>
          <w:szCs w:val="24"/>
        </w:rPr>
        <w:t>§1910.1200(f)(12)</w:t>
      </w:r>
      <w:r w:rsidRPr="0074314E">
        <w:rPr>
          <w:i/>
          <w:iCs/>
          <w:sz w:val="24"/>
          <w:szCs w:val="24"/>
        </w:rPr>
        <w:t>(iv)(</w:t>
      </w:r>
      <w:r w:rsidRPr="0074314E" w:rsidR="00F9104B">
        <w:rPr>
          <w:i/>
          <w:iCs/>
          <w:sz w:val="24"/>
          <w:szCs w:val="24"/>
        </w:rPr>
        <w:t>A</w:t>
      </w:r>
      <w:r w:rsidRPr="0074314E">
        <w:rPr>
          <w:i/>
          <w:iCs/>
          <w:sz w:val="24"/>
          <w:szCs w:val="24"/>
        </w:rPr>
        <w:t>)</w:t>
      </w:r>
      <w:r w:rsidRPr="0074314E">
        <w:rPr>
          <w:i/>
          <w:iCs/>
        </w:rPr>
        <w:t xml:space="preserve"> </w:t>
      </w:r>
      <w:r w:rsidRPr="0074314E">
        <w:rPr>
          <w:sz w:val="24"/>
          <w:szCs w:val="24"/>
        </w:rPr>
        <w:t xml:space="preserve">The full label information required by </w:t>
      </w:r>
      <w:r w:rsidRPr="0074314E" w:rsidR="00AA62CD">
        <w:rPr>
          <w:sz w:val="24"/>
          <w:szCs w:val="24"/>
        </w:rPr>
        <w:t xml:space="preserve">paragraph </w:t>
      </w:r>
      <w:r w:rsidRPr="0074314E">
        <w:rPr>
          <w:sz w:val="24"/>
          <w:szCs w:val="24"/>
        </w:rPr>
        <w:t xml:space="preserve">(f)(1) of this section for each </w:t>
      </w:r>
      <w:r w:rsidRPr="0074314E" w:rsidR="00D86D22">
        <w:rPr>
          <w:sz w:val="24"/>
          <w:szCs w:val="24"/>
        </w:rPr>
        <w:t xml:space="preserve">hazardous </w:t>
      </w:r>
      <w:r w:rsidRPr="0074314E">
        <w:rPr>
          <w:sz w:val="24"/>
          <w:szCs w:val="24"/>
        </w:rPr>
        <w:t xml:space="preserve">chemical in the immediate outer package. The label </w:t>
      </w:r>
      <w:r w:rsidRPr="0074314E">
        <w:rPr>
          <w:sz w:val="24"/>
          <w:szCs w:val="24"/>
        </w:rPr>
        <w:t>must be not be</w:t>
      </w:r>
      <w:r w:rsidRPr="0074314E">
        <w:rPr>
          <w:sz w:val="24"/>
          <w:szCs w:val="24"/>
        </w:rPr>
        <w:t xml:space="preserve"> removed or defaced, as required by </w:t>
      </w:r>
      <w:r w:rsidRPr="0074314E" w:rsidR="00015952">
        <w:rPr>
          <w:sz w:val="24"/>
          <w:szCs w:val="24"/>
        </w:rPr>
        <w:t xml:space="preserve">paragraph </w:t>
      </w:r>
      <w:r w:rsidRPr="0074314E">
        <w:rPr>
          <w:sz w:val="24"/>
          <w:szCs w:val="24"/>
        </w:rPr>
        <w:t>(f)(9) of this section.</w:t>
      </w:r>
    </w:p>
    <w:p w:rsidR="0040736A" w:rsidRPr="0074314E" w:rsidP="003A15DB" w14:paraId="5533C65F" w14:textId="19FF4338">
      <w:pPr>
        <w:pStyle w:val="block1"/>
        <w:spacing w:before="0" w:beforeAutospacing="0"/>
        <w:ind w:left="1080"/>
      </w:pPr>
      <w:r w:rsidRPr="0074314E">
        <w:rPr>
          <w:i/>
        </w:rPr>
        <w:t xml:space="preserve"> </w:t>
      </w:r>
      <w:r w:rsidRPr="0074314E" w:rsidR="00452335">
        <w:rPr>
          <w:i/>
        </w:rPr>
        <w:t>§1910.1200(f)(12)</w:t>
      </w:r>
      <w:r w:rsidRPr="0074314E" w:rsidR="00452335">
        <w:rPr>
          <w:i/>
          <w:iCs/>
        </w:rPr>
        <w:t>(iv)(</w:t>
      </w:r>
      <w:r w:rsidRPr="0074314E" w:rsidR="00665861">
        <w:rPr>
          <w:i/>
          <w:iCs/>
        </w:rPr>
        <w:t>B</w:t>
      </w:r>
      <w:r w:rsidRPr="0074314E" w:rsidR="00452335">
        <w:rPr>
          <w:i/>
          <w:iCs/>
        </w:rPr>
        <w:t>)</w:t>
      </w:r>
      <w:r w:rsidRPr="0074314E" w:rsidR="00452335">
        <w:t xml:space="preserve"> </w:t>
      </w:r>
      <w:r w:rsidRPr="0074314E" w:rsidR="00180636">
        <w:t>A statement that the small container(s) inside must be stored in the immediate outer package bearing the complete label when not in use.</w:t>
      </w:r>
    </w:p>
    <w:p w:rsidR="00290D13" w:rsidRPr="00220BC5" w:rsidP="00D80711" w14:paraId="3E4E1F0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220BC5">
        <w:rPr>
          <w:b/>
          <w:color w:val="000000"/>
          <w:sz w:val="24"/>
          <w:szCs w:val="24"/>
        </w:rPr>
        <w:t>Safety Data Sheets §1910.1200(g)</w:t>
      </w:r>
    </w:p>
    <w:p w:rsidR="00290D13" w:rsidRPr="00220BC5" w:rsidP="00D80711" w14:paraId="5609145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41296B" w:rsidRPr="00220BC5" w:rsidP="00AB0B90" w14:paraId="355DAA9D" w14:textId="3364632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20BC5">
        <w:rPr>
          <w:i/>
          <w:color w:val="000000"/>
          <w:sz w:val="24"/>
          <w:szCs w:val="24"/>
        </w:rPr>
        <w:t>§1910.1200(g</w:t>
      </w:r>
      <w:r w:rsidRPr="00220BC5" w:rsidR="00AB66FE">
        <w:rPr>
          <w:i/>
          <w:sz w:val="24"/>
          <w:szCs w:val="24"/>
        </w:rPr>
        <w:t>)</w:t>
      </w:r>
      <w:r w:rsidRPr="00220BC5">
        <w:rPr>
          <w:i/>
          <w:sz w:val="24"/>
          <w:szCs w:val="24"/>
        </w:rPr>
        <w:t>(1)</w:t>
      </w:r>
      <w:r w:rsidR="00DD54B1">
        <w:rPr>
          <w:i/>
          <w:sz w:val="24"/>
          <w:szCs w:val="24"/>
        </w:rPr>
        <w:t xml:space="preserve"> -</w:t>
      </w:r>
      <w:r w:rsidRPr="00220BC5">
        <w:rPr>
          <w:sz w:val="24"/>
          <w:szCs w:val="24"/>
        </w:rPr>
        <w:t xml:space="preserve"> Chemical manufacturers and importers shall obtain or develop a safety data sheet for each hazardous chemical they produce or import.  Employers shall have a safety data sheet in the workplace for each hazardous chemical which they use.</w:t>
      </w:r>
    </w:p>
    <w:p w:rsidR="0041296B" w:rsidRPr="00220BC5" w:rsidP="00AB0B90" w14:paraId="6567298A" w14:textId="77777777">
      <w:pPr>
        <w:rPr>
          <w:i/>
          <w:color w:val="000000"/>
        </w:rPr>
      </w:pPr>
    </w:p>
    <w:p w:rsidR="00D80711" w:rsidRPr="00220BC5" w:rsidP="00AB0B90" w14:paraId="41B19189" w14:textId="428F4A5A">
      <w:pPr>
        <w:pStyle w:val="block1"/>
        <w:spacing w:before="0" w:beforeAutospacing="0"/>
        <w:rPr>
          <w:color w:val="000000"/>
        </w:rPr>
      </w:pPr>
      <w:r w:rsidRPr="00220BC5">
        <w:rPr>
          <w:i/>
          <w:color w:val="000000"/>
        </w:rPr>
        <w:t>§1910.1200(g)(2)</w:t>
      </w:r>
      <w:r w:rsidRPr="00220BC5">
        <w:rPr>
          <w:color w:val="000000"/>
        </w:rPr>
        <w:t xml:space="preserve"> - The chemical manufacturer or importer </w:t>
      </w:r>
      <w:r w:rsidRPr="00220BC5" w:rsidR="00015952">
        <w:t xml:space="preserve">shall ensure that </w:t>
      </w:r>
      <w:r w:rsidRPr="0074314E" w:rsidR="009C2B0C">
        <w:t>the safety data sheet</w:t>
      </w:r>
      <w:r w:rsidRPr="0074314E" w:rsidR="00015952">
        <w:t xml:space="preserve"> </w:t>
      </w:r>
      <w:r w:rsidRPr="00220BC5">
        <w:rPr>
          <w:color w:val="000000"/>
        </w:rPr>
        <w:t xml:space="preserve">is in English (although the employer may maintain copies in other languages as well), and includes </w:t>
      </w:r>
      <w:r w:rsidRPr="00220BC5" w:rsidR="00295680">
        <w:rPr>
          <w:color w:val="000000"/>
        </w:rPr>
        <w:t xml:space="preserve">at least </w:t>
      </w:r>
      <w:r w:rsidRPr="00220BC5">
        <w:rPr>
          <w:color w:val="000000"/>
        </w:rPr>
        <w:t xml:space="preserve">the following section numbers and headings, and associated information under each heading, in the order listed (See Appendix D </w:t>
      </w:r>
      <w:r w:rsidRPr="0074314E">
        <w:t xml:space="preserve">to </w:t>
      </w:r>
      <w:r w:rsidRPr="0074314E" w:rsidR="00F41CA6">
        <w:t xml:space="preserve">this </w:t>
      </w:r>
      <w:r w:rsidRPr="0074314E" w:rsidR="00270954">
        <w:t>section</w:t>
      </w:r>
      <w:r w:rsidRPr="0074314E">
        <w:t xml:space="preserve"> </w:t>
      </w:r>
      <w:r w:rsidRPr="00220BC5">
        <w:rPr>
          <w:color w:val="000000"/>
        </w:rPr>
        <w:t>for the specific content of each section of the safety data sheet.)</w:t>
      </w:r>
    </w:p>
    <w:p w:rsidR="00D80711" w:rsidRPr="00220BC5" w:rsidP="003A15DB" w14:paraId="54291F04" w14:textId="77777777">
      <w:pPr>
        <w:pStyle w:val="block1"/>
        <w:spacing w:before="0" w:beforeAutospacing="0"/>
        <w:rPr>
          <w:color w:val="000000"/>
        </w:rPr>
      </w:pPr>
      <w:r w:rsidRPr="00220BC5">
        <w:rPr>
          <w:i/>
          <w:color w:val="000000"/>
        </w:rPr>
        <w:t>§1910.1200(g)(2)(</w:t>
      </w:r>
      <w:r w:rsidRPr="00220BC5">
        <w:rPr>
          <w:i/>
          <w:color w:val="000000"/>
        </w:rPr>
        <w:t>i</w:t>
      </w:r>
      <w:r w:rsidRPr="00220BC5">
        <w:rPr>
          <w:i/>
          <w:color w:val="000000"/>
        </w:rPr>
        <w:t>)</w:t>
      </w:r>
      <w:r w:rsidRPr="00220BC5">
        <w:rPr>
          <w:color w:val="000000"/>
        </w:rPr>
        <w:t xml:space="preserve"> - Section 1, </w:t>
      </w:r>
      <w:r w:rsidRPr="00220BC5">
        <w:rPr>
          <w:color w:val="000000"/>
        </w:rPr>
        <w:t>Identification;</w:t>
      </w:r>
    </w:p>
    <w:p w:rsidR="00D80711" w:rsidRPr="00220BC5" w:rsidP="003A15DB" w14:paraId="4897CC05" w14:textId="0559D329">
      <w:pPr>
        <w:pStyle w:val="block1"/>
        <w:spacing w:before="0" w:beforeAutospacing="0"/>
        <w:rPr>
          <w:color w:val="000000"/>
        </w:rPr>
      </w:pPr>
      <w:r w:rsidRPr="00220BC5">
        <w:rPr>
          <w:i/>
          <w:color w:val="000000"/>
        </w:rPr>
        <w:t>§1910.1200(g)(2)(ii)</w:t>
      </w:r>
      <w:r w:rsidRPr="00220BC5">
        <w:rPr>
          <w:color w:val="000000"/>
        </w:rPr>
        <w:t xml:space="preserve"> - Section 2, Hazard(s) </w:t>
      </w:r>
      <w:r w:rsidRPr="00220BC5">
        <w:rPr>
          <w:color w:val="000000"/>
        </w:rPr>
        <w:t>identification;</w:t>
      </w:r>
    </w:p>
    <w:p w:rsidR="00D80711" w:rsidRPr="00220BC5" w:rsidP="003A15DB" w14:paraId="027AC76B" w14:textId="62066F55">
      <w:pPr>
        <w:pStyle w:val="block1"/>
        <w:spacing w:before="0" w:beforeAutospacing="0"/>
        <w:rPr>
          <w:color w:val="000000"/>
        </w:rPr>
      </w:pPr>
      <w:r w:rsidRPr="00220BC5">
        <w:rPr>
          <w:i/>
          <w:color w:val="000000"/>
        </w:rPr>
        <w:t>§1910.1200(g)(2)(iii)</w:t>
      </w:r>
      <w:r w:rsidRPr="00220BC5">
        <w:rPr>
          <w:color w:val="000000"/>
        </w:rPr>
        <w:t xml:space="preserve"> - Section 3, Composition/information on </w:t>
      </w:r>
      <w:r w:rsidRPr="00220BC5">
        <w:rPr>
          <w:color w:val="000000"/>
        </w:rPr>
        <w:t>ingredients;</w:t>
      </w:r>
    </w:p>
    <w:p w:rsidR="00D80711" w:rsidRPr="00220BC5" w:rsidP="003A15DB" w14:paraId="3B41010E" w14:textId="2BEA0CDC">
      <w:pPr>
        <w:pStyle w:val="block1"/>
        <w:spacing w:before="0" w:beforeAutospacing="0"/>
        <w:rPr>
          <w:color w:val="000000"/>
        </w:rPr>
      </w:pPr>
      <w:r w:rsidRPr="00220BC5">
        <w:rPr>
          <w:i/>
          <w:color w:val="000000"/>
        </w:rPr>
        <w:t>§1910.1200(g)(2)(iv)</w:t>
      </w:r>
      <w:r w:rsidRPr="00220BC5">
        <w:rPr>
          <w:color w:val="000000"/>
        </w:rPr>
        <w:t xml:space="preserve"> - Section 4, First-aid </w:t>
      </w:r>
      <w:r w:rsidRPr="00220BC5">
        <w:rPr>
          <w:color w:val="000000"/>
        </w:rPr>
        <w:t>measures;</w:t>
      </w:r>
    </w:p>
    <w:p w:rsidR="00D80711" w:rsidRPr="00220BC5" w:rsidP="003A15DB" w14:paraId="47D23DDF" w14:textId="4CFC2CDC">
      <w:pPr>
        <w:pStyle w:val="block1"/>
        <w:spacing w:before="0" w:beforeAutospacing="0"/>
        <w:rPr>
          <w:color w:val="000000"/>
        </w:rPr>
      </w:pPr>
      <w:r w:rsidRPr="00220BC5">
        <w:rPr>
          <w:i/>
          <w:color w:val="000000"/>
        </w:rPr>
        <w:t>§1910.1200(g)(2)(v)</w:t>
      </w:r>
      <w:r w:rsidRPr="00220BC5">
        <w:rPr>
          <w:color w:val="000000"/>
        </w:rPr>
        <w:t xml:space="preserve"> - Section 5, Fire-fighting </w:t>
      </w:r>
      <w:r w:rsidRPr="00220BC5">
        <w:rPr>
          <w:color w:val="000000"/>
        </w:rPr>
        <w:t>measures;</w:t>
      </w:r>
    </w:p>
    <w:p w:rsidR="00D80711" w:rsidRPr="00220BC5" w:rsidP="003A15DB" w14:paraId="679C5EF0" w14:textId="0151E511">
      <w:pPr>
        <w:pStyle w:val="block1"/>
        <w:spacing w:before="0" w:beforeAutospacing="0"/>
        <w:rPr>
          <w:color w:val="000000"/>
        </w:rPr>
      </w:pPr>
      <w:r w:rsidRPr="00220BC5">
        <w:rPr>
          <w:i/>
          <w:color w:val="000000"/>
        </w:rPr>
        <w:t>§1910.1200(g)(2)(vi)</w:t>
      </w:r>
      <w:r w:rsidRPr="00220BC5">
        <w:rPr>
          <w:color w:val="000000"/>
        </w:rPr>
        <w:t xml:space="preserve"> - Section 6, Accidental release </w:t>
      </w:r>
      <w:r w:rsidRPr="00220BC5">
        <w:rPr>
          <w:color w:val="000000"/>
        </w:rPr>
        <w:t>measures;</w:t>
      </w:r>
    </w:p>
    <w:p w:rsidR="00D80711" w:rsidRPr="00220BC5" w:rsidP="003A15DB" w14:paraId="74F30F9A" w14:textId="77777777">
      <w:pPr>
        <w:pStyle w:val="block1"/>
        <w:spacing w:before="0" w:beforeAutospacing="0"/>
        <w:rPr>
          <w:color w:val="000000"/>
        </w:rPr>
      </w:pPr>
      <w:r w:rsidRPr="00220BC5">
        <w:rPr>
          <w:i/>
          <w:color w:val="000000"/>
        </w:rPr>
        <w:t>§1910.1200(g)(2)(vii)</w:t>
      </w:r>
      <w:r w:rsidRPr="00220BC5">
        <w:rPr>
          <w:color w:val="000000"/>
        </w:rPr>
        <w:t xml:space="preserve"> - Section 7, Handling and </w:t>
      </w:r>
      <w:r w:rsidRPr="00220BC5">
        <w:rPr>
          <w:color w:val="000000"/>
        </w:rPr>
        <w:t>storage;</w:t>
      </w:r>
    </w:p>
    <w:p w:rsidR="00D80711" w:rsidRPr="00220BC5" w:rsidP="003A15DB" w14:paraId="2BAA6ECC" w14:textId="77777777">
      <w:pPr>
        <w:pStyle w:val="block1"/>
        <w:spacing w:before="0" w:beforeAutospacing="0"/>
        <w:rPr>
          <w:color w:val="000000"/>
        </w:rPr>
      </w:pPr>
      <w:r w:rsidRPr="00220BC5">
        <w:rPr>
          <w:i/>
          <w:color w:val="000000"/>
        </w:rPr>
        <w:t>§1910.1200(g)(2)(viii)</w:t>
      </w:r>
      <w:r w:rsidRPr="00220BC5">
        <w:rPr>
          <w:color w:val="000000"/>
        </w:rPr>
        <w:t xml:space="preserve"> – Section 8, Exposure controls/personal </w:t>
      </w:r>
      <w:r w:rsidRPr="00220BC5">
        <w:rPr>
          <w:color w:val="000000"/>
        </w:rPr>
        <w:t>protection;</w:t>
      </w:r>
    </w:p>
    <w:p w:rsidR="00D80711" w:rsidRPr="00220BC5" w:rsidP="003A15DB" w14:paraId="446958A8" w14:textId="77777777">
      <w:pPr>
        <w:pStyle w:val="block1"/>
        <w:spacing w:before="0" w:beforeAutospacing="0"/>
        <w:rPr>
          <w:color w:val="000000"/>
        </w:rPr>
      </w:pPr>
      <w:r w:rsidRPr="00220BC5">
        <w:rPr>
          <w:i/>
          <w:color w:val="000000"/>
        </w:rPr>
        <w:t>§1910.1200(g)(2)(ix)</w:t>
      </w:r>
      <w:r w:rsidRPr="00220BC5">
        <w:rPr>
          <w:color w:val="000000"/>
        </w:rPr>
        <w:t xml:space="preserve"> - Section 9, Physical and chemical </w:t>
      </w:r>
      <w:r w:rsidRPr="00220BC5">
        <w:rPr>
          <w:color w:val="000000"/>
        </w:rPr>
        <w:t>properties;</w:t>
      </w:r>
    </w:p>
    <w:p w:rsidR="00D80711" w:rsidRPr="00220BC5" w:rsidP="003A15DB" w14:paraId="187B08FD" w14:textId="77777777">
      <w:pPr>
        <w:pStyle w:val="block1"/>
        <w:spacing w:before="0" w:beforeAutospacing="0"/>
        <w:rPr>
          <w:color w:val="000000"/>
        </w:rPr>
      </w:pPr>
      <w:r w:rsidRPr="00220BC5">
        <w:rPr>
          <w:i/>
          <w:color w:val="000000"/>
        </w:rPr>
        <w:t>§1910.1200(g)(2)(x)</w:t>
      </w:r>
      <w:r w:rsidRPr="00220BC5">
        <w:rPr>
          <w:color w:val="000000"/>
        </w:rPr>
        <w:t xml:space="preserve"> </w:t>
      </w:r>
      <w:r w:rsidRPr="00220BC5">
        <w:rPr>
          <w:color w:val="000000"/>
        </w:rPr>
        <w:t>-  Section</w:t>
      </w:r>
      <w:r w:rsidRPr="00220BC5">
        <w:rPr>
          <w:color w:val="000000"/>
        </w:rPr>
        <w:t xml:space="preserve"> 10, Stability and reactivity;</w:t>
      </w:r>
    </w:p>
    <w:p w:rsidR="00D80711" w:rsidRPr="00220BC5" w:rsidP="003A15DB" w14:paraId="4314913A" w14:textId="77777777">
      <w:pPr>
        <w:pStyle w:val="block1"/>
        <w:spacing w:before="0" w:beforeAutospacing="0"/>
        <w:rPr>
          <w:color w:val="000000"/>
        </w:rPr>
      </w:pPr>
      <w:r w:rsidRPr="00220BC5">
        <w:rPr>
          <w:i/>
          <w:color w:val="000000"/>
        </w:rPr>
        <w:t>§1910.1200(g)(2)(xi)</w:t>
      </w:r>
      <w:r w:rsidRPr="00220BC5">
        <w:rPr>
          <w:color w:val="000000"/>
        </w:rPr>
        <w:t xml:space="preserve"> - Section 11, Toxicological information.</w:t>
      </w:r>
    </w:p>
    <w:p w:rsidR="00D80711" w:rsidRPr="00220BC5" w:rsidP="003A15DB" w14:paraId="2ABDB955" w14:textId="5A5B2C56">
      <w:pPr>
        <w:pStyle w:val="block1"/>
        <w:spacing w:before="0" w:beforeAutospacing="0"/>
        <w:rPr>
          <w:color w:val="000000"/>
        </w:rPr>
      </w:pPr>
      <w:r w:rsidRPr="00220BC5">
        <w:rPr>
          <w:i/>
          <w:color w:val="000000"/>
        </w:rPr>
        <w:t>§1910.1200(g)(2)(xii)</w:t>
      </w:r>
      <w:r w:rsidRPr="00220BC5">
        <w:rPr>
          <w:color w:val="000000"/>
        </w:rPr>
        <w:t xml:space="preserve"> - </w:t>
      </w:r>
      <w:r w:rsidRPr="00220BC5">
        <w:rPr>
          <w:color w:val="000000"/>
        </w:rPr>
        <w:t xml:space="preserve">Section 12, Ecological </w:t>
      </w:r>
      <w:r w:rsidRPr="00220BC5">
        <w:rPr>
          <w:color w:val="000000"/>
        </w:rPr>
        <w:t>information;</w:t>
      </w:r>
      <w:r w:rsidRPr="00220BC5">
        <w:rPr>
          <w:color w:val="000000"/>
        </w:rPr>
        <w:t xml:space="preserve"> </w:t>
      </w:r>
    </w:p>
    <w:p w:rsidR="00D80711" w:rsidRPr="00220BC5" w:rsidP="003A15DB" w14:paraId="4B7BAE92" w14:textId="15AD609A">
      <w:pPr>
        <w:pStyle w:val="block1"/>
        <w:spacing w:before="0" w:beforeAutospacing="0"/>
        <w:rPr>
          <w:color w:val="000000"/>
        </w:rPr>
      </w:pPr>
      <w:r w:rsidRPr="00220BC5">
        <w:rPr>
          <w:i/>
          <w:color w:val="000000"/>
        </w:rPr>
        <w:t>§1910.1200(g)(2)(xiii)</w:t>
      </w:r>
      <w:r w:rsidRPr="00220BC5">
        <w:rPr>
          <w:color w:val="000000"/>
        </w:rPr>
        <w:t xml:space="preserve"> - </w:t>
      </w:r>
      <w:r w:rsidRPr="00220BC5" w:rsidR="00933BFC">
        <w:rPr>
          <w:color w:val="000000"/>
        </w:rPr>
        <w:t>S</w:t>
      </w:r>
      <w:r w:rsidRPr="00220BC5">
        <w:rPr>
          <w:color w:val="000000"/>
        </w:rPr>
        <w:t xml:space="preserve">ection 13, Disposal </w:t>
      </w:r>
      <w:r w:rsidRPr="00220BC5">
        <w:rPr>
          <w:color w:val="000000"/>
        </w:rPr>
        <w:t>considerations;</w:t>
      </w:r>
      <w:r w:rsidRPr="00220BC5">
        <w:rPr>
          <w:color w:val="000000"/>
        </w:rPr>
        <w:t xml:space="preserve"> </w:t>
      </w:r>
    </w:p>
    <w:p w:rsidR="00D80711" w:rsidRPr="00220BC5" w:rsidP="003A15DB" w14:paraId="62E4F5D2" w14:textId="0EE42FDF">
      <w:pPr>
        <w:pStyle w:val="block1"/>
        <w:spacing w:before="0" w:beforeAutospacing="0"/>
        <w:rPr>
          <w:color w:val="000000"/>
        </w:rPr>
      </w:pPr>
      <w:r w:rsidRPr="00220BC5">
        <w:rPr>
          <w:i/>
          <w:color w:val="000000"/>
        </w:rPr>
        <w:t>§1910.1200(g)(2)(xiv)</w:t>
      </w:r>
      <w:r w:rsidRPr="00220BC5">
        <w:rPr>
          <w:color w:val="000000"/>
        </w:rPr>
        <w:t xml:space="preserve"> - </w:t>
      </w:r>
      <w:r w:rsidRPr="00220BC5">
        <w:rPr>
          <w:color w:val="000000"/>
        </w:rPr>
        <w:t xml:space="preserve">Section 14, Transport </w:t>
      </w:r>
      <w:r w:rsidRPr="00220BC5">
        <w:rPr>
          <w:color w:val="000000"/>
        </w:rPr>
        <w:t>information;</w:t>
      </w:r>
      <w:r w:rsidRPr="00220BC5">
        <w:rPr>
          <w:color w:val="000000"/>
        </w:rPr>
        <w:t xml:space="preserve"> </w:t>
      </w:r>
    </w:p>
    <w:p w:rsidR="00015952" w:rsidRPr="00220BC5" w:rsidP="003A15DB" w14:paraId="264C9CEB" w14:textId="630D37B5">
      <w:pPr>
        <w:pStyle w:val="block1"/>
        <w:spacing w:before="0" w:beforeAutospacing="0"/>
        <w:rPr>
          <w:color w:val="000000"/>
        </w:rPr>
      </w:pPr>
      <w:r w:rsidRPr="00220BC5">
        <w:rPr>
          <w:i/>
          <w:color w:val="000000"/>
        </w:rPr>
        <w:t>§1910.1200(g)(2)(xv)</w:t>
      </w:r>
      <w:r w:rsidRPr="00220BC5">
        <w:rPr>
          <w:color w:val="000000"/>
        </w:rPr>
        <w:t xml:space="preserve"> - </w:t>
      </w:r>
      <w:r w:rsidRPr="00220BC5" w:rsidR="00D80711">
        <w:rPr>
          <w:color w:val="000000"/>
        </w:rPr>
        <w:t>Section 15, Regulatory information</w:t>
      </w:r>
      <w:r w:rsidRPr="00220BC5">
        <w:rPr>
          <w:color w:val="000000"/>
        </w:rPr>
        <w:t>; and</w:t>
      </w:r>
    </w:p>
    <w:p w:rsidR="00D80711" w:rsidRPr="00220BC5" w:rsidP="003A15DB" w14:paraId="04B770E1" w14:textId="10EAA022">
      <w:pPr>
        <w:pStyle w:val="block1"/>
        <w:spacing w:before="0" w:beforeAutospacing="0"/>
        <w:rPr>
          <w:color w:val="000000"/>
        </w:rPr>
      </w:pPr>
      <w:r w:rsidRPr="00220BC5">
        <w:rPr>
          <w:i/>
          <w:color w:val="000000"/>
        </w:rPr>
        <w:t>§1910.1200(g)(2)(xvi)</w:t>
      </w:r>
      <w:r w:rsidRPr="00220BC5">
        <w:rPr>
          <w:color w:val="000000"/>
        </w:rPr>
        <w:t xml:space="preserve"> – Section 16, Other information, including date of preparation or last revision</w:t>
      </w:r>
      <w:r w:rsidRPr="00220BC5">
        <w:rPr>
          <w:color w:val="000000"/>
        </w:rPr>
        <w:t xml:space="preserve">  </w:t>
      </w:r>
    </w:p>
    <w:p w:rsidR="00015952" w:rsidRPr="00220BC5" w:rsidP="00D80711" w14:paraId="3EC0A6AA" w14:textId="2B0BB974">
      <w:pPr>
        <w:pStyle w:val="block1"/>
        <w:spacing w:before="0" w:beforeAutospacing="0"/>
        <w:ind w:left="720"/>
        <w:rPr>
          <w:color w:val="000000"/>
        </w:rPr>
      </w:pPr>
      <w:r w:rsidRPr="00220BC5">
        <w:rPr>
          <w:color w:val="000000"/>
        </w:rPr>
        <w:t>Note 1 to paragraph (g)(2): To be consistent with the GHS, an SDS must also include the headings in paragraphs (g)(2)(xii) through (g)(2)(xv) in order.</w:t>
      </w:r>
    </w:p>
    <w:p w:rsidR="00D80711" w:rsidRPr="00220BC5" w:rsidP="00D80711" w14:paraId="0C721752" w14:textId="32854BFB">
      <w:pPr>
        <w:pStyle w:val="block1"/>
        <w:spacing w:before="0" w:beforeAutospacing="0"/>
        <w:ind w:left="720"/>
        <w:rPr>
          <w:color w:val="000000"/>
        </w:rPr>
      </w:pPr>
      <w:r w:rsidRPr="00220BC5">
        <w:rPr>
          <w:color w:val="000000"/>
        </w:rPr>
        <w:t>Note 2 to paragraph (g)(2): OSHA will not be enforcing information requirements in sections 12 through 15, as these areas are not under its jurisdiction.</w:t>
      </w:r>
    </w:p>
    <w:p w:rsidR="00D80711" w:rsidRPr="00220BC5" w:rsidP="00D80711" w14:paraId="543F03BE" w14:textId="77777777">
      <w:pPr>
        <w:pStyle w:val="block1"/>
        <w:spacing w:before="0" w:beforeAutospacing="0"/>
        <w:rPr>
          <w:i/>
          <w:color w:val="000000"/>
        </w:rPr>
      </w:pPr>
      <w:r w:rsidRPr="00220BC5">
        <w:rPr>
          <w:i/>
          <w:color w:val="000000"/>
        </w:rPr>
        <w:t>§1910.1200(g)(5)</w:t>
      </w:r>
      <w:r w:rsidRPr="00220BC5">
        <w:rPr>
          <w:color w:val="000000"/>
        </w:rPr>
        <w:t xml:space="preserve"> - The chemical manufacturer, importer or employer preparing the safety data sheet shall ensure that the information provided accurately reflects the scientific evidence used in making the hazard classification. If the chemical manufacturer, </w:t>
      </w:r>
      <w:r w:rsidRPr="00220BC5">
        <w:rPr>
          <w:color w:val="000000"/>
        </w:rPr>
        <w:t>importer</w:t>
      </w:r>
      <w:r w:rsidRPr="00220BC5">
        <w:rPr>
          <w:color w:val="000000"/>
        </w:rPr>
        <w:t xml:space="preserve"> or employer preparing the safety data sheet becomes newly aware of any significant information regarding the hazards of a chemical, or ways to protect against the hazards, this new information shall be added to the safety data sheet within three months. If the chemical is not currently being produced or imported</w:t>
      </w:r>
      <w:r w:rsidRPr="00220BC5" w:rsidR="00BD52E7">
        <w:rPr>
          <w:color w:val="000000"/>
        </w:rPr>
        <w:t>,</w:t>
      </w:r>
      <w:r w:rsidRPr="00220BC5">
        <w:rPr>
          <w:color w:val="000000"/>
        </w:rPr>
        <w:t xml:space="preserve"> the chemical </w:t>
      </w:r>
      <w:r w:rsidRPr="00220BC5">
        <w:rPr>
          <w:color w:val="000000"/>
        </w:rPr>
        <w:t>manufacturer or importer shall add the information to the safety data sheet before the chemical is introduced into the workplace again.</w:t>
      </w:r>
    </w:p>
    <w:p w:rsidR="00C74E7D" w:rsidRPr="00220BC5" w:rsidP="00D80711" w14:paraId="107F7122" w14:textId="77777777">
      <w:pPr>
        <w:pStyle w:val="block1"/>
        <w:spacing w:before="0" w:beforeAutospacing="0"/>
        <w:rPr>
          <w:color w:val="000000"/>
        </w:rPr>
      </w:pPr>
      <w:r w:rsidRPr="00220BC5">
        <w:rPr>
          <w:i/>
          <w:color w:val="000000"/>
        </w:rPr>
        <w:t>§1910.1200(g)(11)</w:t>
      </w:r>
      <w:r w:rsidRPr="00220BC5">
        <w:rPr>
          <w:color w:val="000000"/>
        </w:rPr>
        <w:t xml:space="preserve"> - Safety data sheets shall also be made readily available, upon request, to designated representatives, the Assistant Secretary, and the Director, in accordance with the requ</w:t>
      </w:r>
      <w:r w:rsidRPr="00220BC5" w:rsidR="00E23288">
        <w:rPr>
          <w:color w:val="000000"/>
        </w:rPr>
        <w:t>irements o</w:t>
      </w:r>
      <w:r w:rsidRPr="00220BC5" w:rsidR="00290D13">
        <w:rPr>
          <w:color w:val="000000"/>
        </w:rPr>
        <w:t>f §</w:t>
      </w:r>
      <w:r w:rsidRPr="00220BC5" w:rsidR="00E23288">
        <w:rPr>
          <w:color w:val="000000"/>
        </w:rPr>
        <w:t xml:space="preserve">1910.1020(e). </w:t>
      </w:r>
    </w:p>
    <w:p w:rsidR="00CB1E30" w:rsidRPr="00220BC5" w:rsidP="00CB1E30" w14:paraId="0423E86B" w14:textId="77777777">
      <w:pPr>
        <w:pStyle w:val="block1"/>
        <w:rPr>
          <w:b/>
          <w:color w:val="000000"/>
        </w:rPr>
      </w:pPr>
      <w:r w:rsidRPr="00220BC5">
        <w:rPr>
          <w:b/>
          <w:color w:val="000000"/>
        </w:rPr>
        <w:t>Trade Secrets (§1910.1200(</w:t>
      </w:r>
      <w:r w:rsidRPr="00220BC5">
        <w:rPr>
          <w:b/>
          <w:color w:val="000000"/>
        </w:rPr>
        <w:t>i</w:t>
      </w:r>
      <w:r w:rsidRPr="00220BC5">
        <w:rPr>
          <w:b/>
          <w:color w:val="000000"/>
        </w:rPr>
        <w:t>))</w:t>
      </w:r>
    </w:p>
    <w:p w:rsidR="001D5B06" w:rsidRPr="00220BC5" w:rsidP="003A15DB" w14:paraId="5EEE0D45" w14:textId="0CB86C4B">
      <w:pPr>
        <w:shd w:val="clear" w:color="auto" w:fill="FFFFFF"/>
        <w:spacing w:before="100" w:beforeAutospacing="1" w:after="100" w:afterAutospacing="1"/>
        <w:rPr>
          <w:sz w:val="24"/>
          <w:szCs w:val="24"/>
          <w:lang w:val="en"/>
        </w:rPr>
      </w:pPr>
      <w:r w:rsidRPr="00220BC5">
        <w:rPr>
          <w:i/>
          <w:iCs/>
          <w:sz w:val="24"/>
          <w:szCs w:val="24"/>
          <w:lang w:val="en"/>
        </w:rPr>
        <w:t>Trade secrets.</w:t>
      </w:r>
      <w:r w:rsidRPr="00220BC5">
        <w:rPr>
          <w:sz w:val="24"/>
          <w:szCs w:val="24"/>
          <w:lang w:val="en"/>
        </w:rPr>
        <w:t xml:space="preserve"> </w:t>
      </w:r>
      <w:r w:rsidRPr="00220BC5">
        <w:rPr>
          <w:i/>
          <w:color w:val="000000"/>
          <w:sz w:val="24"/>
          <w:szCs w:val="24"/>
        </w:rPr>
        <w:t>§1910.1200(</w:t>
      </w:r>
      <w:r w:rsidRPr="00220BC5">
        <w:rPr>
          <w:i/>
          <w:color w:val="000000"/>
          <w:sz w:val="24"/>
          <w:szCs w:val="24"/>
        </w:rPr>
        <w:t>i</w:t>
      </w:r>
      <w:r w:rsidRPr="00220BC5">
        <w:rPr>
          <w:i/>
          <w:color w:val="000000"/>
          <w:sz w:val="24"/>
          <w:szCs w:val="24"/>
        </w:rPr>
        <w:t>)(1)</w:t>
      </w:r>
      <w:r w:rsidRPr="00220BC5">
        <w:rPr>
          <w:sz w:val="24"/>
          <w:szCs w:val="24"/>
          <w:lang w:val="en"/>
        </w:rPr>
        <w:t xml:space="preserve"> </w:t>
      </w:r>
      <w:r w:rsidR="00092470">
        <w:rPr>
          <w:sz w:val="24"/>
          <w:szCs w:val="24"/>
          <w:lang w:val="en"/>
        </w:rPr>
        <w:t>-</w:t>
      </w:r>
      <w:r w:rsidRPr="00220BC5">
        <w:rPr>
          <w:sz w:val="24"/>
          <w:szCs w:val="24"/>
          <w:lang w:val="en"/>
        </w:rPr>
        <w:t xml:space="preserve"> The chemical manufacturer, importer, or employer may withhold the specific chemical identity, including the chemical name, other specific identification of a hazardous chemical, </w:t>
      </w:r>
      <w:r w:rsidR="00B010AD">
        <w:rPr>
          <w:sz w:val="24"/>
          <w:szCs w:val="24"/>
          <w:lang w:val="en"/>
        </w:rPr>
        <w:t>and/</w:t>
      </w:r>
      <w:r w:rsidRPr="00220BC5">
        <w:rPr>
          <w:sz w:val="24"/>
          <w:szCs w:val="24"/>
          <w:lang w:val="en"/>
        </w:rPr>
        <w:t>or the exact percentage (concentration)</w:t>
      </w:r>
      <w:r w:rsidRPr="00220BC5" w:rsidR="00D710ED">
        <w:rPr>
          <w:sz w:val="24"/>
          <w:szCs w:val="24"/>
          <w:lang w:val="en"/>
        </w:rPr>
        <w:t xml:space="preserve"> or concentra</w:t>
      </w:r>
      <w:r w:rsidRPr="00220BC5" w:rsidR="005D2075">
        <w:rPr>
          <w:sz w:val="24"/>
          <w:szCs w:val="24"/>
          <w:lang w:val="en"/>
        </w:rPr>
        <w:t>tion range</w:t>
      </w:r>
      <w:r w:rsidRPr="00220BC5">
        <w:rPr>
          <w:sz w:val="24"/>
          <w:szCs w:val="24"/>
          <w:lang w:val="en"/>
        </w:rPr>
        <w:t xml:space="preserve"> of the substance in a mixture, from </w:t>
      </w:r>
      <w:r w:rsidRPr="00220BC5" w:rsidR="009C0B80">
        <w:rPr>
          <w:sz w:val="24"/>
          <w:szCs w:val="24"/>
          <w:lang w:val="en"/>
        </w:rPr>
        <w:t xml:space="preserve">section 3 of </w:t>
      </w:r>
      <w:r w:rsidRPr="00220BC5">
        <w:rPr>
          <w:sz w:val="24"/>
          <w:szCs w:val="24"/>
          <w:lang w:val="en"/>
        </w:rPr>
        <w:t>the safety data sheet, provided that:</w:t>
      </w:r>
    </w:p>
    <w:p w:rsidR="001D5B06" w:rsidRPr="00220BC5" w:rsidP="003A15DB" w14:paraId="6D7FF405" w14:textId="4EE10739">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)(1)</w:t>
      </w:r>
      <w:r w:rsidRPr="00220BC5">
        <w:rPr>
          <w:i/>
          <w:sz w:val="24"/>
          <w:szCs w:val="24"/>
          <w:lang w:val="en"/>
        </w:rPr>
        <w:t>(</w:t>
      </w:r>
      <w:r w:rsidRPr="00220BC5">
        <w:rPr>
          <w:i/>
          <w:sz w:val="24"/>
          <w:szCs w:val="24"/>
          <w:lang w:val="en"/>
        </w:rPr>
        <w:t>i</w:t>
      </w:r>
      <w:r w:rsidRPr="00220BC5">
        <w:rPr>
          <w:i/>
          <w:sz w:val="24"/>
          <w:szCs w:val="24"/>
          <w:lang w:val="en"/>
        </w:rPr>
        <w:t>)</w:t>
      </w:r>
      <w:r w:rsidRPr="00220BC5">
        <w:rPr>
          <w:sz w:val="24"/>
          <w:szCs w:val="24"/>
          <w:lang w:val="en"/>
        </w:rPr>
        <w:t xml:space="preserve"> </w:t>
      </w:r>
      <w:r w:rsidR="00092470">
        <w:rPr>
          <w:sz w:val="24"/>
          <w:szCs w:val="24"/>
          <w:lang w:val="en"/>
        </w:rPr>
        <w:t xml:space="preserve">- </w:t>
      </w:r>
      <w:r w:rsidRPr="00220BC5">
        <w:rPr>
          <w:sz w:val="24"/>
          <w:szCs w:val="24"/>
          <w:lang w:val="en"/>
        </w:rPr>
        <w:t xml:space="preserve">The claim that the information withheld is a trade secret can be </w:t>
      </w:r>
      <w:r w:rsidRPr="00220BC5">
        <w:rPr>
          <w:sz w:val="24"/>
          <w:szCs w:val="24"/>
          <w:lang w:val="en"/>
        </w:rPr>
        <w:t>supported;</w:t>
      </w:r>
    </w:p>
    <w:p w:rsidR="001D5B06" w:rsidRPr="00220BC5" w:rsidP="003A15DB" w14:paraId="60C1497E" w14:textId="467ACD3A">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)(1)</w:t>
      </w:r>
      <w:r w:rsidRPr="0074314E">
        <w:rPr>
          <w:i/>
          <w:iCs/>
          <w:sz w:val="24"/>
          <w:szCs w:val="24"/>
          <w:lang w:val="en"/>
        </w:rPr>
        <w:t>(ii)</w:t>
      </w:r>
      <w:r w:rsidRPr="00220BC5">
        <w:rPr>
          <w:sz w:val="24"/>
          <w:szCs w:val="24"/>
          <w:lang w:val="en"/>
        </w:rPr>
        <w:t xml:space="preserve"> </w:t>
      </w:r>
      <w:r w:rsidR="00092470">
        <w:rPr>
          <w:sz w:val="24"/>
          <w:szCs w:val="24"/>
          <w:lang w:val="en"/>
        </w:rPr>
        <w:t xml:space="preserve">- </w:t>
      </w:r>
      <w:r w:rsidRPr="00220BC5">
        <w:rPr>
          <w:sz w:val="24"/>
          <w:szCs w:val="24"/>
          <w:lang w:val="en"/>
        </w:rPr>
        <w:t xml:space="preserve">Information contained in the safety data sheet concerning the properties and effects of the hazardous chemical is </w:t>
      </w:r>
      <w:r w:rsidRPr="00220BC5">
        <w:rPr>
          <w:sz w:val="24"/>
          <w:szCs w:val="24"/>
          <w:lang w:val="en"/>
        </w:rPr>
        <w:t>disclosed;</w:t>
      </w:r>
    </w:p>
    <w:p w:rsidR="001D5B06" w:rsidRPr="00BD599D" w:rsidP="00DD3ABD" w14:paraId="722D5357" w14:textId="57C557CD">
      <w:pPr>
        <w:shd w:val="clear" w:color="auto" w:fill="FFFFFF"/>
        <w:spacing w:before="100" w:beforeAutospacing="1" w:after="100" w:afterAutospacing="1"/>
        <w:rPr>
          <w:sz w:val="24"/>
          <w:szCs w:val="24"/>
          <w:lang w:val="en"/>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(iii)</w:t>
      </w:r>
      <w:r w:rsidRPr="00BD599D">
        <w:rPr>
          <w:sz w:val="24"/>
          <w:szCs w:val="24"/>
          <w:lang w:val="en"/>
        </w:rPr>
        <w:t xml:space="preserve"> </w:t>
      </w:r>
      <w:r w:rsidRPr="00BD599D" w:rsidR="00092470">
        <w:rPr>
          <w:sz w:val="24"/>
          <w:szCs w:val="24"/>
          <w:lang w:val="en"/>
        </w:rPr>
        <w:t xml:space="preserve">- </w:t>
      </w:r>
      <w:r w:rsidRPr="00BD599D">
        <w:rPr>
          <w:sz w:val="24"/>
          <w:szCs w:val="24"/>
          <w:lang w:val="en"/>
        </w:rPr>
        <w:t xml:space="preserve">The safety data sheet indicates that the specific chemical identity and/or </w:t>
      </w:r>
      <w:r w:rsidRPr="00BD599D" w:rsidR="001309E9">
        <w:rPr>
          <w:sz w:val="24"/>
          <w:szCs w:val="24"/>
          <w:lang w:val="en"/>
        </w:rPr>
        <w:t xml:space="preserve">concentration </w:t>
      </w:r>
      <w:r w:rsidRPr="00BD599D" w:rsidR="00096714">
        <w:rPr>
          <w:sz w:val="24"/>
          <w:szCs w:val="24"/>
          <w:lang w:val="en"/>
        </w:rPr>
        <w:t xml:space="preserve">or </w:t>
      </w:r>
      <w:r w:rsidRPr="00BD599D" w:rsidR="001309E9">
        <w:rPr>
          <w:sz w:val="24"/>
          <w:szCs w:val="24"/>
          <w:lang w:val="en"/>
        </w:rPr>
        <w:t xml:space="preserve">concentration </w:t>
      </w:r>
      <w:r w:rsidRPr="00BD599D" w:rsidR="001221BA">
        <w:rPr>
          <w:sz w:val="24"/>
          <w:szCs w:val="24"/>
          <w:lang w:val="en"/>
        </w:rPr>
        <w:t xml:space="preserve">range </w:t>
      </w:r>
      <w:r w:rsidRPr="00BD599D">
        <w:rPr>
          <w:sz w:val="24"/>
          <w:szCs w:val="24"/>
          <w:lang w:val="en"/>
        </w:rPr>
        <w:t xml:space="preserve">of composition is being withheld as a trade </w:t>
      </w:r>
      <w:r w:rsidRPr="00BD599D">
        <w:rPr>
          <w:sz w:val="24"/>
          <w:szCs w:val="24"/>
          <w:lang w:val="en"/>
        </w:rPr>
        <w:t>secret;</w:t>
      </w:r>
      <w:r w:rsidRPr="00BD599D">
        <w:rPr>
          <w:sz w:val="24"/>
          <w:szCs w:val="24"/>
          <w:lang w:val="en"/>
        </w:rPr>
        <w:t xml:space="preserve"> </w:t>
      </w:r>
    </w:p>
    <w:p w:rsidR="009570A6" w:rsidRPr="00BD599D" w:rsidP="00781E36" w14:paraId="415331D0" w14:textId="6A637CF5">
      <w:pPr>
        <w:tabs>
          <w:tab w:val="left" w:pos="1373"/>
        </w:tabs>
        <w:overflowPunct/>
        <w:adjustRightInd/>
        <w:spacing w:before="95"/>
        <w:ind w:right="104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w:t>
      </w:r>
      <w:r w:rsidRPr="00BD599D" w:rsidR="0079725E">
        <w:rPr>
          <w:i/>
          <w:iCs/>
          <w:sz w:val="24"/>
          <w:szCs w:val="24"/>
          <w:lang w:val="en"/>
        </w:rPr>
        <w:t>v</w:t>
      </w:r>
      <w:r w:rsidRPr="00BD599D">
        <w:rPr>
          <w:i/>
          <w:iCs/>
          <w:sz w:val="24"/>
          <w:szCs w:val="24"/>
          <w:lang w:val="en"/>
        </w:rPr>
        <w:t>)</w:t>
      </w:r>
      <w:r w:rsidRPr="00BD599D">
        <w:rPr>
          <w:noProof/>
        </w:rPr>
        <mc:AlternateContent>
          <mc:Choice Requires="wps">
            <w:drawing>
              <wp:anchor distT="0" distB="0" distL="114300" distR="114300" simplePos="0" relativeHeight="251658240" behindDoc="0" locked="0" layoutInCell="1" allowOverlap="1">
                <wp:simplePos x="0" y="0"/>
                <wp:positionH relativeFrom="page">
                  <wp:posOffset>347345</wp:posOffset>
                </wp:positionH>
                <wp:positionV relativeFrom="paragraph">
                  <wp:posOffset>60960</wp:posOffset>
                </wp:positionV>
                <wp:extent cx="6985" cy="6302375"/>
                <wp:effectExtent l="0" t="0" r="0" b="0"/>
                <wp:wrapNone/>
                <wp:docPr id="1434" name="docshape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85" cy="630237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3" o:spid="_x0000_s1025" style="width:0.55pt;height:496.25pt;margin-top:4.8pt;margin-left:27.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Pr="00BD599D" w:rsidR="00092470">
        <w:rPr>
          <w:noProof/>
        </w:rPr>
        <w:t xml:space="preserve"> -</w:t>
      </w:r>
      <w:r w:rsidRPr="00BD599D">
        <w:rPr>
          <w:sz w:val="24"/>
          <w:szCs w:val="24"/>
          <w:lang w:val="en"/>
        </w:rPr>
        <w:t xml:space="preserve"> </w:t>
      </w:r>
      <w:r w:rsidRPr="00BD599D">
        <w:rPr>
          <w:sz w:val="24"/>
          <w:szCs w:val="24"/>
        </w:rPr>
        <w:t>If</w:t>
      </w:r>
      <w:r w:rsidRPr="00BD599D">
        <w:rPr>
          <w:spacing w:val="1"/>
          <w:sz w:val="24"/>
          <w:szCs w:val="24"/>
        </w:rPr>
        <w:t xml:space="preserve"> </w:t>
      </w:r>
      <w:r w:rsidRPr="00BD599D">
        <w:rPr>
          <w:sz w:val="24"/>
          <w:szCs w:val="24"/>
        </w:rPr>
        <w:t>the</w:t>
      </w:r>
      <w:r w:rsidRPr="00BD599D">
        <w:rPr>
          <w:spacing w:val="7"/>
          <w:sz w:val="24"/>
          <w:szCs w:val="24"/>
        </w:rPr>
        <w:t xml:space="preserve"> </w:t>
      </w:r>
      <w:r w:rsidRPr="00BD599D">
        <w:rPr>
          <w:sz w:val="24"/>
          <w:szCs w:val="24"/>
        </w:rPr>
        <w:t>concentration</w:t>
      </w:r>
      <w:r w:rsidRPr="00BD599D">
        <w:rPr>
          <w:spacing w:val="3"/>
          <w:sz w:val="24"/>
          <w:szCs w:val="24"/>
        </w:rPr>
        <w:t xml:space="preserve"> </w:t>
      </w:r>
      <w:r w:rsidRPr="00BD599D">
        <w:rPr>
          <w:sz w:val="24"/>
          <w:szCs w:val="24"/>
        </w:rPr>
        <w:t>or</w:t>
      </w:r>
      <w:r w:rsidRPr="00BD599D">
        <w:rPr>
          <w:spacing w:val="5"/>
          <w:sz w:val="24"/>
          <w:szCs w:val="24"/>
        </w:rPr>
        <w:t xml:space="preserve"> </w:t>
      </w:r>
      <w:r w:rsidRPr="00BD599D">
        <w:rPr>
          <w:sz w:val="24"/>
          <w:szCs w:val="24"/>
        </w:rPr>
        <w:t>concentration</w:t>
      </w:r>
      <w:r w:rsidRPr="00BD599D">
        <w:rPr>
          <w:spacing w:val="8"/>
          <w:sz w:val="24"/>
          <w:szCs w:val="24"/>
        </w:rPr>
        <w:t xml:space="preserve"> </w:t>
      </w:r>
      <w:r w:rsidRPr="00BD599D">
        <w:rPr>
          <w:sz w:val="24"/>
          <w:szCs w:val="24"/>
        </w:rPr>
        <w:t>range</w:t>
      </w:r>
      <w:r w:rsidRPr="00BD599D">
        <w:rPr>
          <w:spacing w:val="3"/>
          <w:sz w:val="24"/>
          <w:szCs w:val="24"/>
        </w:rPr>
        <w:t xml:space="preserve"> </w:t>
      </w:r>
      <w:r w:rsidRPr="00BD599D">
        <w:rPr>
          <w:sz w:val="24"/>
          <w:szCs w:val="24"/>
        </w:rPr>
        <w:t>is</w:t>
      </w:r>
      <w:r w:rsidRPr="00BD599D">
        <w:rPr>
          <w:spacing w:val="5"/>
          <w:sz w:val="24"/>
          <w:szCs w:val="24"/>
        </w:rPr>
        <w:t xml:space="preserve"> </w:t>
      </w:r>
      <w:r w:rsidRPr="00BD599D">
        <w:rPr>
          <w:sz w:val="24"/>
          <w:szCs w:val="24"/>
        </w:rPr>
        <w:t>being</w:t>
      </w:r>
      <w:r w:rsidRPr="00BD599D">
        <w:rPr>
          <w:spacing w:val="4"/>
          <w:sz w:val="24"/>
          <w:szCs w:val="24"/>
        </w:rPr>
        <w:t xml:space="preserve"> </w:t>
      </w:r>
      <w:r w:rsidRPr="00BD599D">
        <w:rPr>
          <w:sz w:val="24"/>
          <w:szCs w:val="24"/>
        </w:rPr>
        <w:t>claimed</w:t>
      </w:r>
      <w:r w:rsidRPr="00BD599D">
        <w:rPr>
          <w:spacing w:val="3"/>
          <w:sz w:val="24"/>
          <w:szCs w:val="24"/>
        </w:rPr>
        <w:t xml:space="preserve"> </w:t>
      </w:r>
      <w:r w:rsidRPr="00BD599D">
        <w:rPr>
          <w:sz w:val="24"/>
          <w:szCs w:val="24"/>
        </w:rPr>
        <w:t>as</w:t>
      </w:r>
      <w:r w:rsidRPr="00BD599D">
        <w:rPr>
          <w:spacing w:val="6"/>
          <w:sz w:val="24"/>
          <w:szCs w:val="24"/>
        </w:rPr>
        <w:t xml:space="preserve"> </w:t>
      </w:r>
      <w:r w:rsidRPr="00BD599D">
        <w:rPr>
          <w:sz w:val="24"/>
          <w:szCs w:val="24"/>
        </w:rPr>
        <w:t>a</w:t>
      </w:r>
      <w:r w:rsidRPr="00BD599D">
        <w:rPr>
          <w:spacing w:val="2"/>
          <w:sz w:val="24"/>
          <w:szCs w:val="24"/>
        </w:rPr>
        <w:t xml:space="preserve"> </w:t>
      </w:r>
      <w:r w:rsidRPr="00BD599D">
        <w:rPr>
          <w:sz w:val="24"/>
          <w:szCs w:val="24"/>
        </w:rPr>
        <w:t>trade</w:t>
      </w:r>
      <w:r w:rsidRPr="00BD599D">
        <w:rPr>
          <w:spacing w:val="-2"/>
          <w:sz w:val="24"/>
          <w:szCs w:val="24"/>
        </w:rPr>
        <w:t xml:space="preserve"> </w:t>
      </w:r>
      <w:r w:rsidRPr="00BD599D">
        <w:rPr>
          <w:sz w:val="24"/>
          <w:szCs w:val="24"/>
        </w:rPr>
        <w:t>secret</w:t>
      </w:r>
      <w:r w:rsidRPr="00BD599D" w:rsidR="00524A8D">
        <w:rPr>
          <w:sz w:val="24"/>
          <w:szCs w:val="24"/>
        </w:rPr>
        <w:t>,</w:t>
      </w:r>
      <w:r w:rsidRPr="00BD599D">
        <w:rPr>
          <w:spacing w:val="4"/>
          <w:sz w:val="24"/>
          <w:szCs w:val="24"/>
        </w:rPr>
        <w:t xml:space="preserve"> </w:t>
      </w:r>
      <w:r w:rsidRPr="00BD599D">
        <w:rPr>
          <w:sz w:val="24"/>
          <w:szCs w:val="24"/>
        </w:rPr>
        <w:t>then</w:t>
      </w:r>
      <w:r w:rsidRPr="00BD599D">
        <w:rPr>
          <w:spacing w:val="8"/>
          <w:sz w:val="24"/>
          <w:szCs w:val="24"/>
        </w:rPr>
        <w:t xml:space="preserve"> </w:t>
      </w:r>
      <w:r w:rsidRPr="00BD599D">
        <w:rPr>
          <w:sz w:val="24"/>
          <w:szCs w:val="24"/>
        </w:rPr>
        <w:t>the</w:t>
      </w:r>
      <w:r w:rsidRPr="00BD599D" w:rsidR="004376C0">
        <w:rPr>
          <w:sz w:val="24"/>
          <w:szCs w:val="24"/>
        </w:rPr>
        <w:t xml:space="preserve"> </w:t>
      </w:r>
      <w:r w:rsidRPr="00BD599D">
        <w:rPr>
          <w:sz w:val="24"/>
          <w:szCs w:val="24"/>
        </w:rPr>
        <w:t>safety</w:t>
      </w:r>
      <w:r w:rsidRPr="00BD599D">
        <w:rPr>
          <w:spacing w:val="-3"/>
          <w:sz w:val="24"/>
          <w:szCs w:val="24"/>
        </w:rPr>
        <w:t xml:space="preserve"> </w:t>
      </w:r>
      <w:r w:rsidRPr="00BD599D">
        <w:rPr>
          <w:sz w:val="24"/>
          <w:szCs w:val="24"/>
        </w:rPr>
        <w:t>data</w:t>
      </w:r>
      <w:r w:rsidRPr="00BD599D">
        <w:rPr>
          <w:spacing w:val="3"/>
          <w:sz w:val="24"/>
          <w:szCs w:val="24"/>
        </w:rPr>
        <w:t xml:space="preserve"> </w:t>
      </w:r>
      <w:r w:rsidRPr="00BD599D">
        <w:rPr>
          <w:sz w:val="24"/>
          <w:szCs w:val="24"/>
        </w:rPr>
        <w:t>sheet</w:t>
      </w:r>
      <w:r w:rsidRPr="00BD599D">
        <w:rPr>
          <w:spacing w:val="5"/>
          <w:sz w:val="24"/>
          <w:szCs w:val="24"/>
        </w:rPr>
        <w:t xml:space="preserve"> </w:t>
      </w:r>
      <w:r w:rsidRPr="00BD599D">
        <w:rPr>
          <w:sz w:val="24"/>
          <w:szCs w:val="24"/>
        </w:rPr>
        <w:t>provides</w:t>
      </w:r>
      <w:r w:rsidRPr="00BD599D">
        <w:rPr>
          <w:spacing w:val="6"/>
          <w:sz w:val="24"/>
          <w:szCs w:val="24"/>
        </w:rPr>
        <w:t xml:space="preserve"> </w:t>
      </w:r>
      <w:r w:rsidRPr="00BD599D">
        <w:rPr>
          <w:sz w:val="24"/>
          <w:szCs w:val="24"/>
        </w:rPr>
        <w:t>the</w:t>
      </w:r>
      <w:r w:rsidRPr="00BD599D">
        <w:rPr>
          <w:spacing w:val="4"/>
          <w:sz w:val="24"/>
          <w:szCs w:val="24"/>
        </w:rPr>
        <w:t xml:space="preserve"> </w:t>
      </w:r>
      <w:r w:rsidRPr="00BD599D">
        <w:rPr>
          <w:sz w:val="24"/>
          <w:szCs w:val="24"/>
        </w:rPr>
        <w:t>ingredient’s</w:t>
      </w:r>
      <w:r w:rsidRPr="00BD599D">
        <w:rPr>
          <w:spacing w:val="2"/>
          <w:sz w:val="24"/>
          <w:szCs w:val="24"/>
        </w:rPr>
        <w:t xml:space="preserve"> </w:t>
      </w:r>
      <w:r w:rsidRPr="00BD599D">
        <w:rPr>
          <w:sz w:val="24"/>
          <w:szCs w:val="24"/>
        </w:rPr>
        <w:t>concentration</w:t>
      </w:r>
      <w:r w:rsidRPr="00BD599D">
        <w:rPr>
          <w:spacing w:val="5"/>
          <w:sz w:val="24"/>
          <w:szCs w:val="24"/>
        </w:rPr>
        <w:t xml:space="preserve"> </w:t>
      </w:r>
      <w:r w:rsidRPr="00BD599D">
        <w:rPr>
          <w:sz w:val="24"/>
          <w:szCs w:val="24"/>
        </w:rPr>
        <w:t>as</w:t>
      </w:r>
      <w:r w:rsidRPr="00BD599D">
        <w:rPr>
          <w:spacing w:val="7"/>
          <w:sz w:val="24"/>
          <w:szCs w:val="24"/>
        </w:rPr>
        <w:t xml:space="preserve"> </w:t>
      </w:r>
      <w:r w:rsidRPr="00BD599D">
        <w:rPr>
          <w:sz w:val="24"/>
          <w:szCs w:val="24"/>
        </w:rPr>
        <w:t>one</w:t>
      </w:r>
      <w:r w:rsidRPr="00BD599D">
        <w:rPr>
          <w:spacing w:val="3"/>
          <w:sz w:val="24"/>
          <w:szCs w:val="24"/>
        </w:rPr>
        <w:t xml:space="preserve"> </w:t>
      </w:r>
      <w:r w:rsidRPr="00BD599D">
        <w:rPr>
          <w:sz w:val="24"/>
          <w:szCs w:val="24"/>
        </w:rPr>
        <w:t>of</w:t>
      </w:r>
      <w:r w:rsidRPr="00BD599D">
        <w:rPr>
          <w:spacing w:val="3"/>
          <w:sz w:val="24"/>
          <w:szCs w:val="24"/>
        </w:rPr>
        <w:t xml:space="preserve"> </w:t>
      </w:r>
      <w:r w:rsidRPr="00BD599D">
        <w:rPr>
          <w:sz w:val="24"/>
          <w:szCs w:val="24"/>
        </w:rPr>
        <w:t>the</w:t>
      </w:r>
      <w:r w:rsidRPr="00BD599D">
        <w:rPr>
          <w:spacing w:val="3"/>
          <w:sz w:val="24"/>
          <w:szCs w:val="24"/>
        </w:rPr>
        <w:t xml:space="preserve"> </w:t>
      </w:r>
      <w:r w:rsidRPr="00BD599D">
        <w:rPr>
          <w:sz w:val="24"/>
          <w:szCs w:val="24"/>
        </w:rPr>
        <w:t>prescribed</w:t>
      </w:r>
      <w:r w:rsidRPr="00BD599D">
        <w:rPr>
          <w:spacing w:val="5"/>
          <w:sz w:val="24"/>
          <w:szCs w:val="24"/>
        </w:rPr>
        <w:t xml:space="preserve"> </w:t>
      </w:r>
      <w:r w:rsidRPr="00BD599D">
        <w:rPr>
          <w:sz w:val="24"/>
          <w:szCs w:val="24"/>
        </w:rPr>
        <w:t>ranges</w:t>
      </w:r>
      <w:r w:rsidRPr="00BD599D">
        <w:rPr>
          <w:spacing w:val="6"/>
          <w:sz w:val="24"/>
          <w:szCs w:val="24"/>
        </w:rPr>
        <w:t xml:space="preserve"> </w:t>
      </w:r>
      <w:r w:rsidRPr="00BD599D">
        <w:rPr>
          <w:sz w:val="24"/>
          <w:szCs w:val="24"/>
        </w:rPr>
        <w:t>below</w:t>
      </w:r>
      <w:r w:rsidRPr="00BD599D">
        <w:rPr>
          <w:spacing w:val="5"/>
          <w:sz w:val="24"/>
          <w:szCs w:val="24"/>
        </w:rPr>
        <w:t xml:space="preserve"> </w:t>
      </w:r>
      <w:r w:rsidRPr="00BD599D">
        <w:rPr>
          <w:sz w:val="24"/>
          <w:szCs w:val="24"/>
        </w:rPr>
        <w:t>in</w:t>
      </w:r>
      <w:r w:rsidRPr="00BD599D" w:rsidR="004376C0">
        <w:rPr>
          <w:sz w:val="24"/>
          <w:szCs w:val="24"/>
        </w:rPr>
        <w:t xml:space="preserve"> </w:t>
      </w:r>
      <w:r w:rsidRPr="00BD599D">
        <w:rPr>
          <w:sz w:val="24"/>
          <w:szCs w:val="24"/>
        </w:rPr>
        <w:t>paragraphs</w:t>
      </w:r>
      <w:r w:rsidRPr="00BD599D">
        <w:rPr>
          <w:spacing w:val="6"/>
          <w:sz w:val="24"/>
          <w:szCs w:val="24"/>
        </w:rPr>
        <w:t xml:space="preserve"> </w:t>
      </w:r>
      <w:r w:rsidRPr="00BD599D">
        <w:rPr>
          <w:sz w:val="24"/>
          <w:szCs w:val="24"/>
        </w:rPr>
        <w:t>(</w:t>
      </w:r>
      <w:r w:rsidRPr="00BD599D">
        <w:rPr>
          <w:sz w:val="24"/>
          <w:szCs w:val="24"/>
        </w:rPr>
        <w:t>i</w:t>
      </w:r>
      <w:r w:rsidRPr="00BD599D">
        <w:rPr>
          <w:sz w:val="24"/>
          <w:szCs w:val="24"/>
        </w:rPr>
        <w:t>)(1)(iv)(A)</w:t>
      </w:r>
      <w:r w:rsidRPr="00BD599D">
        <w:rPr>
          <w:spacing w:val="5"/>
          <w:sz w:val="24"/>
          <w:szCs w:val="24"/>
        </w:rPr>
        <w:t xml:space="preserve"> </w:t>
      </w:r>
      <w:r w:rsidRPr="00BD599D">
        <w:rPr>
          <w:sz w:val="24"/>
          <w:szCs w:val="24"/>
        </w:rPr>
        <w:t>through</w:t>
      </w:r>
      <w:r w:rsidRPr="00BD599D">
        <w:rPr>
          <w:spacing w:val="11"/>
          <w:sz w:val="24"/>
          <w:szCs w:val="24"/>
        </w:rPr>
        <w:t xml:space="preserve"> </w:t>
      </w:r>
      <w:r w:rsidRPr="00BD599D">
        <w:rPr>
          <w:sz w:val="24"/>
          <w:szCs w:val="24"/>
        </w:rPr>
        <w:t>(M)</w:t>
      </w:r>
      <w:r w:rsidRPr="00BD599D">
        <w:rPr>
          <w:spacing w:val="6"/>
          <w:sz w:val="24"/>
          <w:szCs w:val="24"/>
        </w:rPr>
        <w:t xml:space="preserve"> </w:t>
      </w:r>
      <w:r w:rsidRPr="00BD599D">
        <w:rPr>
          <w:sz w:val="24"/>
          <w:szCs w:val="24"/>
        </w:rPr>
        <w:t>of</w:t>
      </w:r>
      <w:r w:rsidRPr="00BD599D">
        <w:rPr>
          <w:spacing w:val="2"/>
          <w:sz w:val="24"/>
          <w:szCs w:val="24"/>
        </w:rPr>
        <w:t xml:space="preserve"> </w:t>
      </w:r>
      <w:r w:rsidRPr="00BD599D">
        <w:rPr>
          <w:sz w:val="24"/>
          <w:szCs w:val="24"/>
        </w:rPr>
        <w:t>this</w:t>
      </w:r>
      <w:r w:rsidRPr="00BD599D">
        <w:rPr>
          <w:spacing w:val="2"/>
          <w:sz w:val="24"/>
          <w:szCs w:val="24"/>
        </w:rPr>
        <w:t xml:space="preserve"> </w:t>
      </w:r>
      <w:r w:rsidRPr="00BD599D">
        <w:rPr>
          <w:sz w:val="24"/>
          <w:szCs w:val="24"/>
        </w:rPr>
        <w:t>section.</w:t>
      </w:r>
    </w:p>
    <w:p w:rsidR="00C901A9" w:rsidRPr="00220BC5" w:rsidP="00C901A9" w14:paraId="6C5491A9" w14:textId="77777777">
      <w:pPr>
        <w:pStyle w:val="BodyText"/>
        <w:ind w:right="1040"/>
        <w:rPr>
          <w:color w:val="7030A0"/>
          <w:sz w:val="24"/>
          <w:szCs w:val="24"/>
          <w:u w:val="single" w:color="B5082D"/>
        </w:rPr>
      </w:pPr>
    </w:p>
    <w:p w:rsidR="009570A6" w:rsidRPr="00BD599D" w:rsidP="00781E36" w14:paraId="3EDABDFA" w14:textId="5A9BAC5F">
      <w:pPr>
        <w:pStyle w:val="BodyText"/>
        <w:ind w:right="1040" w:firstLine="72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w:t>
      </w:r>
      <w:r w:rsidRPr="00BD599D">
        <w:rPr>
          <w:i/>
          <w:iCs/>
          <w:sz w:val="24"/>
          <w:szCs w:val="24"/>
        </w:rPr>
        <w:t>(A)</w:t>
      </w:r>
      <w:r w:rsidRPr="00BD599D">
        <w:rPr>
          <w:spacing w:val="5"/>
          <w:sz w:val="24"/>
          <w:szCs w:val="24"/>
        </w:rPr>
        <w:t xml:space="preserve"> </w:t>
      </w:r>
      <w:r w:rsidRPr="00BD599D">
        <w:rPr>
          <w:sz w:val="24"/>
          <w:szCs w:val="24"/>
        </w:rPr>
        <w:t>From</w:t>
      </w:r>
      <w:r w:rsidRPr="00BD599D">
        <w:rPr>
          <w:spacing w:val="2"/>
          <w:sz w:val="24"/>
          <w:szCs w:val="24"/>
        </w:rPr>
        <w:t xml:space="preserve"> </w:t>
      </w:r>
      <w:r w:rsidRPr="00BD599D">
        <w:rPr>
          <w:sz w:val="24"/>
          <w:szCs w:val="24"/>
        </w:rPr>
        <w:t>0.1%</w:t>
      </w:r>
      <w:r w:rsidRPr="00BD599D">
        <w:rPr>
          <w:spacing w:val="5"/>
          <w:sz w:val="24"/>
          <w:szCs w:val="24"/>
        </w:rPr>
        <w:t xml:space="preserve"> </w:t>
      </w:r>
      <w:r w:rsidRPr="00BD599D">
        <w:rPr>
          <w:sz w:val="24"/>
          <w:szCs w:val="24"/>
        </w:rPr>
        <w:t xml:space="preserve">to </w:t>
      </w:r>
      <w:r w:rsidRPr="00BD599D">
        <w:rPr>
          <w:sz w:val="24"/>
          <w:szCs w:val="24"/>
        </w:rPr>
        <w:t>1%;</w:t>
      </w:r>
    </w:p>
    <w:p w:rsidR="009570A6" w:rsidRPr="00BD599D" w:rsidP="00781E36" w14:paraId="4BCBBA24" w14:textId="704FC253">
      <w:pPr>
        <w:pStyle w:val="BodyText"/>
        <w:spacing w:before="95"/>
        <w:ind w:right="1040" w:firstLine="72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w:t>
      </w:r>
      <w:r w:rsidRPr="00BD599D">
        <w:rPr>
          <w:i/>
          <w:iCs/>
          <w:sz w:val="24"/>
          <w:szCs w:val="24"/>
        </w:rPr>
        <w:t>(B)</w:t>
      </w:r>
      <w:r w:rsidRPr="00BD599D">
        <w:rPr>
          <w:i/>
          <w:iCs/>
          <w:spacing w:val="6"/>
          <w:sz w:val="24"/>
          <w:szCs w:val="24"/>
        </w:rPr>
        <w:t xml:space="preserve"> </w:t>
      </w:r>
      <w:r w:rsidRPr="00BD599D">
        <w:rPr>
          <w:sz w:val="24"/>
          <w:szCs w:val="24"/>
        </w:rPr>
        <w:t>From</w:t>
      </w:r>
      <w:r w:rsidRPr="00BD599D">
        <w:rPr>
          <w:spacing w:val="2"/>
          <w:sz w:val="24"/>
          <w:szCs w:val="24"/>
        </w:rPr>
        <w:t xml:space="preserve"> </w:t>
      </w:r>
      <w:r w:rsidRPr="00BD599D">
        <w:rPr>
          <w:sz w:val="24"/>
          <w:szCs w:val="24"/>
        </w:rPr>
        <w:t>0.5%</w:t>
      </w:r>
      <w:r w:rsidRPr="00BD599D">
        <w:rPr>
          <w:spacing w:val="3"/>
          <w:sz w:val="24"/>
          <w:szCs w:val="24"/>
        </w:rPr>
        <w:t xml:space="preserve"> </w:t>
      </w:r>
      <w:r w:rsidRPr="00BD599D">
        <w:rPr>
          <w:sz w:val="24"/>
          <w:szCs w:val="24"/>
        </w:rPr>
        <w:t>to</w:t>
      </w:r>
      <w:r w:rsidRPr="00BD599D">
        <w:rPr>
          <w:spacing w:val="1"/>
          <w:sz w:val="24"/>
          <w:szCs w:val="24"/>
        </w:rPr>
        <w:t xml:space="preserve"> </w:t>
      </w:r>
      <w:r w:rsidRPr="00BD599D">
        <w:rPr>
          <w:sz w:val="24"/>
          <w:szCs w:val="24"/>
        </w:rPr>
        <w:t>1.5%;</w:t>
      </w:r>
    </w:p>
    <w:p w:rsidR="009570A6" w:rsidRPr="00BD599D" w:rsidP="00BD599D" w14:paraId="5529719D" w14:textId="0BC6365A">
      <w:pPr>
        <w:tabs>
          <w:tab w:val="left" w:pos="720"/>
        </w:tabs>
        <w:overflowPunct/>
        <w:adjustRightInd/>
        <w:spacing w:before="95"/>
        <w:ind w:right="1040"/>
        <w:rPr>
          <w:sz w:val="24"/>
          <w:szCs w:val="24"/>
        </w:rPr>
      </w:pPr>
      <w:r w:rsidRPr="00BD599D">
        <w:rPr>
          <w:i/>
          <w:sz w:val="24"/>
          <w:szCs w:val="24"/>
        </w:rPr>
        <w:tab/>
      </w:r>
      <w:r w:rsidRPr="00BD599D" w:rsidR="00CD3A80">
        <w:rPr>
          <w:i/>
          <w:sz w:val="24"/>
          <w:szCs w:val="24"/>
        </w:rPr>
        <w:t>§1910.1200(</w:t>
      </w:r>
      <w:r w:rsidRPr="00BD599D" w:rsidR="00CD3A80">
        <w:rPr>
          <w:i/>
          <w:sz w:val="24"/>
          <w:szCs w:val="24"/>
        </w:rPr>
        <w:t>i</w:t>
      </w:r>
      <w:r w:rsidRPr="00BD599D" w:rsidR="00CD3A80">
        <w:rPr>
          <w:i/>
          <w:sz w:val="24"/>
          <w:szCs w:val="24"/>
        </w:rPr>
        <w:t>)(1)</w:t>
      </w:r>
      <w:r w:rsidRPr="00BD599D" w:rsidR="00CD3A80">
        <w:rPr>
          <w:i/>
          <w:iCs/>
          <w:sz w:val="24"/>
          <w:szCs w:val="24"/>
          <w:lang w:val="en"/>
        </w:rPr>
        <w:t xml:space="preserve">(iv)(C) </w:t>
      </w:r>
      <w:r w:rsidRPr="00BD599D">
        <w:rPr>
          <w:sz w:val="24"/>
          <w:szCs w:val="24"/>
        </w:rPr>
        <w:t>From</w:t>
      </w:r>
      <w:r w:rsidRPr="00BD599D">
        <w:rPr>
          <w:spacing w:val="2"/>
          <w:sz w:val="24"/>
          <w:szCs w:val="24"/>
        </w:rPr>
        <w:t xml:space="preserve"> </w:t>
      </w:r>
      <w:r w:rsidRPr="00BD599D">
        <w:rPr>
          <w:sz w:val="24"/>
          <w:szCs w:val="24"/>
        </w:rPr>
        <w:t>1%</w:t>
      </w:r>
      <w:r w:rsidRPr="00BD599D">
        <w:rPr>
          <w:spacing w:val="6"/>
          <w:sz w:val="24"/>
          <w:szCs w:val="24"/>
        </w:rPr>
        <w:t xml:space="preserve"> </w:t>
      </w:r>
      <w:r w:rsidRPr="00BD599D">
        <w:rPr>
          <w:sz w:val="24"/>
          <w:szCs w:val="24"/>
        </w:rPr>
        <w:t>to</w:t>
      </w:r>
      <w:r w:rsidRPr="00BD599D">
        <w:rPr>
          <w:spacing w:val="2"/>
          <w:sz w:val="24"/>
          <w:szCs w:val="24"/>
        </w:rPr>
        <w:t xml:space="preserve"> </w:t>
      </w:r>
      <w:r w:rsidRPr="00BD599D">
        <w:rPr>
          <w:sz w:val="24"/>
          <w:szCs w:val="24"/>
        </w:rPr>
        <w:t>5%;</w:t>
      </w:r>
    </w:p>
    <w:p w:rsidR="009570A6" w:rsidRPr="00BD599D" w:rsidP="00DD3ABD" w14:paraId="31F87D29" w14:textId="77777777">
      <w:pPr>
        <w:pStyle w:val="BodyText"/>
        <w:spacing w:before="10"/>
        <w:ind w:right="1040"/>
        <w:rPr>
          <w:sz w:val="24"/>
          <w:szCs w:val="24"/>
        </w:rPr>
      </w:pPr>
    </w:p>
    <w:p w:rsidR="009570A6" w:rsidRPr="00BD599D" w:rsidP="00BD599D" w14:paraId="24E661AB" w14:textId="6E31AEB6">
      <w:pPr>
        <w:pStyle w:val="ListParagraph"/>
        <w:tabs>
          <w:tab w:val="left" w:pos="720"/>
        </w:tabs>
        <w:overflowPunct/>
        <w:adjustRightInd/>
        <w:spacing w:before="95"/>
        <w:ind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w:t>
      </w:r>
      <w:r w:rsidRPr="00BD599D" w:rsidR="00102C3F">
        <w:rPr>
          <w:i/>
          <w:iCs/>
          <w:sz w:val="24"/>
          <w:szCs w:val="24"/>
          <w:lang w:val="en"/>
        </w:rPr>
        <w:t xml:space="preserve">(D) </w:t>
      </w:r>
      <w:r w:rsidRPr="00BD599D">
        <w:rPr>
          <w:sz w:val="24"/>
          <w:szCs w:val="24"/>
        </w:rPr>
        <w:t>From 3%</w:t>
      </w:r>
      <w:r w:rsidRPr="00BD599D">
        <w:rPr>
          <w:spacing w:val="6"/>
          <w:sz w:val="24"/>
          <w:szCs w:val="24"/>
        </w:rPr>
        <w:t xml:space="preserve"> </w:t>
      </w:r>
      <w:r w:rsidRPr="00BD599D">
        <w:rPr>
          <w:sz w:val="24"/>
          <w:szCs w:val="24"/>
        </w:rPr>
        <w:t xml:space="preserve">to </w:t>
      </w:r>
      <w:r w:rsidRPr="00BD599D">
        <w:rPr>
          <w:sz w:val="24"/>
          <w:szCs w:val="24"/>
        </w:rPr>
        <w:t>7%;</w:t>
      </w:r>
    </w:p>
    <w:p w:rsidR="009570A6" w:rsidRPr="00BD599D" w:rsidP="00DD3ABD" w14:paraId="353D9372" w14:textId="77777777">
      <w:pPr>
        <w:pStyle w:val="BodyText"/>
        <w:spacing w:before="9"/>
        <w:ind w:right="1040"/>
        <w:rPr>
          <w:sz w:val="24"/>
          <w:szCs w:val="24"/>
        </w:rPr>
      </w:pPr>
    </w:p>
    <w:p w:rsidR="009570A6" w:rsidRPr="00BD599D" w:rsidP="00BD599D" w14:paraId="164E4A58" w14:textId="0D955357">
      <w:pPr>
        <w:pStyle w:val="ListParagraph"/>
        <w:tabs>
          <w:tab w:val="left" w:pos="720"/>
        </w:tabs>
        <w:overflowPunct/>
        <w:adjustRightInd/>
        <w:spacing w:before="95"/>
        <w:ind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(iv)(E)</w:t>
      </w:r>
      <w:r w:rsidRPr="00BD599D">
        <w:rPr>
          <w:sz w:val="24"/>
          <w:szCs w:val="24"/>
          <w:lang w:val="en"/>
        </w:rPr>
        <w:t xml:space="preserve"> </w:t>
      </w:r>
      <w:r w:rsidRPr="00BD599D">
        <w:rPr>
          <w:sz w:val="24"/>
          <w:szCs w:val="24"/>
        </w:rPr>
        <w:t>From</w:t>
      </w:r>
      <w:r w:rsidRPr="00BD599D">
        <w:rPr>
          <w:spacing w:val="2"/>
          <w:sz w:val="24"/>
          <w:szCs w:val="24"/>
        </w:rPr>
        <w:t xml:space="preserve"> </w:t>
      </w:r>
      <w:r w:rsidRPr="00BD599D">
        <w:rPr>
          <w:sz w:val="24"/>
          <w:szCs w:val="24"/>
        </w:rPr>
        <w:t>5%</w:t>
      </w:r>
      <w:r w:rsidRPr="00BD599D">
        <w:rPr>
          <w:spacing w:val="7"/>
          <w:sz w:val="24"/>
          <w:szCs w:val="24"/>
        </w:rPr>
        <w:t xml:space="preserve"> </w:t>
      </w:r>
      <w:r w:rsidRPr="00BD599D">
        <w:rPr>
          <w:sz w:val="24"/>
          <w:szCs w:val="24"/>
        </w:rPr>
        <w:t>to</w:t>
      </w:r>
      <w:r w:rsidRPr="00BD599D">
        <w:rPr>
          <w:spacing w:val="2"/>
          <w:sz w:val="24"/>
          <w:szCs w:val="24"/>
        </w:rPr>
        <w:t xml:space="preserve"> </w:t>
      </w:r>
      <w:r w:rsidRPr="00BD599D">
        <w:rPr>
          <w:sz w:val="24"/>
          <w:szCs w:val="24"/>
        </w:rPr>
        <w:t>10%;</w:t>
      </w:r>
    </w:p>
    <w:p w:rsidR="009570A6" w:rsidRPr="00781E36" w:rsidP="009D047E" w14:paraId="5486C1D9" w14:textId="77777777">
      <w:pPr>
        <w:pStyle w:val="BodyText"/>
        <w:spacing w:before="10"/>
        <w:ind w:right="1040"/>
        <w:rPr>
          <w:color w:val="7030A0"/>
          <w:sz w:val="24"/>
          <w:szCs w:val="24"/>
        </w:rPr>
      </w:pPr>
    </w:p>
    <w:p w:rsidR="009570A6" w:rsidRPr="00BD599D" w:rsidP="00BD599D" w14:paraId="50C77E4B" w14:textId="4190C5A5">
      <w:pPr>
        <w:pStyle w:val="ListParagraph"/>
        <w:tabs>
          <w:tab w:val="left" w:pos="810"/>
        </w:tabs>
        <w:overflowPunct/>
        <w:adjustRightInd/>
        <w:spacing w:before="94"/>
        <w:ind w:right="1040"/>
        <w:contextualSpacing w:val="0"/>
        <w:rPr>
          <w:sz w:val="24"/>
          <w:szCs w:val="24"/>
        </w:rPr>
      </w:pPr>
      <w:r w:rsidRPr="00BD599D">
        <w:rPr>
          <w:i/>
          <w:color w:val="000000"/>
          <w:sz w:val="24"/>
          <w:szCs w:val="24"/>
        </w:rPr>
        <w:t>§1910.1200(</w:t>
      </w:r>
      <w:r w:rsidRPr="00BD599D">
        <w:rPr>
          <w:i/>
          <w:color w:val="000000"/>
          <w:sz w:val="24"/>
          <w:szCs w:val="24"/>
        </w:rPr>
        <w:t>i</w:t>
      </w:r>
      <w:r w:rsidRPr="00BD599D">
        <w:rPr>
          <w:i/>
          <w:color w:val="000000"/>
          <w:sz w:val="24"/>
          <w:szCs w:val="24"/>
        </w:rPr>
        <w:t>)(1)</w:t>
      </w:r>
      <w:r w:rsidRPr="00BD599D">
        <w:rPr>
          <w:i/>
          <w:iCs/>
          <w:sz w:val="24"/>
          <w:szCs w:val="24"/>
          <w:lang w:val="en"/>
        </w:rPr>
        <w:t>(iv)</w:t>
      </w:r>
      <w:r w:rsidRPr="00BD599D" w:rsidR="00832DA3">
        <w:rPr>
          <w:i/>
          <w:iCs/>
          <w:sz w:val="24"/>
          <w:szCs w:val="24"/>
          <w:lang w:val="en"/>
        </w:rPr>
        <w:t>(F)</w:t>
      </w:r>
      <w:r w:rsidRPr="00BD599D" w:rsidR="00832DA3">
        <w:rPr>
          <w:sz w:val="24"/>
          <w:szCs w:val="24"/>
          <w:lang w:val="en"/>
        </w:rPr>
        <w:t xml:space="preserve"> </w:t>
      </w:r>
      <w:r w:rsidRPr="00BD599D">
        <w:rPr>
          <w:sz w:val="24"/>
          <w:szCs w:val="24"/>
        </w:rPr>
        <w:t>From</w:t>
      </w:r>
      <w:r w:rsidRPr="00BD599D">
        <w:rPr>
          <w:spacing w:val="2"/>
          <w:sz w:val="24"/>
          <w:szCs w:val="24"/>
        </w:rPr>
        <w:t xml:space="preserve"> </w:t>
      </w:r>
      <w:r w:rsidRPr="00BD599D">
        <w:rPr>
          <w:sz w:val="24"/>
          <w:szCs w:val="24"/>
        </w:rPr>
        <w:t>7%</w:t>
      </w:r>
      <w:r w:rsidRPr="00BD599D">
        <w:rPr>
          <w:spacing w:val="7"/>
          <w:sz w:val="24"/>
          <w:szCs w:val="24"/>
        </w:rPr>
        <w:t xml:space="preserve"> </w:t>
      </w:r>
      <w:r w:rsidRPr="00BD599D">
        <w:rPr>
          <w:sz w:val="24"/>
          <w:szCs w:val="24"/>
        </w:rPr>
        <w:t>to</w:t>
      </w:r>
      <w:r w:rsidRPr="00BD599D">
        <w:rPr>
          <w:spacing w:val="2"/>
          <w:sz w:val="24"/>
          <w:szCs w:val="24"/>
        </w:rPr>
        <w:t xml:space="preserve"> </w:t>
      </w:r>
      <w:r w:rsidRPr="00BD599D">
        <w:rPr>
          <w:sz w:val="24"/>
          <w:szCs w:val="24"/>
        </w:rPr>
        <w:t>13%;</w:t>
      </w:r>
    </w:p>
    <w:p w:rsidR="009570A6" w:rsidRPr="00BD599D" w:rsidP="00E563BC" w14:paraId="1044E2A2" w14:textId="77777777">
      <w:pPr>
        <w:pStyle w:val="BodyText"/>
        <w:spacing w:before="10"/>
        <w:ind w:right="1040"/>
        <w:rPr>
          <w:sz w:val="24"/>
          <w:szCs w:val="24"/>
        </w:rPr>
      </w:pPr>
    </w:p>
    <w:p w:rsidR="009570A6" w:rsidRPr="00BD599D" w:rsidP="00BD599D" w14:paraId="3DB71D18" w14:textId="4ABFBA59">
      <w:pPr>
        <w:pStyle w:val="ListParagraph"/>
        <w:tabs>
          <w:tab w:val="left" w:pos="720"/>
        </w:tabs>
        <w:overflowPunct/>
        <w:adjustRightInd/>
        <w:spacing w:before="95"/>
        <w:ind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w:t>
      </w:r>
      <w:r w:rsidRPr="00BD599D" w:rsidR="00CA1129">
        <w:rPr>
          <w:i/>
          <w:iCs/>
          <w:sz w:val="24"/>
          <w:szCs w:val="24"/>
          <w:lang w:val="en"/>
        </w:rPr>
        <w:t>(G)</w:t>
      </w:r>
      <w:r w:rsidRPr="00BD599D">
        <w:rPr>
          <w:sz w:val="24"/>
          <w:szCs w:val="24"/>
          <w:lang w:val="en"/>
        </w:rPr>
        <w:t xml:space="preserve"> </w:t>
      </w:r>
      <w:r w:rsidRPr="00BD599D">
        <w:rPr>
          <w:sz w:val="24"/>
          <w:szCs w:val="24"/>
        </w:rPr>
        <w:t>From</w:t>
      </w:r>
      <w:r w:rsidRPr="00BD599D">
        <w:rPr>
          <w:spacing w:val="1"/>
          <w:sz w:val="24"/>
          <w:szCs w:val="24"/>
        </w:rPr>
        <w:t xml:space="preserve"> </w:t>
      </w:r>
      <w:r w:rsidRPr="00BD599D">
        <w:rPr>
          <w:sz w:val="24"/>
          <w:szCs w:val="24"/>
        </w:rPr>
        <w:t>10%</w:t>
      </w:r>
      <w:r w:rsidRPr="00BD599D">
        <w:rPr>
          <w:spacing w:val="6"/>
          <w:sz w:val="24"/>
          <w:szCs w:val="24"/>
        </w:rPr>
        <w:t xml:space="preserve"> </w:t>
      </w:r>
      <w:r w:rsidRPr="00BD599D">
        <w:rPr>
          <w:sz w:val="24"/>
          <w:szCs w:val="24"/>
        </w:rPr>
        <w:t>to</w:t>
      </w:r>
      <w:r w:rsidRPr="00BD599D">
        <w:rPr>
          <w:spacing w:val="1"/>
          <w:sz w:val="24"/>
          <w:szCs w:val="24"/>
        </w:rPr>
        <w:t xml:space="preserve"> </w:t>
      </w:r>
      <w:r w:rsidRPr="00BD599D">
        <w:rPr>
          <w:sz w:val="24"/>
          <w:szCs w:val="24"/>
        </w:rPr>
        <w:t>30%;</w:t>
      </w:r>
    </w:p>
    <w:p w:rsidR="009570A6" w:rsidRPr="00BD599D" w:rsidP="004D1385" w14:paraId="34E3FD0F" w14:textId="77777777">
      <w:pPr>
        <w:pStyle w:val="BodyText"/>
        <w:spacing w:before="10"/>
        <w:ind w:right="1040"/>
        <w:rPr>
          <w:sz w:val="24"/>
          <w:szCs w:val="24"/>
        </w:rPr>
      </w:pPr>
    </w:p>
    <w:p w:rsidR="009570A6" w:rsidRPr="00BD599D" w:rsidP="00BD599D" w14:paraId="296FEC09" w14:textId="3B8C6650">
      <w:pPr>
        <w:tabs>
          <w:tab w:val="left" w:pos="720"/>
        </w:tabs>
        <w:overflowPunct/>
        <w:adjustRightInd/>
        <w:spacing w:before="94"/>
        <w:ind w:left="514" w:right="1040"/>
        <w:rPr>
          <w:sz w:val="24"/>
          <w:szCs w:val="24"/>
        </w:rPr>
      </w:pPr>
      <w:r w:rsidRPr="00BD599D">
        <w:rPr>
          <w:i/>
          <w:sz w:val="24"/>
          <w:szCs w:val="24"/>
        </w:rPr>
        <w:tab/>
        <w:t>§1910.1200(</w:t>
      </w:r>
      <w:r w:rsidRPr="00BD599D">
        <w:rPr>
          <w:i/>
          <w:sz w:val="24"/>
          <w:szCs w:val="24"/>
        </w:rPr>
        <w:t>i</w:t>
      </w:r>
      <w:r w:rsidRPr="00BD599D">
        <w:rPr>
          <w:i/>
          <w:sz w:val="24"/>
          <w:szCs w:val="24"/>
        </w:rPr>
        <w:t>)(1)</w:t>
      </w:r>
      <w:r w:rsidRPr="00BD599D">
        <w:rPr>
          <w:i/>
          <w:iCs/>
          <w:sz w:val="24"/>
          <w:szCs w:val="24"/>
          <w:lang w:val="en"/>
        </w:rPr>
        <w:t>(iv)(H)</w:t>
      </w:r>
      <w:r w:rsidRPr="00BD599D">
        <w:rPr>
          <w:sz w:val="24"/>
          <w:szCs w:val="24"/>
          <w:lang w:val="en"/>
        </w:rPr>
        <w:t xml:space="preserve"> </w:t>
      </w:r>
      <w:r w:rsidRPr="00BD599D">
        <w:rPr>
          <w:sz w:val="24"/>
          <w:szCs w:val="24"/>
        </w:rPr>
        <w:t>From</w:t>
      </w:r>
      <w:r w:rsidRPr="00BD599D">
        <w:rPr>
          <w:spacing w:val="1"/>
          <w:sz w:val="24"/>
          <w:szCs w:val="24"/>
        </w:rPr>
        <w:t xml:space="preserve"> </w:t>
      </w:r>
      <w:r w:rsidRPr="00BD599D">
        <w:rPr>
          <w:sz w:val="24"/>
          <w:szCs w:val="24"/>
        </w:rPr>
        <w:t>15%</w:t>
      </w:r>
      <w:r w:rsidRPr="00BD599D">
        <w:rPr>
          <w:spacing w:val="6"/>
          <w:sz w:val="24"/>
          <w:szCs w:val="24"/>
        </w:rPr>
        <w:t xml:space="preserve"> </w:t>
      </w:r>
      <w:r w:rsidRPr="00BD599D">
        <w:rPr>
          <w:sz w:val="24"/>
          <w:szCs w:val="24"/>
        </w:rPr>
        <w:t>to</w:t>
      </w:r>
      <w:r w:rsidRPr="00BD599D">
        <w:rPr>
          <w:spacing w:val="1"/>
          <w:sz w:val="24"/>
          <w:szCs w:val="24"/>
        </w:rPr>
        <w:t xml:space="preserve"> </w:t>
      </w:r>
      <w:r w:rsidRPr="00BD599D">
        <w:rPr>
          <w:sz w:val="24"/>
          <w:szCs w:val="24"/>
        </w:rPr>
        <w:t>40%;</w:t>
      </w:r>
    </w:p>
    <w:p w:rsidR="009570A6" w:rsidRPr="00BD599D" w:rsidP="00A074DD" w14:paraId="45BEE8F7" w14:textId="77777777">
      <w:pPr>
        <w:pStyle w:val="BodyText"/>
        <w:spacing w:before="10"/>
        <w:ind w:right="1040"/>
        <w:rPr>
          <w:sz w:val="24"/>
          <w:szCs w:val="24"/>
        </w:rPr>
      </w:pPr>
    </w:p>
    <w:p w:rsidR="009570A6" w:rsidRPr="00BD599D" w14:paraId="47FC2173" w14:textId="13F54411">
      <w:pPr>
        <w:pStyle w:val="ListParagraph"/>
        <w:tabs>
          <w:tab w:val="left" w:pos="741"/>
        </w:tabs>
        <w:overflowPunct/>
        <w:adjustRightInd/>
        <w:spacing w:before="95"/>
        <w:ind w:left="740"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(iv)(I)</w:t>
      </w:r>
      <w:r w:rsidRPr="00BD599D">
        <w:rPr>
          <w:sz w:val="24"/>
          <w:szCs w:val="24"/>
          <w:lang w:val="en"/>
        </w:rPr>
        <w:t xml:space="preserve"> </w:t>
      </w:r>
      <w:r w:rsidRPr="00BD599D">
        <w:rPr>
          <w:sz w:val="24"/>
          <w:szCs w:val="24"/>
        </w:rPr>
        <w:t>From</w:t>
      </w:r>
      <w:r w:rsidRPr="00BD599D">
        <w:rPr>
          <w:spacing w:val="4"/>
          <w:sz w:val="24"/>
          <w:szCs w:val="24"/>
        </w:rPr>
        <w:t xml:space="preserve"> </w:t>
      </w:r>
      <w:r w:rsidRPr="00BD599D">
        <w:rPr>
          <w:sz w:val="24"/>
          <w:szCs w:val="24"/>
        </w:rPr>
        <w:t>30%</w:t>
      </w:r>
      <w:r w:rsidRPr="00BD599D">
        <w:rPr>
          <w:spacing w:val="9"/>
          <w:sz w:val="24"/>
          <w:szCs w:val="24"/>
        </w:rPr>
        <w:t xml:space="preserve"> </w:t>
      </w:r>
      <w:r w:rsidRPr="00BD599D">
        <w:rPr>
          <w:sz w:val="24"/>
          <w:szCs w:val="24"/>
        </w:rPr>
        <w:t>to</w:t>
      </w:r>
      <w:r w:rsidRPr="00BD599D">
        <w:rPr>
          <w:spacing w:val="3"/>
          <w:sz w:val="24"/>
          <w:szCs w:val="24"/>
        </w:rPr>
        <w:t xml:space="preserve"> </w:t>
      </w:r>
      <w:r w:rsidRPr="00BD599D">
        <w:rPr>
          <w:sz w:val="24"/>
          <w:szCs w:val="24"/>
        </w:rPr>
        <w:t>60%;</w:t>
      </w:r>
    </w:p>
    <w:p w:rsidR="009570A6" w:rsidRPr="00BD599D" w:rsidP="00B53287" w14:paraId="2E9C0AD3" w14:textId="77777777">
      <w:pPr>
        <w:pStyle w:val="BodyText"/>
        <w:spacing w:before="9"/>
        <w:ind w:right="1040"/>
        <w:rPr>
          <w:sz w:val="24"/>
          <w:szCs w:val="24"/>
        </w:rPr>
      </w:pPr>
    </w:p>
    <w:p w:rsidR="009570A6" w:rsidRPr="00BD599D" w:rsidP="00BD599D" w14:paraId="33581685" w14:textId="1B08D6B8">
      <w:pPr>
        <w:pStyle w:val="ListParagraph"/>
        <w:tabs>
          <w:tab w:val="left" w:pos="720"/>
          <w:tab w:val="left" w:pos="756"/>
        </w:tabs>
        <w:overflowPunct/>
        <w:adjustRightInd/>
        <w:spacing w:before="95"/>
        <w:ind w:left="755"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(iv)(J)</w:t>
      </w:r>
      <w:r w:rsidRPr="00BD599D">
        <w:rPr>
          <w:sz w:val="24"/>
          <w:szCs w:val="24"/>
          <w:lang w:val="en"/>
        </w:rPr>
        <w:t xml:space="preserve"> </w:t>
      </w:r>
      <w:r w:rsidRPr="00BD599D">
        <w:rPr>
          <w:sz w:val="24"/>
          <w:szCs w:val="24"/>
        </w:rPr>
        <w:t>From</w:t>
      </w:r>
      <w:r w:rsidRPr="00BD599D">
        <w:rPr>
          <w:spacing w:val="3"/>
          <w:sz w:val="24"/>
          <w:szCs w:val="24"/>
        </w:rPr>
        <w:t xml:space="preserve"> </w:t>
      </w:r>
      <w:r w:rsidRPr="00BD599D">
        <w:rPr>
          <w:sz w:val="24"/>
          <w:szCs w:val="24"/>
        </w:rPr>
        <w:t>45%</w:t>
      </w:r>
      <w:r w:rsidRPr="00BD599D">
        <w:rPr>
          <w:spacing w:val="7"/>
          <w:sz w:val="24"/>
          <w:szCs w:val="24"/>
        </w:rPr>
        <w:t xml:space="preserve"> </w:t>
      </w:r>
      <w:r w:rsidRPr="00BD599D">
        <w:rPr>
          <w:sz w:val="24"/>
          <w:szCs w:val="24"/>
        </w:rPr>
        <w:t>to</w:t>
      </w:r>
      <w:r w:rsidRPr="00BD599D">
        <w:rPr>
          <w:spacing w:val="2"/>
          <w:sz w:val="24"/>
          <w:szCs w:val="24"/>
        </w:rPr>
        <w:t xml:space="preserve"> </w:t>
      </w:r>
      <w:r w:rsidRPr="00BD599D">
        <w:rPr>
          <w:sz w:val="24"/>
          <w:szCs w:val="24"/>
        </w:rPr>
        <w:t>70%;</w:t>
      </w:r>
    </w:p>
    <w:p w:rsidR="009570A6" w:rsidRPr="00BD599D" w:rsidP="00B53287" w14:paraId="5564CC4C" w14:textId="77777777">
      <w:pPr>
        <w:pStyle w:val="BodyText"/>
        <w:spacing w:before="10"/>
        <w:ind w:right="1040"/>
        <w:rPr>
          <w:sz w:val="24"/>
          <w:szCs w:val="24"/>
        </w:rPr>
      </w:pPr>
    </w:p>
    <w:p w:rsidR="009570A6" w:rsidRPr="00BD599D" w:rsidP="00BD599D" w14:paraId="16FE739A" w14:textId="36519990">
      <w:pPr>
        <w:pStyle w:val="ListParagraph"/>
        <w:tabs>
          <w:tab w:val="left" w:pos="720"/>
        </w:tabs>
        <w:overflowPunct/>
        <w:adjustRightInd/>
        <w:spacing w:before="95"/>
        <w:ind w:right="1040"/>
        <w:contextualSpacing w:val="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(iv)(</w:t>
      </w:r>
      <w:r w:rsidRPr="00BD599D" w:rsidR="00FD7B37">
        <w:rPr>
          <w:i/>
          <w:iCs/>
          <w:sz w:val="24"/>
          <w:szCs w:val="24"/>
          <w:lang w:val="en"/>
        </w:rPr>
        <w:t>K)</w:t>
      </w:r>
      <w:r w:rsidRPr="00BD599D" w:rsidR="00FD7B37">
        <w:rPr>
          <w:sz w:val="24"/>
          <w:szCs w:val="24"/>
          <w:lang w:val="en"/>
        </w:rPr>
        <w:t xml:space="preserve"> </w:t>
      </w:r>
      <w:r w:rsidRPr="00BD599D">
        <w:rPr>
          <w:sz w:val="24"/>
          <w:szCs w:val="24"/>
        </w:rPr>
        <w:t>From 60%</w:t>
      </w:r>
      <w:r w:rsidRPr="00BD599D">
        <w:rPr>
          <w:spacing w:val="6"/>
          <w:sz w:val="24"/>
          <w:szCs w:val="24"/>
        </w:rPr>
        <w:t xml:space="preserve"> </w:t>
      </w:r>
      <w:r w:rsidRPr="00BD599D">
        <w:rPr>
          <w:sz w:val="24"/>
          <w:szCs w:val="24"/>
        </w:rPr>
        <w:t>to</w:t>
      </w:r>
      <w:r w:rsidRPr="00BD599D">
        <w:rPr>
          <w:spacing w:val="-1"/>
          <w:sz w:val="24"/>
          <w:szCs w:val="24"/>
        </w:rPr>
        <w:t xml:space="preserve"> </w:t>
      </w:r>
      <w:r w:rsidRPr="00BD599D">
        <w:rPr>
          <w:sz w:val="24"/>
          <w:szCs w:val="24"/>
        </w:rPr>
        <w:t>80%;</w:t>
      </w:r>
    </w:p>
    <w:p w:rsidR="009570A6" w:rsidRPr="00BD599D" w:rsidP="00B53287" w14:paraId="3AA59551" w14:textId="77777777">
      <w:pPr>
        <w:pStyle w:val="BodyText"/>
        <w:spacing w:before="9"/>
        <w:ind w:right="1040"/>
        <w:rPr>
          <w:sz w:val="24"/>
          <w:szCs w:val="24"/>
        </w:rPr>
      </w:pPr>
    </w:p>
    <w:p w:rsidR="009570A6" w:rsidRPr="00BD599D" w:rsidP="00BD599D" w14:paraId="7D5E0B01" w14:textId="5F1A72B6">
      <w:pPr>
        <w:tabs>
          <w:tab w:val="left" w:pos="720"/>
        </w:tabs>
        <w:overflowPunct/>
        <w:adjustRightInd/>
        <w:spacing w:before="95"/>
        <w:ind w:left="514" w:right="1040"/>
        <w:rPr>
          <w:sz w:val="24"/>
          <w:szCs w:val="24"/>
        </w:rPr>
      </w:pPr>
      <w:r w:rsidRPr="00BD599D">
        <w:rPr>
          <w:i/>
          <w:sz w:val="24"/>
          <w:szCs w:val="24"/>
        </w:rPr>
        <w:tab/>
      </w:r>
      <w:r w:rsidRPr="00BD599D" w:rsidR="00FD7B37">
        <w:rPr>
          <w:i/>
          <w:sz w:val="24"/>
          <w:szCs w:val="24"/>
        </w:rPr>
        <w:t>§1910.1200(</w:t>
      </w:r>
      <w:r w:rsidRPr="00BD599D" w:rsidR="00FD7B37">
        <w:rPr>
          <w:i/>
          <w:sz w:val="24"/>
          <w:szCs w:val="24"/>
        </w:rPr>
        <w:t>i</w:t>
      </w:r>
      <w:r w:rsidRPr="00BD599D" w:rsidR="00FD7B37">
        <w:rPr>
          <w:i/>
          <w:sz w:val="24"/>
          <w:szCs w:val="24"/>
        </w:rPr>
        <w:t>)(1)</w:t>
      </w:r>
      <w:r w:rsidRPr="00BD599D" w:rsidR="00FD7B37">
        <w:rPr>
          <w:i/>
          <w:iCs/>
          <w:sz w:val="24"/>
          <w:szCs w:val="24"/>
          <w:lang w:val="en"/>
        </w:rPr>
        <w:t>(iv)(</w:t>
      </w:r>
      <w:r w:rsidRPr="00BD599D">
        <w:rPr>
          <w:i/>
          <w:iCs/>
          <w:sz w:val="24"/>
          <w:szCs w:val="24"/>
          <w:lang w:val="en"/>
        </w:rPr>
        <w:t>L)</w:t>
      </w:r>
      <w:r w:rsidRPr="00BD599D">
        <w:rPr>
          <w:sz w:val="24"/>
          <w:szCs w:val="24"/>
          <w:lang w:val="en"/>
        </w:rPr>
        <w:t xml:space="preserve"> </w:t>
      </w:r>
      <w:r w:rsidRPr="00BD599D">
        <w:rPr>
          <w:sz w:val="24"/>
          <w:szCs w:val="24"/>
        </w:rPr>
        <w:t>From</w:t>
      </w:r>
      <w:r w:rsidRPr="00BD599D">
        <w:rPr>
          <w:spacing w:val="2"/>
          <w:sz w:val="24"/>
          <w:szCs w:val="24"/>
        </w:rPr>
        <w:t xml:space="preserve"> </w:t>
      </w:r>
      <w:r w:rsidRPr="00BD599D">
        <w:rPr>
          <w:sz w:val="24"/>
          <w:szCs w:val="24"/>
        </w:rPr>
        <w:t>65%</w:t>
      </w:r>
      <w:r w:rsidRPr="00BD599D">
        <w:rPr>
          <w:spacing w:val="7"/>
          <w:sz w:val="24"/>
          <w:szCs w:val="24"/>
        </w:rPr>
        <w:t xml:space="preserve"> </w:t>
      </w:r>
      <w:r w:rsidRPr="00BD599D">
        <w:rPr>
          <w:sz w:val="24"/>
          <w:szCs w:val="24"/>
        </w:rPr>
        <w:t>to</w:t>
      </w:r>
      <w:r w:rsidRPr="00BD599D">
        <w:rPr>
          <w:spacing w:val="1"/>
          <w:sz w:val="24"/>
          <w:szCs w:val="24"/>
        </w:rPr>
        <w:t xml:space="preserve"> </w:t>
      </w:r>
      <w:r w:rsidRPr="00BD599D">
        <w:rPr>
          <w:sz w:val="24"/>
          <w:szCs w:val="24"/>
        </w:rPr>
        <w:t>85%;</w:t>
      </w:r>
      <w:r w:rsidRPr="00BD599D">
        <w:rPr>
          <w:spacing w:val="3"/>
          <w:sz w:val="24"/>
          <w:szCs w:val="24"/>
        </w:rPr>
        <w:t xml:space="preserve"> </w:t>
      </w:r>
      <w:r w:rsidRPr="00BD599D">
        <w:rPr>
          <w:sz w:val="24"/>
          <w:szCs w:val="24"/>
        </w:rPr>
        <w:t>and</w:t>
      </w:r>
    </w:p>
    <w:p w:rsidR="009570A6" w:rsidRPr="00BD599D" w:rsidP="00FD7B37" w14:paraId="1BD9299D" w14:textId="77777777">
      <w:pPr>
        <w:pStyle w:val="BodyText"/>
        <w:spacing w:before="10"/>
        <w:ind w:right="1040"/>
        <w:rPr>
          <w:sz w:val="24"/>
          <w:szCs w:val="24"/>
        </w:rPr>
      </w:pPr>
    </w:p>
    <w:p w:rsidR="009570A6" w:rsidRPr="00BD599D" w:rsidP="00BD599D" w14:paraId="751E3670" w14:textId="0E0C807B">
      <w:pPr>
        <w:tabs>
          <w:tab w:val="left" w:pos="720"/>
          <w:tab w:val="left" w:pos="848"/>
        </w:tabs>
        <w:overflowPunct/>
        <w:adjustRightInd/>
        <w:spacing w:before="94"/>
        <w:ind w:right="1040"/>
        <w:rPr>
          <w:sz w:val="24"/>
          <w:szCs w:val="24"/>
        </w:rPr>
      </w:pPr>
      <w:r w:rsidRPr="00BD599D">
        <w:rPr>
          <w:i/>
          <w:sz w:val="24"/>
          <w:szCs w:val="24"/>
        </w:rPr>
        <w:tab/>
      </w:r>
      <w:r w:rsidRPr="00BD599D" w:rsidR="00CE78C3">
        <w:rPr>
          <w:i/>
          <w:sz w:val="24"/>
          <w:szCs w:val="24"/>
        </w:rPr>
        <w:t>§1910.1200(</w:t>
      </w:r>
      <w:r w:rsidRPr="00BD599D" w:rsidR="00CE78C3">
        <w:rPr>
          <w:i/>
          <w:sz w:val="24"/>
          <w:szCs w:val="24"/>
        </w:rPr>
        <w:t>i</w:t>
      </w:r>
      <w:r w:rsidRPr="00BD599D" w:rsidR="00CE78C3">
        <w:rPr>
          <w:i/>
          <w:sz w:val="24"/>
          <w:szCs w:val="24"/>
        </w:rPr>
        <w:t>)(1)</w:t>
      </w:r>
      <w:r w:rsidRPr="00BD599D" w:rsidR="00CE78C3">
        <w:rPr>
          <w:i/>
          <w:iCs/>
          <w:sz w:val="24"/>
          <w:szCs w:val="24"/>
          <w:lang w:val="en"/>
        </w:rPr>
        <w:t>(iv)(M)</w:t>
      </w:r>
      <w:r w:rsidRPr="00BD599D" w:rsidR="00A162EF">
        <w:rPr>
          <w:i/>
          <w:iCs/>
          <w:sz w:val="24"/>
          <w:szCs w:val="24"/>
          <w:lang w:val="en"/>
        </w:rPr>
        <w:t xml:space="preserve"> </w:t>
      </w:r>
      <w:r w:rsidRPr="00BD599D">
        <w:rPr>
          <w:sz w:val="24"/>
          <w:szCs w:val="24"/>
        </w:rPr>
        <w:t>From</w:t>
      </w:r>
      <w:r w:rsidRPr="00BD599D">
        <w:rPr>
          <w:spacing w:val="2"/>
          <w:sz w:val="24"/>
          <w:szCs w:val="24"/>
        </w:rPr>
        <w:t xml:space="preserve"> </w:t>
      </w:r>
      <w:r w:rsidRPr="00BD599D">
        <w:rPr>
          <w:sz w:val="24"/>
          <w:szCs w:val="24"/>
        </w:rPr>
        <w:t>80%</w:t>
      </w:r>
      <w:r w:rsidRPr="00BD599D">
        <w:rPr>
          <w:spacing w:val="6"/>
          <w:sz w:val="24"/>
          <w:szCs w:val="24"/>
        </w:rPr>
        <w:t xml:space="preserve"> </w:t>
      </w:r>
      <w:r w:rsidRPr="00BD599D">
        <w:rPr>
          <w:sz w:val="24"/>
          <w:szCs w:val="24"/>
        </w:rPr>
        <w:t>to</w:t>
      </w:r>
      <w:r w:rsidRPr="00BD599D">
        <w:rPr>
          <w:spacing w:val="1"/>
          <w:sz w:val="24"/>
          <w:szCs w:val="24"/>
        </w:rPr>
        <w:t xml:space="preserve"> </w:t>
      </w:r>
      <w:r w:rsidRPr="00BD599D">
        <w:rPr>
          <w:sz w:val="24"/>
          <w:szCs w:val="24"/>
        </w:rPr>
        <w:t>100%.</w:t>
      </w:r>
    </w:p>
    <w:p w:rsidR="009570A6" w:rsidRPr="00781E36" w:rsidP="002F3A6A" w14:paraId="231B4EB1" w14:textId="77777777">
      <w:pPr>
        <w:pStyle w:val="BodyText"/>
        <w:spacing w:before="2"/>
        <w:ind w:right="1040"/>
        <w:rPr>
          <w:color w:val="7030A0"/>
          <w:sz w:val="24"/>
          <w:szCs w:val="24"/>
        </w:rPr>
      </w:pPr>
    </w:p>
    <w:p w:rsidR="009570A6" w:rsidRPr="00BD599D" w:rsidP="00781E36" w14:paraId="056D8759" w14:textId="77B85473">
      <w:pPr>
        <w:tabs>
          <w:tab w:val="left" w:pos="1310"/>
        </w:tabs>
        <w:overflowPunct/>
        <w:adjustRightInd/>
        <w:spacing w:before="94"/>
        <w:ind w:right="104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(v)</w:t>
      </w:r>
      <w:r w:rsidRPr="00BD599D">
        <w:rPr>
          <w:sz w:val="24"/>
          <w:szCs w:val="24"/>
          <w:lang w:val="en"/>
        </w:rPr>
        <w:t xml:space="preserve"> </w:t>
      </w:r>
      <w:r w:rsidRPr="00BD599D" w:rsidR="005048C0">
        <w:rPr>
          <w:sz w:val="24"/>
          <w:szCs w:val="24"/>
        </w:rPr>
        <w:t xml:space="preserve">- </w:t>
      </w:r>
      <w:r w:rsidRPr="00BD599D">
        <w:rPr>
          <w:sz w:val="24"/>
          <w:szCs w:val="24"/>
        </w:rPr>
        <w:t>The</w:t>
      </w:r>
      <w:r w:rsidRPr="00BD599D">
        <w:rPr>
          <w:spacing w:val="6"/>
          <w:sz w:val="24"/>
          <w:szCs w:val="24"/>
        </w:rPr>
        <w:t xml:space="preserve"> </w:t>
      </w:r>
      <w:r w:rsidRPr="00BD599D">
        <w:rPr>
          <w:sz w:val="24"/>
          <w:szCs w:val="24"/>
        </w:rPr>
        <w:t>prescribed</w:t>
      </w:r>
      <w:r w:rsidRPr="00BD599D">
        <w:rPr>
          <w:spacing w:val="8"/>
          <w:sz w:val="24"/>
          <w:szCs w:val="24"/>
        </w:rPr>
        <w:t xml:space="preserve"> </w:t>
      </w:r>
      <w:r w:rsidRPr="00BD599D">
        <w:rPr>
          <w:sz w:val="24"/>
          <w:szCs w:val="24"/>
        </w:rPr>
        <w:t>concentration</w:t>
      </w:r>
      <w:r w:rsidRPr="00BD599D">
        <w:rPr>
          <w:spacing w:val="-4"/>
          <w:sz w:val="24"/>
          <w:szCs w:val="24"/>
        </w:rPr>
        <w:t xml:space="preserve"> </w:t>
      </w:r>
      <w:r w:rsidRPr="00BD599D">
        <w:rPr>
          <w:sz w:val="24"/>
          <w:szCs w:val="24"/>
        </w:rPr>
        <w:t>range</w:t>
      </w:r>
      <w:r w:rsidRPr="00BD599D">
        <w:rPr>
          <w:spacing w:val="10"/>
          <w:sz w:val="24"/>
          <w:szCs w:val="24"/>
        </w:rPr>
        <w:t xml:space="preserve"> </w:t>
      </w:r>
      <w:r w:rsidRPr="00BD599D">
        <w:rPr>
          <w:sz w:val="24"/>
          <w:szCs w:val="24"/>
        </w:rPr>
        <w:t>used</w:t>
      </w:r>
      <w:r w:rsidRPr="00BD599D">
        <w:rPr>
          <w:spacing w:val="11"/>
          <w:sz w:val="24"/>
          <w:szCs w:val="24"/>
        </w:rPr>
        <w:t xml:space="preserve"> </w:t>
      </w:r>
      <w:r w:rsidRPr="00BD599D">
        <w:rPr>
          <w:sz w:val="24"/>
          <w:szCs w:val="24"/>
        </w:rPr>
        <w:t>must</w:t>
      </w:r>
      <w:r w:rsidRPr="00BD599D">
        <w:rPr>
          <w:spacing w:val="11"/>
          <w:sz w:val="24"/>
          <w:szCs w:val="24"/>
        </w:rPr>
        <w:t xml:space="preserve"> </w:t>
      </w:r>
      <w:r w:rsidRPr="00BD599D">
        <w:rPr>
          <w:sz w:val="24"/>
          <w:szCs w:val="24"/>
        </w:rPr>
        <w:t>be</w:t>
      </w:r>
      <w:r w:rsidRPr="00BD599D">
        <w:rPr>
          <w:spacing w:val="10"/>
          <w:sz w:val="24"/>
          <w:szCs w:val="24"/>
        </w:rPr>
        <w:t xml:space="preserve"> </w:t>
      </w:r>
      <w:r w:rsidRPr="00BD599D">
        <w:rPr>
          <w:sz w:val="24"/>
          <w:szCs w:val="24"/>
        </w:rPr>
        <w:t>the</w:t>
      </w:r>
      <w:r w:rsidRPr="00BD599D">
        <w:rPr>
          <w:spacing w:val="10"/>
          <w:sz w:val="24"/>
          <w:szCs w:val="24"/>
        </w:rPr>
        <w:t xml:space="preserve"> </w:t>
      </w:r>
      <w:r w:rsidRPr="00BD599D">
        <w:rPr>
          <w:sz w:val="24"/>
          <w:szCs w:val="24"/>
        </w:rPr>
        <w:t>narrowest</w:t>
      </w:r>
      <w:r w:rsidRPr="00BD599D">
        <w:rPr>
          <w:spacing w:val="7"/>
          <w:sz w:val="24"/>
          <w:szCs w:val="24"/>
        </w:rPr>
        <w:t xml:space="preserve"> </w:t>
      </w:r>
      <w:r w:rsidRPr="00BD599D">
        <w:rPr>
          <w:sz w:val="24"/>
          <w:szCs w:val="24"/>
        </w:rPr>
        <w:t>range</w:t>
      </w:r>
      <w:r w:rsidRPr="00BD599D">
        <w:rPr>
          <w:spacing w:val="7"/>
          <w:sz w:val="24"/>
          <w:szCs w:val="24"/>
        </w:rPr>
        <w:t xml:space="preserve"> </w:t>
      </w:r>
      <w:r w:rsidRPr="00BD599D">
        <w:rPr>
          <w:sz w:val="24"/>
          <w:szCs w:val="24"/>
        </w:rPr>
        <w:t>possible.</w:t>
      </w:r>
      <w:r w:rsidRPr="00BD599D">
        <w:rPr>
          <w:spacing w:val="30"/>
          <w:sz w:val="24"/>
          <w:szCs w:val="24"/>
        </w:rPr>
        <w:t xml:space="preserve"> </w:t>
      </w:r>
      <w:r w:rsidRPr="00BD599D">
        <w:rPr>
          <w:sz w:val="24"/>
          <w:szCs w:val="24"/>
        </w:rPr>
        <w:t>If</w:t>
      </w:r>
      <w:r w:rsidRPr="00BD599D">
        <w:rPr>
          <w:spacing w:val="11"/>
          <w:sz w:val="24"/>
          <w:szCs w:val="24"/>
        </w:rPr>
        <w:t xml:space="preserve"> </w:t>
      </w:r>
      <w:r w:rsidRPr="00BD599D">
        <w:rPr>
          <w:sz w:val="24"/>
          <w:szCs w:val="24"/>
        </w:rPr>
        <w:t>the</w:t>
      </w:r>
      <w:r w:rsidRPr="00BD599D" w:rsidR="00EF472A">
        <w:rPr>
          <w:sz w:val="24"/>
          <w:szCs w:val="24"/>
        </w:rPr>
        <w:t xml:space="preserve"> </w:t>
      </w:r>
      <w:r w:rsidRPr="00BD599D">
        <w:rPr>
          <w:sz w:val="24"/>
          <w:szCs w:val="24"/>
        </w:rPr>
        <w:t>exact</w:t>
      </w:r>
      <w:r w:rsidRPr="00BD599D">
        <w:rPr>
          <w:spacing w:val="5"/>
          <w:sz w:val="24"/>
          <w:szCs w:val="24"/>
        </w:rPr>
        <w:t xml:space="preserve"> </w:t>
      </w:r>
      <w:r w:rsidRPr="00BD599D">
        <w:rPr>
          <w:sz w:val="24"/>
          <w:szCs w:val="24"/>
        </w:rPr>
        <w:t>concentration</w:t>
      </w:r>
      <w:r w:rsidRPr="00BD599D">
        <w:rPr>
          <w:spacing w:val="5"/>
          <w:sz w:val="24"/>
          <w:szCs w:val="24"/>
        </w:rPr>
        <w:t xml:space="preserve"> </w:t>
      </w:r>
      <w:r w:rsidRPr="00BD599D">
        <w:rPr>
          <w:sz w:val="24"/>
          <w:szCs w:val="24"/>
        </w:rPr>
        <w:t>range</w:t>
      </w:r>
      <w:r w:rsidRPr="00BD599D">
        <w:rPr>
          <w:spacing w:val="3"/>
          <w:sz w:val="24"/>
          <w:szCs w:val="24"/>
        </w:rPr>
        <w:t xml:space="preserve"> </w:t>
      </w:r>
      <w:r w:rsidRPr="00BD599D">
        <w:rPr>
          <w:sz w:val="24"/>
          <w:szCs w:val="24"/>
        </w:rPr>
        <w:t>falls</w:t>
      </w:r>
      <w:r w:rsidRPr="00BD599D">
        <w:rPr>
          <w:spacing w:val="8"/>
          <w:sz w:val="24"/>
          <w:szCs w:val="24"/>
        </w:rPr>
        <w:t xml:space="preserve"> </w:t>
      </w:r>
      <w:r w:rsidRPr="00BD599D">
        <w:rPr>
          <w:sz w:val="24"/>
          <w:szCs w:val="24"/>
        </w:rPr>
        <w:t>between</w:t>
      </w:r>
      <w:r w:rsidRPr="00BD599D">
        <w:rPr>
          <w:spacing w:val="5"/>
          <w:sz w:val="24"/>
          <w:szCs w:val="24"/>
        </w:rPr>
        <w:t xml:space="preserve"> </w:t>
      </w:r>
      <w:r w:rsidRPr="00BD599D">
        <w:rPr>
          <w:sz w:val="24"/>
          <w:szCs w:val="24"/>
        </w:rPr>
        <w:t>0.1%</w:t>
      </w:r>
      <w:r w:rsidRPr="00BD599D">
        <w:rPr>
          <w:spacing w:val="2"/>
          <w:sz w:val="24"/>
          <w:szCs w:val="24"/>
        </w:rPr>
        <w:t xml:space="preserve"> </w:t>
      </w:r>
      <w:r w:rsidRPr="00BD599D">
        <w:rPr>
          <w:sz w:val="24"/>
          <w:szCs w:val="24"/>
        </w:rPr>
        <w:t>and</w:t>
      </w:r>
      <w:r w:rsidRPr="00BD599D">
        <w:rPr>
          <w:spacing w:val="1"/>
          <w:sz w:val="24"/>
          <w:szCs w:val="24"/>
        </w:rPr>
        <w:t xml:space="preserve"> </w:t>
      </w:r>
      <w:r w:rsidRPr="00BD599D">
        <w:rPr>
          <w:sz w:val="24"/>
          <w:szCs w:val="24"/>
        </w:rPr>
        <w:t>30%</w:t>
      </w:r>
      <w:r w:rsidRPr="00BD599D">
        <w:rPr>
          <w:spacing w:val="6"/>
          <w:sz w:val="24"/>
          <w:szCs w:val="24"/>
        </w:rPr>
        <w:t xml:space="preserve"> </w:t>
      </w:r>
      <w:r w:rsidRPr="00BD599D">
        <w:rPr>
          <w:sz w:val="24"/>
          <w:szCs w:val="24"/>
        </w:rPr>
        <w:t>and</w:t>
      </w:r>
      <w:r w:rsidRPr="00BD599D">
        <w:rPr>
          <w:spacing w:val="5"/>
          <w:sz w:val="24"/>
          <w:szCs w:val="24"/>
        </w:rPr>
        <w:t xml:space="preserve"> </w:t>
      </w:r>
      <w:r w:rsidRPr="00BD599D">
        <w:rPr>
          <w:sz w:val="24"/>
          <w:szCs w:val="24"/>
        </w:rPr>
        <w:t>does</w:t>
      </w:r>
      <w:r w:rsidRPr="00BD599D">
        <w:rPr>
          <w:spacing w:val="7"/>
          <w:sz w:val="24"/>
          <w:szCs w:val="24"/>
        </w:rPr>
        <w:t xml:space="preserve"> </w:t>
      </w:r>
      <w:r w:rsidRPr="00BD599D">
        <w:rPr>
          <w:sz w:val="24"/>
          <w:szCs w:val="24"/>
        </w:rPr>
        <w:t>not</w:t>
      </w:r>
      <w:r w:rsidRPr="00BD599D">
        <w:rPr>
          <w:spacing w:val="5"/>
          <w:sz w:val="24"/>
          <w:szCs w:val="24"/>
        </w:rPr>
        <w:t xml:space="preserve"> </w:t>
      </w:r>
      <w:r w:rsidRPr="00BD599D">
        <w:rPr>
          <w:sz w:val="24"/>
          <w:szCs w:val="24"/>
        </w:rPr>
        <w:t>fit</w:t>
      </w:r>
      <w:r w:rsidRPr="00BD599D">
        <w:rPr>
          <w:spacing w:val="5"/>
          <w:sz w:val="24"/>
          <w:szCs w:val="24"/>
        </w:rPr>
        <w:t xml:space="preserve"> </w:t>
      </w:r>
      <w:r w:rsidRPr="00BD599D">
        <w:rPr>
          <w:sz w:val="24"/>
          <w:szCs w:val="24"/>
        </w:rPr>
        <w:t>entirely</w:t>
      </w:r>
      <w:r w:rsidRPr="00BD599D">
        <w:rPr>
          <w:spacing w:val="-6"/>
          <w:sz w:val="24"/>
          <w:szCs w:val="24"/>
        </w:rPr>
        <w:t xml:space="preserve"> </w:t>
      </w:r>
      <w:r w:rsidRPr="00BD599D">
        <w:rPr>
          <w:sz w:val="24"/>
          <w:szCs w:val="24"/>
        </w:rPr>
        <w:t>into</w:t>
      </w:r>
      <w:r w:rsidRPr="00BD599D">
        <w:rPr>
          <w:spacing w:val="5"/>
          <w:sz w:val="24"/>
          <w:szCs w:val="24"/>
        </w:rPr>
        <w:t xml:space="preserve"> </w:t>
      </w:r>
      <w:r w:rsidRPr="00BD599D">
        <w:rPr>
          <w:sz w:val="24"/>
          <w:szCs w:val="24"/>
        </w:rPr>
        <w:t>one</w:t>
      </w:r>
      <w:r w:rsidRPr="00BD599D">
        <w:rPr>
          <w:spacing w:val="4"/>
          <w:sz w:val="24"/>
          <w:szCs w:val="24"/>
        </w:rPr>
        <w:t xml:space="preserve"> </w:t>
      </w:r>
      <w:r w:rsidRPr="00BD599D">
        <w:rPr>
          <w:sz w:val="24"/>
          <w:szCs w:val="24"/>
        </w:rPr>
        <w:t>of</w:t>
      </w:r>
      <w:r w:rsidRPr="00BD599D">
        <w:rPr>
          <w:spacing w:val="3"/>
          <w:sz w:val="24"/>
          <w:szCs w:val="24"/>
        </w:rPr>
        <w:t xml:space="preserve"> </w:t>
      </w:r>
      <w:r w:rsidRPr="00BD599D">
        <w:rPr>
          <w:sz w:val="24"/>
          <w:szCs w:val="24"/>
        </w:rPr>
        <w:t>the</w:t>
      </w:r>
      <w:r w:rsidRPr="00BD599D" w:rsidR="00EF472A">
        <w:rPr>
          <w:sz w:val="24"/>
          <w:szCs w:val="24"/>
        </w:rPr>
        <w:t xml:space="preserve"> </w:t>
      </w:r>
      <w:r w:rsidRPr="00BD599D">
        <w:rPr>
          <w:sz w:val="24"/>
          <w:szCs w:val="24"/>
        </w:rPr>
        <w:t>prescribed</w:t>
      </w:r>
      <w:r w:rsidRPr="00BD599D">
        <w:rPr>
          <w:spacing w:val="6"/>
          <w:sz w:val="24"/>
          <w:szCs w:val="24"/>
        </w:rPr>
        <w:t xml:space="preserve"> </w:t>
      </w:r>
      <w:r w:rsidRPr="00BD599D">
        <w:rPr>
          <w:sz w:val="24"/>
          <w:szCs w:val="24"/>
        </w:rPr>
        <w:t>concentration</w:t>
      </w:r>
      <w:r w:rsidRPr="00BD599D">
        <w:rPr>
          <w:spacing w:val="6"/>
          <w:sz w:val="24"/>
          <w:szCs w:val="24"/>
        </w:rPr>
        <w:t xml:space="preserve"> </w:t>
      </w:r>
      <w:r w:rsidRPr="00BD599D">
        <w:rPr>
          <w:sz w:val="24"/>
          <w:szCs w:val="24"/>
        </w:rPr>
        <w:t>ranges,</w:t>
      </w:r>
      <w:r w:rsidRPr="00BD599D">
        <w:rPr>
          <w:spacing w:val="8"/>
          <w:sz w:val="24"/>
          <w:szCs w:val="24"/>
        </w:rPr>
        <w:t xml:space="preserve"> </w:t>
      </w:r>
      <w:r w:rsidRPr="00BD599D">
        <w:rPr>
          <w:sz w:val="24"/>
          <w:szCs w:val="24"/>
        </w:rPr>
        <w:t>a</w:t>
      </w:r>
      <w:r w:rsidRPr="00BD599D">
        <w:rPr>
          <w:spacing w:val="5"/>
          <w:sz w:val="24"/>
          <w:szCs w:val="24"/>
        </w:rPr>
        <w:t xml:space="preserve"> </w:t>
      </w:r>
      <w:r w:rsidRPr="00BD599D">
        <w:rPr>
          <w:sz w:val="24"/>
          <w:szCs w:val="24"/>
        </w:rPr>
        <w:t>single</w:t>
      </w:r>
      <w:r w:rsidRPr="00BD599D">
        <w:rPr>
          <w:spacing w:val="5"/>
          <w:sz w:val="24"/>
          <w:szCs w:val="24"/>
        </w:rPr>
        <w:t xml:space="preserve"> </w:t>
      </w:r>
      <w:r w:rsidRPr="00BD599D">
        <w:rPr>
          <w:sz w:val="24"/>
          <w:szCs w:val="24"/>
        </w:rPr>
        <w:t>range</w:t>
      </w:r>
      <w:r w:rsidRPr="00BD599D">
        <w:rPr>
          <w:spacing w:val="5"/>
          <w:sz w:val="24"/>
          <w:szCs w:val="24"/>
        </w:rPr>
        <w:t xml:space="preserve"> </w:t>
      </w:r>
      <w:r w:rsidRPr="00BD599D">
        <w:rPr>
          <w:sz w:val="24"/>
          <w:szCs w:val="24"/>
        </w:rPr>
        <w:t>created</w:t>
      </w:r>
      <w:r w:rsidRPr="00BD599D">
        <w:rPr>
          <w:spacing w:val="6"/>
          <w:sz w:val="24"/>
          <w:szCs w:val="24"/>
        </w:rPr>
        <w:t xml:space="preserve"> </w:t>
      </w:r>
      <w:r w:rsidRPr="00BD599D">
        <w:rPr>
          <w:sz w:val="24"/>
          <w:szCs w:val="24"/>
        </w:rPr>
        <w:t>by</w:t>
      </w:r>
      <w:r w:rsidRPr="00BD599D">
        <w:rPr>
          <w:spacing w:val="-6"/>
          <w:sz w:val="24"/>
          <w:szCs w:val="24"/>
        </w:rPr>
        <w:t xml:space="preserve"> </w:t>
      </w:r>
      <w:r w:rsidRPr="00BD599D">
        <w:rPr>
          <w:sz w:val="24"/>
          <w:szCs w:val="24"/>
        </w:rPr>
        <w:t>the</w:t>
      </w:r>
      <w:r w:rsidRPr="00BD599D">
        <w:rPr>
          <w:spacing w:val="9"/>
          <w:sz w:val="24"/>
          <w:szCs w:val="24"/>
        </w:rPr>
        <w:t xml:space="preserve"> </w:t>
      </w:r>
      <w:r w:rsidRPr="00BD599D">
        <w:rPr>
          <w:sz w:val="24"/>
          <w:szCs w:val="24"/>
        </w:rPr>
        <w:t>combination</w:t>
      </w:r>
      <w:r w:rsidRPr="00BD599D">
        <w:rPr>
          <w:spacing w:val="6"/>
          <w:sz w:val="24"/>
          <w:szCs w:val="24"/>
        </w:rPr>
        <w:t xml:space="preserve"> </w:t>
      </w:r>
      <w:r w:rsidRPr="00BD599D">
        <w:rPr>
          <w:sz w:val="24"/>
          <w:szCs w:val="24"/>
        </w:rPr>
        <w:t>of</w:t>
      </w:r>
      <w:r w:rsidRPr="00BD599D">
        <w:rPr>
          <w:spacing w:val="4"/>
          <w:sz w:val="24"/>
          <w:szCs w:val="24"/>
        </w:rPr>
        <w:t xml:space="preserve"> </w:t>
      </w:r>
      <w:r w:rsidRPr="00BD599D">
        <w:rPr>
          <w:sz w:val="24"/>
          <w:szCs w:val="24"/>
        </w:rPr>
        <w:t>two</w:t>
      </w:r>
      <w:r w:rsidRPr="00BD599D">
        <w:rPr>
          <w:spacing w:val="2"/>
          <w:sz w:val="24"/>
          <w:szCs w:val="24"/>
        </w:rPr>
        <w:t xml:space="preserve"> </w:t>
      </w:r>
      <w:r w:rsidRPr="00BD599D">
        <w:rPr>
          <w:sz w:val="24"/>
          <w:szCs w:val="24"/>
        </w:rPr>
        <w:t>applicable</w:t>
      </w:r>
      <w:r w:rsidRPr="00BD599D" w:rsidR="00EF472A">
        <w:rPr>
          <w:sz w:val="24"/>
          <w:szCs w:val="24"/>
        </w:rPr>
        <w:t xml:space="preserve"> </w:t>
      </w:r>
      <w:r w:rsidRPr="00BD599D">
        <w:rPr>
          <w:sz w:val="24"/>
          <w:szCs w:val="24"/>
        </w:rPr>
        <w:t>consecutive</w:t>
      </w:r>
      <w:r w:rsidRPr="00BD599D">
        <w:rPr>
          <w:spacing w:val="3"/>
          <w:sz w:val="24"/>
          <w:szCs w:val="24"/>
        </w:rPr>
        <w:t xml:space="preserve"> </w:t>
      </w:r>
      <w:r w:rsidRPr="00BD599D">
        <w:rPr>
          <w:sz w:val="24"/>
          <w:szCs w:val="24"/>
        </w:rPr>
        <w:t>ranges</w:t>
      </w:r>
      <w:r w:rsidRPr="00BD599D">
        <w:rPr>
          <w:spacing w:val="11"/>
          <w:sz w:val="24"/>
          <w:szCs w:val="24"/>
        </w:rPr>
        <w:t xml:space="preserve"> </w:t>
      </w:r>
      <w:r w:rsidRPr="00BD599D">
        <w:rPr>
          <w:sz w:val="24"/>
          <w:szCs w:val="24"/>
        </w:rPr>
        <w:t>(e.g.,</w:t>
      </w:r>
      <w:r w:rsidRPr="00BD599D">
        <w:rPr>
          <w:spacing w:val="7"/>
          <w:sz w:val="24"/>
          <w:szCs w:val="24"/>
        </w:rPr>
        <w:t xml:space="preserve"> </w:t>
      </w:r>
      <w:r w:rsidRPr="00BD599D">
        <w:rPr>
          <w:sz w:val="24"/>
          <w:szCs w:val="24"/>
        </w:rPr>
        <w:t>between</w:t>
      </w:r>
      <w:r w:rsidRPr="00BD599D">
        <w:rPr>
          <w:spacing w:val="6"/>
          <w:sz w:val="24"/>
          <w:szCs w:val="24"/>
        </w:rPr>
        <w:t xml:space="preserve"> </w:t>
      </w:r>
      <w:r w:rsidRPr="00BD599D">
        <w:rPr>
          <w:sz w:val="24"/>
          <w:szCs w:val="24"/>
        </w:rPr>
        <w:t>(</w:t>
      </w:r>
      <w:r w:rsidRPr="00BD599D">
        <w:rPr>
          <w:sz w:val="24"/>
          <w:szCs w:val="24"/>
        </w:rPr>
        <w:t>i</w:t>
      </w:r>
      <w:r w:rsidRPr="00BD599D">
        <w:rPr>
          <w:sz w:val="24"/>
          <w:szCs w:val="24"/>
        </w:rPr>
        <w:t>)(1)(iv)</w:t>
      </w:r>
      <w:r w:rsidRPr="00BD599D">
        <w:rPr>
          <w:spacing w:val="7"/>
          <w:sz w:val="24"/>
          <w:szCs w:val="24"/>
        </w:rPr>
        <w:t xml:space="preserve"> </w:t>
      </w:r>
      <w:r w:rsidRPr="00BD599D">
        <w:rPr>
          <w:sz w:val="24"/>
          <w:szCs w:val="24"/>
        </w:rPr>
        <w:t>(A)</w:t>
      </w:r>
      <w:r w:rsidRPr="00BD599D">
        <w:rPr>
          <w:spacing w:val="5"/>
          <w:sz w:val="24"/>
          <w:szCs w:val="24"/>
        </w:rPr>
        <w:t xml:space="preserve"> </w:t>
      </w:r>
      <w:r w:rsidRPr="00BD599D">
        <w:rPr>
          <w:sz w:val="24"/>
          <w:szCs w:val="24"/>
        </w:rPr>
        <w:t>and</w:t>
      </w:r>
      <w:r w:rsidRPr="00BD599D">
        <w:rPr>
          <w:spacing w:val="5"/>
          <w:sz w:val="24"/>
          <w:szCs w:val="24"/>
        </w:rPr>
        <w:t xml:space="preserve"> </w:t>
      </w:r>
      <w:r w:rsidRPr="00BD599D">
        <w:rPr>
          <w:sz w:val="24"/>
          <w:szCs w:val="24"/>
        </w:rPr>
        <w:t>(G))</w:t>
      </w:r>
      <w:r w:rsidRPr="00BD599D">
        <w:rPr>
          <w:spacing w:val="3"/>
          <w:sz w:val="24"/>
          <w:szCs w:val="24"/>
        </w:rPr>
        <w:t xml:space="preserve"> </w:t>
      </w:r>
      <w:r w:rsidRPr="00BD599D">
        <w:rPr>
          <w:sz w:val="24"/>
          <w:szCs w:val="24"/>
        </w:rPr>
        <w:t>may</w:t>
      </w:r>
      <w:r w:rsidRPr="00BD599D">
        <w:rPr>
          <w:spacing w:val="-2"/>
          <w:sz w:val="24"/>
          <w:szCs w:val="24"/>
        </w:rPr>
        <w:t xml:space="preserve"> </w:t>
      </w:r>
      <w:r w:rsidRPr="00BD599D">
        <w:rPr>
          <w:sz w:val="24"/>
          <w:szCs w:val="24"/>
        </w:rPr>
        <w:t>be</w:t>
      </w:r>
      <w:r w:rsidRPr="00BD599D">
        <w:rPr>
          <w:spacing w:val="3"/>
          <w:sz w:val="24"/>
          <w:szCs w:val="24"/>
        </w:rPr>
        <w:t xml:space="preserve"> </w:t>
      </w:r>
      <w:r w:rsidRPr="00BD599D">
        <w:rPr>
          <w:sz w:val="24"/>
          <w:szCs w:val="24"/>
        </w:rPr>
        <w:t>disclosed</w:t>
      </w:r>
      <w:r w:rsidRPr="00BD599D">
        <w:rPr>
          <w:spacing w:val="5"/>
          <w:sz w:val="24"/>
          <w:szCs w:val="24"/>
        </w:rPr>
        <w:t xml:space="preserve"> </w:t>
      </w:r>
      <w:r w:rsidRPr="00BD599D">
        <w:rPr>
          <w:sz w:val="24"/>
          <w:szCs w:val="24"/>
        </w:rPr>
        <w:t>instead,</w:t>
      </w:r>
      <w:r w:rsidRPr="00BD599D">
        <w:rPr>
          <w:spacing w:val="3"/>
          <w:sz w:val="24"/>
          <w:szCs w:val="24"/>
        </w:rPr>
        <w:t xml:space="preserve"> </w:t>
      </w:r>
      <w:r w:rsidRPr="00BD599D">
        <w:rPr>
          <w:sz w:val="24"/>
          <w:szCs w:val="24"/>
        </w:rPr>
        <w:t>provided</w:t>
      </w:r>
      <w:r w:rsidRPr="00BD599D">
        <w:rPr>
          <w:spacing w:val="5"/>
          <w:sz w:val="24"/>
          <w:szCs w:val="24"/>
        </w:rPr>
        <w:t xml:space="preserve"> </w:t>
      </w:r>
      <w:r w:rsidRPr="00BD599D">
        <w:rPr>
          <w:sz w:val="24"/>
          <w:szCs w:val="24"/>
        </w:rPr>
        <w:t>that</w:t>
      </w:r>
      <w:r w:rsidRPr="00BD599D" w:rsidR="00EF472A">
        <w:rPr>
          <w:sz w:val="24"/>
          <w:szCs w:val="24"/>
        </w:rPr>
        <w:t xml:space="preserve"> </w:t>
      </w:r>
      <w:r w:rsidRPr="00BD599D">
        <w:rPr>
          <w:sz w:val="24"/>
          <w:szCs w:val="24"/>
        </w:rPr>
        <w:t>the</w:t>
      </w:r>
      <w:r w:rsidRPr="00BD599D">
        <w:rPr>
          <w:spacing w:val="4"/>
          <w:sz w:val="24"/>
          <w:szCs w:val="24"/>
        </w:rPr>
        <w:t xml:space="preserve"> </w:t>
      </w:r>
      <w:r w:rsidRPr="00BD599D">
        <w:rPr>
          <w:sz w:val="24"/>
          <w:szCs w:val="24"/>
        </w:rPr>
        <w:t>combined</w:t>
      </w:r>
      <w:r w:rsidRPr="00BD599D">
        <w:rPr>
          <w:spacing w:val="5"/>
          <w:sz w:val="24"/>
          <w:szCs w:val="24"/>
        </w:rPr>
        <w:t xml:space="preserve"> </w:t>
      </w:r>
      <w:r w:rsidRPr="00BD599D">
        <w:rPr>
          <w:sz w:val="24"/>
          <w:szCs w:val="24"/>
        </w:rPr>
        <w:t>concentration</w:t>
      </w:r>
      <w:r w:rsidRPr="00BD599D">
        <w:rPr>
          <w:spacing w:val="5"/>
          <w:sz w:val="24"/>
          <w:szCs w:val="24"/>
        </w:rPr>
        <w:t xml:space="preserve"> </w:t>
      </w:r>
      <w:r w:rsidRPr="00BD599D">
        <w:rPr>
          <w:sz w:val="24"/>
          <w:szCs w:val="24"/>
        </w:rPr>
        <w:t>range</w:t>
      </w:r>
      <w:r w:rsidRPr="00BD599D">
        <w:rPr>
          <w:spacing w:val="5"/>
          <w:sz w:val="24"/>
          <w:szCs w:val="24"/>
        </w:rPr>
        <w:t xml:space="preserve"> </w:t>
      </w:r>
      <w:r w:rsidRPr="00BD599D">
        <w:rPr>
          <w:sz w:val="24"/>
          <w:szCs w:val="24"/>
        </w:rPr>
        <w:t>does</w:t>
      </w:r>
      <w:r w:rsidRPr="00BD599D">
        <w:rPr>
          <w:spacing w:val="7"/>
          <w:sz w:val="24"/>
          <w:szCs w:val="24"/>
        </w:rPr>
        <w:t xml:space="preserve"> </w:t>
      </w:r>
      <w:r w:rsidRPr="00BD599D">
        <w:rPr>
          <w:sz w:val="24"/>
          <w:szCs w:val="24"/>
        </w:rPr>
        <w:t>not</w:t>
      </w:r>
      <w:r w:rsidRPr="00BD599D">
        <w:rPr>
          <w:spacing w:val="5"/>
          <w:sz w:val="24"/>
          <w:szCs w:val="24"/>
        </w:rPr>
        <w:t xml:space="preserve"> </w:t>
      </w:r>
      <w:r w:rsidRPr="00BD599D">
        <w:rPr>
          <w:sz w:val="24"/>
          <w:szCs w:val="24"/>
        </w:rPr>
        <w:t>include</w:t>
      </w:r>
      <w:r w:rsidRPr="00BD599D">
        <w:rPr>
          <w:spacing w:val="9"/>
          <w:sz w:val="24"/>
          <w:szCs w:val="24"/>
        </w:rPr>
        <w:t xml:space="preserve"> </w:t>
      </w:r>
      <w:r w:rsidRPr="00BD599D">
        <w:rPr>
          <w:sz w:val="24"/>
          <w:szCs w:val="24"/>
        </w:rPr>
        <w:t>any</w:t>
      </w:r>
      <w:r w:rsidRPr="00BD599D">
        <w:rPr>
          <w:spacing w:val="-7"/>
          <w:sz w:val="24"/>
          <w:szCs w:val="24"/>
        </w:rPr>
        <w:t xml:space="preserve"> </w:t>
      </w:r>
      <w:r w:rsidRPr="00BD599D">
        <w:rPr>
          <w:sz w:val="24"/>
          <w:szCs w:val="24"/>
        </w:rPr>
        <w:t>range</w:t>
      </w:r>
      <w:r w:rsidRPr="00BD599D">
        <w:rPr>
          <w:spacing w:val="5"/>
          <w:sz w:val="24"/>
          <w:szCs w:val="24"/>
        </w:rPr>
        <w:t xml:space="preserve"> </w:t>
      </w:r>
      <w:r w:rsidRPr="00BD599D">
        <w:rPr>
          <w:sz w:val="24"/>
          <w:szCs w:val="24"/>
        </w:rPr>
        <w:t>that</w:t>
      </w:r>
      <w:r w:rsidRPr="00BD599D">
        <w:rPr>
          <w:spacing w:val="5"/>
          <w:sz w:val="24"/>
          <w:szCs w:val="24"/>
        </w:rPr>
        <w:t xml:space="preserve"> </w:t>
      </w:r>
      <w:r w:rsidRPr="00BD599D">
        <w:rPr>
          <w:sz w:val="24"/>
          <w:szCs w:val="24"/>
        </w:rPr>
        <w:t>falls</w:t>
      </w:r>
      <w:r w:rsidRPr="00BD599D">
        <w:rPr>
          <w:spacing w:val="7"/>
          <w:sz w:val="24"/>
          <w:szCs w:val="24"/>
        </w:rPr>
        <w:t xml:space="preserve"> </w:t>
      </w:r>
      <w:r w:rsidRPr="00BD599D">
        <w:rPr>
          <w:sz w:val="24"/>
          <w:szCs w:val="24"/>
        </w:rPr>
        <w:t>entirely</w:t>
      </w:r>
      <w:r w:rsidRPr="00BD599D">
        <w:rPr>
          <w:spacing w:val="-3"/>
          <w:sz w:val="24"/>
          <w:szCs w:val="24"/>
        </w:rPr>
        <w:t xml:space="preserve"> </w:t>
      </w:r>
      <w:r w:rsidRPr="00BD599D">
        <w:rPr>
          <w:sz w:val="24"/>
          <w:szCs w:val="24"/>
        </w:rPr>
        <w:t>outside</w:t>
      </w:r>
      <w:r w:rsidRPr="00BD599D">
        <w:rPr>
          <w:spacing w:val="4"/>
          <w:sz w:val="24"/>
          <w:szCs w:val="24"/>
        </w:rPr>
        <w:t xml:space="preserve"> </w:t>
      </w:r>
      <w:r w:rsidRPr="00BD599D">
        <w:rPr>
          <w:sz w:val="24"/>
          <w:szCs w:val="24"/>
        </w:rPr>
        <w:t>the</w:t>
      </w:r>
      <w:r w:rsidRPr="00BD599D">
        <w:rPr>
          <w:spacing w:val="4"/>
          <w:sz w:val="24"/>
          <w:szCs w:val="24"/>
        </w:rPr>
        <w:t xml:space="preserve"> </w:t>
      </w:r>
      <w:r w:rsidRPr="00BD599D">
        <w:rPr>
          <w:sz w:val="24"/>
          <w:szCs w:val="24"/>
        </w:rPr>
        <w:t>exact</w:t>
      </w:r>
      <w:r w:rsidRPr="00BD599D" w:rsidR="005A68C7">
        <w:rPr>
          <w:sz w:val="24"/>
          <w:szCs w:val="24"/>
        </w:rPr>
        <w:t xml:space="preserve"> </w:t>
      </w:r>
      <w:r w:rsidRPr="00BD599D">
        <w:rPr>
          <w:sz w:val="24"/>
          <w:szCs w:val="24"/>
        </w:rPr>
        <w:t>concentration</w:t>
      </w:r>
      <w:r w:rsidRPr="00BD599D">
        <w:rPr>
          <w:spacing w:val="5"/>
          <w:sz w:val="24"/>
          <w:szCs w:val="24"/>
        </w:rPr>
        <w:t xml:space="preserve"> </w:t>
      </w:r>
      <w:r w:rsidRPr="00BD599D">
        <w:rPr>
          <w:sz w:val="24"/>
          <w:szCs w:val="24"/>
        </w:rPr>
        <w:t>range</w:t>
      </w:r>
      <w:r w:rsidRPr="00BD599D">
        <w:rPr>
          <w:spacing w:val="3"/>
          <w:sz w:val="24"/>
          <w:szCs w:val="24"/>
        </w:rPr>
        <w:t xml:space="preserve"> </w:t>
      </w:r>
      <w:r w:rsidRPr="00BD599D">
        <w:rPr>
          <w:sz w:val="24"/>
          <w:szCs w:val="24"/>
        </w:rPr>
        <w:t>in</w:t>
      </w:r>
      <w:r w:rsidRPr="00BD599D">
        <w:rPr>
          <w:spacing w:val="5"/>
          <w:sz w:val="24"/>
          <w:szCs w:val="24"/>
        </w:rPr>
        <w:t xml:space="preserve"> </w:t>
      </w:r>
      <w:r w:rsidRPr="00BD599D">
        <w:rPr>
          <w:sz w:val="24"/>
          <w:szCs w:val="24"/>
        </w:rPr>
        <w:t>which</w:t>
      </w:r>
      <w:r w:rsidRPr="00BD599D">
        <w:rPr>
          <w:spacing w:val="5"/>
          <w:sz w:val="24"/>
          <w:szCs w:val="24"/>
        </w:rPr>
        <w:t xml:space="preserve"> </w:t>
      </w:r>
      <w:r w:rsidRPr="00BD599D">
        <w:rPr>
          <w:sz w:val="24"/>
          <w:szCs w:val="24"/>
        </w:rPr>
        <w:t>the</w:t>
      </w:r>
      <w:r w:rsidRPr="00BD599D">
        <w:rPr>
          <w:spacing w:val="4"/>
          <w:sz w:val="24"/>
          <w:szCs w:val="24"/>
        </w:rPr>
        <w:t xml:space="preserve"> </w:t>
      </w:r>
      <w:r w:rsidRPr="00BD599D">
        <w:rPr>
          <w:sz w:val="24"/>
          <w:szCs w:val="24"/>
        </w:rPr>
        <w:t>ingredient</w:t>
      </w:r>
      <w:r w:rsidRPr="00BD599D">
        <w:rPr>
          <w:spacing w:val="5"/>
          <w:sz w:val="24"/>
          <w:szCs w:val="24"/>
        </w:rPr>
        <w:t xml:space="preserve"> </w:t>
      </w:r>
      <w:r w:rsidRPr="00BD599D">
        <w:rPr>
          <w:sz w:val="24"/>
          <w:szCs w:val="24"/>
        </w:rPr>
        <w:t>is</w:t>
      </w:r>
      <w:r w:rsidRPr="00BD599D">
        <w:rPr>
          <w:spacing w:val="7"/>
          <w:sz w:val="24"/>
          <w:szCs w:val="24"/>
        </w:rPr>
        <w:t xml:space="preserve"> </w:t>
      </w:r>
      <w:r w:rsidRPr="00BD599D">
        <w:rPr>
          <w:sz w:val="24"/>
          <w:szCs w:val="24"/>
        </w:rPr>
        <w:t>present.</w:t>
      </w:r>
    </w:p>
    <w:p w:rsidR="009570A6" w:rsidRPr="00BD599D" w:rsidP="005A68C7" w14:paraId="55EE255E" w14:textId="77777777">
      <w:pPr>
        <w:pStyle w:val="BodyText"/>
        <w:spacing w:before="94"/>
        <w:ind w:left="514" w:right="1040"/>
        <w:rPr>
          <w:sz w:val="24"/>
          <w:szCs w:val="24"/>
        </w:rPr>
      </w:pPr>
    </w:p>
    <w:p w:rsidR="009570A6" w:rsidRPr="00BD599D" w:rsidP="00781E36" w14:paraId="2C1C5E4B" w14:textId="3AECD2C1">
      <w:pPr>
        <w:pStyle w:val="BodyText"/>
        <w:overflowPunct/>
        <w:adjustRightInd/>
        <w:spacing w:before="94" w:after="0"/>
        <w:ind w:right="1040"/>
        <w:rPr>
          <w:sz w:val="24"/>
          <w:szCs w:val="24"/>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(v</w:t>
      </w:r>
      <w:r w:rsidRPr="00BD599D" w:rsidR="002C63F4">
        <w:rPr>
          <w:i/>
          <w:iCs/>
          <w:sz w:val="24"/>
          <w:szCs w:val="24"/>
          <w:lang w:val="en"/>
        </w:rPr>
        <w:t>i</w:t>
      </w:r>
      <w:r w:rsidRPr="00BD599D">
        <w:rPr>
          <w:i/>
          <w:iCs/>
          <w:sz w:val="24"/>
          <w:szCs w:val="24"/>
          <w:lang w:val="en"/>
        </w:rPr>
        <w:t>)</w:t>
      </w:r>
      <w:r w:rsidRPr="00BD599D" w:rsidR="002C63F4">
        <w:rPr>
          <w:sz w:val="24"/>
          <w:szCs w:val="24"/>
          <w:lang w:val="en"/>
        </w:rPr>
        <w:t xml:space="preserve"> </w:t>
      </w:r>
      <w:r w:rsidRPr="00BD599D" w:rsidR="00F02A17">
        <w:rPr>
          <w:sz w:val="24"/>
          <w:szCs w:val="24"/>
        </w:rPr>
        <w:t xml:space="preserve">- </w:t>
      </w:r>
      <w:r w:rsidRPr="00BD599D">
        <w:rPr>
          <w:sz w:val="24"/>
          <w:szCs w:val="24"/>
        </w:rPr>
        <w:t xml:space="preserve">Manufacturers may </w:t>
      </w:r>
      <w:r w:rsidRPr="00BD599D" w:rsidR="001119B3">
        <w:rPr>
          <w:sz w:val="24"/>
          <w:szCs w:val="24"/>
        </w:rPr>
        <w:t xml:space="preserve">provide </w:t>
      </w:r>
      <w:r w:rsidRPr="00BD599D">
        <w:rPr>
          <w:sz w:val="24"/>
          <w:szCs w:val="24"/>
        </w:rPr>
        <w:t>a range narrower than those prescribed in (</w:t>
      </w:r>
      <w:r w:rsidRPr="00BD599D">
        <w:rPr>
          <w:sz w:val="24"/>
          <w:szCs w:val="24"/>
        </w:rPr>
        <w:t>i</w:t>
      </w:r>
      <w:r w:rsidRPr="00BD599D">
        <w:rPr>
          <w:sz w:val="24"/>
          <w:szCs w:val="24"/>
        </w:rPr>
        <w:t>)(1)(v).</w:t>
      </w:r>
    </w:p>
    <w:p w:rsidR="009570A6" w:rsidRPr="00BD599D" w:rsidP="009570A6" w14:paraId="575A203D" w14:textId="77777777">
      <w:pPr>
        <w:pStyle w:val="BodyText"/>
        <w:ind w:right="1040"/>
      </w:pPr>
    </w:p>
    <w:p w:rsidR="001D5B06" w:rsidRPr="00BD599D" w:rsidP="003A15DB" w14:paraId="4FE33860" w14:textId="4B26CE62">
      <w:pPr>
        <w:shd w:val="clear" w:color="auto" w:fill="FFFFFF"/>
        <w:spacing w:before="100" w:beforeAutospacing="1" w:after="100" w:afterAutospacing="1"/>
        <w:rPr>
          <w:sz w:val="24"/>
          <w:szCs w:val="24"/>
          <w:lang w:val="en"/>
        </w:rPr>
      </w:pPr>
      <w:r w:rsidRPr="00BD599D">
        <w:rPr>
          <w:i/>
          <w:sz w:val="24"/>
          <w:szCs w:val="24"/>
        </w:rPr>
        <w:t>§1910.1200(</w:t>
      </w:r>
      <w:r w:rsidRPr="00BD599D">
        <w:rPr>
          <w:i/>
          <w:sz w:val="24"/>
          <w:szCs w:val="24"/>
        </w:rPr>
        <w:t>i</w:t>
      </w:r>
      <w:r w:rsidRPr="00BD599D">
        <w:rPr>
          <w:i/>
          <w:sz w:val="24"/>
          <w:szCs w:val="24"/>
        </w:rPr>
        <w:t>)(1)</w:t>
      </w:r>
      <w:r w:rsidRPr="00BD599D">
        <w:rPr>
          <w:i/>
          <w:iCs/>
          <w:sz w:val="24"/>
          <w:szCs w:val="24"/>
          <w:lang w:val="en"/>
        </w:rPr>
        <w:t>(v</w:t>
      </w:r>
      <w:r w:rsidRPr="00BD599D" w:rsidR="009A4222">
        <w:rPr>
          <w:i/>
          <w:iCs/>
          <w:sz w:val="24"/>
          <w:szCs w:val="24"/>
          <w:lang w:val="en"/>
        </w:rPr>
        <w:t>i</w:t>
      </w:r>
      <w:r w:rsidRPr="00BD599D" w:rsidR="008A4C79">
        <w:rPr>
          <w:i/>
          <w:iCs/>
          <w:sz w:val="24"/>
          <w:szCs w:val="24"/>
          <w:lang w:val="en"/>
        </w:rPr>
        <w:t>i</w:t>
      </w:r>
      <w:r w:rsidRPr="00BD599D">
        <w:rPr>
          <w:i/>
          <w:iCs/>
          <w:sz w:val="24"/>
          <w:szCs w:val="24"/>
          <w:lang w:val="en"/>
        </w:rPr>
        <w:t>)</w:t>
      </w:r>
      <w:r w:rsidRPr="00BD599D">
        <w:rPr>
          <w:sz w:val="24"/>
          <w:szCs w:val="24"/>
          <w:lang w:val="en"/>
        </w:rPr>
        <w:t xml:space="preserve"> </w:t>
      </w:r>
      <w:r w:rsidRPr="00BD599D" w:rsidR="00F02A17">
        <w:rPr>
          <w:sz w:val="24"/>
          <w:szCs w:val="24"/>
          <w:lang w:val="en"/>
        </w:rPr>
        <w:t xml:space="preserve">- </w:t>
      </w:r>
      <w:r w:rsidRPr="00BD599D">
        <w:rPr>
          <w:sz w:val="24"/>
          <w:szCs w:val="24"/>
          <w:lang w:val="en"/>
        </w:rPr>
        <w:t xml:space="preserve">The specific chemical identity and </w:t>
      </w:r>
      <w:r w:rsidRPr="00BD599D" w:rsidR="009A4222">
        <w:rPr>
          <w:sz w:val="24"/>
          <w:szCs w:val="24"/>
          <w:lang w:val="en"/>
        </w:rPr>
        <w:t>exact concentration</w:t>
      </w:r>
      <w:r w:rsidRPr="00BD599D" w:rsidR="008A4C79">
        <w:rPr>
          <w:sz w:val="24"/>
          <w:szCs w:val="24"/>
          <w:lang w:val="en"/>
        </w:rPr>
        <w:t xml:space="preserve"> or concentration range</w:t>
      </w:r>
      <w:r w:rsidRPr="00BD599D">
        <w:rPr>
          <w:sz w:val="24"/>
          <w:szCs w:val="24"/>
          <w:lang w:val="en"/>
        </w:rPr>
        <w:t xml:space="preserve"> is made available to health professionals, employees, and designated representatives in accordance with the applicable provisions of this paragraph (</w:t>
      </w:r>
      <w:r w:rsidRPr="00BD599D">
        <w:rPr>
          <w:sz w:val="24"/>
          <w:szCs w:val="24"/>
          <w:lang w:val="en"/>
        </w:rPr>
        <w:t>i</w:t>
      </w:r>
      <w:r w:rsidRPr="00BD599D">
        <w:rPr>
          <w:sz w:val="24"/>
          <w:szCs w:val="24"/>
          <w:lang w:val="en"/>
        </w:rPr>
        <w:t>).</w:t>
      </w:r>
    </w:p>
    <w:p w:rsidR="001D5B06" w:rsidRPr="00220BC5" w:rsidP="003A15DB" w14:paraId="5AF699CF" w14:textId="7633CDC7">
      <w:pPr>
        <w:shd w:val="clear" w:color="auto" w:fill="FFFFFF"/>
        <w:spacing w:before="100" w:beforeAutospacing="1" w:after="100" w:afterAutospacing="1"/>
        <w:rPr>
          <w:sz w:val="24"/>
          <w:szCs w:val="24"/>
          <w:lang w:val="en"/>
        </w:rPr>
      </w:pPr>
      <w:r w:rsidRPr="00BD599D">
        <w:rPr>
          <w:i/>
          <w:sz w:val="24"/>
          <w:szCs w:val="24"/>
        </w:rPr>
        <w:t>§1910.1200(</w:t>
      </w:r>
      <w:r w:rsidRPr="00BD599D">
        <w:rPr>
          <w:i/>
          <w:sz w:val="24"/>
          <w:szCs w:val="24"/>
        </w:rPr>
        <w:t>i</w:t>
      </w:r>
      <w:r w:rsidRPr="00BD599D">
        <w:rPr>
          <w:i/>
          <w:sz w:val="24"/>
          <w:szCs w:val="24"/>
        </w:rPr>
        <w:t>)</w:t>
      </w:r>
      <w:r w:rsidRPr="00BD599D">
        <w:rPr>
          <w:i/>
          <w:sz w:val="24"/>
          <w:szCs w:val="24"/>
          <w:lang w:val="en"/>
        </w:rPr>
        <w:t>(2)</w:t>
      </w:r>
      <w:r w:rsidRPr="00BD599D">
        <w:rPr>
          <w:sz w:val="24"/>
          <w:szCs w:val="24"/>
          <w:lang w:val="en"/>
        </w:rPr>
        <w:t xml:space="preserve"> </w:t>
      </w:r>
      <w:r w:rsidRPr="00BD599D" w:rsidR="001119B3">
        <w:rPr>
          <w:sz w:val="24"/>
          <w:szCs w:val="24"/>
          <w:lang w:val="en"/>
        </w:rPr>
        <w:t xml:space="preserve">- </w:t>
      </w:r>
      <w:r w:rsidRPr="00BD599D">
        <w:rPr>
          <w:sz w:val="24"/>
          <w:szCs w:val="24"/>
          <w:lang w:val="en"/>
        </w:rPr>
        <w:t xml:space="preserve">Where a treating </w:t>
      </w:r>
      <w:r w:rsidRPr="00BD599D" w:rsidR="003661E7">
        <w:rPr>
          <w:sz w:val="24"/>
          <w:szCs w:val="24"/>
          <w:lang w:val="en"/>
        </w:rPr>
        <w:t>PLHCP</w:t>
      </w:r>
      <w:r w:rsidRPr="00BD599D">
        <w:rPr>
          <w:sz w:val="24"/>
          <w:szCs w:val="24"/>
          <w:lang w:val="en"/>
        </w:rPr>
        <w:t xml:space="preserve"> determines that a medical emergency exists and the specific chemical identity and/or specific </w:t>
      </w:r>
      <w:r w:rsidRPr="00BD599D" w:rsidR="008F2FC0">
        <w:rPr>
          <w:sz w:val="24"/>
          <w:szCs w:val="24"/>
          <w:lang w:val="en"/>
        </w:rPr>
        <w:t>con</w:t>
      </w:r>
      <w:r w:rsidRPr="00BD599D" w:rsidR="00AF2188">
        <w:rPr>
          <w:sz w:val="24"/>
          <w:szCs w:val="24"/>
          <w:lang w:val="en"/>
        </w:rPr>
        <w:t>centration or concentration range</w:t>
      </w:r>
      <w:r w:rsidRPr="00BD599D">
        <w:rPr>
          <w:sz w:val="24"/>
          <w:szCs w:val="24"/>
          <w:lang w:val="en"/>
        </w:rPr>
        <w:t xml:space="preserve"> of a hazardous chemical is necessary for emergency or first-aid treatment, the chemical manufacturer, importer, or employer shall immediately disclose the specific chemical identity or percentage composition of a trade secret chemical to that treating </w:t>
      </w:r>
      <w:r w:rsidRPr="00BD599D" w:rsidR="00870780">
        <w:rPr>
          <w:sz w:val="24"/>
          <w:szCs w:val="24"/>
          <w:lang w:val="en"/>
        </w:rPr>
        <w:t>PL</w:t>
      </w:r>
      <w:r w:rsidRPr="00BD599D" w:rsidR="00A4499E">
        <w:rPr>
          <w:sz w:val="24"/>
          <w:szCs w:val="24"/>
          <w:lang w:val="en"/>
        </w:rPr>
        <w:t>HCP</w:t>
      </w:r>
      <w:r w:rsidRPr="00BD599D">
        <w:rPr>
          <w:sz w:val="24"/>
          <w:szCs w:val="24"/>
          <w:lang w:val="en"/>
        </w:rPr>
        <w:t xml:space="preserve">, </w:t>
      </w:r>
      <w:r w:rsidRPr="00220BC5">
        <w:rPr>
          <w:sz w:val="24"/>
          <w:szCs w:val="24"/>
          <w:lang w:val="en"/>
        </w:rPr>
        <w:t>regardless of the existence of a written statement of need or a confidentiality agreement. The chemical manufacturer, importer, or employer may require a written statement of need and confidentiality agreement, in accordance with the provisions of paragraphs (</w:t>
      </w:r>
      <w:r w:rsidRPr="00220BC5">
        <w:rPr>
          <w:sz w:val="24"/>
          <w:szCs w:val="24"/>
          <w:lang w:val="en"/>
        </w:rPr>
        <w:t>i</w:t>
      </w:r>
      <w:r w:rsidRPr="00220BC5">
        <w:rPr>
          <w:sz w:val="24"/>
          <w:szCs w:val="24"/>
          <w:lang w:val="en"/>
        </w:rPr>
        <w:t xml:space="preserve">)(3) and (4) of this </w:t>
      </w:r>
      <w:r w:rsidRPr="00220BC5">
        <w:rPr>
          <w:sz w:val="24"/>
          <w:szCs w:val="24"/>
          <w:lang w:val="en"/>
        </w:rPr>
        <w:t>section, as soon as</w:t>
      </w:r>
      <w:r w:rsidRPr="00220BC5">
        <w:rPr>
          <w:sz w:val="24"/>
          <w:szCs w:val="24"/>
          <w:lang w:val="en"/>
        </w:rPr>
        <w:t xml:space="preserve"> circumstances permit.</w:t>
      </w:r>
    </w:p>
    <w:p w:rsidR="001D5B06" w:rsidRPr="00220BC5" w:rsidP="003A15DB" w14:paraId="4177795C" w14:textId="627A1EE5">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w:t>
      </w:r>
      <w:r w:rsidRPr="00220BC5">
        <w:rPr>
          <w:sz w:val="24"/>
          <w:szCs w:val="24"/>
          <w:lang w:val="en"/>
        </w:rPr>
        <w:t xml:space="preserve"> </w:t>
      </w:r>
      <w:r w:rsidR="00925024">
        <w:rPr>
          <w:sz w:val="24"/>
          <w:szCs w:val="24"/>
          <w:lang w:val="en"/>
        </w:rPr>
        <w:t>-</w:t>
      </w:r>
      <w:r w:rsidR="00791B99">
        <w:rPr>
          <w:sz w:val="24"/>
          <w:szCs w:val="24"/>
          <w:lang w:val="en"/>
        </w:rPr>
        <w:t xml:space="preserve"> </w:t>
      </w:r>
      <w:r w:rsidRPr="00220BC5">
        <w:rPr>
          <w:sz w:val="24"/>
          <w:szCs w:val="24"/>
          <w:lang w:val="en"/>
        </w:rPr>
        <w:t xml:space="preserve">In non-emergency situations, a chemical manufacturer, importer, or employer shall, upon request, disclose a specific chemical identity or </w:t>
      </w:r>
      <w:r w:rsidRPr="00BD599D" w:rsidR="00791B99">
        <w:rPr>
          <w:sz w:val="24"/>
          <w:szCs w:val="24"/>
          <w:lang w:val="en"/>
        </w:rPr>
        <w:t xml:space="preserve">exact </w:t>
      </w:r>
      <w:r w:rsidRPr="00BD599D" w:rsidR="006753D6">
        <w:rPr>
          <w:sz w:val="24"/>
          <w:szCs w:val="24"/>
          <w:lang w:val="en"/>
        </w:rPr>
        <w:t>con</w:t>
      </w:r>
      <w:r w:rsidRPr="00BD599D" w:rsidR="00062AA3">
        <w:rPr>
          <w:sz w:val="24"/>
          <w:szCs w:val="24"/>
          <w:lang w:val="en"/>
        </w:rPr>
        <w:t>centration or concentration range</w:t>
      </w:r>
      <w:r w:rsidRPr="00BD599D">
        <w:rPr>
          <w:sz w:val="24"/>
          <w:szCs w:val="24"/>
          <w:lang w:val="en"/>
        </w:rPr>
        <w:t>, otherwise permitted to be withheld under paragraph (</w:t>
      </w:r>
      <w:r w:rsidRPr="00BD599D">
        <w:rPr>
          <w:sz w:val="24"/>
          <w:szCs w:val="24"/>
          <w:lang w:val="en"/>
        </w:rPr>
        <w:t>i</w:t>
      </w:r>
      <w:r w:rsidRPr="00BD599D">
        <w:rPr>
          <w:sz w:val="24"/>
          <w:szCs w:val="24"/>
          <w:lang w:val="en"/>
        </w:rPr>
        <w:t xml:space="preserve">)(1) of this </w:t>
      </w:r>
      <w:r w:rsidRPr="00BD599D">
        <w:rPr>
          <w:sz w:val="24"/>
          <w:szCs w:val="24"/>
          <w:lang w:val="en"/>
        </w:rPr>
        <w:t>section, to a health professional (</w:t>
      </w:r>
      <w:r w:rsidRPr="00BD599D">
        <w:rPr>
          <w:i/>
          <w:iCs/>
          <w:sz w:val="24"/>
          <w:szCs w:val="24"/>
          <w:lang w:val="en"/>
        </w:rPr>
        <w:t>e.</w:t>
      </w:r>
      <w:r w:rsidRPr="00BD599D" w:rsidR="00021563">
        <w:rPr>
          <w:i/>
          <w:iCs/>
          <w:sz w:val="24"/>
          <w:szCs w:val="24"/>
          <w:lang w:val="en"/>
        </w:rPr>
        <w:t>g.</w:t>
      </w:r>
      <w:r w:rsidRPr="00BD599D" w:rsidR="00925024">
        <w:rPr>
          <w:sz w:val="24"/>
          <w:szCs w:val="24"/>
          <w:lang w:val="en"/>
        </w:rPr>
        <w:t>,</w:t>
      </w:r>
      <w:r w:rsidRPr="00BD599D" w:rsidR="00021563">
        <w:rPr>
          <w:i/>
          <w:iCs/>
          <w:sz w:val="24"/>
          <w:szCs w:val="24"/>
          <w:lang w:val="en"/>
        </w:rPr>
        <w:t xml:space="preserve"> </w:t>
      </w:r>
      <w:r w:rsidRPr="00BD599D" w:rsidR="00021563">
        <w:rPr>
          <w:sz w:val="24"/>
          <w:szCs w:val="24"/>
          <w:lang w:val="en"/>
        </w:rPr>
        <w:t>PL</w:t>
      </w:r>
      <w:r w:rsidRPr="00BD599D" w:rsidR="00C205D1">
        <w:rPr>
          <w:sz w:val="24"/>
          <w:szCs w:val="24"/>
          <w:lang w:val="en"/>
        </w:rPr>
        <w:t>HCP</w:t>
      </w:r>
      <w:r w:rsidRPr="00BD599D">
        <w:rPr>
          <w:sz w:val="24"/>
          <w:szCs w:val="24"/>
          <w:lang w:val="en"/>
        </w:rPr>
        <w:t xml:space="preserve">, physician, industrial hygienist, toxicologist, </w:t>
      </w:r>
      <w:r w:rsidRPr="00BD599D" w:rsidR="00E31612">
        <w:rPr>
          <w:sz w:val="24"/>
          <w:szCs w:val="24"/>
          <w:lang w:val="en"/>
        </w:rPr>
        <w:t xml:space="preserve">or </w:t>
      </w:r>
      <w:r w:rsidRPr="00BD599D">
        <w:rPr>
          <w:sz w:val="24"/>
          <w:szCs w:val="24"/>
          <w:lang w:val="en"/>
        </w:rPr>
        <w:t>epidemiologist) providing medical or other occupational health services to exposed employee(s), and to employees or designated representatives, if:</w:t>
      </w:r>
    </w:p>
    <w:p w:rsidR="001D5B06" w:rsidRPr="00220BC5" w:rsidP="003A15DB" w14:paraId="1F778C20" w14:textId="155BA380">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w:t>
      </w:r>
      <w:r w:rsidRPr="00BD599D">
        <w:rPr>
          <w:i/>
          <w:iCs/>
          <w:sz w:val="24"/>
          <w:szCs w:val="24"/>
          <w:lang w:val="en"/>
        </w:rPr>
        <w:t>(</w:t>
      </w:r>
      <w:r w:rsidRPr="00BD599D">
        <w:rPr>
          <w:i/>
          <w:iCs/>
          <w:sz w:val="24"/>
          <w:szCs w:val="24"/>
          <w:lang w:val="en"/>
        </w:rPr>
        <w:t>i</w:t>
      </w:r>
      <w:r w:rsidRPr="00BD599D">
        <w:rPr>
          <w:i/>
          <w:iCs/>
          <w:sz w:val="24"/>
          <w:szCs w:val="24"/>
          <w:lang w:val="en"/>
        </w:rPr>
        <w:t>)</w:t>
      </w:r>
      <w:r w:rsidRPr="00220BC5">
        <w:rPr>
          <w:sz w:val="24"/>
          <w:szCs w:val="24"/>
          <w:lang w:val="en"/>
        </w:rPr>
        <w:t xml:space="preserve"> </w:t>
      </w:r>
      <w:r w:rsidR="00925024">
        <w:rPr>
          <w:sz w:val="24"/>
          <w:szCs w:val="24"/>
          <w:lang w:val="en"/>
        </w:rPr>
        <w:t xml:space="preserve">- </w:t>
      </w:r>
      <w:r w:rsidRPr="00220BC5">
        <w:rPr>
          <w:sz w:val="24"/>
          <w:szCs w:val="24"/>
          <w:lang w:val="en"/>
        </w:rPr>
        <w:t xml:space="preserve">The request is in </w:t>
      </w:r>
      <w:r w:rsidRPr="00220BC5">
        <w:rPr>
          <w:sz w:val="24"/>
          <w:szCs w:val="24"/>
          <w:lang w:val="en"/>
        </w:rPr>
        <w:t>writing;</w:t>
      </w:r>
    </w:p>
    <w:p w:rsidR="001D5B06" w:rsidRPr="00220BC5" w:rsidP="003A15DB" w14:paraId="484768F6" w14:textId="0D5F7334">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w:t>
      </w:r>
      <w:r w:rsidRPr="00220BC5" w:rsidR="00941BF8">
        <w:rPr>
          <w:i/>
          <w:color w:val="000000"/>
          <w:sz w:val="24"/>
          <w:szCs w:val="24"/>
        </w:rPr>
        <w:t>(</w:t>
      </w:r>
      <w:r w:rsidRPr="00BD599D">
        <w:rPr>
          <w:i/>
          <w:iCs/>
          <w:sz w:val="24"/>
          <w:szCs w:val="24"/>
          <w:lang w:val="en"/>
        </w:rPr>
        <w:t>ii)</w:t>
      </w:r>
      <w:r w:rsidRPr="00220BC5">
        <w:rPr>
          <w:sz w:val="24"/>
          <w:szCs w:val="24"/>
          <w:lang w:val="en"/>
        </w:rPr>
        <w:t xml:space="preserve"> </w:t>
      </w:r>
      <w:r w:rsidR="00925024">
        <w:rPr>
          <w:sz w:val="24"/>
          <w:szCs w:val="24"/>
          <w:lang w:val="en"/>
        </w:rPr>
        <w:t xml:space="preserve">- </w:t>
      </w:r>
      <w:r w:rsidRPr="00220BC5">
        <w:rPr>
          <w:sz w:val="24"/>
          <w:szCs w:val="24"/>
          <w:lang w:val="en"/>
        </w:rPr>
        <w:t>The request describes with reasonable detail one or more of the following occupational health needs for the information:</w:t>
      </w:r>
    </w:p>
    <w:p w:rsidR="001D5B06" w:rsidRPr="00220BC5" w:rsidP="003A15DB" w14:paraId="76928E30" w14:textId="2D8A43E2">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(A)</w:t>
      </w:r>
      <w:r w:rsidRPr="00220BC5">
        <w:rPr>
          <w:sz w:val="24"/>
          <w:szCs w:val="24"/>
          <w:lang w:val="en"/>
        </w:rPr>
        <w:t xml:space="preserve"> To assess the hazards of the chemicals to which employees will be </w:t>
      </w:r>
      <w:r w:rsidRPr="00220BC5">
        <w:rPr>
          <w:sz w:val="24"/>
          <w:szCs w:val="24"/>
          <w:lang w:val="en"/>
        </w:rPr>
        <w:t>exposed;</w:t>
      </w:r>
    </w:p>
    <w:p w:rsidR="001D5B06" w:rsidRPr="00220BC5" w:rsidP="003A15DB" w14:paraId="6F65CC0F" w14:textId="206665AC">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(B)</w:t>
      </w:r>
      <w:r w:rsidRPr="00220BC5">
        <w:rPr>
          <w:sz w:val="24"/>
          <w:szCs w:val="24"/>
          <w:lang w:val="en"/>
        </w:rPr>
        <w:t xml:space="preserve"> To conduct or assess sampling of the workplace atmosphere to determine employee exposure </w:t>
      </w:r>
      <w:r w:rsidRPr="00220BC5">
        <w:rPr>
          <w:sz w:val="24"/>
          <w:szCs w:val="24"/>
          <w:lang w:val="en"/>
        </w:rPr>
        <w:t>levels;</w:t>
      </w:r>
    </w:p>
    <w:p w:rsidR="001D5B06" w:rsidRPr="00220BC5" w:rsidP="003A15DB" w14:paraId="2F5248C5" w14:textId="506C665C">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 xml:space="preserve">(C) </w:t>
      </w:r>
      <w:r w:rsidRPr="00220BC5">
        <w:rPr>
          <w:sz w:val="24"/>
          <w:szCs w:val="24"/>
          <w:lang w:val="en"/>
        </w:rPr>
        <w:t xml:space="preserve">To conduct pre-assignment or periodic medical surveillance of exposed </w:t>
      </w:r>
      <w:r w:rsidRPr="00220BC5">
        <w:rPr>
          <w:sz w:val="24"/>
          <w:szCs w:val="24"/>
          <w:lang w:val="en"/>
        </w:rPr>
        <w:t>employees;</w:t>
      </w:r>
    </w:p>
    <w:p w:rsidR="001D5B06" w:rsidRPr="00220BC5" w:rsidP="001D5B06" w14:paraId="02BE8802" w14:textId="454CFFAF">
      <w:pPr>
        <w:shd w:val="clear" w:color="auto" w:fill="FFFFFF"/>
        <w:spacing w:before="100" w:beforeAutospacing="1" w:after="100" w:afterAutospacing="1"/>
        <w:ind w:firstLine="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(D)</w:t>
      </w:r>
      <w:r w:rsidRPr="00220BC5">
        <w:rPr>
          <w:sz w:val="24"/>
          <w:szCs w:val="24"/>
          <w:lang w:val="en"/>
        </w:rPr>
        <w:t xml:space="preserve"> To provide medical treatment to exposed </w:t>
      </w:r>
      <w:r w:rsidRPr="00220BC5">
        <w:rPr>
          <w:sz w:val="24"/>
          <w:szCs w:val="24"/>
          <w:lang w:val="en"/>
        </w:rPr>
        <w:t>employees;</w:t>
      </w:r>
    </w:p>
    <w:p w:rsidR="001D5B06" w:rsidRPr="00220BC5" w:rsidP="003A15DB" w14:paraId="6274716B" w14:textId="0AA24C2D">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(E)</w:t>
      </w:r>
      <w:r w:rsidRPr="00220BC5">
        <w:rPr>
          <w:sz w:val="24"/>
          <w:szCs w:val="24"/>
          <w:lang w:val="en"/>
        </w:rPr>
        <w:t xml:space="preserve"> To select or assess appropriate personal protective equipment for exposed </w:t>
      </w:r>
      <w:r w:rsidRPr="00220BC5">
        <w:rPr>
          <w:sz w:val="24"/>
          <w:szCs w:val="24"/>
          <w:lang w:val="en"/>
        </w:rPr>
        <w:t>employees;</w:t>
      </w:r>
    </w:p>
    <w:p w:rsidR="001D5B06" w:rsidRPr="00220BC5" w:rsidP="003A15DB" w14:paraId="282FF4A9" w14:textId="72DAD1E5">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(F)</w:t>
      </w:r>
      <w:r w:rsidRPr="00220BC5">
        <w:rPr>
          <w:sz w:val="24"/>
          <w:szCs w:val="24"/>
          <w:lang w:val="en"/>
        </w:rPr>
        <w:t xml:space="preserve"> To design or assess engineering controls or other protective measures for exposed employees; and,</w:t>
      </w:r>
    </w:p>
    <w:p w:rsidR="001D5B06" w:rsidRPr="00220BC5" w:rsidP="003A15DB" w14:paraId="52C9B941" w14:textId="2F2AE229">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w:t>
      </w:r>
      <w:r w:rsidRPr="00BD599D">
        <w:rPr>
          <w:i/>
          <w:iCs/>
          <w:sz w:val="24"/>
          <w:szCs w:val="24"/>
          <w:lang w:val="en"/>
        </w:rPr>
        <w:t>(G)</w:t>
      </w:r>
      <w:r w:rsidRPr="00220BC5">
        <w:rPr>
          <w:sz w:val="24"/>
          <w:szCs w:val="24"/>
          <w:lang w:val="en"/>
        </w:rPr>
        <w:t xml:space="preserve"> To conduct studies to determine the health effects of exposure.</w:t>
      </w:r>
    </w:p>
    <w:p w:rsidR="001D5B06" w:rsidRPr="00220BC5" w:rsidP="003A15DB" w14:paraId="1FD4E5DB" w14:textId="0635E8DD">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)(3)(iii)</w:t>
      </w:r>
      <w:r w:rsidRPr="00220BC5">
        <w:rPr>
          <w:sz w:val="24"/>
          <w:szCs w:val="24"/>
          <w:lang w:val="en"/>
        </w:rPr>
        <w:t xml:space="preserve"> </w:t>
      </w:r>
      <w:r w:rsidR="00925024">
        <w:rPr>
          <w:sz w:val="24"/>
          <w:szCs w:val="24"/>
          <w:lang w:val="en"/>
        </w:rPr>
        <w:t xml:space="preserve">- </w:t>
      </w:r>
      <w:r w:rsidRPr="00220BC5">
        <w:rPr>
          <w:sz w:val="24"/>
          <w:szCs w:val="24"/>
          <w:lang w:val="en"/>
        </w:rPr>
        <w:t>The request explains in detail why the disclosure of the specific chemical identity or percentage composition is essential and that, in lieu thereof, the disclosure of the following information to the health professional, employee, or designated representative, would not satisfy the purposes described in paragraph (</w:t>
      </w:r>
      <w:r w:rsidRPr="00220BC5">
        <w:rPr>
          <w:sz w:val="24"/>
          <w:szCs w:val="24"/>
          <w:lang w:val="en"/>
        </w:rPr>
        <w:t>i</w:t>
      </w:r>
      <w:r w:rsidRPr="00220BC5">
        <w:rPr>
          <w:sz w:val="24"/>
          <w:szCs w:val="24"/>
          <w:lang w:val="en"/>
        </w:rPr>
        <w:t>)(3)(ii) of this section:</w:t>
      </w:r>
    </w:p>
    <w:p w:rsidR="001D5B06" w:rsidRPr="00220BC5" w:rsidP="001D5B06" w14:paraId="4582C3F9" w14:textId="00007FDD">
      <w:pPr>
        <w:shd w:val="clear" w:color="auto" w:fill="FFFFFF"/>
        <w:spacing w:before="100" w:beforeAutospacing="1" w:after="100" w:afterAutospacing="1"/>
        <w:ind w:firstLine="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)(3)(iii)</w:t>
      </w:r>
      <w:r w:rsidRPr="00BD599D">
        <w:rPr>
          <w:i/>
          <w:iCs/>
          <w:sz w:val="24"/>
          <w:szCs w:val="24"/>
          <w:lang w:val="en"/>
        </w:rPr>
        <w:t xml:space="preserve">(A) </w:t>
      </w:r>
      <w:r w:rsidRPr="00220BC5">
        <w:rPr>
          <w:sz w:val="24"/>
          <w:szCs w:val="24"/>
          <w:lang w:val="en"/>
        </w:rPr>
        <w:t xml:space="preserve">The properties and effects of the </w:t>
      </w:r>
      <w:r w:rsidRPr="00220BC5">
        <w:rPr>
          <w:sz w:val="24"/>
          <w:szCs w:val="24"/>
          <w:lang w:val="en"/>
        </w:rPr>
        <w:t>chemical;</w:t>
      </w:r>
    </w:p>
    <w:p w:rsidR="001D5B06" w:rsidRPr="00220BC5" w:rsidP="001D5B06" w14:paraId="44A4F0E3" w14:textId="2721A5B3">
      <w:pPr>
        <w:shd w:val="clear" w:color="auto" w:fill="FFFFFF"/>
        <w:spacing w:before="100" w:beforeAutospacing="1" w:after="100" w:afterAutospacing="1"/>
        <w:ind w:firstLine="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)(3)(iii)</w:t>
      </w:r>
      <w:r w:rsidRPr="00BD599D">
        <w:rPr>
          <w:i/>
          <w:iCs/>
          <w:sz w:val="24"/>
          <w:szCs w:val="24"/>
          <w:lang w:val="en"/>
        </w:rPr>
        <w:t>(B)</w:t>
      </w:r>
      <w:r w:rsidRPr="00220BC5">
        <w:rPr>
          <w:sz w:val="24"/>
          <w:szCs w:val="24"/>
          <w:lang w:val="en"/>
        </w:rPr>
        <w:t xml:space="preserve"> Measures for controlling workers' exposure to the </w:t>
      </w:r>
      <w:r w:rsidRPr="00220BC5">
        <w:rPr>
          <w:sz w:val="24"/>
          <w:szCs w:val="24"/>
          <w:lang w:val="en"/>
        </w:rPr>
        <w:t>chemical;</w:t>
      </w:r>
    </w:p>
    <w:p w:rsidR="001D5B06" w:rsidRPr="00220BC5" w:rsidP="003A15DB" w14:paraId="06BA0E9B" w14:textId="5B4BB34F">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w:t>
      </w:r>
      <w:r w:rsidRPr="00220BC5">
        <w:rPr>
          <w:i/>
          <w:color w:val="000000"/>
          <w:sz w:val="24"/>
          <w:szCs w:val="24"/>
        </w:rPr>
        <w:t>3)(</w:t>
      </w:r>
      <w:r w:rsidRPr="00220BC5">
        <w:rPr>
          <w:i/>
          <w:color w:val="000000"/>
          <w:sz w:val="24"/>
          <w:szCs w:val="24"/>
        </w:rPr>
        <w:t>iii</w:t>
      </w:r>
      <w:r w:rsidRPr="00220BC5">
        <w:rPr>
          <w:sz w:val="24"/>
          <w:szCs w:val="24"/>
          <w:lang w:val="en"/>
        </w:rPr>
        <w:t xml:space="preserve"> </w:t>
      </w:r>
      <w:r w:rsidRPr="00BD599D">
        <w:rPr>
          <w:i/>
          <w:iCs/>
          <w:sz w:val="24"/>
          <w:szCs w:val="24"/>
          <w:lang w:val="en"/>
        </w:rPr>
        <w:t>(C)</w:t>
      </w:r>
      <w:r w:rsidRPr="00220BC5">
        <w:rPr>
          <w:sz w:val="24"/>
          <w:szCs w:val="24"/>
          <w:lang w:val="en"/>
        </w:rPr>
        <w:t xml:space="preserve"> Methods of monitoring and analyzing worker exposure to the chemical; and,</w:t>
      </w:r>
    </w:p>
    <w:p w:rsidR="001D5B06" w:rsidRPr="00220BC5" w:rsidP="003A15DB" w14:paraId="2ACF177E" w14:textId="77C1CB4C">
      <w:pPr>
        <w:shd w:val="clear" w:color="auto" w:fill="FFFFFF"/>
        <w:spacing w:before="100" w:beforeAutospacing="1" w:after="100" w:afterAutospacing="1"/>
        <w:ind w:left="480"/>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)(3)(iii)</w:t>
      </w:r>
      <w:r w:rsidRPr="00BD599D">
        <w:rPr>
          <w:i/>
          <w:iCs/>
          <w:sz w:val="24"/>
          <w:szCs w:val="24"/>
          <w:lang w:val="en"/>
        </w:rPr>
        <w:t>(D)</w:t>
      </w:r>
      <w:r w:rsidRPr="00220BC5">
        <w:rPr>
          <w:sz w:val="24"/>
          <w:szCs w:val="24"/>
          <w:lang w:val="en"/>
        </w:rPr>
        <w:t xml:space="preserve"> Methods of diagnosing and treating harmful exposures to the </w:t>
      </w:r>
      <w:r w:rsidRPr="00220BC5">
        <w:rPr>
          <w:sz w:val="24"/>
          <w:szCs w:val="24"/>
          <w:lang w:val="en"/>
        </w:rPr>
        <w:t>chemical;</w:t>
      </w:r>
    </w:p>
    <w:p w:rsidR="001D5B06" w:rsidRPr="00220BC5" w:rsidP="003A15DB" w14:paraId="65C505AD" w14:textId="3A782B6C">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)(3)(iv)</w:t>
      </w:r>
      <w:r w:rsidRPr="00220BC5">
        <w:rPr>
          <w:sz w:val="24"/>
          <w:szCs w:val="24"/>
          <w:lang w:val="en"/>
        </w:rPr>
        <w:t xml:space="preserve"> </w:t>
      </w:r>
      <w:r w:rsidR="00925024">
        <w:rPr>
          <w:sz w:val="24"/>
          <w:szCs w:val="24"/>
          <w:lang w:val="en"/>
        </w:rPr>
        <w:t xml:space="preserve">- </w:t>
      </w:r>
      <w:r w:rsidRPr="00220BC5">
        <w:rPr>
          <w:sz w:val="24"/>
          <w:szCs w:val="24"/>
          <w:lang w:val="en"/>
        </w:rPr>
        <w:t>The request includes a description of the procedures to be used to maintain the confidentiality of the disclosed information; and,</w:t>
      </w:r>
    </w:p>
    <w:p w:rsidR="001D5B06" w:rsidRPr="00220BC5" w:rsidP="003A15DB" w14:paraId="5277B3EF" w14:textId="4BEA78FF">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)(3)(v)</w:t>
      </w:r>
      <w:r w:rsidRPr="00220BC5">
        <w:rPr>
          <w:sz w:val="24"/>
          <w:szCs w:val="24"/>
          <w:lang w:val="en"/>
        </w:rPr>
        <w:t xml:space="preserve"> </w:t>
      </w:r>
      <w:r w:rsidR="00AD4AA0">
        <w:rPr>
          <w:sz w:val="24"/>
          <w:szCs w:val="24"/>
          <w:lang w:val="en"/>
        </w:rPr>
        <w:t xml:space="preserve">- </w:t>
      </w:r>
      <w:r w:rsidRPr="00220BC5">
        <w:rPr>
          <w:sz w:val="24"/>
          <w:szCs w:val="24"/>
          <w:lang w:val="en"/>
        </w:rPr>
        <w:t>The health professional, and the employer or contractor of the services of the health professional (</w:t>
      </w:r>
      <w:r w:rsidRPr="00220BC5">
        <w:rPr>
          <w:i/>
          <w:iCs/>
          <w:sz w:val="24"/>
          <w:szCs w:val="24"/>
          <w:lang w:val="en"/>
        </w:rPr>
        <w:t>i.e.</w:t>
      </w:r>
      <w:r w:rsidRPr="00220BC5">
        <w:rPr>
          <w:sz w:val="24"/>
          <w:szCs w:val="24"/>
          <w:lang w:val="en"/>
        </w:rPr>
        <w:t>, downstream employer, labor organization, or individual employee), employee,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w:t>
      </w:r>
      <w:r w:rsidRPr="00220BC5">
        <w:rPr>
          <w:sz w:val="24"/>
          <w:szCs w:val="24"/>
          <w:lang w:val="en"/>
        </w:rPr>
        <w:t>i</w:t>
      </w:r>
      <w:r w:rsidRPr="00220BC5">
        <w:rPr>
          <w:sz w:val="24"/>
          <w:szCs w:val="24"/>
          <w:lang w:val="en"/>
        </w:rPr>
        <w:t>)(6) of this section, except as authorized by the terms of the agreement or by the chemical manufacturer, importer, or employer.</w:t>
      </w:r>
    </w:p>
    <w:p w:rsidR="001D5B06" w:rsidRPr="00220BC5" w:rsidP="003A15DB" w14:paraId="553EBBDA" w14:textId="1681B026">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)(4)</w:t>
      </w:r>
      <w:r w:rsidRPr="00220BC5">
        <w:rPr>
          <w:sz w:val="24"/>
          <w:szCs w:val="24"/>
          <w:lang w:val="en"/>
        </w:rPr>
        <w:t xml:space="preserve"> </w:t>
      </w:r>
      <w:r w:rsidR="00AD4AA0">
        <w:rPr>
          <w:sz w:val="24"/>
          <w:szCs w:val="24"/>
          <w:lang w:val="en"/>
        </w:rPr>
        <w:t xml:space="preserve">- </w:t>
      </w:r>
      <w:r w:rsidRPr="00220BC5">
        <w:rPr>
          <w:sz w:val="24"/>
          <w:szCs w:val="24"/>
          <w:lang w:val="en"/>
        </w:rPr>
        <w:t>The confidentiality agreement authorized by paragraph (</w:t>
      </w:r>
      <w:r w:rsidRPr="00220BC5">
        <w:rPr>
          <w:sz w:val="24"/>
          <w:szCs w:val="24"/>
          <w:lang w:val="en"/>
        </w:rPr>
        <w:t>i</w:t>
      </w:r>
      <w:r w:rsidRPr="00220BC5">
        <w:rPr>
          <w:sz w:val="24"/>
          <w:szCs w:val="24"/>
          <w:lang w:val="en"/>
        </w:rPr>
        <w:t>)(3)(iv) of this section:</w:t>
      </w:r>
    </w:p>
    <w:p w:rsidR="001D5B06" w:rsidRPr="00220BC5" w:rsidP="003A15DB" w14:paraId="62B986D7" w14:textId="63AB1D32">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)(4)</w:t>
      </w:r>
      <w:r w:rsidRPr="00BD599D">
        <w:rPr>
          <w:i/>
          <w:iCs/>
          <w:sz w:val="24"/>
          <w:szCs w:val="24"/>
          <w:lang w:val="en"/>
        </w:rPr>
        <w:t>(</w:t>
      </w:r>
      <w:r w:rsidRPr="00BD599D">
        <w:rPr>
          <w:i/>
          <w:iCs/>
          <w:sz w:val="24"/>
          <w:szCs w:val="24"/>
          <w:lang w:val="en"/>
        </w:rPr>
        <w:t>i</w:t>
      </w:r>
      <w:r w:rsidRPr="00BD599D">
        <w:rPr>
          <w:i/>
          <w:iCs/>
          <w:sz w:val="24"/>
          <w:szCs w:val="24"/>
          <w:lang w:val="en"/>
        </w:rPr>
        <w:t>)</w:t>
      </w:r>
      <w:r w:rsidRPr="00220BC5">
        <w:rPr>
          <w:sz w:val="24"/>
          <w:szCs w:val="24"/>
          <w:lang w:val="en"/>
        </w:rPr>
        <w:t xml:space="preserve"> </w:t>
      </w:r>
      <w:r w:rsidR="00AD4AA0">
        <w:rPr>
          <w:sz w:val="24"/>
          <w:szCs w:val="24"/>
          <w:lang w:val="en"/>
        </w:rPr>
        <w:t xml:space="preserve">- </w:t>
      </w:r>
      <w:r w:rsidRPr="00220BC5">
        <w:rPr>
          <w:sz w:val="24"/>
          <w:szCs w:val="24"/>
          <w:lang w:val="en"/>
        </w:rPr>
        <w:t xml:space="preserve">May restrict the use of the information to the health purposes indicated in the written statement of </w:t>
      </w:r>
      <w:r w:rsidRPr="00220BC5">
        <w:rPr>
          <w:sz w:val="24"/>
          <w:szCs w:val="24"/>
          <w:lang w:val="en"/>
        </w:rPr>
        <w:t>need;</w:t>
      </w:r>
    </w:p>
    <w:p w:rsidR="001D5B06" w:rsidRPr="00220BC5" w:rsidP="003A15DB" w14:paraId="0276CE7C" w14:textId="446443B4">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)(4)</w:t>
      </w:r>
      <w:r w:rsidRPr="00BD599D">
        <w:rPr>
          <w:i/>
          <w:iCs/>
          <w:sz w:val="24"/>
          <w:szCs w:val="24"/>
          <w:lang w:val="en"/>
        </w:rPr>
        <w:t>(ii)</w:t>
      </w:r>
      <w:r w:rsidRPr="00220BC5">
        <w:rPr>
          <w:sz w:val="24"/>
          <w:szCs w:val="24"/>
          <w:lang w:val="en"/>
        </w:rPr>
        <w:t xml:space="preserve"> </w:t>
      </w:r>
      <w:r w:rsidR="00AD4AA0">
        <w:rPr>
          <w:sz w:val="24"/>
          <w:szCs w:val="24"/>
          <w:lang w:val="en"/>
        </w:rPr>
        <w:t xml:space="preserve">- </w:t>
      </w:r>
      <w:r w:rsidRPr="00220BC5">
        <w:rPr>
          <w:sz w:val="24"/>
          <w:szCs w:val="24"/>
          <w:lang w:val="en"/>
        </w:rPr>
        <w:t>May provide for appropriate legal remedies in the event of a breach of the agreement, including stipulation of a reasonable pre-estimate of likely damages; and,</w:t>
      </w:r>
    </w:p>
    <w:p w:rsidR="001D5B06" w:rsidRPr="00220BC5" w:rsidP="003A15DB" w14:paraId="22DC1F80" w14:textId="4FC26AA9">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)(4)</w:t>
      </w:r>
      <w:r w:rsidRPr="00BD599D">
        <w:rPr>
          <w:i/>
          <w:iCs/>
          <w:sz w:val="24"/>
          <w:szCs w:val="24"/>
          <w:lang w:val="en"/>
        </w:rPr>
        <w:t>(iii)</w:t>
      </w:r>
      <w:r w:rsidRPr="00220BC5">
        <w:rPr>
          <w:sz w:val="24"/>
          <w:szCs w:val="24"/>
          <w:lang w:val="en"/>
        </w:rPr>
        <w:t xml:space="preserve"> </w:t>
      </w:r>
      <w:r w:rsidR="00AD4AA0">
        <w:rPr>
          <w:sz w:val="24"/>
          <w:szCs w:val="24"/>
          <w:lang w:val="en"/>
        </w:rPr>
        <w:t xml:space="preserve">- </w:t>
      </w:r>
      <w:r w:rsidRPr="00220BC5">
        <w:rPr>
          <w:sz w:val="24"/>
          <w:szCs w:val="24"/>
          <w:lang w:val="en"/>
        </w:rPr>
        <w:t>May not include requirements for the posting of a penalty bond.</w:t>
      </w:r>
    </w:p>
    <w:p w:rsidR="001D5B06" w:rsidRPr="00220BC5" w:rsidP="003A15DB" w14:paraId="34BEE9AB" w14:textId="49A76369">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)(6)</w:t>
      </w:r>
      <w:r w:rsidRPr="00220BC5">
        <w:rPr>
          <w:sz w:val="24"/>
          <w:szCs w:val="24"/>
          <w:lang w:val="en"/>
        </w:rPr>
        <w:t xml:space="preserve"> </w:t>
      </w:r>
      <w:r w:rsidR="00BD599D">
        <w:rPr>
          <w:sz w:val="24"/>
          <w:szCs w:val="24"/>
          <w:lang w:val="en"/>
        </w:rPr>
        <w:t>-</w:t>
      </w:r>
      <w:r w:rsidR="00AD4AA0">
        <w:rPr>
          <w:sz w:val="24"/>
          <w:szCs w:val="24"/>
          <w:lang w:val="en"/>
        </w:rPr>
        <w:t xml:space="preserve"> </w:t>
      </w:r>
      <w:r w:rsidRPr="00220BC5">
        <w:rPr>
          <w:sz w:val="24"/>
          <w:szCs w:val="24"/>
          <w:lang w:val="en"/>
        </w:rPr>
        <w:t>If the health professional, employee, or designated representative receiving the trade secret information decides that there is a need to disclose it to OSHA, the chemical manufacturer, importer, or employer who provided the information shall be informed by the health professional, employee, or designated representative prior to, or at the same time as, such disclosure.</w:t>
      </w:r>
    </w:p>
    <w:p w:rsidR="001D5B06" w:rsidRPr="00220BC5" w:rsidP="003A15DB" w14:paraId="1B170F3A" w14:textId="45D3C117">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220BC5">
        <w:rPr>
          <w:sz w:val="24"/>
          <w:szCs w:val="24"/>
          <w:lang w:val="en"/>
        </w:rPr>
        <w:t xml:space="preserve"> </w:t>
      </w:r>
      <w:r w:rsidR="00AD4AA0">
        <w:rPr>
          <w:sz w:val="24"/>
          <w:szCs w:val="24"/>
          <w:lang w:val="en"/>
        </w:rPr>
        <w:t xml:space="preserve">- </w:t>
      </w:r>
      <w:r w:rsidRPr="00220BC5">
        <w:rPr>
          <w:sz w:val="24"/>
          <w:szCs w:val="24"/>
          <w:lang w:val="en"/>
        </w:rPr>
        <w:t>If the chemical manufacturer, importer, or employer denies a written request for disclosure of a specific chemical identity or percentage composition, the denial must:</w:t>
      </w:r>
    </w:p>
    <w:p w:rsidR="001D5B06" w:rsidRPr="00220BC5" w:rsidP="003A15DB" w14:paraId="5EAFF032" w14:textId="66966413">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BD599D">
        <w:rPr>
          <w:i/>
          <w:iCs/>
          <w:sz w:val="24"/>
          <w:szCs w:val="24"/>
          <w:lang w:val="en"/>
        </w:rPr>
        <w:t>(</w:t>
      </w:r>
      <w:r w:rsidRPr="00BD599D">
        <w:rPr>
          <w:i/>
          <w:iCs/>
          <w:sz w:val="24"/>
          <w:szCs w:val="24"/>
          <w:lang w:val="en"/>
        </w:rPr>
        <w:t>i</w:t>
      </w:r>
      <w:r w:rsidRPr="00BD599D">
        <w:rPr>
          <w:i/>
          <w:iCs/>
          <w:sz w:val="24"/>
          <w:szCs w:val="24"/>
          <w:lang w:val="en"/>
        </w:rPr>
        <w:t>)</w:t>
      </w:r>
      <w:r w:rsidRPr="00220BC5">
        <w:rPr>
          <w:sz w:val="24"/>
          <w:szCs w:val="24"/>
          <w:lang w:val="en"/>
        </w:rPr>
        <w:t xml:space="preserve"> </w:t>
      </w:r>
      <w:r w:rsidR="00AD4AA0">
        <w:rPr>
          <w:sz w:val="24"/>
          <w:szCs w:val="24"/>
          <w:lang w:val="en"/>
        </w:rPr>
        <w:t xml:space="preserve">- </w:t>
      </w:r>
      <w:r w:rsidRPr="00220BC5">
        <w:rPr>
          <w:sz w:val="24"/>
          <w:szCs w:val="24"/>
          <w:lang w:val="en"/>
        </w:rPr>
        <w:t xml:space="preserve">Be provided to the health professional, employee, or designated representative, within thirty days of the </w:t>
      </w:r>
      <w:r w:rsidRPr="00220BC5">
        <w:rPr>
          <w:sz w:val="24"/>
          <w:szCs w:val="24"/>
          <w:lang w:val="en"/>
        </w:rPr>
        <w:t>request;</w:t>
      </w:r>
    </w:p>
    <w:p w:rsidR="001D5B06" w:rsidRPr="00220BC5" w:rsidP="003A15DB" w14:paraId="1E9E9CFC" w14:textId="1166C3E3">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BD599D">
        <w:rPr>
          <w:i/>
          <w:iCs/>
          <w:sz w:val="24"/>
          <w:szCs w:val="24"/>
          <w:lang w:val="en"/>
        </w:rPr>
        <w:t>(ii)</w:t>
      </w:r>
      <w:r w:rsidR="00AD4AA0">
        <w:rPr>
          <w:sz w:val="24"/>
          <w:szCs w:val="24"/>
          <w:lang w:val="en"/>
        </w:rPr>
        <w:t xml:space="preserve"> -</w:t>
      </w:r>
      <w:r w:rsidRPr="00220BC5">
        <w:rPr>
          <w:sz w:val="24"/>
          <w:szCs w:val="24"/>
          <w:lang w:val="en"/>
        </w:rPr>
        <w:t xml:space="preserve"> Be in </w:t>
      </w:r>
      <w:r w:rsidRPr="00220BC5">
        <w:rPr>
          <w:sz w:val="24"/>
          <w:szCs w:val="24"/>
          <w:lang w:val="en"/>
        </w:rPr>
        <w:t>writing;</w:t>
      </w:r>
    </w:p>
    <w:p w:rsidR="001D5B06" w:rsidRPr="00220BC5" w:rsidP="003A15DB" w14:paraId="45F93BD3" w14:textId="336F2C7B">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BD599D">
        <w:rPr>
          <w:i/>
          <w:iCs/>
          <w:sz w:val="24"/>
          <w:szCs w:val="24"/>
          <w:lang w:val="en"/>
        </w:rPr>
        <w:t>(iii)</w:t>
      </w:r>
      <w:r w:rsidRPr="00220BC5">
        <w:rPr>
          <w:sz w:val="24"/>
          <w:szCs w:val="24"/>
          <w:lang w:val="en"/>
        </w:rPr>
        <w:t xml:space="preserve"> </w:t>
      </w:r>
      <w:r w:rsidR="00AD4AA0">
        <w:rPr>
          <w:sz w:val="24"/>
          <w:szCs w:val="24"/>
          <w:lang w:val="en"/>
        </w:rPr>
        <w:t xml:space="preserve">- </w:t>
      </w:r>
      <w:r w:rsidRPr="00220BC5">
        <w:rPr>
          <w:sz w:val="24"/>
          <w:szCs w:val="24"/>
          <w:lang w:val="en"/>
        </w:rPr>
        <w:t xml:space="preserve">Include evidence to support the claim that the specific chemical identity or percent of composition is a trade </w:t>
      </w:r>
      <w:r w:rsidRPr="00220BC5">
        <w:rPr>
          <w:sz w:val="24"/>
          <w:szCs w:val="24"/>
          <w:lang w:val="en"/>
        </w:rPr>
        <w:t>secret;</w:t>
      </w:r>
    </w:p>
    <w:p w:rsidR="001D5B06" w:rsidRPr="00220BC5" w:rsidP="003A15DB" w14:paraId="0578E40C" w14:textId="1A7FE4D7">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BD599D">
        <w:rPr>
          <w:i/>
          <w:iCs/>
          <w:sz w:val="24"/>
          <w:szCs w:val="24"/>
          <w:lang w:val="en"/>
        </w:rPr>
        <w:t>(iv)</w:t>
      </w:r>
      <w:r w:rsidRPr="00220BC5">
        <w:rPr>
          <w:sz w:val="24"/>
          <w:szCs w:val="24"/>
          <w:lang w:val="en"/>
        </w:rPr>
        <w:t xml:space="preserve"> </w:t>
      </w:r>
      <w:r w:rsidR="00AD4AA0">
        <w:rPr>
          <w:sz w:val="24"/>
          <w:szCs w:val="24"/>
          <w:lang w:val="en"/>
        </w:rPr>
        <w:t xml:space="preserve">- </w:t>
      </w:r>
      <w:r w:rsidRPr="00220BC5">
        <w:rPr>
          <w:sz w:val="24"/>
          <w:szCs w:val="24"/>
          <w:lang w:val="en"/>
        </w:rPr>
        <w:t>State the specific reasons why the request is being denied; and,</w:t>
      </w:r>
    </w:p>
    <w:p w:rsidR="001D5B06" w:rsidRPr="00220BC5" w:rsidP="003A15DB" w14:paraId="09D16466" w14:textId="0527F456">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)(7)</w:t>
      </w:r>
      <w:r w:rsidRPr="00BD599D">
        <w:rPr>
          <w:i/>
          <w:iCs/>
          <w:sz w:val="24"/>
          <w:szCs w:val="24"/>
          <w:lang w:val="en"/>
        </w:rPr>
        <w:t>(v)</w:t>
      </w:r>
      <w:r w:rsidRPr="00220BC5">
        <w:rPr>
          <w:sz w:val="24"/>
          <w:szCs w:val="24"/>
          <w:lang w:val="en"/>
        </w:rPr>
        <w:t xml:space="preserve"> </w:t>
      </w:r>
      <w:r w:rsidR="00AD4AA0">
        <w:rPr>
          <w:sz w:val="24"/>
          <w:szCs w:val="24"/>
          <w:lang w:val="en"/>
        </w:rPr>
        <w:t xml:space="preserve">- </w:t>
      </w:r>
      <w:r w:rsidRPr="00220BC5">
        <w:rPr>
          <w:sz w:val="24"/>
          <w:szCs w:val="24"/>
          <w:lang w:val="en"/>
        </w:rPr>
        <w:t xml:space="preserve">Explain in detail how alternative information may satisfy the </w:t>
      </w:r>
      <w:r w:rsidRPr="00220BC5">
        <w:rPr>
          <w:sz w:val="24"/>
          <w:szCs w:val="24"/>
          <w:lang w:val="en"/>
        </w:rPr>
        <w:t>specific medical or occupational health need without revealing the trade secret.</w:t>
      </w:r>
    </w:p>
    <w:p w:rsidR="001D5B06" w:rsidRPr="00220BC5" w:rsidP="003A15DB" w14:paraId="41054DD5" w14:textId="002B65A4">
      <w:pPr>
        <w:shd w:val="clear" w:color="auto" w:fill="FFFFFF"/>
        <w:spacing w:before="100" w:beforeAutospacing="1" w:after="100" w:afterAutospacing="1"/>
        <w:rPr>
          <w:sz w:val="24"/>
          <w:szCs w:val="24"/>
          <w:lang w:val="en"/>
        </w:rPr>
      </w:pPr>
      <w:r w:rsidRPr="00220BC5">
        <w:rPr>
          <w:i/>
          <w:color w:val="000000"/>
          <w:sz w:val="24"/>
          <w:szCs w:val="24"/>
        </w:rPr>
        <w:t>§1910.1200(</w:t>
      </w:r>
      <w:r w:rsidRPr="00220BC5">
        <w:rPr>
          <w:i/>
          <w:color w:val="000000"/>
          <w:sz w:val="24"/>
          <w:szCs w:val="24"/>
        </w:rPr>
        <w:t>i</w:t>
      </w:r>
      <w:r w:rsidRPr="00220BC5">
        <w:rPr>
          <w:i/>
          <w:color w:val="000000"/>
          <w:sz w:val="24"/>
          <w:szCs w:val="24"/>
        </w:rPr>
        <w:t>)(8)</w:t>
      </w:r>
      <w:r w:rsidRPr="00220BC5">
        <w:rPr>
          <w:sz w:val="24"/>
          <w:szCs w:val="24"/>
          <w:lang w:val="en"/>
        </w:rPr>
        <w:t xml:space="preserve"> </w:t>
      </w:r>
      <w:r w:rsidR="00AD4AA0">
        <w:rPr>
          <w:sz w:val="24"/>
          <w:szCs w:val="24"/>
          <w:lang w:val="en"/>
        </w:rPr>
        <w:t xml:space="preserve">- </w:t>
      </w:r>
      <w:r w:rsidRPr="00220BC5">
        <w:rPr>
          <w:sz w:val="24"/>
          <w:szCs w:val="24"/>
          <w:lang w:val="en"/>
        </w:rPr>
        <w:t>The health professional, employee, or designated representative whose request for information is denied under paragraph (</w:t>
      </w:r>
      <w:r w:rsidRPr="00220BC5">
        <w:rPr>
          <w:sz w:val="24"/>
          <w:szCs w:val="24"/>
          <w:lang w:val="en"/>
        </w:rPr>
        <w:t>i</w:t>
      </w:r>
      <w:r w:rsidRPr="00220BC5">
        <w:rPr>
          <w:sz w:val="24"/>
          <w:szCs w:val="24"/>
          <w:lang w:val="en"/>
        </w:rPr>
        <w:t>)(3) of this section may refer the request and the written denial of the request to OSHA for consideration.</w:t>
      </w:r>
    </w:p>
    <w:p w:rsidR="00D80711" w:rsidRPr="00220BC5" w:rsidP="00D80711" w14:paraId="35077C66"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220BC5">
        <w:rPr>
          <w:b/>
          <w:bCs/>
          <w:color w:val="000000"/>
        </w:rPr>
        <w:t>3</w:t>
      </w:r>
      <w:r w:rsidRPr="00220BC5">
        <w:rPr>
          <w:b/>
          <w:bCs/>
          <w:color w:val="000000"/>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80711" w:rsidRPr="00220BC5" w:rsidP="00D80711" w14:paraId="7B3C27B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0D13" w:rsidRPr="00220BC5" w:rsidP="001900B4" w14:paraId="4DCBE547" w14:textId="77777777">
      <w:pPr>
        <w:rPr>
          <w:color w:val="000000"/>
          <w:sz w:val="24"/>
          <w:szCs w:val="24"/>
        </w:rPr>
      </w:pPr>
      <w:r w:rsidRPr="00220BC5">
        <w:rPr>
          <w:color w:val="000000"/>
          <w:sz w:val="24"/>
          <w:szCs w:val="24"/>
        </w:rPr>
        <w:t xml:space="preserve">To the extent practical, OSHA standards minimize burdens on employers, including technical and legal burdens.  </w:t>
      </w:r>
      <w:r w:rsidRPr="00220BC5" w:rsidR="003B649D">
        <w:rPr>
          <w:color w:val="000000"/>
          <w:sz w:val="24"/>
          <w:szCs w:val="24"/>
        </w:rPr>
        <w:t xml:space="preserve">The agency </w:t>
      </w:r>
      <w:r w:rsidRPr="00220BC5">
        <w:rPr>
          <w:color w:val="000000"/>
          <w:sz w:val="24"/>
          <w:szCs w:val="24"/>
        </w:rPr>
        <w:t xml:space="preserve">is aware that employers have developed </w:t>
      </w:r>
      <w:r w:rsidRPr="00220BC5">
        <w:rPr>
          <w:color w:val="000000"/>
          <w:sz w:val="24"/>
          <w:szCs w:val="24"/>
        </w:rPr>
        <w:t>a number of</w:t>
      </w:r>
      <w:r w:rsidRPr="00220BC5">
        <w:rPr>
          <w:color w:val="000000"/>
          <w:sz w:val="24"/>
          <w:szCs w:val="24"/>
        </w:rPr>
        <w:t xml:space="preserve"> options to sort, collect, and store hazard communication information, and that many software programs have been marketed to assist employers in accomplishing these tasks.  </w:t>
      </w:r>
    </w:p>
    <w:p w:rsidR="003B649D" w:rsidRPr="00220BC5" w:rsidP="001900B4" w14:paraId="2227BA53" w14:textId="77777777">
      <w:pPr>
        <w:rPr>
          <w:color w:val="000000"/>
          <w:sz w:val="24"/>
          <w:szCs w:val="24"/>
        </w:rPr>
      </w:pPr>
    </w:p>
    <w:p w:rsidR="001900B4" w:rsidRPr="00220BC5" w:rsidP="001900B4" w14:paraId="6923BA59" w14:textId="77777777">
      <w:pPr>
        <w:rPr>
          <w:color w:val="000000"/>
          <w:sz w:val="24"/>
          <w:szCs w:val="24"/>
        </w:rPr>
      </w:pPr>
      <w:r w:rsidRPr="00220BC5">
        <w:rPr>
          <w:color w:val="000000"/>
          <w:sz w:val="24"/>
          <w:szCs w:val="24"/>
        </w:rPr>
        <w:t>The Standard allows for electronic access, and other alternatives to maintaining paper copies of the SDSs, so long as no barriers to immediate employee access are created by such options.  There are no known technical or legal obstacles to reducing the information collection burden through improved information technology.</w:t>
      </w:r>
    </w:p>
    <w:p w:rsidR="001900B4" w:rsidRPr="00220BC5" w:rsidP="001900B4" w14:paraId="59404C85" w14:textId="77777777">
      <w:pPr>
        <w:rPr>
          <w:color w:val="000000"/>
          <w:sz w:val="24"/>
          <w:szCs w:val="24"/>
        </w:rPr>
      </w:pPr>
    </w:p>
    <w:p w:rsidR="00D80711" w:rsidRPr="00220BC5" w:rsidP="00D80711" w14:paraId="12C45E64"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220BC5">
        <w:rPr>
          <w:b/>
          <w:bCs/>
          <w:color w:val="000000"/>
          <w:sz w:val="24"/>
          <w:szCs w:val="24"/>
        </w:rPr>
        <w:t>4.  Describe efforts to identify duplication.  Show specifically why any similar information already available cannot be used or modified for use for the purposes described in Item 2 above.</w:t>
      </w:r>
    </w:p>
    <w:p w:rsidR="00D80711" w:rsidRPr="00220BC5" w:rsidP="00D80711" w14:paraId="1265CE2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F02F7" w:rsidRPr="00220BC5" w:rsidP="00AB0B90" w14:paraId="66A2DEB2" w14:textId="7634E53B">
      <w:pPr>
        <w:rPr>
          <w:color w:val="000000"/>
          <w:sz w:val="24"/>
          <w:szCs w:val="24"/>
        </w:rPr>
      </w:pPr>
      <w:r w:rsidRPr="00220BC5">
        <w:rPr>
          <w:color w:val="000000"/>
          <w:sz w:val="24"/>
          <w:szCs w:val="24"/>
        </w:rPr>
        <w:t>Within the U.S., several regulatory authorities exercise jurisdiction over chemical hazard communication.  In addition to OSHA, the Department of Transportation (DOT) regulates chemicals in transport, the Consumer Product Safety Commission (CPSC) regulates consumer products, and the Environmental Protection Agency (EPA) regulates pesticides</w:t>
      </w:r>
      <w:r w:rsidRPr="00220BC5" w:rsidR="00DA3568">
        <w:rPr>
          <w:color w:val="000000"/>
          <w:sz w:val="24"/>
          <w:szCs w:val="24"/>
        </w:rPr>
        <w:t xml:space="preserve"> and has</w:t>
      </w:r>
      <w:r w:rsidRPr="00220BC5">
        <w:rPr>
          <w:color w:val="000000"/>
          <w:sz w:val="24"/>
          <w:szCs w:val="24"/>
        </w:rPr>
        <w:t xml:space="preserve"> other authority over labeling under the Toxic Substances Control Act.</w:t>
      </w:r>
      <w:r w:rsidRPr="00220BC5" w:rsidR="00751D82">
        <w:rPr>
          <w:color w:val="000000"/>
          <w:sz w:val="24"/>
          <w:szCs w:val="24"/>
        </w:rPr>
        <w:t xml:space="preserve">  OSHA has an MOU with the EPA dated April 12, 2012</w:t>
      </w:r>
      <w:r w:rsidRPr="00220BC5" w:rsidR="00CE2343">
        <w:rPr>
          <w:color w:val="000000"/>
          <w:sz w:val="24"/>
          <w:szCs w:val="24"/>
        </w:rPr>
        <w:t>,</w:t>
      </w:r>
      <w:r w:rsidRPr="00220BC5" w:rsidR="00751D82">
        <w:rPr>
          <w:color w:val="000000"/>
          <w:sz w:val="24"/>
          <w:szCs w:val="24"/>
        </w:rPr>
        <w:t xml:space="preserve"> that addresses EPA’s Federal Insecticide, Fungicide, and Rodenticide Act’s labels and safety data sheets. </w:t>
      </w:r>
      <w:r w:rsidRPr="00220BC5">
        <w:rPr>
          <w:color w:val="000000"/>
          <w:sz w:val="24"/>
          <w:szCs w:val="24"/>
        </w:rPr>
        <w:t xml:space="preserve"> Each of these regulatory authorities operates under different statutory </w:t>
      </w:r>
      <w:r w:rsidRPr="00220BC5">
        <w:rPr>
          <w:color w:val="000000"/>
          <w:sz w:val="24"/>
          <w:szCs w:val="24"/>
        </w:rPr>
        <w:t>mandates, and</w:t>
      </w:r>
      <w:r w:rsidRPr="00220BC5">
        <w:rPr>
          <w:color w:val="000000"/>
          <w:sz w:val="24"/>
          <w:szCs w:val="24"/>
        </w:rPr>
        <w:t xml:space="preserve"> has adopted distinct hazard communication requirements.</w:t>
      </w:r>
    </w:p>
    <w:p w:rsidR="00D80711" w:rsidRPr="00220BC5" w:rsidP="00D80711" w14:paraId="114650C6"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p>
    <w:p w:rsidR="00D80711" w:rsidRPr="00220BC5" w:rsidP="00D80711" w14:paraId="519563F1"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220BC5">
        <w:rPr>
          <w:b/>
          <w:bCs/>
          <w:color w:val="000000"/>
          <w:sz w:val="24"/>
          <w:szCs w:val="24"/>
        </w:rPr>
        <w:t>5.  If the collection of information impacts small busi</w:t>
      </w:r>
      <w:r w:rsidRPr="00220BC5" w:rsidR="00F27920">
        <w:rPr>
          <w:b/>
          <w:bCs/>
          <w:color w:val="000000"/>
          <w:sz w:val="24"/>
          <w:szCs w:val="24"/>
        </w:rPr>
        <w:t>nesses or other small entities</w:t>
      </w:r>
      <w:r w:rsidRPr="00220BC5">
        <w:rPr>
          <w:b/>
          <w:bCs/>
          <w:color w:val="000000"/>
          <w:sz w:val="24"/>
          <w:szCs w:val="24"/>
        </w:rPr>
        <w:t>, describe any methods used to minimize burden.</w:t>
      </w:r>
    </w:p>
    <w:p w:rsidR="00635E47" w:rsidRPr="00220BC5" w:rsidP="00635E47" w14:paraId="6B27EE3D" w14:textId="77777777">
      <w:pPr>
        <w:pStyle w:val="Level1"/>
        <w:widowControl/>
        <w:numPr>
          <w:ilvl w:val="0"/>
          <w:numId w:val="0"/>
        </w:numPr>
        <w:tabs>
          <w:tab w:val="left" w:pos="-1440"/>
        </w:tabs>
        <w:rPr>
          <w:color w:val="000000"/>
        </w:rPr>
      </w:pPr>
    </w:p>
    <w:p w:rsidR="003A5900" w:rsidRPr="00220BC5" w:rsidP="007056ED" w14:paraId="75EB8441" w14:textId="07ACBD2E">
      <w:pPr>
        <w:contextualSpacing/>
        <w:rPr>
          <w:rFonts w:eastAsia="Calibri"/>
          <w:sz w:val="24"/>
          <w:szCs w:val="24"/>
        </w:rPr>
      </w:pPr>
      <w:r w:rsidRPr="00220BC5">
        <w:rPr>
          <w:rFonts w:eastAsia="Calibri"/>
          <w:sz w:val="24"/>
          <w:szCs w:val="24"/>
        </w:rPr>
        <w:t xml:space="preserve">OSHA evaluated the impact of compliance costs on the revenue and profit of small entities in affected industries.  The </w:t>
      </w:r>
      <w:r w:rsidRPr="00220BC5" w:rsidR="00444CF8">
        <w:rPr>
          <w:rFonts w:eastAsia="Calibri"/>
          <w:sz w:val="24"/>
          <w:szCs w:val="24"/>
        </w:rPr>
        <w:t>final</w:t>
      </w:r>
      <w:r w:rsidRPr="00220BC5">
        <w:rPr>
          <w:rFonts w:eastAsia="Calibri"/>
          <w:sz w:val="24"/>
          <w:szCs w:val="24"/>
        </w:rPr>
        <w:t xml:space="preserve"> rule impose</w:t>
      </w:r>
      <w:r w:rsidRPr="00220BC5" w:rsidR="009D4603">
        <w:rPr>
          <w:rFonts w:eastAsia="Calibri"/>
          <w:sz w:val="24"/>
          <w:szCs w:val="24"/>
        </w:rPr>
        <w:t>s</w:t>
      </w:r>
      <w:r w:rsidRPr="00220BC5">
        <w:rPr>
          <w:rFonts w:eastAsia="Calibri"/>
          <w:sz w:val="24"/>
          <w:szCs w:val="24"/>
        </w:rPr>
        <w:t xml:space="preserve"> costs on impacted industries for training; for reclassification of aerosols, desensitized explosives, and flammable gases; and to become familiar with the rule.  The </w:t>
      </w:r>
      <w:r w:rsidRPr="00220BC5" w:rsidR="00444CF8">
        <w:rPr>
          <w:rFonts w:eastAsia="Calibri"/>
          <w:sz w:val="24"/>
          <w:szCs w:val="24"/>
        </w:rPr>
        <w:t>final</w:t>
      </w:r>
      <w:r w:rsidRPr="00220BC5">
        <w:rPr>
          <w:rFonts w:eastAsia="Calibri"/>
          <w:sz w:val="24"/>
          <w:szCs w:val="24"/>
        </w:rPr>
        <w:t xml:space="preserve"> rule also allow</w:t>
      </w:r>
      <w:r w:rsidRPr="00220BC5" w:rsidR="009E0AA7">
        <w:rPr>
          <w:rFonts w:eastAsia="Calibri"/>
          <w:sz w:val="24"/>
          <w:szCs w:val="24"/>
        </w:rPr>
        <w:t>s</w:t>
      </w:r>
      <w:r w:rsidRPr="00220BC5">
        <w:rPr>
          <w:rFonts w:eastAsia="Calibri"/>
          <w:sz w:val="24"/>
          <w:szCs w:val="24"/>
        </w:rPr>
        <w:t xml:space="preserve"> further abbreviated </w:t>
      </w:r>
      <w:r w:rsidRPr="00220BC5">
        <w:rPr>
          <w:rFonts w:eastAsia="Calibri"/>
          <w:sz w:val="24"/>
          <w:szCs w:val="24"/>
        </w:rPr>
        <w:t xml:space="preserve">labeling for </w:t>
      </w:r>
      <w:r w:rsidRPr="00220BC5" w:rsidR="007D390C">
        <w:rPr>
          <w:rFonts w:eastAsia="Calibri"/>
          <w:sz w:val="24"/>
          <w:szCs w:val="24"/>
        </w:rPr>
        <w:t xml:space="preserve">some </w:t>
      </w:r>
      <w:r w:rsidRPr="00220BC5">
        <w:rPr>
          <w:rFonts w:eastAsia="Calibri"/>
          <w:sz w:val="24"/>
          <w:szCs w:val="24"/>
        </w:rPr>
        <w:t xml:space="preserve">very small containers and more flexible relabeling requirements for packaged chemicals released for shipment.  </w:t>
      </w:r>
    </w:p>
    <w:p w:rsidR="003A5900" w:rsidRPr="00220BC5" w:rsidP="003A5900" w14:paraId="673DB99B" w14:textId="77777777">
      <w:pPr>
        <w:pStyle w:val="Level1"/>
        <w:widowControl/>
        <w:numPr>
          <w:ilvl w:val="0"/>
          <w:numId w:val="0"/>
        </w:numPr>
        <w:tabs>
          <w:tab w:val="left" w:pos="-1440"/>
        </w:tabs>
        <w:rPr>
          <w:rFonts w:eastAsia="Calibri"/>
        </w:rPr>
      </w:pPr>
    </w:p>
    <w:p w:rsidR="003A5900" w:rsidRPr="00220BC5" w:rsidP="003A5900" w14:paraId="46066339" w14:textId="3711DAA0">
      <w:pPr>
        <w:pStyle w:val="Level1"/>
        <w:widowControl/>
        <w:numPr>
          <w:ilvl w:val="0"/>
          <w:numId w:val="0"/>
        </w:numPr>
        <w:tabs>
          <w:tab w:val="left" w:pos="-1440"/>
        </w:tabs>
        <w:rPr>
          <w:rFonts w:eastAsia="Calibri"/>
        </w:rPr>
      </w:pPr>
      <w:r w:rsidRPr="00220BC5">
        <w:rPr>
          <w:rFonts w:eastAsia="Calibri"/>
        </w:rPr>
        <w:t>OSHA believes</w:t>
      </w:r>
      <w:r w:rsidRPr="00220BC5">
        <w:rPr>
          <w:color w:val="000000"/>
        </w:rPr>
        <w:t xml:space="preserve"> that </w:t>
      </w:r>
      <w:r w:rsidRPr="00220BC5">
        <w:rPr>
          <w:rFonts w:eastAsia="Calibri"/>
        </w:rPr>
        <w:t xml:space="preserve">the </w:t>
      </w:r>
      <w:r w:rsidRPr="00220BC5" w:rsidR="00444CF8">
        <w:rPr>
          <w:rFonts w:eastAsia="Calibri"/>
        </w:rPr>
        <w:t>final</w:t>
      </w:r>
      <w:r w:rsidRPr="00220BC5">
        <w:rPr>
          <w:rFonts w:eastAsia="Calibri"/>
        </w:rPr>
        <w:t xml:space="preserve"> rule will not have a significant economic impact on a substantial number of small entities and the estimated costs are a one-time cost that w</w:t>
      </w:r>
      <w:r w:rsidRPr="00220BC5" w:rsidR="004D5324">
        <w:rPr>
          <w:rFonts w:eastAsia="Calibri"/>
        </w:rPr>
        <w:t>ill</w:t>
      </w:r>
      <w:r w:rsidRPr="00220BC5">
        <w:rPr>
          <w:rFonts w:eastAsia="Calibri"/>
        </w:rPr>
        <w:t xml:space="preserve"> be incurred during the first</w:t>
      </w:r>
      <w:r w:rsidR="00DD0476">
        <w:rPr>
          <w:rFonts w:eastAsia="Calibri"/>
        </w:rPr>
        <w:t xml:space="preserve"> </w:t>
      </w:r>
      <w:r w:rsidRPr="00220BC5">
        <w:rPr>
          <w:rFonts w:eastAsia="Calibri"/>
        </w:rPr>
        <w:t xml:space="preserve">year </w:t>
      </w:r>
      <w:r w:rsidRPr="00220BC5" w:rsidR="00F9521B">
        <w:rPr>
          <w:rFonts w:eastAsia="Calibri"/>
        </w:rPr>
        <w:t xml:space="preserve">of the </w:t>
      </w:r>
      <w:r w:rsidRPr="00220BC5">
        <w:rPr>
          <w:rFonts w:eastAsia="Calibri"/>
        </w:rPr>
        <w:t xml:space="preserve">transition period after the rule is </w:t>
      </w:r>
      <w:r w:rsidRPr="00220BC5" w:rsidR="00B96635">
        <w:rPr>
          <w:rFonts w:eastAsia="Calibri"/>
        </w:rPr>
        <w:t>promulgated</w:t>
      </w:r>
      <w:r w:rsidRPr="00220BC5">
        <w:rPr>
          <w:rFonts w:eastAsia="Calibri"/>
        </w:rPr>
        <w:t xml:space="preserve">. </w:t>
      </w:r>
    </w:p>
    <w:p w:rsidR="003A5900" w:rsidRPr="00220BC5" w:rsidP="003A5900" w14:paraId="7E195B78" w14:textId="77777777">
      <w:pPr>
        <w:pStyle w:val="Level1"/>
        <w:widowControl/>
        <w:numPr>
          <w:ilvl w:val="0"/>
          <w:numId w:val="0"/>
        </w:numPr>
        <w:tabs>
          <w:tab w:val="left" w:pos="-1440"/>
        </w:tabs>
        <w:rPr>
          <w:rFonts w:eastAsia="Calibri"/>
        </w:rPr>
      </w:pPr>
    </w:p>
    <w:p w:rsidR="00635E47" w:rsidRPr="00CB5054" w:rsidP="003A5900" w14:paraId="2DD6FBA9" w14:textId="6A764B16">
      <w:pPr>
        <w:pStyle w:val="Level1"/>
        <w:widowControl/>
        <w:numPr>
          <w:ilvl w:val="0"/>
          <w:numId w:val="0"/>
        </w:numPr>
        <w:tabs>
          <w:tab w:val="left" w:pos="-1440"/>
        </w:tabs>
        <w:rPr>
          <w:b/>
          <w:bCs/>
          <w:color w:val="000000"/>
        </w:rPr>
      </w:pPr>
      <w:r w:rsidRPr="00220BC5">
        <w:rPr>
          <w:rFonts w:eastAsia="Calibri"/>
        </w:rPr>
        <w:t xml:space="preserve">In addition, there will be annual cost savings due to the flexibilities introduced in the </w:t>
      </w:r>
      <w:r w:rsidRPr="00220BC5" w:rsidR="00E515AF">
        <w:rPr>
          <w:rFonts w:eastAsia="Calibri"/>
        </w:rPr>
        <w:t>final</w:t>
      </w:r>
      <w:r w:rsidRPr="00220BC5">
        <w:rPr>
          <w:rFonts w:eastAsia="Calibri"/>
        </w:rPr>
        <w:t xml:space="preserve"> rule for further abbreviated labeling for very small containers and </w:t>
      </w:r>
      <w:r w:rsidRPr="00220BC5" w:rsidR="00B96635">
        <w:rPr>
          <w:rFonts w:eastAsia="Calibri"/>
        </w:rPr>
        <w:t xml:space="preserve">the </w:t>
      </w:r>
      <w:r w:rsidRPr="00220BC5">
        <w:rPr>
          <w:rFonts w:eastAsia="Calibri"/>
        </w:rPr>
        <w:t xml:space="preserve">release for shipment provision. </w:t>
      </w:r>
    </w:p>
    <w:p w:rsidR="00635E47" w:rsidRPr="007B76EF" w:rsidP="00D80711" w14:paraId="2B815FFB"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p>
    <w:p w:rsidR="00D80711" w:rsidRPr="007B76EF" w:rsidP="00D80711" w14:paraId="1D4BF501"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7B76EF">
        <w:rPr>
          <w:b/>
          <w:bCs/>
          <w:color w:val="000000"/>
          <w:sz w:val="24"/>
          <w:szCs w:val="24"/>
        </w:rPr>
        <w:t>6.  Describe the consequences to Federal program or policy activities if the collection is not conducted or is conducted less frequently, as well as any technical or legal obstacles to reducing burden.</w:t>
      </w:r>
    </w:p>
    <w:p w:rsidR="00D80711" w:rsidRPr="007B76EF" w:rsidP="00D80711" w14:paraId="0602F28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307FE7" w:rsidRPr="00CB5054" w:rsidP="00307FE7" w14:paraId="3A1E92E9" w14:textId="148A9581">
      <w:pPr>
        <w:rPr>
          <w:color w:val="000000"/>
          <w:sz w:val="24"/>
          <w:szCs w:val="24"/>
        </w:rPr>
      </w:pPr>
      <w:r w:rsidRPr="007B76EF">
        <w:rPr>
          <w:color w:val="000000"/>
          <w:sz w:val="24"/>
          <w:szCs w:val="24"/>
        </w:rPr>
        <w:t>The information required under the HCS concerning the hazards of chemicals and appropriate protective measures reduce</w:t>
      </w:r>
      <w:r w:rsidR="00DA3568">
        <w:rPr>
          <w:color w:val="000000"/>
          <w:sz w:val="24"/>
          <w:szCs w:val="24"/>
        </w:rPr>
        <w:t>s</w:t>
      </w:r>
      <w:r w:rsidRPr="007B76EF">
        <w:rPr>
          <w:color w:val="000000"/>
          <w:sz w:val="24"/>
          <w:szCs w:val="24"/>
        </w:rPr>
        <w:t xml:space="preserve"> the incidence of chemical-source illnesses and </w:t>
      </w:r>
      <w:r w:rsidRPr="00CB5054">
        <w:rPr>
          <w:color w:val="000000"/>
          <w:sz w:val="24"/>
          <w:szCs w:val="24"/>
        </w:rPr>
        <w:t>injuries in workers exposed to chemical hazards.  Making this information available to workers provides some protection to them in the absence of substance</w:t>
      </w:r>
      <w:r w:rsidRPr="00CB5054">
        <w:rPr>
          <w:color w:val="000000"/>
          <w:sz w:val="24"/>
          <w:szCs w:val="24"/>
        </w:rPr>
        <w:noBreakHyphen/>
        <w:t xml:space="preserve">specific rules; </w:t>
      </w:r>
      <w:r w:rsidRPr="00CB5054">
        <w:rPr>
          <w:color w:val="000000"/>
          <w:sz w:val="24"/>
          <w:szCs w:val="24"/>
        </w:rPr>
        <w:t>the vast majority of</w:t>
      </w:r>
      <w:r w:rsidRPr="00CB5054">
        <w:rPr>
          <w:color w:val="000000"/>
          <w:sz w:val="24"/>
          <w:szCs w:val="24"/>
        </w:rPr>
        <w:t xml:space="preserve"> hazardous chemicals to which workers are exposed are not regulated by a substance-specific standard.  A reduction in the number of incidents of chemical-source illnesses and injuries in workers exposed to chemical hazards occur</w:t>
      </w:r>
      <w:r w:rsidR="00DA3568">
        <w:rPr>
          <w:color w:val="000000"/>
          <w:sz w:val="24"/>
          <w:szCs w:val="24"/>
        </w:rPr>
        <w:t>s</w:t>
      </w:r>
      <w:r w:rsidRPr="00CB5054">
        <w:rPr>
          <w:color w:val="000000"/>
          <w:sz w:val="24"/>
          <w:szCs w:val="24"/>
        </w:rPr>
        <w:t xml:space="preserve"> from the improved protections implemented by employers because of the HCS, and from workers who understand these measures better and, therefore, will take effective steps to protect themselves.</w:t>
      </w:r>
    </w:p>
    <w:p w:rsidR="00307FE7" w:rsidRPr="00CB5054" w:rsidP="00D80711" w14:paraId="41F6D0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349B79E0" w14:textId="77777777">
      <w:pPr>
        <w:shd w:val="solid" w:color="FFFFFF" w:fill="FFFFFF"/>
        <w:tabs>
          <w:tab w:val="left" w:pos="-216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 xml:space="preserve">7.  </w:t>
      </w:r>
      <w:r w:rsidRPr="00AB0B90">
        <w:rPr>
          <w:b/>
          <w:bCs/>
          <w:color w:val="000000"/>
          <w:sz w:val="24"/>
          <w:szCs w:val="24"/>
        </w:rPr>
        <w:t>Explain any special circumstances that would cause an information collection to be conducted in a manner:</w:t>
      </w:r>
    </w:p>
    <w:p w:rsidR="00D80711" w:rsidRPr="00AB0B90" w:rsidP="00D80711" w14:paraId="4B9F51D4" w14:textId="77777777">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p>
    <w:p w:rsidR="00D80711" w:rsidRPr="00AB0B90" w:rsidP="009159C9" w14:paraId="3A13087C" w14:textId="77777777">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080"/>
        <w:rPr>
          <w:b/>
          <w:bCs/>
          <w:color w:val="000000"/>
          <w:sz w:val="24"/>
          <w:szCs w:val="24"/>
        </w:rPr>
      </w:pPr>
      <w:r w:rsidRPr="00AB0B90">
        <w:rPr>
          <w:b/>
          <w:bCs/>
          <w:color w:val="000000"/>
          <w:sz w:val="24"/>
          <w:szCs w:val="24"/>
        </w:rPr>
        <w:t xml:space="preserve">requiring respondents to report information to the agency more often than </w:t>
      </w:r>
      <w:r w:rsidRPr="00AB0B90">
        <w:rPr>
          <w:b/>
          <w:bCs/>
          <w:color w:val="000000"/>
          <w:sz w:val="24"/>
          <w:szCs w:val="24"/>
        </w:rPr>
        <w:t>quarterly;</w:t>
      </w:r>
    </w:p>
    <w:p w:rsidR="00D80711" w:rsidRPr="00AB0B90" w:rsidP="009159C9" w14:paraId="0739480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p>
    <w:p w:rsidR="00D80711" w:rsidRPr="00AB0B90" w:rsidP="009159C9" w14:paraId="3B8DEDBE" w14:textId="5A92AB52">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080"/>
        <w:rPr>
          <w:b/>
          <w:bCs/>
          <w:color w:val="000000"/>
          <w:sz w:val="24"/>
          <w:szCs w:val="24"/>
        </w:rPr>
      </w:pPr>
      <w:r w:rsidRPr="00AB0B90">
        <w:rPr>
          <w:b/>
          <w:bCs/>
          <w:color w:val="000000"/>
          <w:sz w:val="24"/>
          <w:szCs w:val="24"/>
        </w:rPr>
        <w:t>requiring respondents to prepare a written response to a col</w:t>
      </w:r>
      <w:r w:rsidRPr="00AB0B90" w:rsidR="00854A4F">
        <w:rPr>
          <w:b/>
          <w:bCs/>
          <w:color w:val="000000"/>
          <w:sz w:val="24"/>
          <w:szCs w:val="24"/>
        </w:rPr>
        <w:t>lection of</w:t>
      </w:r>
      <w:r w:rsidR="00C23B00">
        <w:rPr>
          <w:b/>
          <w:bCs/>
          <w:color w:val="000000"/>
          <w:sz w:val="24"/>
          <w:szCs w:val="24"/>
        </w:rPr>
        <w:t xml:space="preserve"> </w:t>
      </w:r>
      <w:r w:rsidRPr="00AB0B90" w:rsidR="00854A4F">
        <w:rPr>
          <w:b/>
          <w:bCs/>
          <w:color w:val="000000"/>
          <w:sz w:val="24"/>
          <w:szCs w:val="24"/>
        </w:rPr>
        <w:t>information in fewer</w:t>
      </w:r>
      <w:r w:rsidR="00DA3568">
        <w:rPr>
          <w:b/>
          <w:bCs/>
          <w:color w:val="000000"/>
          <w:sz w:val="24"/>
          <w:szCs w:val="24"/>
        </w:rPr>
        <w:t xml:space="preserve"> </w:t>
      </w:r>
      <w:r w:rsidRPr="00AB0B90">
        <w:rPr>
          <w:b/>
          <w:bCs/>
          <w:color w:val="000000"/>
          <w:sz w:val="24"/>
          <w:szCs w:val="24"/>
        </w:rPr>
        <w:t xml:space="preserve">than 30 days after receipt of </w:t>
      </w:r>
      <w:r w:rsidRPr="00AB0B90">
        <w:rPr>
          <w:b/>
          <w:bCs/>
          <w:color w:val="000000"/>
          <w:sz w:val="24"/>
          <w:szCs w:val="24"/>
        </w:rPr>
        <w:t>it;</w:t>
      </w:r>
    </w:p>
    <w:p w:rsidR="00D80711" w:rsidRPr="00AB0B90" w:rsidP="004B6680" w14:paraId="4EE675C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9159C9" w14:paraId="7A403DE2" w14:textId="77777777">
      <w:pPr>
        <w:shd w:val="solid" w:color="FFFFFF" w:fill="FFFFFF"/>
        <w:ind w:left="1080"/>
        <w:rPr>
          <w:b/>
          <w:bCs/>
          <w:color w:val="000000"/>
          <w:sz w:val="24"/>
          <w:szCs w:val="24"/>
        </w:rPr>
      </w:pPr>
      <w:r w:rsidRPr="00AB0B90">
        <w:rPr>
          <w:b/>
          <w:bCs/>
          <w:color w:val="000000"/>
          <w:sz w:val="24"/>
          <w:szCs w:val="24"/>
        </w:rPr>
        <w:t>requiring respondents to retain records, other than health</w:t>
      </w:r>
      <w:r w:rsidRPr="00AB0B90" w:rsidR="00854A4F">
        <w:rPr>
          <w:b/>
          <w:bCs/>
          <w:color w:val="000000"/>
          <w:sz w:val="24"/>
          <w:szCs w:val="24"/>
        </w:rPr>
        <w:t xml:space="preserve">, medical, government contract, </w:t>
      </w:r>
      <w:r w:rsidRPr="00AB0B90">
        <w:rPr>
          <w:b/>
          <w:bCs/>
          <w:color w:val="000000"/>
          <w:sz w:val="24"/>
          <w:szCs w:val="24"/>
        </w:rPr>
        <w:t xml:space="preserve">grant-in-aid, or tax records for more than three </w:t>
      </w:r>
      <w:r w:rsidRPr="00AB0B90">
        <w:rPr>
          <w:b/>
          <w:bCs/>
          <w:color w:val="000000"/>
          <w:sz w:val="24"/>
          <w:szCs w:val="24"/>
        </w:rPr>
        <w:t>years;</w:t>
      </w:r>
    </w:p>
    <w:p w:rsidR="00D80711" w:rsidRPr="00AB0B90" w:rsidP="004B6680" w14:paraId="0D92FFF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9159C9" w14:paraId="5B7259C1" w14:textId="77777777">
      <w:pPr>
        <w:shd w:val="solid" w:color="FFFFFF" w:fill="FFFFFF"/>
        <w:ind w:left="1080"/>
        <w:rPr>
          <w:b/>
          <w:bCs/>
          <w:color w:val="000000"/>
          <w:sz w:val="24"/>
          <w:szCs w:val="24"/>
        </w:rPr>
      </w:pPr>
      <w:r w:rsidRPr="00AB0B90">
        <w:rPr>
          <w:b/>
          <w:bCs/>
          <w:color w:val="000000"/>
          <w:sz w:val="24"/>
          <w:szCs w:val="24"/>
        </w:rPr>
        <w:t xml:space="preserve">in connection with a statistical survey, that is not designed to produce valid and reliable results that can be generalized to the universe of </w:t>
      </w:r>
      <w:r w:rsidRPr="00AB0B90">
        <w:rPr>
          <w:b/>
          <w:bCs/>
          <w:color w:val="000000"/>
          <w:sz w:val="24"/>
          <w:szCs w:val="24"/>
        </w:rPr>
        <w:t>study;</w:t>
      </w:r>
    </w:p>
    <w:p w:rsidR="00D80711" w:rsidRPr="00AB0B90" w:rsidP="004B6680" w14:paraId="4CEA35B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9159C9" w14:paraId="501B0624" w14:textId="77777777">
      <w:pPr>
        <w:shd w:val="solid" w:color="FFFFFF" w:fill="FFFFFF"/>
        <w:ind w:left="1080"/>
        <w:rPr>
          <w:b/>
          <w:bCs/>
          <w:color w:val="000000"/>
          <w:sz w:val="24"/>
          <w:szCs w:val="24"/>
        </w:rPr>
      </w:pPr>
      <w:r w:rsidRPr="00AB0B90">
        <w:rPr>
          <w:b/>
          <w:bCs/>
          <w:color w:val="000000"/>
          <w:sz w:val="24"/>
          <w:szCs w:val="24"/>
        </w:rPr>
        <w:t>requiring the use of a statistical data classification that has not been reviewed and approved by OMB:</w:t>
      </w:r>
    </w:p>
    <w:p w:rsidR="00D80711" w:rsidRPr="00AB0B90" w:rsidP="004B6680" w14:paraId="37C7856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9159C9" w14:paraId="7C563AC0" w14:textId="77777777">
      <w:pPr>
        <w:shd w:val="solid" w:color="FFFFFF" w:fill="FFFFFF"/>
        <w:ind w:left="1080"/>
        <w:rPr>
          <w:b/>
          <w:bCs/>
          <w:color w:val="000000"/>
          <w:sz w:val="24"/>
          <w:szCs w:val="24"/>
        </w:rPr>
      </w:pPr>
      <w:r w:rsidRPr="00AB0B90">
        <w:rPr>
          <w:b/>
          <w:bCs/>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rsidR="00D80711" w:rsidRPr="00AB0B90" w:rsidP="004B6680" w14:paraId="1318D2A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9159C9" w14:paraId="3A55667F" w14:textId="77777777">
      <w:pPr>
        <w:shd w:val="solid" w:color="FFFFFF" w:fill="FFFFFF"/>
        <w:ind w:left="1080"/>
        <w:rPr>
          <w:b/>
          <w:bCs/>
          <w:color w:val="000000"/>
          <w:sz w:val="24"/>
          <w:szCs w:val="24"/>
        </w:rPr>
      </w:pPr>
      <w:r w:rsidRPr="00AB0B90">
        <w:rPr>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D80711" w:rsidRPr="00FF1F12" w:rsidP="00D80711" w14:paraId="7949E1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54A4F" w:rsidRPr="00CB5054" w:rsidP="00854A4F" w14:paraId="2251D4F9" w14:textId="0FBABA58">
      <w:pPr>
        <w:rPr>
          <w:color w:val="000000"/>
          <w:sz w:val="24"/>
          <w:szCs w:val="24"/>
        </w:rPr>
      </w:pPr>
      <w:r w:rsidRPr="00CB5054">
        <w:rPr>
          <w:color w:val="000000"/>
          <w:sz w:val="24"/>
          <w:szCs w:val="24"/>
        </w:rPr>
        <w:t xml:space="preserve">No special circumstances exist that </w:t>
      </w:r>
      <w:r w:rsidR="00C50140">
        <w:rPr>
          <w:color w:val="000000"/>
          <w:sz w:val="24"/>
          <w:szCs w:val="24"/>
        </w:rPr>
        <w:t xml:space="preserve">would </w:t>
      </w:r>
      <w:r w:rsidRPr="00CB5054">
        <w:rPr>
          <w:color w:val="000000"/>
          <w:sz w:val="24"/>
          <w:szCs w:val="24"/>
        </w:rPr>
        <w:t xml:space="preserve">require employers to collect information using the procedures specified by this item.  The requirements of the </w:t>
      </w:r>
      <w:r w:rsidR="00B96635">
        <w:rPr>
          <w:color w:val="000000"/>
          <w:sz w:val="24"/>
          <w:szCs w:val="24"/>
        </w:rPr>
        <w:t>s</w:t>
      </w:r>
      <w:r w:rsidRPr="00CB5054">
        <w:rPr>
          <w:color w:val="000000"/>
          <w:sz w:val="24"/>
          <w:szCs w:val="24"/>
        </w:rPr>
        <w:t>tandard are within the guidelines set forth in 5 CFR 1320.5.</w:t>
      </w:r>
    </w:p>
    <w:p w:rsidR="00D80711" w:rsidRPr="00CB5054" w:rsidP="00D80711" w14:paraId="38640DC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71716368"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sidRPr="00CB5054">
        <w:rPr>
          <w:b/>
          <w:bCs/>
          <w:color w:val="000000"/>
        </w:rPr>
        <w:t xml:space="preserve">8.  </w:t>
      </w:r>
      <w:r w:rsidRPr="00CB5054">
        <w:rPr>
          <w:b/>
          <w:bCs/>
          <w:color w:val="000000"/>
        </w:rPr>
        <w:tab/>
      </w:r>
      <w:r w:rsidRPr="00AB0B90">
        <w:rPr>
          <w:b/>
          <w:bCs/>
          <w:color w:val="000000"/>
          <w:sz w:val="24"/>
          <w:szCs w:val="24"/>
        </w:rPr>
        <w:tab/>
        <w:t xml:space="preserve">If applicable, provide a copy and identify the date and page number of </w:t>
      </w:r>
      <w:r w:rsidRPr="00AB0B90">
        <w:rPr>
          <w:b/>
          <w:bCs/>
          <w:color w:val="000000"/>
          <w:sz w:val="24"/>
          <w:szCs w:val="24"/>
        </w:rPr>
        <w:t>publication</w:t>
      </w:r>
      <w:r w:rsidRPr="00AB0B90">
        <w:rPr>
          <w:b/>
          <w:bCs/>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0711" w:rsidRPr="00FF1F12" w:rsidP="00D80711" w14:paraId="25FF7E0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AB0B90" w:rsidP="00D80711" w14:paraId="55918B28" w14:textId="77777777">
      <w:pPr>
        <w:shd w:val="solid" w:color="FFFFFF" w:fill="FFFFFF"/>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AB0B90">
        <w:rPr>
          <w:b/>
          <w:bCs/>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80711" w:rsidRPr="00AB0B90" w:rsidP="00D80711" w14:paraId="4B94707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F44D1C" w:rsidRPr="00AB0B90" w:rsidP="00D62D19" w14:paraId="18AB9DDD" w14:textId="77777777">
      <w:pPr>
        <w:widowControl/>
        <w:overflowPunct/>
        <w:ind w:left="720"/>
        <w:rPr>
          <w:b/>
          <w:bCs/>
          <w:color w:val="000000"/>
          <w:sz w:val="24"/>
          <w:szCs w:val="24"/>
        </w:rPr>
      </w:pPr>
      <w:r w:rsidRPr="00AB0B90">
        <w:rPr>
          <w:b/>
          <w:bCs/>
          <w:color w:val="000000"/>
          <w:sz w:val="24"/>
          <w:szCs w:val="24"/>
        </w:rPr>
        <w:t>Consultation with representatives of those from whom information is to be</w:t>
      </w:r>
      <w:r w:rsidR="00D62D19">
        <w:rPr>
          <w:b/>
          <w:bCs/>
          <w:color w:val="000000"/>
          <w:sz w:val="24"/>
          <w:szCs w:val="24"/>
        </w:rPr>
        <w:t xml:space="preserve"> </w:t>
      </w:r>
      <w:r w:rsidRPr="00AB0B90">
        <w:rPr>
          <w:b/>
          <w:bCs/>
          <w:color w:val="000000"/>
          <w:sz w:val="24"/>
          <w:szCs w:val="24"/>
        </w:rPr>
        <w:t>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692A" w:rsidP="0083692A" w14:paraId="0AD3DAD7"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color w:val="000000"/>
        </w:rPr>
      </w:pPr>
    </w:p>
    <w:p w:rsidR="00812DFE" w:rsidRPr="00D10850" w:rsidP="00781E36" w14:paraId="5B60081D" w14:textId="4A646F8E">
      <w:pPr>
        <w:widowControl/>
        <w:overflowPunct/>
      </w:pPr>
      <w:r w:rsidRPr="00781E36">
        <w:rPr>
          <w:sz w:val="24"/>
          <w:szCs w:val="24"/>
        </w:rPr>
        <w:t xml:space="preserve">On February 16, 2021, OSHA published a proposed rule (86 FR 9576) to modify the </w:t>
      </w:r>
      <w:r w:rsidRPr="00781E36">
        <w:rPr>
          <w:kern w:val="0"/>
          <w:sz w:val="24"/>
          <w:szCs w:val="24"/>
        </w:rPr>
        <w:t>Hazard</w:t>
      </w:r>
      <w:r>
        <w:rPr>
          <w:kern w:val="0"/>
          <w:sz w:val="24"/>
          <w:szCs w:val="24"/>
        </w:rPr>
        <w:t xml:space="preserve"> </w:t>
      </w:r>
      <w:r w:rsidRPr="00781E36">
        <w:rPr>
          <w:kern w:val="0"/>
          <w:sz w:val="24"/>
          <w:szCs w:val="24"/>
        </w:rPr>
        <w:t>Communication Standard (HCS)</w:t>
      </w:r>
      <w:r w:rsidR="000349C3">
        <w:rPr>
          <w:kern w:val="0"/>
          <w:sz w:val="24"/>
          <w:szCs w:val="24"/>
        </w:rPr>
        <w:t>(29 CFR 1910.1200)</w:t>
      </w:r>
      <w:r w:rsidRPr="00781E36">
        <w:rPr>
          <w:kern w:val="0"/>
          <w:sz w:val="24"/>
          <w:szCs w:val="24"/>
        </w:rPr>
        <w:t xml:space="preserve"> to conform to the United Nations’ Globally Harmonized System of Classification and Labelling of Chemicals (GHS) Revision 7 (GHS, Rev. 7), to address issues that arose during the implementation of the 2012 update to HCS</w:t>
      </w:r>
      <w:r w:rsidR="00095B4B">
        <w:rPr>
          <w:kern w:val="0"/>
          <w:sz w:val="24"/>
          <w:szCs w:val="24"/>
        </w:rPr>
        <w:t>, and to</w:t>
      </w:r>
      <w:r w:rsidR="00BE3D4E">
        <w:rPr>
          <w:kern w:val="0"/>
          <w:sz w:val="24"/>
          <w:szCs w:val="24"/>
        </w:rPr>
        <w:t xml:space="preserve"> improve</w:t>
      </w:r>
      <w:r w:rsidR="00372D1C">
        <w:rPr>
          <w:kern w:val="0"/>
          <w:sz w:val="24"/>
          <w:szCs w:val="24"/>
        </w:rPr>
        <w:t xml:space="preserve"> </w:t>
      </w:r>
      <w:r w:rsidRPr="00781E36">
        <w:rPr>
          <w:kern w:val="0"/>
          <w:sz w:val="24"/>
          <w:szCs w:val="24"/>
        </w:rPr>
        <w:t>alignment with other U.S. agencies and international trading partners, without lowering overall protections of the standard.</w:t>
      </w:r>
      <w:r>
        <w:rPr>
          <w:kern w:val="0"/>
          <w:sz w:val="24"/>
          <w:szCs w:val="24"/>
        </w:rPr>
        <w:t xml:space="preserve"> The 2021 proposal would revise the collection</w:t>
      </w:r>
      <w:r w:rsidR="00DD2BDC">
        <w:rPr>
          <w:kern w:val="0"/>
          <w:sz w:val="24"/>
          <w:szCs w:val="24"/>
        </w:rPr>
        <w:t>s</w:t>
      </w:r>
      <w:r>
        <w:rPr>
          <w:kern w:val="0"/>
          <w:sz w:val="24"/>
          <w:szCs w:val="24"/>
        </w:rPr>
        <w:t xml:space="preserve"> of information contained in </w:t>
      </w:r>
      <w:r w:rsidR="00DD2BDC">
        <w:rPr>
          <w:kern w:val="0"/>
          <w:sz w:val="24"/>
          <w:szCs w:val="24"/>
        </w:rPr>
        <w:t xml:space="preserve">the </w:t>
      </w:r>
      <w:r>
        <w:rPr>
          <w:kern w:val="0"/>
          <w:sz w:val="24"/>
          <w:szCs w:val="24"/>
        </w:rPr>
        <w:t>HCS</w:t>
      </w:r>
      <w:r w:rsidR="00C512FD">
        <w:rPr>
          <w:kern w:val="0"/>
          <w:sz w:val="24"/>
          <w:szCs w:val="24"/>
        </w:rPr>
        <w:t xml:space="preserve"> </w:t>
      </w:r>
      <w:r w:rsidR="007F0DA4">
        <w:rPr>
          <w:kern w:val="0"/>
          <w:sz w:val="24"/>
          <w:szCs w:val="24"/>
        </w:rPr>
        <w:t xml:space="preserve">that were </w:t>
      </w:r>
      <w:r>
        <w:rPr>
          <w:kern w:val="0"/>
          <w:sz w:val="24"/>
          <w:szCs w:val="24"/>
        </w:rPr>
        <w:t>approved by OMB</w:t>
      </w:r>
      <w:r w:rsidR="007F0DA4">
        <w:rPr>
          <w:kern w:val="0"/>
          <w:sz w:val="24"/>
          <w:szCs w:val="24"/>
        </w:rPr>
        <w:t xml:space="preserve">. </w:t>
      </w:r>
      <w:r w:rsidRPr="00781E36" w:rsidR="007F0DA4">
        <w:rPr>
          <w:kern w:val="0"/>
          <w:sz w:val="24"/>
          <w:szCs w:val="24"/>
        </w:rPr>
        <w:t xml:space="preserve">Specifically, OSHA proposed to (1) add to paragraph (d)(1) that the chemical manufacturer or importer shall determine for each chemical the hazard classes, and where appropriate, the category of each class that apply to the chemical being classified under normal conditions of use and foreseeable emergencies; (2) add language to paragraph (f)(1) requiring that the chemical manufacturer, importer, or distributor </w:t>
      </w:r>
      <w:r w:rsidRPr="00781E36" w:rsidR="007F0DA4">
        <w:rPr>
          <w:kern w:val="0"/>
          <w:sz w:val="24"/>
          <w:szCs w:val="24"/>
        </w:rPr>
        <w:t>ensure labels on shipped containers bear the date the chemical is released for shipment; (3) revise paragraph (f)(5) by adding two new provisions related to bulk shipments of chemicals; (4) revise paragraph (f)(11) by adding a provision related to release for shipment that requires updated labels accompany each shipment; and (5) add new labeling requirements for small containers at paragraph (f)(12).</w:t>
      </w:r>
      <w:r>
        <w:rPr>
          <w:kern w:val="0"/>
          <w:sz w:val="24"/>
          <w:szCs w:val="24"/>
        </w:rPr>
        <w:t xml:space="preserve">  </w:t>
      </w:r>
      <w:r w:rsidR="007F0DA4">
        <w:rPr>
          <w:kern w:val="0"/>
          <w:sz w:val="24"/>
          <w:szCs w:val="24"/>
        </w:rPr>
        <w:t>The agency</w:t>
      </w:r>
      <w:r w:rsidRPr="00781E36">
        <w:rPr>
          <w:sz w:val="24"/>
          <w:szCs w:val="24"/>
        </w:rPr>
        <w:t xml:space="preserve"> prepared and submitted to OMB an ICR for the 20</w:t>
      </w:r>
      <w:r>
        <w:rPr>
          <w:sz w:val="24"/>
          <w:szCs w:val="24"/>
        </w:rPr>
        <w:t>21</w:t>
      </w:r>
      <w:r w:rsidRPr="00781E36">
        <w:rPr>
          <w:sz w:val="24"/>
          <w:szCs w:val="24"/>
        </w:rPr>
        <w:t xml:space="preserve"> proposed rule for review in accordance with 44 U.S.C. 3507(d).</w:t>
      </w:r>
    </w:p>
    <w:p w:rsidR="00D22BCE" w:rsidP="00781E36" w14:paraId="543C333E" w14:textId="56E86018">
      <w:pPr>
        <w:widowControl/>
        <w:overflowPunct/>
      </w:pPr>
    </w:p>
    <w:p w:rsidR="00BA1573" w:rsidRPr="00781E36" w:rsidP="00BA1573" w14:paraId="15056D8B" w14:textId="6ACB047F">
      <w:pPr>
        <w:rPr>
          <w:sz w:val="24"/>
          <w:szCs w:val="24"/>
        </w:rPr>
      </w:pPr>
      <w:r w:rsidRPr="00781E36">
        <w:rPr>
          <w:sz w:val="24"/>
          <w:szCs w:val="24"/>
        </w:rPr>
        <w:t>In accordance with the PRA (44 U.S.C. 3506(c)(2)), OSHA solicited public comments on the collection of information contained in the 2021 proposed rule. OSHA encouraged commenters to submit their comments on the information collection requirements contained in the proposed rule under docket number OSHA-2019-0001, along with their comments on other parts of the proposed rule. In addition to generally soliciting comments on the collection of information requirements, the proposed rule indicated that OSHA and OMB were particularly interested in comments that addressed the following:</w:t>
      </w:r>
    </w:p>
    <w:p w:rsidR="00BA1573" w:rsidRPr="00781E36" w:rsidP="00BA1573" w14:paraId="0C4832A9" w14:textId="77777777">
      <w:pPr>
        <w:rPr>
          <w:sz w:val="24"/>
          <w:szCs w:val="24"/>
        </w:rPr>
      </w:pPr>
    </w:p>
    <w:p w:rsidR="00BA1573" w:rsidRPr="00781E36" w:rsidP="00781E36" w14:paraId="48CC239C" w14:textId="43E75572">
      <w:pPr>
        <w:pStyle w:val="ListParagraph"/>
        <w:numPr>
          <w:ilvl w:val="0"/>
          <w:numId w:val="17"/>
        </w:numPr>
        <w:rPr>
          <w:sz w:val="24"/>
          <w:szCs w:val="24"/>
        </w:rPr>
      </w:pPr>
      <w:r w:rsidRPr="00781E36">
        <w:rPr>
          <w:sz w:val="24"/>
          <w:szCs w:val="24"/>
        </w:rPr>
        <w:t xml:space="preserve">Whether the proposed collection of information is necessary for the proper performance of the functions of the agency, including whether the information will have practical </w:t>
      </w:r>
      <w:r w:rsidRPr="00781E36">
        <w:rPr>
          <w:sz w:val="24"/>
          <w:szCs w:val="24"/>
        </w:rPr>
        <w:t>utility;</w:t>
      </w:r>
    </w:p>
    <w:p w:rsidR="00BA1573" w:rsidRPr="00781E36" w:rsidP="00781E36" w14:paraId="5A7EE393" w14:textId="0E1A5811">
      <w:pPr>
        <w:pStyle w:val="ListParagraph"/>
        <w:numPr>
          <w:ilvl w:val="0"/>
          <w:numId w:val="17"/>
        </w:numPr>
        <w:rPr>
          <w:sz w:val="24"/>
          <w:szCs w:val="24"/>
        </w:rPr>
      </w:pPr>
      <w:r w:rsidRPr="00781E36">
        <w:rPr>
          <w:sz w:val="24"/>
          <w:szCs w:val="24"/>
        </w:rPr>
        <w:t>The accuracy of the agency</w:t>
      </w:r>
      <w:r w:rsidR="00C92E7A">
        <w:rPr>
          <w:sz w:val="24"/>
          <w:szCs w:val="24"/>
        </w:rPr>
        <w:t>’</w:t>
      </w:r>
      <w:r w:rsidRPr="00781E36">
        <w:rPr>
          <w:sz w:val="24"/>
          <w:szCs w:val="24"/>
        </w:rPr>
        <w:t xml:space="preserve">s estimate of the burden of the proposed collection of information, including the validity of the methodology and assumptions </w:t>
      </w:r>
      <w:r w:rsidRPr="00781E36">
        <w:rPr>
          <w:sz w:val="24"/>
          <w:szCs w:val="24"/>
        </w:rPr>
        <w:t>used;</w:t>
      </w:r>
    </w:p>
    <w:p w:rsidR="00BA1573" w:rsidRPr="00781E36" w:rsidP="00781E36" w14:paraId="50ED5851" w14:textId="048D8E52">
      <w:pPr>
        <w:pStyle w:val="ListParagraph"/>
        <w:numPr>
          <w:ilvl w:val="0"/>
          <w:numId w:val="17"/>
        </w:numPr>
        <w:rPr>
          <w:sz w:val="24"/>
          <w:szCs w:val="24"/>
        </w:rPr>
      </w:pPr>
      <w:r w:rsidRPr="00781E36">
        <w:rPr>
          <w:sz w:val="24"/>
          <w:szCs w:val="24"/>
        </w:rPr>
        <w:t>The quality, utility, and clarity of the information to be collected; and</w:t>
      </w:r>
    </w:p>
    <w:p w:rsidR="00BA1573" w:rsidRPr="00781E36" w:rsidP="00781E36" w14:paraId="3C61F411" w14:textId="45999630">
      <w:pPr>
        <w:pStyle w:val="ListParagraph"/>
        <w:numPr>
          <w:ilvl w:val="0"/>
          <w:numId w:val="17"/>
        </w:numPr>
        <w:rPr>
          <w:sz w:val="24"/>
          <w:szCs w:val="24"/>
        </w:rPr>
      </w:pPr>
      <w:r w:rsidRPr="00781E36">
        <w:rPr>
          <w:sz w:val="24"/>
          <w:szCs w:val="24"/>
        </w:rPr>
        <w:t xml:space="preserve">Ways to minimize the burden of the collection of information on those who are to respond, including </w:t>
      </w:r>
      <w:r w:rsidRPr="00781E36">
        <w:rPr>
          <w:sz w:val="24"/>
          <w:szCs w:val="24"/>
        </w:rPr>
        <w:t>through the use of</w:t>
      </w:r>
      <w:r w:rsidRPr="00781E36">
        <w:rPr>
          <w:sz w:val="24"/>
          <w:szCs w:val="24"/>
        </w:rPr>
        <w:t xml:space="preserve"> appropriate automated, electronic, mechanical, or other technological collection techniques or other forms of information technology, e.g., permitting electronic submission of responses.</w:t>
      </w:r>
    </w:p>
    <w:p w:rsidR="00BA1573" w:rsidP="00781E36" w14:paraId="57549A8D" w14:textId="5A8B30FF">
      <w:pPr>
        <w:widowControl/>
        <w:overflowPunct/>
      </w:pPr>
    </w:p>
    <w:p w:rsidR="003A7F06" w:rsidRPr="00A845AC" w:rsidP="00781E36" w14:paraId="28E39DD9" w14:textId="5A33EBB3">
      <w:pPr>
        <w:widowControl/>
        <w:overflowPunct/>
      </w:pPr>
      <w:r>
        <w:rPr>
          <w:sz w:val="24"/>
          <w:szCs w:val="24"/>
        </w:rPr>
        <w:t>On August 4, 2021,</w:t>
      </w:r>
      <w:r w:rsidRPr="003A7F06">
        <w:rPr>
          <w:sz w:val="24"/>
          <w:szCs w:val="24"/>
        </w:rPr>
        <w:t xml:space="preserve"> </w:t>
      </w:r>
      <w:r w:rsidRPr="00781E36">
        <w:rPr>
          <w:sz w:val="24"/>
          <w:szCs w:val="24"/>
        </w:rPr>
        <w:t>OMB issued a Notice of Action (NOA) stating,</w:t>
      </w:r>
      <w:r>
        <w:rPr>
          <w:sz w:val="24"/>
          <w:szCs w:val="24"/>
        </w:rPr>
        <w:t xml:space="preserve"> </w:t>
      </w:r>
      <w:r w:rsidRPr="00781E36">
        <w:rPr>
          <w:sz w:val="24"/>
          <w:szCs w:val="24"/>
        </w:rPr>
        <w:t>“</w:t>
      </w:r>
      <w:r w:rsidRPr="00781E36">
        <w:rPr>
          <w:kern w:val="0"/>
          <w:sz w:val="24"/>
          <w:szCs w:val="24"/>
        </w:rPr>
        <w:t xml:space="preserve">Terms of the previous clearance remain in effect. Prior to publication of the final rule, the agency should provide to OMB a summary of all comments received on the proposed </w:t>
      </w:r>
      <w:r>
        <w:rPr>
          <w:kern w:val="0"/>
          <w:sz w:val="24"/>
          <w:szCs w:val="24"/>
        </w:rPr>
        <w:t>i</w:t>
      </w:r>
      <w:r w:rsidRPr="00781E36">
        <w:rPr>
          <w:kern w:val="0"/>
          <w:sz w:val="24"/>
          <w:szCs w:val="24"/>
        </w:rPr>
        <w:t>nformation collection and identify any changes made in response to these comments.”</w:t>
      </w:r>
    </w:p>
    <w:p w:rsidR="003A7F06" w:rsidRPr="00A845AC" w:rsidP="00781E36" w14:paraId="5DBDDB77" w14:textId="2B9CF11E">
      <w:pPr>
        <w:widowControl/>
        <w:overflowPunct/>
      </w:pPr>
      <w:r w:rsidRPr="00781E36">
        <w:rPr>
          <w:sz w:val="24"/>
          <w:szCs w:val="24"/>
        </w:rPr>
        <w:t xml:space="preserve">A copy of the proposed ICR is available to the public at </w:t>
      </w:r>
      <w:hyperlink r:id="rId9" w:history="1">
        <w:r w:rsidRPr="00781E36">
          <w:rPr>
            <w:rStyle w:val="Hyperlink"/>
            <w:sz w:val="24"/>
            <w:szCs w:val="24"/>
          </w:rPr>
          <w:t>http://www.reginfo.gov/public/do/PRAOMBHistory?ombControlNumber=1218-0</w:t>
        </w:r>
      </w:hyperlink>
      <w:r w:rsidRPr="00781E36">
        <w:rPr>
          <w:rStyle w:val="Hyperlink"/>
          <w:sz w:val="24"/>
          <w:szCs w:val="24"/>
        </w:rPr>
        <w:t>072.</w:t>
      </w:r>
    </w:p>
    <w:p w:rsidR="003A7F06" w:rsidP="00781E36" w14:paraId="4A57DE54" w14:textId="540D5663">
      <w:pPr>
        <w:widowControl/>
        <w:overflowPunct/>
      </w:pPr>
    </w:p>
    <w:p w:rsidR="00DF62E4" w:rsidRPr="00781E36" w:rsidP="00DF62E4" w14:paraId="2934218B" w14:textId="1E400BC3">
      <w:pPr>
        <w:rPr>
          <w:sz w:val="24"/>
          <w:szCs w:val="24"/>
        </w:rPr>
      </w:pPr>
      <w:r w:rsidRPr="00781E36">
        <w:rPr>
          <w:sz w:val="24"/>
          <w:szCs w:val="24"/>
        </w:rPr>
        <w:t>No public comments were received in response to the proposed ICR submitted to OMB for review. However, the agency</w:t>
      </w:r>
      <w:r w:rsidRPr="00781E36" w:rsidR="002C1A61">
        <w:rPr>
          <w:sz w:val="24"/>
          <w:szCs w:val="24"/>
        </w:rPr>
        <w:t xml:space="preserve"> did receive </w:t>
      </w:r>
      <w:r w:rsidR="0057781A">
        <w:rPr>
          <w:sz w:val="24"/>
          <w:szCs w:val="24"/>
        </w:rPr>
        <w:t>3</w:t>
      </w:r>
      <w:r w:rsidR="00EE426E">
        <w:rPr>
          <w:sz w:val="24"/>
          <w:szCs w:val="24"/>
        </w:rPr>
        <w:t>8</w:t>
      </w:r>
      <w:r w:rsidR="003F1223">
        <w:rPr>
          <w:sz w:val="24"/>
          <w:szCs w:val="24"/>
        </w:rPr>
        <w:t>3</w:t>
      </w:r>
      <w:r w:rsidRPr="00781E36">
        <w:rPr>
          <w:sz w:val="24"/>
          <w:szCs w:val="24"/>
        </w:rPr>
        <w:t xml:space="preserve"> public comments in response to the proposed rule</w:t>
      </w:r>
      <w:r w:rsidR="002C1A61">
        <w:rPr>
          <w:sz w:val="24"/>
          <w:szCs w:val="24"/>
        </w:rPr>
        <w:t xml:space="preserve"> during the initial comment period</w:t>
      </w:r>
      <w:r w:rsidRPr="00781E36">
        <w:rPr>
          <w:sz w:val="24"/>
          <w:szCs w:val="24"/>
        </w:rPr>
        <w:t xml:space="preserve">.  </w:t>
      </w:r>
      <w:r w:rsidR="002C1A61">
        <w:rPr>
          <w:sz w:val="24"/>
          <w:szCs w:val="24"/>
        </w:rPr>
        <w:t>In addition, OSHA held public hearings on the p</w:t>
      </w:r>
      <w:r>
        <w:rPr>
          <w:sz w:val="24"/>
          <w:szCs w:val="24"/>
        </w:rPr>
        <w:t>roposal September 21, 22</w:t>
      </w:r>
      <w:r w:rsidR="00C40D75">
        <w:rPr>
          <w:sz w:val="24"/>
          <w:szCs w:val="24"/>
        </w:rPr>
        <w:t>,</w:t>
      </w:r>
      <w:r>
        <w:rPr>
          <w:sz w:val="24"/>
          <w:szCs w:val="24"/>
        </w:rPr>
        <w:t xml:space="preserve"> and 23, 2021, where the agency heard testimony from stakeholders.  </w:t>
      </w:r>
      <w:r w:rsidRPr="00781E36">
        <w:rPr>
          <w:sz w:val="24"/>
          <w:szCs w:val="24"/>
        </w:rPr>
        <w:t xml:space="preserve">Participants who filed notices of intention to appear at the hearing were permitted to submit additional evidence and data relevant to the proceedings for a period of </w:t>
      </w:r>
      <w:r w:rsidRPr="000349C3" w:rsidR="0057781A">
        <w:rPr>
          <w:sz w:val="24"/>
          <w:szCs w:val="24"/>
        </w:rPr>
        <w:t xml:space="preserve">90 </w:t>
      </w:r>
      <w:r w:rsidRPr="00781E36">
        <w:rPr>
          <w:sz w:val="24"/>
          <w:szCs w:val="24"/>
        </w:rPr>
        <w:t>days following the hearing. Th</w:t>
      </w:r>
      <w:r w:rsidRPr="00781E36" w:rsidR="0057781A">
        <w:rPr>
          <w:sz w:val="24"/>
          <w:szCs w:val="24"/>
        </w:rPr>
        <w:t>e</w:t>
      </w:r>
      <w:r w:rsidRPr="00781E36">
        <w:rPr>
          <w:sz w:val="24"/>
          <w:szCs w:val="24"/>
        </w:rPr>
        <w:t xml:space="preserve"> post</w:t>
      </w:r>
      <w:r w:rsidR="00C40D75">
        <w:rPr>
          <w:sz w:val="24"/>
          <w:szCs w:val="24"/>
        </w:rPr>
        <w:t>-</w:t>
      </w:r>
      <w:r w:rsidRPr="00781E36">
        <w:rPr>
          <w:sz w:val="24"/>
          <w:szCs w:val="24"/>
        </w:rPr>
        <w:t xml:space="preserve">hearing comment period closed on </w:t>
      </w:r>
      <w:r w:rsidRPr="00781E36" w:rsidR="0057781A">
        <w:rPr>
          <w:sz w:val="24"/>
          <w:szCs w:val="24"/>
        </w:rPr>
        <w:t>December 22</w:t>
      </w:r>
      <w:r w:rsidRPr="00781E36">
        <w:rPr>
          <w:sz w:val="24"/>
          <w:szCs w:val="24"/>
        </w:rPr>
        <w:t>, 202</w:t>
      </w:r>
      <w:r w:rsidRPr="00781E36" w:rsidR="0057781A">
        <w:rPr>
          <w:sz w:val="24"/>
          <w:szCs w:val="24"/>
        </w:rPr>
        <w:t>1</w:t>
      </w:r>
      <w:r w:rsidRPr="00781E36">
        <w:rPr>
          <w:sz w:val="24"/>
          <w:szCs w:val="24"/>
        </w:rPr>
        <w:t xml:space="preserve">. The record remained open for the submission of final briefs, arguments, and summations. OSHA received </w:t>
      </w:r>
      <w:r w:rsidRPr="00781E36" w:rsidR="0057781A">
        <w:rPr>
          <w:sz w:val="24"/>
          <w:szCs w:val="24"/>
        </w:rPr>
        <w:t>an additional 42</w:t>
      </w:r>
      <w:r w:rsidRPr="00781E36">
        <w:rPr>
          <w:sz w:val="24"/>
          <w:szCs w:val="24"/>
        </w:rPr>
        <w:t xml:space="preserve"> </w:t>
      </w:r>
      <w:r w:rsidRPr="00781E36" w:rsidR="0057781A">
        <w:rPr>
          <w:sz w:val="24"/>
          <w:szCs w:val="24"/>
        </w:rPr>
        <w:t>post</w:t>
      </w:r>
      <w:r w:rsidR="00C40D75">
        <w:rPr>
          <w:sz w:val="24"/>
          <w:szCs w:val="24"/>
        </w:rPr>
        <w:t>-</w:t>
      </w:r>
      <w:r w:rsidRPr="00781E36" w:rsidR="0057781A">
        <w:rPr>
          <w:sz w:val="24"/>
          <w:szCs w:val="24"/>
        </w:rPr>
        <w:t xml:space="preserve">hearing </w:t>
      </w:r>
      <w:r w:rsidRPr="00781E36">
        <w:rPr>
          <w:sz w:val="24"/>
          <w:szCs w:val="24"/>
        </w:rPr>
        <w:t>comments</w:t>
      </w:r>
      <w:r w:rsidRPr="00781E36" w:rsidR="0057781A">
        <w:rPr>
          <w:sz w:val="24"/>
          <w:szCs w:val="24"/>
        </w:rPr>
        <w:t>.</w:t>
      </w:r>
      <w:r w:rsidRPr="00781E36">
        <w:rPr>
          <w:sz w:val="24"/>
          <w:szCs w:val="24"/>
        </w:rPr>
        <w:t xml:space="preserve"> The comments submitted in response to the proposed rule and the hearing proceedings did </w:t>
      </w:r>
      <w:r w:rsidR="00A103E2">
        <w:rPr>
          <w:sz w:val="24"/>
          <w:szCs w:val="24"/>
        </w:rPr>
        <w:t>relate to</w:t>
      </w:r>
      <w:r w:rsidRPr="00781E36" w:rsidR="00A103E2">
        <w:rPr>
          <w:sz w:val="24"/>
          <w:szCs w:val="24"/>
        </w:rPr>
        <w:t xml:space="preserve"> </w:t>
      </w:r>
      <w:r w:rsidRPr="00781E36">
        <w:rPr>
          <w:sz w:val="24"/>
          <w:szCs w:val="24"/>
        </w:rPr>
        <w:t xml:space="preserve">the provisions containing collections of information. These responses were considered when OSHA prepared the </w:t>
      </w:r>
      <w:r w:rsidRPr="000349C3" w:rsidR="006061ED">
        <w:rPr>
          <w:sz w:val="24"/>
          <w:szCs w:val="24"/>
        </w:rPr>
        <w:t>revised</w:t>
      </w:r>
      <w:r w:rsidRPr="00781E36">
        <w:rPr>
          <w:sz w:val="24"/>
          <w:szCs w:val="24"/>
        </w:rPr>
        <w:t xml:space="preserve"> ICR for the final rule.</w:t>
      </w:r>
      <w:r w:rsidRPr="00781E36">
        <w:rPr>
          <w:sz w:val="24"/>
          <w:szCs w:val="24"/>
        </w:rPr>
        <w:t xml:space="preserve"> </w:t>
      </w:r>
    </w:p>
    <w:p w:rsidR="00DF62E4" w:rsidP="00A579E6" w14:paraId="08768944" w14:textId="0CA45229">
      <w:pPr>
        <w:rPr>
          <w:sz w:val="24"/>
          <w:szCs w:val="24"/>
        </w:rPr>
      </w:pPr>
    </w:p>
    <w:p w:rsidR="000349C3" w:rsidRPr="00781E36" w:rsidP="000349C3" w14:paraId="3294BDFF" w14:textId="77777777">
      <w:pPr>
        <w:rPr>
          <w:sz w:val="24"/>
          <w:szCs w:val="24"/>
        </w:rPr>
      </w:pPr>
      <w:r w:rsidRPr="00781E36">
        <w:rPr>
          <w:sz w:val="24"/>
          <w:szCs w:val="24"/>
        </w:rPr>
        <w:t xml:space="preserve">Attachment A provides a discussion of the significant public comments related to the final rule’s information collection requirements and the agency response.   </w:t>
      </w:r>
    </w:p>
    <w:p w:rsidR="000349C3" w:rsidRPr="00781E36" w:rsidP="000349C3" w14:paraId="0F49B31C" w14:textId="77777777">
      <w:pPr>
        <w:rPr>
          <w:sz w:val="24"/>
          <w:szCs w:val="24"/>
        </w:rPr>
      </w:pPr>
    </w:p>
    <w:p w:rsidR="000349C3" w:rsidRPr="00781E36" w:rsidP="000349C3" w14:paraId="1968F9FD" w14:textId="159AC1FB">
      <w:pPr>
        <w:rPr>
          <w:sz w:val="24"/>
          <w:szCs w:val="24"/>
        </w:rPr>
      </w:pPr>
      <w:r w:rsidRPr="00781E36">
        <w:rPr>
          <w:sz w:val="24"/>
          <w:szCs w:val="24"/>
        </w:rPr>
        <w:t xml:space="preserve">Attachment B lists the comments </w:t>
      </w:r>
      <w:r w:rsidR="00F41BEC">
        <w:rPr>
          <w:sz w:val="24"/>
          <w:szCs w:val="24"/>
        </w:rPr>
        <w:t>submitted</w:t>
      </w:r>
      <w:r w:rsidRPr="00781E36" w:rsidR="00F41BEC">
        <w:rPr>
          <w:sz w:val="24"/>
          <w:szCs w:val="24"/>
        </w:rPr>
        <w:t xml:space="preserve"> </w:t>
      </w:r>
      <w:r w:rsidRPr="00781E36">
        <w:rPr>
          <w:sz w:val="24"/>
          <w:szCs w:val="24"/>
        </w:rPr>
        <w:t>in response to the proposed rule and the hearing proceedings.</w:t>
      </w:r>
    </w:p>
    <w:p w:rsidR="003A7F06" w:rsidP="00781E36" w14:paraId="1EB7EE41" w14:textId="12602ED3">
      <w:pPr>
        <w:widowControl/>
        <w:overflowPunct/>
      </w:pPr>
    </w:p>
    <w:p w:rsidR="00C512FD" w:rsidRPr="00781E36" w:rsidP="00781E36" w14:paraId="0EF109F8" w14:textId="787B6C4E">
      <w:pPr>
        <w:widowControl/>
        <w:overflowPunct/>
        <w:rPr>
          <w:b/>
        </w:rPr>
      </w:pPr>
    </w:p>
    <w:p w:rsidR="00F44D1C" w:rsidRPr="00401AC9" w:rsidP="00AB0B90" w14:paraId="3370B0DF"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color w:val="000000"/>
          <w:sz w:val="24"/>
          <w:szCs w:val="24"/>
        </w:rPr>
      </w:pPr>
      <w:r w:rsidRPr="001D36CA">
        <w:rPr>
          <w:sz w:val="24"/>
          <w:szCs w:val="24"/>
        </w:rPr>
        <w:t xml:space="preserve">  </w:t>
      </w:r>
    </w:p>
    <w:p w:rsidR="00D80711" w:rsidRPr="00AB0B90" w:rsidP="00D80711" w14:paraId="053E29C4" w14:textId="1660D453">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r w:rsidRPr="00AB0B90">
        <w:rPr>
          <w:b/>
          <w:bCs/>
          <w:color w:val="000000"/>
          <w:sz w:val="24"/>
          <w:szCs w:val="24"/>
        </w:rPr>
        <w:t xml:space="preserve">9.  Explain any decision to provide any payment or gift to respondents, other than </w:t>
      </w:r>
      <w:r w:rsidRPr="00AB0B90" w:rsidR="00B717A0">
        <w:rPr>
          <w:b/>
          <w:bCs/>
          <w:color w:val="000000"/>
          <w:sz w:val="24"/>
          <w:szCs w:val="24"/>
        </w:rPr>
        <w:t>re</w:t>
      </w:r>
      <w:r w:rsidR="00B717A0">
        <w:rPr>
          <w:b/>
          <w:bCs/>
          <w:color w:val="000000"/>
          <w:sz w:val="24"/>
          <w:szCs w:val="24"/>
        </w:rPr>
        <w:t>mun</w:t>
      </w:r>
      <w:r w:rsidRPr="00AB0B90" w:rsidR="00B717A0">
        <w:rPr>
          <w:b/>
          <w:bCs/>
          <w:color w:val="000000"/>
          <w:sz w:val="24"/>
          <w:szCs w:val="24"/>
        </w:rPr>
        <w:t xml:space="preserve">eration </w:t>
      </w:r>
      <w:r w:rsidRPr="00AB0B90">
        <w:rPr>
          <w:b/>
          <w:bCs/>
          <w:color w:val="000000"/>
          <w:sz w:val="24"/>
          <w:szCs w:val="24"/>
        </w:rPr>
        <w:t>of contractors or grantees.</w:t>
      </w:r>
    </w:p>
    <w:p w:rsidR="00D80711" w:rsidRPr="00CB5054" w:rsidP="00D80711" w14:paraId="3CD4F40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CB5054" w:rsidP="00D80711" w14:paraId="50A1C63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The </w:t>
      </w:r>
      <w:r w:rsidR="004D5224">
        <w:rPr>
          <w:color w:val="000000"/>
          <w:sz w:val="24"/>
          <w:szCs w:val="24"/>
        </w:rPr>
        <w:t>a</w:t>
      </w:r>
      <w:r w:rsidRPr="00CB5054">
        <w:rPr>
          <w:color w:val="000000"/>
          <w:sz w:val="24"/>
          <w:szCs w:val="24"/>
        </w:rPr>
        <w:t xml:space="preserve">gency will </w:t>
      </w:r>
      <w:r w:rsidRPr="00CB5054">
        <w:rPr>
          <w:color w:val="000000"/>
          <w:sz w:val="24"/>
          <w:szCs w:val="24"/>
          <w:u w:val="single"/>
        </w:rPr>
        <w:t>not</w:t>
      </w:r>
      <w:r w:rsidRPr="00CB5054">
        <w:rPr>
          <w:color w:val="000000"/>
          <w:sz w:val="24"/>
          <w:szCs w:val="24"/>
        </w:rPr>
        <w:t xml:space="preserve"> provide payments or gifts to the respondents.</w:t>
      </w:r>
    </w:p>
    <w:p w:rsidR="00D80711" w:rsidRPr="00FF1F12" w:rsidP="00D80711" w14:paraId="693E35D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12A4A811"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r w:rsidRPr="00AB0B90">
        <w:rPr>
          <w:b/>
          <w:bCs/>
          <w:color w:val="000000"/>
          <w:sz w:val="24"/>
          <w:szCs w:val="24"/>
        </w:rPr>
        <w:t>10.  Describe any assurance of confidentiality provided to respondents and the basis for the assurance in statute, regulation, or agency policy.</w:t>
      </w:r>
    </w:p>
    <w:p w:rsidR="007F5281" w:rsidRPr="00CB5054" w:rsidP="00D80711" w14:paraId="51D04CAC"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p>
    <w:p w:rsidR="007F5281" w:rsidRPr="00CB5054" w:rsidP="007F5281" w14:paraId="3F1A3AAD" w14:textId="51AD4C32">
      <w:pPr>
        <w:rPr>
          <w:color w:val="000000"/>
          <w:sz w:val="24"/>
          <w:szCs w:val="24"/>
        </w:rPr>
      </w:pPr>
      <w:r w:rsidRPr="00CB5054">
        <w:rPr>
          <w:color w:val="000000"/>
          <w:sz w:val="24"/>
          <w:szCs w:val="24"/>
        </w:rPr>
        <w:t xml:space="preserve">The HCS requires that the specific chemical identity of a hazardous chemical be disclosed, but if such information is a valid trade secret, the rule permits chemical </w:t>
      </w:r>
      <w:r w:rsidR="00495844">
        <w:rPr>
          <w:color w:val="000000"/>
          <w:sz w:val="24"/>
          <w:szCs w:val="24"/>
        </w:rPr>
        <w:t>manufacturers, importers, or employers</w:t>
      </w:r>
      <w:r w:rsidRPr="00CB5054">
        <w:rPr>
          <w:color w:val="000000"/>
          <w:sz w:val="24"/>
          <w:szCs w:val="24"/>
        </w:rPr>
        <w:t xml:space="preserve"> to limit disclosure of this information based on their need and ability to maintain confidentiality</w:t>
      </w:r>
      <w:r w:rsidR="00F60EC6">
        <w:rPr>
          <w:color w:val="000000"/>
          <w:sz w:val="24"/>
          <w:szCs w:val="24"/>
        </w:rPr>
        <w:t>.</w:t>
      </w:r>
      <w:r w:rsidRPr="00CB5054">
        <w:rPr>
          <w:color w:val="000000"/>
          <w:sz w:val="24"/>
          <w:szCs w:val="24"/>
        </w:rPr>
        <w:t xml:space="preserve"> 29 CFR 1910.1200(</w:t>
      </w:r>
      <w:r w:rsidRPr="00CB5054">
        <w:rPr>
          <w:color w:val="000000"/>
          <w:sz w:val="24"/>
          <w:szCs w:val="24"/>
        </w:rPr>
        <w:t>i</w:t>
      </w:r>
      <w:r w:rsidRPr="00CB5054">
        <w:rPr>
          <w:color w:val="000000"/>
          <w:sz w:val="24"/>
          <w:szCs w:val="24"/>
        </w:rPr>
        <w:t>).</w:t>
      </w:r>
    </w:p>
    <w:p w:rsidR="007F5281" w:rsidRPr="00CB5054" w:rsidP="007F5281" w14:paraId="6C49D0AB" w14:textId="77777777">
      <w:pPr>
        <w:rPr>
          <w:color w:val="000000"/>
          <w:sz w:val="24"/>
          <w:szCs w:val="24"/>
        </w:rPr>
      </w:pPr>
    </w:p>
    <w:p w:rsidR="007F5281" w:rsidRPr="00CB5054" w:rsidP="007F5281" w14:paraId="66D71772" w14:textId="0F8AA8AF">
      <w:pPr>
        <w:rPr>
          <w:color w:val="000000"/>
          <w:sz w:val="24"/>
          <w:szCs w:val="24"/>
        </w:rPr>
      </w:pPr>
      <w:r w:rsidRPr="00CB5054">
        <w:rPr>
          <w:color w:val="000000"/>
          <w:sz w:val="24"/>
          <w:szCs w:val="24"/>
        </w:rPr>
        <w:t xml:space="preserve">In addition to the provisions of this </w:t>
      </w:r>
      <w:r w:rsidR="00037028">
        <w:rPr>
          <w:color w:val="000000"/>
          <w:sz w:val="24"/>
          <w:szCs w:val="24"/>
        </w:rPr>
        <w:t>fin</w:t>
      </w:r>
      <w:r w:rsidR="00415074">
        <w:rPr>
          <w:color w:val="000000"/>
          <w:sz w:val="24"/>
          <w:szCs w:val="24"/>
        </w:rPr>
        <w:t>al</w:t>
      </w:r>
      <w:r w:rsidR="00F41BEC">
        <w:rPr>
          <w:color w:val="000000"/>
          <w:sz w:val="24"/>
          <w:szCs w:val="24"/>
        </w:rPr>
        <w:t xml:space="preserve"> rule</w:t>
      </w:r>
      <w:r w:rsidRPr="00CB5054">
        <w:rPr>
          <w:color w:val="000000"/>
          <w:sz w:val="24"/>
          <w:szCs w:val="24"/>
        </w:rPr>
        <w:t xml:space="preserve">, the OSH Act requires the </w:t>
      </w:r>
      <w:r w:rsidR="00415074">
        <w:rPr>
          <w:color w:val="000000"/>
          <w:sz w:val="24"/>
          <w:szCs w:val="24"/>
        </w:rPr>
        <w:t>a</w:t>
      </w:r>
      <w:r w:rsidRPr="00CB5054" w:rsidR="00415074">
        <w:rPr>
          <w:color w:val="000000"/>
          <w:sz w:val="24"/>
          <w:szCs w:val="24"/>
        </w:rPr>
        <w:t xml:space="preserve">gency </w:t>
      </w:r>
      <w:r w:rsidRPr="00CB5054">
        <w:rPr>
          <w:color w:val="000000"/>
          <w:sz w:val="24"/>
          <w:szCs w:val="24"/>
        </w:rPr>
        <w:t>to maintain the confidentiality of trade secret information provided directly to its representatives</w:t>
      </w:r>
      <w:r w:rsidR="00F60EC6">
        <w:rPr>
          <w:color w:val="000000"/>
          <w:sz w:val="24"/>
          <w:szCs w:val="24"/>
        </w:rPr>
        <w:t>.</w:t>
      </w:r>
      <w:r w:rsidRPr="00CB5054">
        <w:rPr>
          <w:color w:val="000000"/>
          <w:sz w:val="24"/>
          <w:szCs w:val="24"/>
        </w:rPr>
        <w:t xml:space="preserve"> 29 U.S.C. 664.</w:t>
      </w:r>
    </w:p>
    <w:p w:rsidR="00D80711" w:rsidRPr="00CB5054" w:rsidP="00D80711" w14:paraId="64AB5CD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1D155137" w14:textId="6F7FE22E">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781E36">
        <w:rPr>
          <w:b/>
          <w:bCs/>
          <w:color w:val="000000"/>
          <w:sz w:val="24"/>
          <w:szCs w:val="24"/>
        </w:rPr>
        <w:t>11</w:t>
      </w:r>
      <w:r w:rsidRPr="00CB5054">
        <w:rPr>
          <w:b/>
          <w:bCs/>
          <w:color w:val="000000"/>
        </w:rPr>
        <w:t xml:space="preserve">.  </w:t>
      </w:r>
      <w:r w:rsidRPr="00AB0B90">
        <w:rPr>
          <w:b/>
          <w:b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w:t>
      </w:r>
      <w:r w:rsidR="0065586C">
        <w:rPr>
          <w:b/>
          <w:bCs/>
          <w:color w:val="000000"/>
          <w:sz w:val="24"/>
          <w:szCs w:val="24"/>
        </w:rPr>
        <w:t>n</w:t>
      </w:r>
      <w:r w:rsidRPr="00AB0B90">
        <w:rPr>
          <w:b/>
          <w:bCs/>
          <w:color w:val="000000"/>
          <w:sz w:val="24"/>
          <w:szCs w:val="24"/>
        </w:rPr>
        <w:t xml:space="preserve"> to persons from whom the information is requested, and any steps to be taken to obtain their consent</w:t>
      </w:r>
      <w:r w:rsidRPr="00AB0B90">
        <w:rPr>
          <w:color w:val="000000"/>
          <w:sz w:val="24"/>
          <w:szCs w:val="24"/>
        </w:rPr>
        <w:t>.</w:t>
      </w:r>
    </w:p>
    <w:p w:rsidR="00D80711" w:rsidRPr="00CB5054" w:rsidP="00D80711" w14:paraId="55D96BC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33BFC" w:rsidRPr="00CB5054" w:rsidP="00D80711" w14:paraId="11092929" w14:textId="16D6A30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The paperwork requirements specified by the </w:t>
      </w:r>
      <w:r w:rsidR="00B96635">
        <w:rPr>
          <w:color w:val="000000"/>
          <w:sz w:val="24"/>
          <w:szCs w:val="24"/>
        </w:rPr>
        <w:t>HC</w:t>
      </w:r>
      <w:r w:rsidRPr="00CB5054">
        <w:rPr>
          <w:color w:val="000000"/>
          <w:sz w:val="24"/>
          <w:szCs w:val="24"/>
        </w:rPr>
        <w:t>S do</w:t>
      </w:r>
      <w:r w:rsidRPr="003A15DB" w:rsidR="00183434">
        <w:rPr>
          <w:color w:val="000000"/>
          <w:sz w:val="24"/>
          <w:szCs w:val="24"/>
        </w:rPr>
        <w:t xml:space="preserve"> </w:t>
      </w:r>
      <w:r w:rsidRPr="00CB5054">
        <w:rPr>
          <w:color w:val="000000"/>
          <w:sz w:val="24"/>
          <w:szCs w:val="24"/>
          <w:u w:val="single"/>
        </w:rPr>
        <w:t>not</w:t>
      </w:r>
      <w:r w:rsidRPr="00CB5054">
        <w:rPr>
          <w:color w:val="000000"/>
          <w:sz w:val="24"/>
          <w:szCs w:val="24"/>
        </w:rPr>
        <w:t xml:space="preserve"> require collection of sensitive information.</w:t>
      </w:r>
    </w:p>
    <w:p w:rsidR="00D80711" w:rsidRPr="00CB5054" w:rsidP="00D80711" w14:paraId="277CB84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76B63FFA" w14:textId="7B091B4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b/>
          <w:bCs/>
          <w:color w:val="000000"/>
          <w:sz w:val="24"/>
          <w:szCs w:val="24"/>
        </w:rPr>
        <w:t xml:space="preserve">12.  </w:t>
      </w:r>
      <w:r w:rsidRPr="00AB0B90">
        <w:rPr>
          <w:b/>
          <w:bCs/>
          <w:color w:val="000000"/>
          <w:sz w:val="24"/>
          <w:szCs w:val="24"/>
        </w:rPr>
        <w:t>Provide estimates of the hour burden of the collection of information.  The statement should:</w:t>
      </w:r>
    </w:p>
    <w:p w:rsidR="00D80711" w:rsidRPr="00AB0B90" w:rsidP="00D80711" w14:paraId="48C13EE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3896D8BE" w14:textId="4631D594">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r w:rsidRPr="00AB0B90">
        <w:rPr>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AB0B90">
        <w:rPr>
          <w:b/>
          <w:bCs/>
          <w:color w:val="000000"/>
          <w:sz w:val="24"/>
          <w:szCs w:val="24"/>
        </w:rPr>
        <w:t xml:space="preserve">and explain the reasons for the variance.  </w:t>
      </w:r>
    </w:p>
    <w:p w:rsidR="00D80711" w:rsidRPr="00AB0B90" w:rsidP="00D80711" w14:paraId="0E05CD0A"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p>
    <w:p w:rsidR="00D80711" w:rsidRPr="00AB0B90" w:rsidP="00D80711" w14:paraId="0F97AE36"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szCs w:val="24"/>
        </w:rPr>
      </w:pPr>
      <w:r w:rsidRPr="00AB0B90">
        <w:rPr>
          <w:b/>
          <w:bCs/>
          <w:color w:val="000000"/>
          <w:sz w:val="24"/>
          <w:szCs w:val="24"/>
        </w:rPr>
        <w:t>Generally, estimates should not include burden hours for customary and usual business practices.  If this request for approval covers more than one form, provide separate hour burden estimates for each form.</w:t>
      </w:r>
    </w:p>
    <w:p w:rsidR="00D80711" w:rsidRPr="00AB0B90" w:rsidP="00D80711" w14:paraId="4902FC3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FF1F12" w:rsidP="00D80711" w14:paraId="4C7EA3E3" w14:textId="1E827B1B">
      <w:pPr>
        <w:shd w:val="solid" w:color="FFFFFF" w:fill="FFFFFF"/>
        <w:ind w:left="1080"/>
        <w:rPr>
          <w:color w:val="000000"/>
          <w:sz w:val="24"/>
          <w:szCs w:val="24"/>
        </w:rPr>
      </w:pPr>
      <w:r w:rsidRPr="00AB0B90">
        <w:rPr>
          <w:b/>
          <w:bCs/>
          <w:color w:val="000000"/>
          <w:sz w:val="24"/>
          <w:szCs w:val="24"/>
        </w:rPr>
        <w:t xml:space="preserve">Provide estimates of annualized cost to respondents for the hour burdens for collection of information, identifying and using appropriate wage rate categories.  The cost of </w:t>
      </w:r>
      <w:r w:rsidR="00F60EC6">
        <w:rPr>
          <w:b/>
          <w:bCs/>
          <w:color w:val="000000"/>
          <w:sz w:val="24"/>
          <w:szCs w:val="24"/>
        </w:rPr>
        <w:t>c</w:t>
      </w:r>
      <w:r w:rsidRPr="00AB0B90">
        <w:rPr>
          <w:b/>
          <w:bCs/>
          <w:color w:val="000000"/>
          <w:sz w:val="24"/>
          <w:szCs w:val="24"/>
        </w:rPr>
        <w:t>ontracting out or paying outside parties for information collection activities should not be included here.  Instead, this cost should be included in Item 1</w:t>
      </w:r>
      <w:r w:rsidRPr="00AB0B90" w:rsidR="00C86962">
        <w:rPr>
          <w:b/>
          <w:bCs/>
          <w:color w:val="000000"/>
          <w:sz w:val="24"/>
          <w:szCs w:val="24"/>
        </w:rPr>
        <w:t>3</w:t>
      </w:r>
      <w:r w:rsidRPr="00AB0B90">
        <w:rPr>
          <w:b/>
          <w:bCs/>
          <w:color w:val="000000"/>
          <w:sz w:val="24"/>
          <w:szCs w:val="24"/>
        </w:rPr>
        <w:t>.</w:t>
      </w:r>
    </w:p>
    <w:p w:rsidR="00F14192" w:rsidP="00D80711" w14:paraId="31622C4F" w14:textId="77777777">
      <w:pPr>
        <w:shd w:val="solid" w:color="FFFFFF" w:fill="FFFFFF"/>
        <w:rPr>
          <w:b/>
          <w:bCs/>
          <w:color w:val="000000"/>
          <w:sz w:val="24"/>
          <w:szCs w:val="24"/>
        </w:rPr>
      </w:pPr>
    </w:p>
    <w:p w:rsidR="007A1C2F" w:rsidRPr="0071745D" w:rsidP="007A1C2F" w14:paraId="1E4A9B4F" w14:textId="77777777">
      <w:pPr>
        <w:spacing w:after="240"/>
        <w:outlineLvl w:val="0"/>
        <w:rPr>
          <w:rFonts w:ascii="Times New Roman Bold" w:hAnsi="Times New Roman Bold"/>
          <w:smallCaps/>
          <w:sz w:val="24"/>
          <w:szCs w:val="24"/>
        </w:rPr>
      </w:pPr>
      <w:r w:rsidRPr="0071745D">
        <w:rPr>
          <w:rFonts w:ascii="Times New Roman Bold" w:hAnsi="Times New Roman Bold"/>
          <w:b/>
          <w:bCs/>
          <w:smallCaps/>
          <w:sz w:val="24"/>
          <w:szCs w:val="24"/>
        </w:rPr>
        <w:t>Respondent Burden-Hour and Cost burden Determinations</w:t>
      </w:r>
    </w:p>
    <w:p w:rsidR="00646424" w:rsidP="00866620" w14:paraId="2F34D98D" w14:textId="4756CD83">
      <w:pPr>
        <w:pStyle w:val="Default"/>
        <w:rPr>
          <w:b/>
          <w:sz w:val="23"/>
          <w:szCs w:val="23"/>
        </w:rPr>
      </w:pPr>
      <w:r w:rsidRPr="009200AE">
        <w:t xml:space="preserve">The burden hours and cost determinations are based on </w:t>
      </w:r>
      <w:r w:rsidR="00FC5FE8">
        <w:t>OSHA’</w:t>
      </w:r>
      <w:r w:rsidRPr="009200AE">
        <w:t xml:space="preserve">s </w:t>
      </w:r>
      <w:r w:rsidR="009B3F92">
        <w:t>Final</w:t>
      </w:r>
      <w:r w:rsidRPr="009200AE">
        <w:t xml:space="preserve"> Economic Analysis (</w:t>
      </w:r>
      <w:r w:rsidR="004C2365">
        <w:t>F</w:t>
      </w:r>
      <w:r w:rsidRPr="009200AE">
        <w:t xml:space="preserve">EA) for the </w:t>
      </w:r>
      <w:r w:rsidR="0094090A">
        <w:t>final</w:t>
      </w:r>
      <w:r w:rsidR="0040187C">
        <w:t xml:space="preserve"> rule</w:t>
      </w:r>
      <w:r w:rsidR="00F84DAB">
        <w:t xml:space="preserve">, including </w:t>
      </w:r>
      <w:r w:rsidR="00677FD7">
        <w:t>the spr</w:t>
      </w:r>
      <w:r w:rsidR="004B5F6A">
        <w:t>eadsheets that support th</w:t>
      </w:r>
      <w:r w:rsidR="008B1EE9">
        <w:t>e</w:t>
      </w:r>
      <w:r w:rsidR="004B5F6A">
        <w:t xml:space="preserve"> </w:t>
      </w:r>
      <w:r w:rsidR="00293266">
        <w:t>FEA</w:t>
      </w:r>
      <w:r w:rsidR="00E05401">
        <w:t>.</w:t>
      </w:r>
    </w:p>
    <w:p w:rsidR="00646424" w:rsidP="00866620" w14:paraId="198AC460" w14:textId="77777777">
      <w:pPr>
        <w:pStyle w:val="Default"/>
        <w:rPr>
          <w:b/>
          <w:sz w:val="23"/>
          <w:szCs w:val="23"/>
        </w:rPr>
      </w:pPr>
    </w:p>
    <w:p w:rsidR="00280BA0" w:rsidP="00866620" w14:paraId="7B9C5BA8" w14:textId="77777777">
      <w:pPr>
        <w:pStyle w:val="Default"/>
      </w:pPr>
      <w:r w:rsidRPr="00CB5054">
        <w:rPr>
          <w:b/>
          <w:sz w:val="23"/>
          <w:szCs w:val="23"/>
        </w:rPr>
        <w:t xml:space="preserve">Explanation of Method of Estimating the Annual Burden </w:t>
      </w:r>
    </w:p>
    <w:p w:rsidR="00280BA0" w:rsidRPr="00CB5054" w:rsidP="00866620" w14:paraId="3875327E" w14:textId="77777777">
      <w:pPr>
        <w:pStyle w:val="Default"/>
        <w:rPr>
          <w:b/>
          <w:sz w:val="23"/>
          <w:szCs w:val="23"/>
        </w:rPr>
      </w:pPr>
    </w:p>
    <w:p w:rsidR="00866620" w:rsidRPr="003A15DB" w:rsidP="00DA610F" w14:paraId="031EEC5C" w14:textId="27430887">
      <w:pPr>
        <w:pStyle w:val="Default"/>
      </w:pPr>
      <w:r>
        <w:t xml:space="preserve">As with the currently approved ICR, </w:t>
      </w:r>
      <w:r w:rsidRPr="00CB5054">
        <w:t xml:space="preserve">OSHA is maintaining </w:t>
      </w:r>
      <w:r w:rsidRPr="00CB5054" w:rsidR="00760F17">
        <w:t xml:space="preserve">some of </w:t>
      </w:r>
      <w:r w:rsidRPr="00CB5054">
        <w:t>the previous assumptions for this ICR</w:t>
      </w:r>
      <w:r w:rsidR="00D639B1">
        <w:t xml:space="preserve"> </w:t>
      </w:r>
      <w:r w:rsidR="00A5595F">
        <w:t xml:space="preserve">that </w:t>
      </w:r>
      <w:r w:rsidR="00D639B1">
        <w:t xml:space="preserve">rely on an older </w:t>
      </w:r>
      <w:r w:rsidR="00BD19D4">
        <w:t>Regulatory Impact Analysis (</w:t>
      </w:r>
      <w:r w:rsidR="00D639B1">
        <w:t>RIA</w:t>
      </w:r>
      <w:r w:rsidR="00BD19D4">
        <w:t>)</w:t>
      </w:r>
      <w:r w:rsidR="000711BC">
        <w:t xml:space="preserve"> </w:t>
      </w:r>
      <w:r w:rsidR="00087C41">
        <w:t>(58 FR 51735, September 30, 1993)</w:t>
      </w:r>
      <w:r w:rsidRPr="00CB5054">
        <w:t>.</w:t>
      </w:r>
      <w:r w:rsidR="00A5595F">
        <w:t xml:space="preserve"> </w:t>
      </w:r>
      <w:r w:rsidRPr="00CB5054">
        <w:t xml:space="preserve"> </w:t>
      </w:r>
      <w:r w:rsidR="00F60EC6">
        <w:t>O</w:t>
      </w:r>
      <w:r w:rsidR="00F10580">
        <w:t xml:space="preserve">ther assumptions rely on data </w:t>
      </w:r>
      <w:r w:rsidR="003C758E">
        <w:t>specific to</w:t>
      </w:r>
      <w:r w:rsidRPr="00CB5054">
        <w:t xml:space="preserve"> th</w:t>
      </w:r>
      <w:r w:rsidR="00C87890">
        <w:t>is</w:t>
      </w:r>
      <w:r w:rsidRPr="00CB5054">
        <w:t xml:space="preserve"> rulemaking.</w:t>
      </w:r>
      <w:r w:rsidR="00D871C8">
        <w:t xml:space="preserve"> See Charts A</w:t>
      </w:r>
      <w:r w:rsidR="00031E61">
        <w:t>-1 and A-2.</w:t>
      </w:r>
      <w:r w:rsidRPr="00CB5054">
        <w:rPr>
          <w:sz w:val="23"/>
          <w:szCs w:val="23"/>
        </w:rPr>
        <w:t xml:space="preserve"> </w:t>
      </w:r>
    </w:p>
    <w:p w:rsidR="0041296B" w:rsidP="00DA610F" w14:paraId="545E3E11" w14:textId="77777777">
      <w:pPr>
        <w:pStyle w:val="Default"/>
        <w:rPr>
          <w:sz w:val="23"/>
          <w:szCs w:val="23"/>
        </w:rPr>
      </w:pPr>
    </w:p>
    <w:p w:rsidR="00AB0152" w:rsidP="00F67DA7" w14:paraId="11B0555E" w14:textId="70E2005F">
      <w:pPr>
        <w:pStyle w:val="Default"/>
        <w:jc w:val="center"/>
        <w:rPr>
          <w:b/>
          <w:bCs/>
        </w:rPr>
      </w:pPr>
      <w:r w:rsidRPr="00CB5054">
        <w:rPr>
          <w:b/>
          <w:bCs/>
        </w:rPr>
        <w:t xml:space="preserve"> </w:t>
      </w:r>
    </w:p>
    <w:tbl>
      <w:tblPr>
        <w:tblStyle w:val="TableGrid"/>
        <w:tblW w:w="0" w:type="auto"/>
        <w:tblLook w:val="04A0"/>
      </w:tblPr>
      <w:tblGrid>
        <w:gridCol w:w="8630"/>
      </w:tblGrid>
      <w:tr w14:paraId="2F85A49A" w14:textId="77777777" w:rsidTr="00D64626">
        <w:tblPrEx>
          <w:tblW w:w="0" w:type="auto"/>
          <w:tblLook w:val="04A0"/>
        </w:tblPrEx>
        <w:trPr>
          <w:tblHeader/>
        </w:trPr>
        <w:tc>
          <w:tcPr>
            <w:tcW w:w="8630" w:type="dxa"/>
            <w:shd w:val="clear" w:color="auto" w:fill="D9E2F3" w:themeFill="accent5" w:themeFillTint="33"/>
          </w:tcPr>
          <w:p w:rsidR="00540E94" w:rsidP="00540E94" w14:paraId="372FA133" w14:textId="77777777">
            <w:pPr>
              <w:pStyle w:val="Default"/>
              <w:jc w:val="center"/>
              <w:rPr>
                <w:b/>
                <w:bCs/>
              </w:rPr>
            </w:pPr>
            <w:r>
              <w:rPr>
                <w:b/>
                <w:bCs/>
              </w:rPr>
              <w:t>Chart A-1</w:t>
            </w:r>
            <w:r w:rsidRPr="00CB5054">
              <w:rPr>
                <w:b/>
                <w:bCs/>
              </w:rPr>
              <w:t>.</w:t>
            </w:r>
          </w:p>
          <w:p w:rsidR="00557F16" w:rsidP="00540E94" w14:paraId="26F8BD5F" w14:textId="3947F85F">
            <w:pPr>
              <w:pStyle w:val="Default"/>
              <w:jc w:val="center"/>
            </w:pPr>
            <w:r>
              <w:rPr>
                <w:b/>
                <w:bCs/>
              </w:rPr>
              <w:t>Sources for the</w:t>
            </w:r>
            <w:r w:rsidRPr="00CB5054">
              <w:rPr>
                <w:b/>
                <w:bCs/>
              </w:rPr>
              <w:t xml:space="preserve"> </w:t>
            </w:r>
            <w:r>
              <w:rPr>
                <w:b/>
                <w:bCs/>
              </w:rPr>
              <w:t xml:space="preserve">Analysis </w:t>
            </w:r>
            <w:r w:rsidRPr="00CB5054">
              <w:rPr>
                <w:b/>
                <w:bCs/>
              </w:rPr>
              <w:t>Values</w:t>
            </w:r>
          </w:p>
        </w:tc>
      </w:tr>
      <w:tr w14:paraId="22119193" w14:textId="77777777" w:rsidTr="00557F16">
        <w:tblPrEx>
          <w:tblW w:w="0" w:type="auto"/>
          <w:tblLook w:val="04A0"/>
        </w:tblPrEx>
        <w:tc>
          <w:tcPr>
            <w:tcW w:w="8630" w:type="dxa"/>
          </w:tcPr>
          <w:p w:rsidR="00472BCF" w:rsidP="00472BCF" w14:paraId="209B8772" w14:textId="77777777">
            <w:pPr>
              <w:pStyle w:val="Default"/>
            </w:pPr>
            <w:r w:rsidRPr="00CB5054">
              <w:rPr>
                <w:b/>
                <w:bCs/>
              </w:rPr>
              <w:t>Number of affected establishments</w:t>
            </w:r>
            <w:r w:rsidRPr="00CB5054">
              <w:t xml:space="preserve">: The </w:t>
            </w:r>
            <w:r>
              <w:t xml:space="preserve">number of affected establishments is based on the data from the FEA. </w:t>
            </w:r>
          </w:p>
          <w:p w:rsidR="00557F16" w:rsidP="00D64626" w14:paraId="35087F8A" w14:textId="77777777">
            <w:pPr>
              <w:pStyle w:val="Default"/>
            </w:pPr>
          </w:p>
        </w:tc>
      </w:tr>
      <w:tr w14:paraId="06766672" w14:textId="77777777" w:rsidTr="00557F16">
        <w:tblPrEx>
          <w:tblW w:w="0" w:type="auto"/>
          <w:tblLook w:val="04A0"/>
        </w:tblPrEx>
        <w:tc>
          <w:tcPr>
            <w:tcW w:w="8630" w:type="dxa"/>
          </w:tcPr>
          <w:p w:rsidR="00C066FE" w:rsidP="00C066FE" w14:paraId="276E2D51" w14:textId="77777777">
            <w:pPr>
              <w:pStyle w:val="Default"/>
            </w:pPr>
            <w:r w:rsidRPr="00CB5054">
              <w:rPr>
                <w:b/>
                <w:bCs/>
              </w:rPr>
              <w:t>New establishments as a percentage of all establishments (rate of entry)</w:t>
            </w:r>
            <w:r w:rsidRPr="00280BA0">
              <w:rPr>
                <w:bCs/>
              </w:rPr>
              <w:t>:</w:t>
            </w:r>
            <w:r w:rsidRPr="00CB5054">
              <w:rPr>
                <w:b/>
                <w:bCs/>
              </w:rPr>
              <w:t xml:space="preserve"> </w:t>
            </w:r>
            <w:r w:rsidRPr="00CB5054">
              <w:t xml:space="preserve">The </w:t>
            </w:r>
            <w:r>
              <w:t>percentage of new establishments is carried over from the RIA and the previous ICR.</w:t>
            </w:r>
          </w:p>
          <w:p w:rsidR="00557F16" w:rsidP="00F67DA7" w14:paraId="170A6FF9" w14:textId="77777777">
            <w:pPr>
              <w:pStyle w:val="Default"/>
              <w:jc w:val="center"/>
            </w:pPr>
          </w:p>
        </w:tc>
      </w:tr>
      <w:tr w14:paraId="792DE0E4" w14:textId="77777777" w:rsidTr="00557F16">
        <w:tblPrEx>
          <w:tblW w:w="0" w:type="auto"/>
          <w:tblLook w:val="04A0"/>
        </w:tblPrEx>
        <w:tc>
          <w:tcPr>
            <w:tcW w:w="8630" w:type="dxa"/>
          </w:tcPr>
          <w:p w:rsidR="00C066FE" w:rsidRPr="002567E2" w:rsidP="00C066FE" w14:paraId="61DF1E17" w14:textId="77777777">
            <w:pPr>
              <w:pStyle w:val="Default"/>
            </w:pPr>
            <w:r w:rsidRPr="002567E2">
              <w:rPr>
                <w:b/>
              </w:rPr>
              <w:t xml:space="preserve">Total </w:t>
            </w:r>
            <w:r>
              <w:rPr>
                <w:b/>
              </w:rPr>
              <w:t>n</w:t>
            </w:r>
            <w:r w:rsidRPr="002567E2">
              <w:rPr>
                <w:b/>
              </w:rPr>
              <w:t xml:space="preserve">umber of </w:t>
            </w:r>
            <w:r>
              <w:rPr>
                <w:b/>
              </w:rPr>
              <w:t>w</w:t>
            </w:r>
            <w:r w:rsidRPr="002567E2">
              <w:rPr>
                <w:b/>
              </w:rPr>
              <w:t>orkers</w:t>
            </w:r>
            <w:r w:rsidRPr="00945B11">
              <w:t>:</w:t>
            </w:r>
            <w:r>
              <w:rPr>
                <w:b/>
              </w:rPr>
              <w:t xml:space="preserve">  </w:t>
            </w:r>
            <w:r w:rsidRPr="002567E2">
              <w:t xml:space="preserve">The total number of workers is based on the </w:t>
            </w:r>
            <w:r>
              <w:t>FEA</w:t>
            </w:r>
            <w:r w:rsidRPr="002567E2">
              <w:t>.</w:t>
            </w:r>
          </w:p>
          <w:p w:rsidR="00C066FE" w:rsidP="00D64626" w14:paraId="0744E5BB" w14:textId="241450A6">
            <w:pPr>
              <w:shd w:val="solid" w:color="FFFFFF" w:fill="FFFFFF"/>
            </w:pPr>
          </w:p>
        </w:tc>
      </w:tr>
      <w:tr w14:paraId="1D599647" w14:textId="77777777" w:rsidTr="00557F16">
        <w:tblPrEx>
          <w:tblW w:w="0" w:type="auto"/>
          <w:tblLook w:val="04A0"/>
        </w:tblPrEx>
        <w:tc>
          <w:tcPr>
            <w:tcW w:w="8630" w:type="dxa"/>
          </w:tcPr>
          <w:p w:rsidR="00C066FE" w:rsidP="00D64626" w14:paraId="7019803D" w14:textId="47923CC2">
            <w:pPr>
              <w:pStyle w:val="Default"/>
            </w:pPr>
            <w:r w:rsidRPr="00CB5054">
              <w:rPr>
                <w:b/>
                <w:bCs/>
              </w:rPr>
              <w:t>Number of chemical products</w:t>
            </w:r>
            <w:r w:rsidRPr="00280B11">
              <w:rPr>
                <w:bCs/>
              </w:rPr>
              <w:t xml:space="preserve">: </w:t>
            </w:r>
            <w:r>
              <w:t xml:space="preserve"> The number of chemical products was taken from the FEA.</w:t>
            </w:r>
          </w:p>
        </w:tc>
      </w:tr>
      <w:tr w14:paraId="063F5F53" w14:textId="77777777" w:rsidTr="00557F16">
        <w:tblPrEx>
          <w:tblW w:w="0" w:type="auto"/>
          <w:tblLook w:val="04A0"/>
        </w:tblPrEx>
        <w:tc>
          <w:tcPr>
            <w:tcW w:w="8630" w:type="dxa"/>
          </w:tcPr>
          <w:p w:rsidR="00C066FE" w:rsidP="00E625B9" w14:paraId="10E6EDD9" w14:textId="4A1D2496">
            <w:pPr>
              <w:pStyle w:val="Default"/>
            </w:pPr>
            <w:r w:rsidRPr="00CB5054">
              <w:rPr>
                <w:b/>
                <w:bCs/>
              </w:rPr>
              <w:t>Percentage of new chemical products annually</w:t>
            </w:r>
            <w:r>
              <w:rPr>
                <w:rStyle w:val="FootnoteReference"/>
                <w:b/>
                <w:bCs/>
              </w:rPr>
              <w:footnoteReference w:id="6"/>
            </w:r>
            <w:r w:rsidRPr="00280B11">
              <w:rPr>
                <w:bCs/>
              </w:rPr>
              <w:t>:</w:t>
            </w:r>
            <w:r w:rsidRPr="00CB5054">
              <w:rPr>
                <w:b/>
                <w:bCs/>
              </w:rPr>
              <w:t xml:space="preserve"> </w:t>
            </w:r>
            <w:r>
              <w:rPr>
                <w:b/>
                <w:bCs/>
              </w:rPr>
              <w:t xml:space="preserve"> </w:t>
            </w:r>
            <w:r w:rsidRPr="00CB5054">
              <w:t>Based on</w:t>
            </w:r>
            <w:r>
              <w:t xml:space="preserve"> the </w:t>
            </w:r>
            <w:r w:rsidRPr="00CB5054">
              <w:t xml:space="preserve">RIA, new chemical products are assumed to be 8 percent of all chemical products. </w:t>
            </w:r>
          </w:p>
        </w:tc>
      </w:tr>
      <w:tr w14:paraId="3EF31075" w14:textId="77777777" w:rsidTr="00557F16">
        <w:tblPrEx>
          <w:tblW w:w="0" w:type="auto"/>
          <w:tblLook w:val="04A0"/>
        </w:tblPrEx>
        <w:tc>
          <w:tcPr>
            <w:tcW w:w="8630" w:type="dxa"/>
          </w:tcPr>
          <w:p w:rsidR="00C066FE" w:rsidP="00D64626" w14:paraId="48389D30" w14:textId="43895152">
            <w:pPr>
              <w:pStyle w:val="Default"/>
            </w:pPr>
            <w:r w:rsidRPr="00CB5054">
              <w:rPr>
                <w:b/>
                <w:bCs/>
              </w:rPr>
              <w:t>Number of chemical products per establishment</w:t>
            </w:r>
            <w:r w:rsidRPr="00945B11">
              <w:rPr>
                <w:bCs/>
              </w:rPr>
              <w:t>:</w:t>
            </w:r>
            <w:r w:rsidRPr="00CB5054">
              <w:rPr>
                <w:b/>
                <w:bCs/>
              </w:rPr>
              <w:t xml:space="preserve"> </w:t>
            </w:r>
            <w:r w:rsidRPr="00CB5054">
              <w:t>Th</w:t>
            </w:r>
            <w:r>
              <w:t>e</w:t>
            </w:r>
            <w:r w:rsidRPr="00CB5054">
              <w:t xml:space="preserve"> RIA estimated that the typical manufacturing establishment has </w:t>
            </w:r>
            <w:r>
              <w:t>22</w:t>
            </w:r>
            <w:r w:rsidRPr="00CB5054">
              <w:t xml:space="preserve"> hazardous chemicals, and that the typical non-</w:t>
            </w:r>
            <w:r w:rsidRPr="00CB5054">
              <w:t>manufacturing establishment has 1</w:t>
            </w:r>
            <w:r>
              <w:t>5</w:t>
            </w:r>
            <w:r w:rsidRPr="00CB5054">
              <w:t xml:space="preserve"> hazardous chemicals.</w:t>
            </w:r>
          </w:p>
        </w:tc>
      </w:tr>
      <w:tr w14:paraId="4499CB32" w14:textId="77777777" w:rsidTr="00557F16">
        <w:tblPrEx>
          <w:tblW w:w="0" w:type="auto"/>
          <w:tblLook w:val="04A0"/>
        </w:tblPrEx>
        <w:tc>
          <w:tcPr>
            <w:tcW w:w="8630" w:type="dxa"/>
          </w:tcPr>
          <w:p w:rsidR="00C066FE" w:rsidP="00D64626" w14:paraId="0DCB2010" w14:textId="1D1D25D9">
            <w:pPr>
              <w:pStyle w:val="Default"/>
            </w:pPr>
            <w:r w:rsidRPr="00CB5054">
              <w:rPr>
                <w:b/>
                <w:bCs/>
              </w:rPr>
              <w:t>Number of Shipped Containers of Hazardous Chemicals</w:t>
            </w:r>
            <w:r w:rsidRPr="00945B11">
              <w:rPr>
                <w:bCs/>
              </w:rPr>
              <w:t>:</w:t>
            </w:r>
            <w:r>
              <w:rPr>
                <w:rStyle w:val="FootnoteReference"/>
                <w:bCs/>
              </w:rPr>
              <w:footnoteReference w:id="7"/>
            </w:r>
            <w:r w:rsidRPr="00945B11">
              <w:rPr>
                <w:bCs/>
              </w:rPr>
              <w:t xml:space="preserve"> </w:t>
            </w:r>
            <w:r>
              <w:rPr>
                <w:bCs/>
              </w:rPr>
              <w:t>Based on the FEA, the number of shipped containers of hazardous chemicals is</w:t>
            </w:r>
            <w:r w:rsidRPr="00CB5054">
              <w:t xml:space="preserve"> </w:t>
            </w:r>
            <w:r>
              <w:t>1,950 million.</w:t>
            </w:r>
          </w:p>
        </w:tc>
      </w:tr>
      <w:tr w14:paraId="544585D8" w14:textId="77777777" w:rsidTr="00557F16">
        <w:tblPrEx>
          <w:tblW w:w="0" w:type="auto"/>
          <w:tblLook w:val="04A0"/>
        </w:tblPrEx>
        <w:tc>
          <w:tcPr>
            <w:tcW w:w="8630" w:type="dxa"/>
          </w:tcPr>
          <w:p w:rsidR="00C066FE" w:rsidRPr="00C768B4" w:rsidP="00C066FE" w14:paraId="1FACE893" w14:textId="77777777">
            <w:pPr>
              <w:pStyle w:val="Default"/>
              <w:rPr>
                <w:bCs/>
              </w:rPr>
            </w:pPr>
            <w:r w:rsidRPr="00CB5054">
              <w:rPr>
                <w:b/>
                <w:bCs/>
              </w:rPr>
              <w:t>Number of in-plant containers</w:t>
            </w:r>
            <w:r w:rsidRPr="00280B11">
              <w:rPr>
                <w:bCs/>
              </w:rPr>
              <w:t>:</w:t>
            </w:r>
            <w:r>
              <w:rPr>
                <w:b/>
                <w:bCs/>
              </w:rPr>
              <w:t xml:space="preserve"> </w:t>
            </w:r>
            <w:r>
              <w:rPr>
                <w:bCs/>
              </w:rPr>
              <w:t xml:space="preserve">Based on the RIA, the number of </w:t>
            </w:r>
            <w:r w:rsidRPr="00CB5054">
              <w:t xml:space="preserve">containers of hazardous chemicals used entirely in-plant was assumed to be </w:t>
            </w:r>
            <w:r>
              <w:t>10</w:t>
            </w:r>
            <w:r w:rsidRPr="00CB5054">
              <w:t xml:space="preserve"> percent of the number of shipped containers of hazardous chemicals.</w:t>
            </w:r>
            <w:r>
              <w:rPr>
                <w:bCs/>
              </w:rPr>
              <w:t xml:space="preserve"> </w:t>
            </w:r>
          </w:p>
          <w:p w:rsidR="00C066FE" w:rsidP="00C066FE" w14:paraId="5B151EA5" w14:textId="77777777">
            <w:pPr>
              <w:pStyle w:val="Default"/>
              <w:jc w:val="center"/>
            </w:pPr>
          </w:p>
        </w:tc>
      </w:tr>
      <w:tr w14:paraId="69CA6B4D" w14:textId="77777777" w:rsidTr="00557F16">
        <w:tblPrEx>
          <w:tblW w:w="0" w:type="auto"/>
          <w:tblLook w:val="04A0"/>
        </w:tblPrEx>
        <w:tc>
          <w:tcPr>
            <w:tcW w:w="8630" w:type="dxa"/>
          </w:tcPr>
          <w:p w:rsidR="00C066FE" w:rsidRPr="00CB5054" w:rsidP="00C066FE" w14:paraId="4763244C" w14:textId="77777777">
            <w:pPr>
              <w:pStyle w:val="Default"/>
            </w:pPr>
            <w:r w:rsidRPr="00CB5054">
              <w:rPr>
                <w:b/>
                <w:bCs/>
              </w:rPr>
              <w:t>Percentage of establishments already in compliance</w:t>
            </w:r>
            <w:r w:rsidRPr="00280B11">
              <w:rPr>
                <w:bCs/>
              </w:rPr>
              <w:t>:</w:t>
            </w:r>
            <w:r w:rsidRPr="00CB5054">
              <w:rPr>
                <w:b/>
                <w:bCs/>
              </w:rPr>
              <w:t xml:space="preserve"> </w:t>
            </w:r>
            <w:r w:rsidRPr="00CB5054">
              <w:t xml:space="preserve">The RIA found that 60 percent of all establishments </w:t>
            </w:r>
            <w:r w:rsidRPr="00CB5054">
              <w:t>were in compliance with</w:t>
            </w:r>
            <w:r w:rsidRPr="00CB5054">
              <w:t xml:space="preserve"> the basic provisions of the HCS, primarily as a result of state laws existing prior to the OSHA standard. Hence, </w:t>
            </w:r>
            <w:r>
              <w:t xml:space="preserve">the </w:t>
            </w:r>
            <w:r w:rsidRPr="00CB5054">
              <w:t xml:space="preserve">HCS is assumed to account for 40 percent of the burdens and costs since, in the absence of </w:t>
            </w:r>
            <w:r>
              <w:t xml:space="preserve">the </w:t>
            </w:r>
            <w:r w:rsidRPr="00CB5054">
              <w:t>HCS, 60</w:t>
            </w:r>
            <w:r>
              <w:t xml:space="preserve"> </w:t>
            </w:r>
            <w:r w:rsidRPr="00CB5054">
              <w:t xml:space="preserve">percent of the burden would continue </w:t>
            </w:r>
            <w:r w:rsidRPr="00CB5054">
              <w:t>as a result of</w:t>
            </w:r>
            <w:r w:rsidRPr="00CB5054">
              <w:t xml:space="preserve"> state statute</w:t>
            </w:r>
            <w:r>
              <w:t>s</w:t>
            </w:r>
            <w:r w:rsidRPr="00CB5054">
              <w:t xml:space="preserve">. </w:t>
            </w:r>
          </w:p>
          <w:p w:rsidR="00C066FE" w:rsidP="00C066FE" w14:paraId="0A2C8A83" w14:textId="77777777">
            <w:pPr>
              <w:pStyle w:val="Default"/>
              <w:jc w:val="center"/>
            </w:pPr>
          </w:p>
        </w:tc>
      </w:tr>
      <w:tr w14:paraId="6933A563" w14:textId="77777777" w:rsidTr="00557F16">
        <w:tblPrEx>
          <w:tblW w:w="0" w:type="auto"/>
          <w:tblLook w:val="04A0"/>
        </w:tblPrEx>
        <w:tc>
          <w:tcPr>
            <w:tcW w:w="8630" w:type="dxa"/>
          </w:tcPr>
          <w:p w:rsidR="00557F16" w:rsidP="00F67DA7" w14:paraId="15834D28" w14:textId="77777777">
            <w:pPr>
              <w:pStyle w:val="Default"/>
              <w:jc w:val="center"/>
            </w:pPr>
          </w:p>
        </w:tc>
      </w:tr>
    </w:tbl>
    <w:p w:rsidR="00F67DA7" w:rsidP="00F67DA7" w14:paraId="34C7C0BB" w14:textId="77777777">
      <w:pPr>
        <w:pStyle w:val="Default"/>
        <w:jc w:val="center"/>
      </w:pPr>
    </w:p>
    <w:tbl>
      <w:tblPr>
        <w:tblStyle w:val="TableGrid"/>
        <w:tblW w:w="0" w:type="auto"/>
        <w:tblLook w:val="04A0"/>
      </w:tblPr>
      <w:tblGrid>
        <w:gridCol w:w="4883"/>
        <w:gridCol w:w="3747"/>
      </w:tblGrid>
      <w:tr w14:paraId="78364654" w14:textId="77777777" w:rsidTr="00540A6D">
        <w:tblPrEx>
          <w:tblW w:w="0" w:type="auto"/>
          <w:tblLook w:val="04A0"/>
        </w:tblPrEx>
        <w:trPr>
          <w:tblHeader/>
        </w:trPr>
        <w:tc>
          <w:tcPr>
            <w:tcW w:w="8630" w:type="dxa"/>
            <w:gridSpan w:val="2"/>
            <w:shd w:val="clear" w:color="auto" w:fill="D9E2F3" w:themeFill="accent5" w:themeFillTint="33"/>
          </w:tcPr>
          <w:p w:rsidR="007B296C" w:rsidRPr="00CB5054" w:rsidP="006F59D1" w14:paraId="507C69D3" w14:textId="77777777">
            <w:pPr>
              <w:pStyle w:val="Default"/>
              <w:jc w:val="center"/>
            </w:pPr>
            <w:r>
              <w:rPr>
                <w:b/>
                <w:bCs/>
              </w:rPr>
              <w:t>Chart A-2</w:t>
            </w:r>
            <w:r w:rsidRPr="00CB5054">
              <w:rPr>
                <w:b/>
                <w:bCs/>
              </w:rPr>
              <w:t xml:space="preserve"> </w:t>
            </w:r>
          </w:p>
          <w:p w:rsidR="007B296C" w:rsidP="006F59D1" w14:paraId="4FF4AA4E" w14:textId="77777777">
            <w:pPr>
              <w:jc w:val="center"/>
            </w:pPr>
            <w:r w:rsidRPr="00CB5054">
              <w:rPr>
                <w:b/>
                <w:bCs/>
              </w:rPr>
              <w:t>Basic Values for the Analysis</w:t>
            </w:r>
            <w:r>
              <w:rPr>
                <w:rStyle w:val="FootnoteReference"/>
                <w:b/>
                <w:bCs/>
              </w:rPr>
              <w:footnoteReference w:id="8"/>
            </w:r>
          </w:p>
        </w:tc>
      </w:tr>
      <w:tr w14:paraId="3D30FFD0" w14:textId="77777777" w:rsidTr="00593C6A">
        <w:tblPrEx>
          <w:tblW w:w="0" w:type="auto"/>
          <w:tblLook w:val="04A0"/>
        </w:tblPrEx>
        <w:tc>
          <w:tcPr>
            <w:tcW w:w="4883" w:type="dxa"/>
            <w:shd w:val="clear" w:color="auto" w:fill="F2F2F2" w:themeFill="background1" w:themeFillShade="F2"/>
          </w:tcPr>
          <w:p w:rsidR="007B296C" w:rsidRPr="00CB5054" w:rsidP="006F59D1" w14:paraId="5534F61B" w14:textId="77777777">
            <w:pPr>
              <w:rPr>
                <w:b/>
                <w:bCs/>
              </w:rPr>
            </w:pPr>
          </w:p>
        </w:tc>
        <w:tc>
          <w:tcPr>
            <w:tcW w:w="3747" w:type="dxa"/>
            <w:shd w:val="clear" w:color="auto" w:fill="F2F2F2" w:themeFill="background1" w:themeFillShade="F2"/>
          </w:tcPr>
          <w:p w:rsidR="007B296C" w:rsidRPr="00CB5054" w:rsidP="006F59D1" w14:paraId="6BD251BB" w14:textId="77777777"/>
        </w:tc>
      </w:tr>
      <w:tr w14:paraId="52A33052" w14:textId="77777777" w:rsidTr="00540A6D">
        <w:tblPrEx>
          <w:tblW w:w="0" w:type="auto"/>
          <w:tblLook w:val="04A0"/>
        </w:tblPrEx>
        <w:tc>
          <w:tcPr>
            <w:tcW w:w="4883" w:type="dxa"/>
          </w:tcPr>
          <w:p w:rsidR="007B296C" w:rsidRPr="001356F7" w:rsidP="006F59D1" w14:paraId="6C6CFBCD" w14:textId="77777777">
            <w:pPr>
              <w:rPr>
                <w:b/>
                <w:bCs/>
              </w:rPr>
            </w:pPr>
            <w:r w:rsidRPr="001356F7">
              <w:rPr>
                <w:b/>
                <w:bCs/>
              </w:rPr>
              <w:t>Number of Affected Establishments</w:t>
            </w:r>
          </w:p>
        </w:tc>
        <w:tc>
          <w:tcPr>
            <w:tcW w:w="3747" w:type="dxa"/>
          </w:tcPr>
          <w:p w:rsidR="007B296C" w:rsidRPr="001356F7" w:rsidP="006F59D1" w14:paraId="2C04E3C8" w14:textId="77777777">
            <w:r w:rsidRPr="001356F7">
              <w:t>Manufacturing 77,144</w:t>
            </w:r>
          </w:p>
        </w:tc>
      </w:tr>
      <w:tr w14:paraId="384C9EF4" w14:textId="77777777" w:rsidTr="00540A6D">
        <w:tblPrEx>
          <w:tblW w:w="0" w:type="auto"/>
          <w:tblLook w:val="04A0"/>
        </w:tblPrEx>
        <w:tc>
          <w:tcPr>
            <w:tcW w:w="4883" w:type="dxa"/>
          </w:tcPr>
          <w:p w:rsidR="007B296C" w:rsidRPr="001356F7" w:rsidP="006F59D1" w14:paraId="59818A43" w14:textId="77777777"/>
        </w:tc>
        <w:tc>
          <w:tcPr>
            <w:tcW w:w="3747" w:type="dxa"/>
          </w:tcPr>
          <w:p w:rsidR="007B296C" w:rsidRPr="001356F7" w:rsidP="006F59D1" w14:paraId="59A20953" w14:textId="77777777">
            <w:r w:rsidRPr="001356F7">
              <w:t>Non-Manufacturing 5,503,762</w:t>
            </w:r>
          </w:p>
        </w:tc>
      </w:tr>
      <w:tr w14:paraId="413B31E7" w14:textId="77777777" w:rsidTr="00540A6D">
        <w:tblPrEx>
          <w:tblW w:w="0" w:type="auto"/>
          <w:tblLook w:val="04A0"/>
        </w:tblPrEx>
        <w:tc>
          <w:tcPr>
            <w:tcW w:w="4883" w:type="dxa"/>
            <w:shd w:val="clear" w:color="auto" w:fill="F2F2F2" w:themeFill="background1" w:themeFillShade="F2"/>
          </w:tcPr>
          <w:p w:rsidR="007B296C" w:rsidRPr="001356F7" w:rsidP="006F59D1" w14:paraId="6E7ABC65" w14:textId="77777777">
            <w:pPr>
              <w:pStyle w:val="Default"/>
              <w:rPr>
                <w:b/>
                <w:bCs/>
                <w:sz w:val="20"/>
                <w:szCs w:val="20"/>
              </w:rPr>
            </w:pPr>
          </w:p>
        </w:tc>
        <w:tc>
          <w:tcPr>
            <w:tcW w:w="3747" w:type="dxa"/>
            <w:shd w:val="clear" w:color="auto" w:fill="F2F2F2" w:themeFill="background1" w:themeFillShade="F2"/>
          </w:tcPr>
          <w:p w:rsidR="007B296C" w:rsidRPr="001356F7" w:rsidP="006F59D1" w14:paraId="759A7303" w14:textId="77777777">
            <w:pPr>
              <w:pStyle w:val="Default"/>
              <w:rPr>
                <w:sz w:val="20"/>
                <w:szCs w:val="20"/>
              </w:rPr>
            </w:pPr>
          </w:p>
        </w:tc>
      </w:tr>
      <w:tr w14:paraId="49F129E1" w14:textId="77777777" w:rsidTr="00540A6D">
        <w:tblPrEx>
          <w:tblW w:w="0" w:type="auto"/>
          <w:tblLook w:val="04A0"/>
        </w:tblPrEx>
        <w:tc>
          <w:tcPr>
            <w:tcW w:w="4883" w:type="dxa"/>
          </w:tcPr>
          <w:p w:rsidR="007B296C" w:rsidRPr="001356F7" w:rsidP="006F59D1" w14:paraId="16F62F7B" w14:textId="77777777">
            <w:pPr>
              <w:pStyle w:val="Default"/>
              <w:rPr>
                <w:sz w:val="20"/>
                <w:szCs w:val="20"/>
              </w:rPr>
            </w:pPr>
            <w:r w:rsidRPr="001356F7">
              <w:rPr>
                <w:b/>
                <w:bCs/>
                <w:sz w:val="20"/>
                <w:szCs w:val="20"/>
              </w:rPr>
              <w:t xml:space="preserve">New Establishments as a percentage of all </w:t>
            </w:r>
          </w:p>
          <w:p w:rsidR="007B296C" w:rsidRPr="001356F7" w:rsidP="006F59D1" w14:paraId="7D883CE0" w14:textId="77777777">
            <w:pPr>
              <w:pStyle w:val="Default"/>
              <w:rPr>
                <w:b/>
                <w:bCs/>
                <w:sz w:val="20"/>
                <w:szCs w:val="20"/>
              </w:rPr>
            </w:pPr>
            <w:r w:rsidRPr="001356F7">
              <w:rPr>
                <w:b/>
                <w:bCs/>
                <w:sz w:val="20"/>
                <w:szCs w:val="20"/>
              </w:rPr>
              <w:t>Establishments</w:t>
            </w:r>
          </w:p>
        </w:tc>
        <w:tc>
          <w:tcPr>
            <w:tcW w:w="3747" w:type="dxa"/>
          </w:tcPr>
          <w:p w:rsidR="007B296C" w:rsidRPr="001356F7" w:rsidP="006F59D1" w14:paraId="6E944A3E" w14:textId="77777777">
            <w:pPr>
              <w:pStyle w:val="Default"/>
              <w:rPr>
                <w:sz w:val="20"/>
                <w:szCs w:val="20"/>
              </w:rPr>
            </w:pPr>
            <w:r w:rsidRPr="001356F7">
              <w:rPr>
                <w:sz w:val="20"/>
                <w:szCs w:val="20"/>
              </w:rPr>
              <w:t xml:space="preserve">Manufacturing 5,554 (7.2%) </w:t>
            </w:r>
          </w:p>
        </w:tc>
      </w:tr>
      <w:tr w14:paraId="3914ED6B" w14:textId="77777777" w:rsidTr="00540A6D">
        <w:tblPrEx>
          <w:tblW w:w="0" w:type="auto"/>
          <w:tblLook w:val="04A0"/>
        </w:tblPrEx>
        <w:tc>
          <w:tcPr>
            <w:tcW w:w="4883" w:type="dxa"/>
          </w:tcPr>
          <w:p w:rsidR="007B296C" w:rsidRPr="001356F7" w:rsidP="006F59D1" w14:paraId="43E0723B" w14:textId="77777777"/>
        </w:tc>
        <w:tc>
          <w:tcPr>
            <w:tcW w:w="3747" w:type="dxa"/>
          </w:tcPr>
          <w:p w:rsidR="007B296C" w:rsidRPr="001356F7" w:rsidP="006F59D1" w14:paraId="148B24F1" w14:textId="77777777">
            <w:pPr>
              <w:pStyle w:val="Default"/>
              <w:rPr>
                <w:sz w:val="20"/>
                <w:szCs w:val="20"/>
              </w:rPr>
            </w:pPr>
            <w:r w:rsidRPr="001356F7">
              <w:rPr>
                <w:sz w:val="20"/>
                <w:szCs w:val="20"/>
              </w:rPr>
              <w:t>Non-Manufacturing 698,978 (12.7%)</w:t>
            </w:r>
          </w:p>
        </w:tc>
      </w:tr>
      <w:tr w14:paraId="50AB4385" w14:textId="77777777" w:rsidTr="00540A6D">
        <w:tblPrEx>
          <w:tblW w:w="0" w:type="auto"/>
          <w:tblLook w:val="04A0"/>
        </w:tblPrEx>
        <w:tc>
          <w:tcPr>
            <w:tcW w:w="4883" w:type="dxa"/>
            <w:shd w:val="clear" w:color="auto" w:fill="F2F2F2" w:themeFill="background1" w:themeFillShade="F2"/>
          </w:tcPr>
          <w:p w:rsidR="007B296C" w:rsidRPr="001356F7" w:rsidP="006F59D1" w14:paraId="72E500BA" w14:textId="77777777">
            <w:pPr>
              <w:rPr>
                <w:b/>
                <w:bCs/>
              </w:rPr>
            </w:pPr>
          </w:p>
        </w:tc>
        <w:tc>
          <w:tcPr>
            <w:tcW w:w="3747" w:type="dxa"/>
            <w:shd w:val="clear" w:color="auto" w:fill="F2F2F2" w:themeFill="background1" w:themeFillShade="F2"/>
          </w:tcPr>
          <w:p w:rsidR="007B296C" w:rsidRPr="001356F7" w:rsidP="006F59D1" w14:paraId="5659DE20" w14:textId="77777777">
            <w:pPr>
              <w:rPr>
                <w:bCs/>
              </w:rPr>
            </w:pPr>
          </w:p>
        </w:tc>
      </w:tr>
      <w:tr w14:paraId="25F6776F" w14:textId="77777777" w:rsidTr="004F47D9">
        <w:tblPrEx>
          <w:tblW w:w="0" w:type="auto"/>
          <w:tblLook w:val="04A0"/>
        </w:tblPrEx>
        <w:tc>
          <w:tcPr>
            <w:tcW w:w="4883" w:type="dxa"/>
            <w:vAlign w:val="center"/>
          </w:tcPr>
          <w:p w:rsidR="007B296C" w:rsidRPr="001356F7" w:rsidP="004F47D9" w14:paraId="554A339C" w14:textId="02E4EC40">
            <w:r w:rsidRPr="001356F7">
              <w:rPr>
                <w:b/>
                <w:bCs/>
              </w:rPr>
              <w:t>Total Workers</w:t>
            </w:r>
            <w:r>
              <w:rPr>
                <w:rStyle w:val="FootnoteReference"/>
                <w:b/>
                <w:bCs/>
              </w:rPr>
              <w:footnoteReference w:id="9"/>
            </w:r>
          </w:p>
        </w:tc>
        <w:tc>
          <w:tcPr>
            <w:tcW w:w="3747" w:type="dxa"/>
          </w:tcPr>
          <w:p w:rsidR="007B296C" w:rsidRPr="001356F7" w:rsidP="006F59D1" w14:paraId="1AAACFE6" w14:textId="77777777">
            <w:r w:rsidRPr="001356F7">
              <w:rPr>
                <w:bCs/>
              </w:rPr>
              <w:t>152,337,433</w:t>
            </w:r>
            <w:r w:rsidRPr="001356F7">
              <w:t xml:space="preserve"> </w:t>
            </w:r>
          </w:p>
        </w:tc>
      </w:tr>
      <w:tr w14:paraId="4C19867E" w14:textId="77777777" w:rsidTr="00540A6D">
        <w:tblPrEx>
          <w:tblW w:w="0" w:type="auto"/>
          <w:tblLook w:val="04A0"/>
        </w:tblPrEx>
        <w:tc>
          <w:tcPr>
            <w:tcW w:w="4883" w:type="dxa"/>
            <w:shd w:val="clear" w:color="auto" w:fill="F2F2F2" w:themeFill="background1" w:themeFillShade="F2"/>
          </w:tcPr>
          <w:p w:rsidR="007B296C" w:rsidRPr="001356F7" w:rsidP="006F59D1" w14:paraId="7B509EBC" w14:textId="77777777">
            <w:pPr>
              <w:rPr>
                <w:b/>
                <w:bCs/>
              </w:rPr>
            </w:pPr>
          </w:p>
        </w:tc>
        <w:tc>
          <w:tcPr>
            <w:tcW w:w="3747" w:type="dxa"/>
            <w:shd w:val="clear" w:color="auto" w:fill="F2F2F2" w:themeFill="background1" w:themeFillShade="F2"/>
          </w:tcPr>
          <w:p w:rsidR="007B296C" w:rsidRPr="001356F7" w:rsidP="006F59D1" w14:paraId="5EE68217" w14:textId="77777777"/>
        </w:tc>
      </w:tr>
      <w:tr w14:paraId="1957BCFF" w14:textId="77777777" w:rsidTr="00540A6D">
        <w:tblPrEx>
          <w:tblW w:w="0" w:type="auto"/>
          <w:tblLook w:val="04A0"/>
        </w:tblPrEx>
        <w:tc>
          <w:tcPr>
            <w:tcW w:w="4883" w:type="dxa"/>
          </w:tcPr>
          <w:p w:rsidR="007B296C" w:rsidRPr="001356F7" w:rsidP="006F59D1" w14:paraId="3FB05133" w14:textId="77777777">
            <w:r w:rsidRPr="001356F7">
              <w:rPr>
                <w:b/>
                <w:bCs/>
              </w:rPr>
              <w:t>Number of Chemical Products/Affected SDSs</w:t>
            </w:r>
          </w:p>
        </w:tc>
        <w:tc>
          <w:tcPr>
            <w:tcW w:w="3747" w:type="dxa"/>
          </w:tcPr>
          <w:p w:rsidR="007B296C" w:rsidRPr="001356F7" w:rsidP="006F59D1" w14:paraId="6A27F10F" w14:textId="77777777">
            <w:r w:rsidRPr="001356F7">
              <w:t>1,453,774</w:t>
            </w:r>
          </w:p>
        </w:tc>
      </w:tr>
      <w:tr w14:paraId="3D1E387C" w14:textId="77777777" w:rsidTr="00540A6D">
        <w:tblPrEx>
          <w:tblW w:w="0" w:type="auto"/>
          <w:tblLook w:val="04A0"/>
        </w:tblPrEx>
        <w:tc>
          <w:tcPr>
            <w:tcW w:w="4883" w:type="dxa"/>
            <w:shd w:val="clear" w:color="auto" w:fill="F2F2F2" w:themeFill="background1" w:themeFillShade="F2"/>
          </w:tcPr>
          <w:p w:rsidR="007B296C" w:rsidRPr="001356F7" w:rsidP="006F59D1" w14:paraId="55FA2F5E" w14:textId="77777777">
            <w:pPr>
              <w:rPr>
                <w:b/>
                <w:bCs/>
              </w:rPr>
            </w:pPr>
          </w:p>
        </w:tc>
        <w:tc>
          <w:tcPr>
            <w:tcW w:w="3747" w:type="dxa"/>
            <w:shd w:val="clear" w:color="auto" w:fill="F2F2F2" w:themeFill="background1" w:themeFillShade="F2"/>
          </w:tcPr>
          <w:p w:rsidR="007B296C" w:rsidRPr="001356F7" w:rsidP="006F59D1" w14:paraId="79F813D8" w14:textId="77777777"/>
        </w:tc>
      </w:tr>
      <w:tr w14:paraId="54C63E2A" w14:textId="77777777" w:rsidTr="00540A6D">
        <w:tblPrEx>
          <w:tblW w:w="0" w:type="auto"/>
          <w:tblLook w:val="04A0"/>
        </w:tblPrEx>
        <w:tc>
          <w:tcPr>
            <w:tcW w:w="4883" w:type="dxa"/>
          </w:tcPr>
          <w:p w:rsidR="007B296C" w:rsidRPr="001356F7" w:rsidP="006F59D1" w14:paraId="4B69BFFE" w14:textId="77777777">
            <w:r w:rsidRPr="001356F7">
              <w:rPr>
                <w:b/>
                <w:bCs/>
              </w:rPr>
              <w:t>Percentage of New Chemical Products Annually</w:t>
            </w:r>
          </w:p>
        </w:tc>
        <w:tc>
          <w:tcPr>
            <w:tcW w:w="3747" w:type="dxa"/>
          </w:tcPr>
          <w:p w:rsidR="007B296C" w:rsidRPr="001356F7" w:rsidP="006F59D1" w14:paraId="32F75009" w14:textId="77777777">
            <w:r w:rsidRPr="001356F7">
              <w:t>8.0%</w:t>
            </w:r>
          </w:p>
        </w:tc>
      </w:tr>
      <w:tr w14:paraId="28E1BDC4" w14:textId="77777777" w:rsidTr="00540A6D">
        <w:tblPrEx>
          <w:tblW w:w="0" w:type="auto"/>
          <w:tblLook w:val="04A0"/>
        </w:tblPrEx>
        <w:tc>
          <w:tcPr>
            <w:tcW w:w="4883" w:type="dxa"/>
            <w:shd w:val="clear" w:color="auto" w:fill="F2F2F2" w:themeFill="background1" w:themeFillShade="F2"/>
          </w:tcPr>
          <w:p w:rsidR="007B296C" w:rsidRPr="001356F7" w:rsidP="006F59D1" w14:paraId="544BA361" w14:textId="77777777">
            <w:pPr>
              <w:rPr>
                <w:b/>
                <w:bCs/>
              </w:rPr>
            </w:pPr>
          </w:p>
        </w:tc>
        <w:tc>
          <w:tcPr>
            <w:tcW w:w="3747" w:type="dxa"/>
            <w:shd w:val="clear" w:color="auto" w:fill="F2F2F2" w:themeFill="background1" w:themeFillShade="F2"/>
          </w:tcPr>
          <w:p w:rsidR="007B296C" w:rsidRPr="001356F7" w:rsidP="006F59D1" w14:paraId="74C79D12" w14:textId="77777777">
            <w:pPr>
              <w:pStyle w:val="Default"/>
              <w:rPr>
                <w:color w:val="auto"/>
                <w:sz w:val="20"/>
                <w:szCs w:val="20"/>
              </w:rPr>
            </w:pPr>
          </w:p>
        </w:tc>
      </w:tr>
      <w:tr w14:paraId="61F1E85C" w14:textId="77777777" w:rsidTr="00540A6D">
        <w:tblPrEx>
          <w:tblW w:w="0" w:type="auto"/>
          <w:tblLook w:val="04A0"/>
        </w:tblPrEx>
        <w:tc>
          <w:tcPr>
            <w:tcW w:w="4883" w:type="dxa"/>
          </w:tcPr>
          <w:p w:rsidR="007B296C" w:rsidRPr="001356F7" w:rsidP="006F59D1" w14:paraId="7739D65A" w14:textId="77777777">
            <w:r w:rsidRPr="001356F7">
              <w:rPr>
                <w:b/>
                <w:bCs/>
              </w:rPr>
              <w:t>Number of Hazardous Chemical Products per Establishment</w:t>
            </w:r>
          </w:p>
        </w:tc>
        <w:tc>
          <w:tcPr>
            <w:tcW w:w="3747" w:type="dxa"/>
          </w:tcPr>
          <w:p w:rsidR="007B296C" w:rsidRPr="001356F7" w:rsidP="006F59D1" w14:paraId="00E125D9" w14:textId="77777777">
            <w:pPr>
              <w:pStyle w:val="Default"/>
              <w:rPr>
                <w:color w:val="auto"/>
                <w:sz w:val="20"/>
                <w:szCs w:val="20"/>
              </w:rPr>
            </w:pPr>
            <w:r w:rsidRPr="001356F7">
              <w:rPr>
                <w:color w:val="auto"/>
                <w:sz w:val="20"/>
                <w:szCs w:val="20"/>
              </w:rPr>
              <w:t xml:space="preserve">Manufacturing 22 </w:t>
            </w:r>
          </w:p>
          <w:p w:rsidR="007B296C" w:rsidRPr="001356F7" w:rsidP="006F59D1" w14:paraId="58759FB7" w14:textId="77777777">
            <w:pPr>
              <w:pStyle w:val="Default"/>
              <w:rPr>
                <w:color w:val="auto"/>
                <w:sz w:val="20"/>
                <w:szCs w:val="20"/>
              </w:rPr>
            </w:pPr>
            <w:r w:rsidRPr="001356F7">
              <w:rPr>
                <w:color w:val="auto"/>
                <w:sz w:val="20"/>
                <w:szCs w:val="20"/>
              </w:rPr>
              <w:t xml:space="preserve">Non-Manufacturing 15 </w:t>
            </w:r>
          </w:p>
          <w:p w:rsidR="007B296C" w:rsidRPr="001356F7" w:rsidP="006F59D1" w14:paraId="337D1DED" w14:textId="77777777"/>
        </w:tc>
      </w:tr>
      <w:tr w14:paraId="12CC3225" w14:textId="77777777" w:rsidTr="00540A6D">
        <w:tblPrEx>
          <w:tblW w:w="0" w:type="auto"/>
          <w:tblLook w:val="04A0"/>
        </w:tblPrEx>
        <w:tc>
          <w:tcPr>
            <w:tcW w:w="4883" w:type="dxa"/>
            <w:shd w:val="clear" w:color="auto" w:fill="F2F2F2" w:themeFill="background1" w:themeFillShade="F2"/>
          </w:tcPr>
          <w:p w:rsidR="007B296C" w:rsidRPr="001356F7" w:rsidP="006F59D1" w14:paraId="186BF468" w14:textId="77777777">
            <w:pPr>
              <w:rPr>
                <w:b/>
                <w:bCs/>
              </w:rPr>
            </w:pPr>
          </w:p>
        </w:tc>
        <w:tc>
          <w:tcPr>
            <w:tcW w:w="3747" w:type="dxa"/>
            <w:shd w:val="clear" w:color="auto" w:fill="F2F2F2" w:themeFill="background1" w:themeFillShade="F2"/>
          </w:tcPr>
          <w:p w:rsidR="007B296C" w:rsidRPr="001356F7" w:rsidP="006F59D1" w14:paraId="008BEB3D" w14:textId="77777777"/>
        </w:tc>
      </w:tr>
      <w:tr w14:paraId="270914CE" w14:textId="77777777" w:rsidTr="00540A6D">
        <w:tblPrEx>
          <w:tblW w:w="0" w:type="auto"/>
          <w:tblLook w:val="04A0"/>
        </w:tblPrEx>
        <w:tc>
          <w:tcPr>
            <w:tcW w:w="4883" w:type="dxa"/>
          </w:tcPr>
          <w:p w:rsidR="007B296C" w:rsidRPr="001356F7" w:rsidP="006F59D1" w14:paraId="3EAC64A6" w14:textId="77777777">
            <w:r w:rsidRPr="001356F7">
              <w:rPr>
                <w:b/>
                <w:bCs/>
              </w:rPr>
              <w:t>Number of Shipped Containers of Hazardous Chemicals</w:t>
            </w:r>
          </w:p>
        </w:tc>
        <w:tc>
          <w:tcPr>
            <w:tcW w:w="3747" w:type="dxa"/>
          </w:tcPr>
          <w:p w:rsidR="007B296C" w:rsidRPr="001356F7" w:rsidP="006F59D1" w14:paraId="769E03EA" w14:textId="77777777">
            <w:r w:rsidRPr="001356F7">
              <w:t>1,950,015,026</w:t>
            </w:r>
          </w:p>
        </w:tc>
      </w:tr>
      <w:tr w14:paraId="17121024" w14:textId="77777777" w:rsidTr="00540A6D">
        <w:tblPrEx>
          <w:tblW w:w="0" w:type="auto"/>
          <w:tblLook w:val="04A0"/>
        </w:tblPrEx>
        <w:tc>
          <w:tcPr>
            <w:tcW w:w="4883" w:type="dxa"/>
            <w:shd w:val="clear" w:color="auto" w:fill="F2F2F2" w:themeFill="background1" w:themeFillShade="F2"/>
          </w:tcPr>
          <w:p w:rsidR="007B296C" w:rsidRPr="001356F7" w:rsidP="006F59D1" w14:paraId="226FF2C9" w14:textId="77777777">
            <w:pPr>
              <w:rPr>
                <w:b/>
                <w:bCs/>
              </w:rPr>
            </w:pPr>
          </w:p>
        </w:tc>
        <w:tc>
          <w:tcPr>
            <w:tcW w:w="3747" w:type="dxa"/>
            <w:shd w:val="clear" w:color="auto" w:fill="F2F2F2" w:themeFill="background1" w:themeFillShade="F2"/>
          </w:tcPr>
          <w:p w:rsidR="007B296C" w:rsidRPr="001356F7" w:rsidP="006F59D1" w14:paraId="3BC1DB97" w14:textId="77777777"/>
        </w:tc>
      </w:tr>
      <w:tr w14:paraId="52736D84" w14:textId="77777777" w:rsidTr="00540A6D">
        <w:tblPrEx>
          <w:tblW w:w="0" w:type="auto"/>
          <w:tblLook w:val="04A0"/>
        </w:tblPrEx>
        <w:tc>
          <w:tcPr>
            <w:tcW w:w="4883" w:type="dxa"/>
          </w:tcPr>
          <w:p w:rsidR="007B296C" w:rsidRPr="001356F7" w:rsidP="006F59D1" w14:paraId="2B01F837" w14:textId="77777777">
            <w:r w:rsidRPr="001356F7">
              <w:rPr>
                <w:b/>
                <w:bCs/>
              </w:rPr>
              <w:t>Number of In-Plant Containers</w:t>
            </w:r>
          </w:p>
        </w:tc>
        <w:tc>
          <w:tcPr>
            <w:tcW w:w="3747" w:type="dxa"/>
          </w:tcPr>
          <w:p w:rsidR="007B296C" w:rsidRPr="001356F7" w:rsidP="006F59D1" w14:paraId="059C263C" w14:textId="77777777">
            <w:r w:rsidRPr="001356F7">
              <w:rPr>
                <w:bCs/>
              </w:rPr>
              <w:t>195,001,503</w:t>
            </w:r>
          </w:p>
        </w:tc>
      </w:tr>
      <w:tr w14:paraId="4EE927E9" w14:textId="77777777" w:rsidTr="00540A6D">
        <w:tblPrEx>
          <w:tblW w:w="0" w:type="auto"/>
          <w:tblLook w:val="04A0"/>
        </w:tblPrEx>
        <w:tc>
          <w:tcPr>
            <w:tcW w:w="4883" w:type="dxa"/>
            <w:shd w:val="clear" w:color="auto" w:fill="F2F2F2" w:themeFill="background1" w:themeFillShade="F2"/>
          </w:tcPr>
          <w:p w:rsidR="007B296C" w:rsidRPr="001356F7" w:rsidP="006F59D1" w14:paraId="313D30C1" w14:textId="77777777">
            <w:pPr>
              <w:pStyle w:val="Default"/>
              <w:rPr>
                <w:b/>
                <w:bCs/>
                <w:sz w:val="20"/>
                <w:szCs w:val="20"/>
              </w:rPr>
            </w:pPr>
          </w:p>
        </w:tc>
        <w:tc>
          <w:tcPr>
            <w:tcW w:w="3747" w:type="dxa"/>
            <w:shd w:val="clear" w:color="auto" w:fill="F2F2F2" w:themeFill="background1" w:themeFillShade="F2"/>
          </w:tcPr>
          <w:p w:rsidR="007B296C" w:rsidRPr="001356F7" w:rsidP="006F59D1" w14:paraId="138420C0" w14:textId="77777777">
            <w:pPr>
              <w:rPr>
                <w:color w:val="000000"/>
              </w:rPr>
            </w:pPr>
          </w:p>
        </w:tc>
      </w:tr>
      <w:tr w14:paraId="1D2D2160" w14:textId="77777777" w:rsidTr="00540A6D">
        <w:tblPrEx>
          <w:tblW w:w="0" w:type="auto"/>
          <w:tblLook w:val="04A0"/>
        </w:tblPrEx>
        <w:tc>
          <w:tcPr>
            <w:tcW w:w="4883" w:type="dxa"/>
          </w:tcPr>
          <w:p w:rsidR="007B296C" w:rsidRPr="001356F7" w:rsidP="006F59D1" w14:paraId="61ACFE64" w14:textId="77777777">
            <w:pPr>
              <w:pStyle w:val="Default"/>
              <w:rPr>
                <w:sz w:val="20"/>
                <w:szCs w:val="20"/>
              </w:rPr>
            </w:pPr>
            <w:r w:rsidRPr="001356F7">
              <w:rPr>
                <w:b/>
                <w:bCs/>
                <w:sz w:val="20"/>
                <w:szCs w:val="20"/>
              </w:rPr>
              <w:t xml:space="preserve">Percentage of Establishments Already in </w:t>
            </w:r>
          </w:p>
          <w:p w:rsidR="007B296C" w:rsidRPr="001356F7" w:rsidP="006F59D1" w14:paraId="44A83FFC" w14:textId="77777777">
            <w:r w:rsidRPr="001356F7">
              <w:rPr>
                <w:b/>
                <w:bCs/>
                <w:color w:val="000000"/>
              </w:rPr>
              <w:t>Compliance as a Result of State Standards</w:t>
            </w:r>
          </w:p>
        </w:tc>
        <w:tc>
          <w:tcPr>
            <w:tcW w:w="3747" w:type="dxa"/>
          </w:tcPr>
          <w:p w:rsidR="007B296C" w:rsidRPr="001356F7" w:rsidP="006F59D1" w14:paraId="05AB717B" w14:textId="77777777">
            <w:r w:rsidRPr="001356F7">
              <w:rPr>
                <w:color w:val="000000"/>
              </w:rPr>
              <w:t>60%</w:t>
            </w:r>
            <w:r>
              <w:rPr>
                <w:rStyle w:val="FootnoteReference"/>
                <w:color w:val="000000"/>
              </w:rPr>
              <w:footnoteReference w:id="10"/>
            </w:r>
          </w:p>
        </w:tc>
      </w:tr>
      <w:tr w14:paraId="20D88A18" w14:textId="77777777" w:rsidTr="00540A6D">
        <w:tblPrEx>
          <w:tblW w:w="0" w:type="auto"/>
          <w:tblLook w:val="04A0"/>
        </w:tblPrEx>
        <w:tc>
          <w:tcPr>
            <w:tcW w:w="4883" w:type="dxa"/>
            <w:shd w:val="clear" w:color="auto" w:fill="8EAADB" w:themeFill="accent5" w:themeFillTint="99"/>
          </w:tcPr>
          <w:p w:rsidR="007B296C" w:rsidRPr="001356F7" w:rsidP="006F59D1" w14:paraId="6766215C" w14:textId="77777777">
            <w:pPr>
              <w:pStyle w:val="Default"/>
              <w:rPr>
                <w:b/>
                <w:bCs/>
                <w:sz w:val="20"/>
                <w:szCs w:val="20"/>
              </w:rPr>
            </w:pPr>
          </w:p>
        </w:tc>
        <w:tc>
          <w:tcPr>
            <w:tcW w:w="3747" w:type="dxa"/>
            <w:shd w:val="clear" w:color="auto" w:fill="8EAADB" w:themeFill="accent5" w:themeFillTint="99"/>
          </w:tcPr>
          <w:p w:rsidR="007B296C" w:rsidRPr="001356F7" w:rsidP="006F59D1" w14:paraId="541ABD2F" w14:textId="77777777">
            <w:pPr>
              <w:rPr>
                <w:color w:val="000000"/>
              </w:rPr>
            </w:pPr>
          </w:p>
        </w:tc>
      </w:tr>
    </w:tbl>
    <w:p w:rsidR="007B296C" w:rsidP="007B296C" w14:paraId="2E368247" w14:textId="77777777"/>
    <w:p w:rsidR="00F67DA7" w:rsidP="007F1206" w14:paraId="736D8CD5" w14:textId="77777777">
      <w:pPr>
        <w:pStyle w:val="Default"/>
        <w:rPr>
          <w:b/>
          <w:bCs/>
        </w:rPr>
      </w:pPr>
    </w:p>
    <w:p w:rsidR="00F67DA7" w:rsidRPr="00CB5054" w:rsidP="00F67DA7" w14:paraId="4CC0C8B4" w14:textId="77777777">
      <w:pPr>
        <w:pStyle w:val="Default"/>
      </w:pPr>
      <w:r w:rsidRPr="00CB5054">
        <w:rPr>
          <w:b/>
          <w:bCs/>
        </w:rPr>
        <w:t xml:space="preserve">Wage Rates </w:t>
      </w:r>
    </w:p>
    <w:p w:rsidR="00F67DA7" w:rsidP="00F67DA7" w14:paraId="1AE08F03" w14:textId="77777777">
      <w:pPr>
        <w:pStyle w:val="Default"/>
      </w:pPr>
    </w:p>
    <w:p w:rsidR="00F67DA7" w:rsidP="00F67DA7" w14:paraId="33DB35F7" w14:textId="5DB943FC">
      <w:pPr>
        <w:pStyle w:val="Default"/>
      </w:pPr>
      <w:r>
        <w:t xml:space="preserve">In determining the wage rates and as part of the </w:t>
      </w:r>
      <w:r w:rsidR="00ED3A03">
        <w:t>final</w:t>
      </w:r>
      <w:r>
        <w:t xml:space="preserve"> rule, t</w:t>
      </w:r>
      <w:r w:rsidRPr="00CB5054">
        <w:t xml:space="preserve">he </w:t>
      </w:r>
      <w:r w:rsidR="004D5224">
        <w:t>a</w:t>
      </w:r>
      <w:r w:rsidRPr="00CB5054">
        <w:t>gency adopted the me</w:t>
      </w:r>
      <w:r w:rsidR="00961AA4">
        <w:t>di</w:t>
      </w:r>
      <w:r w:rsidRPr="00CB5054">
        <w:t xml:space="preserve">an wage rates from </w:t>
      </w:r>
      <w:r w:rsidRPr="00540A6D">
        <w:t xml:space="preserve">“May </w:t>
      </w:r>
      <w:r w:rsidRPr="00540A6D" w:rsidR="007941D5">
        <w:t xml:space="preserve">2021 </w:t>
      </w:r>
      <w:r w:rsidRPr="00540A6D">
        <w:t>National Occupational Employment and Wage Estimates,”</w:t>
      </w:r>
      <w:r w:rsidRPr="00CB5054">
        <w:rPr>
          <w:i/>
          <w:iCs/>
        </w:rPr>
        <w:t xml:space="preserve"> </w:t>
      </w:r>
      <w:r w:rsidRPr="00CB5054">
        <w:t>U.S. Department of Labor, Bureau of Labor Statistics</w:t>
      </w:r>
      <w:r w:rsidR="00E362FA">
        <w:t>.</w:t>
      </w:r>
      <w:r w:rsidRPr="00CB5054">
        <w:t xml:space="preserve"> Total compensation for these occupational categories includes an adjustment of </w:t>
      </w:r>
      <w:r w:rsidR="00B95D19">
        <w:t>31.03</w:t>
      </w:r>
      <w:r w:rsidRPr="00CB5054">
        <w:t xml:space="preserve"> percent (</w:t>
      </w:r>
      <w:r w:rsidRPr="003F31F8">
        <w:rPr>
          <w:i/>
          <w:iCs/>
        </w:rPr>
        <w:t xml:space="preserve">Employment Costs Index, </w:t>
      </w:r>
      <w:r w:rsidRPr="003F31F8" w:rsidR="00031B1C">
        <w:rPr>
          <w:i/>
          <w:iCs/>
        </w:rPr>
        <w:t>June 20</w:t>
      </w:r>
      <w:r w:rsidRPr="003F31F8" w:rsidR="00930327">
        <w:rPr>
          <w:i/>
          <w:iCs/>
        </w:rPr>
        <w:t>2</w:t>
      </w:r>
      <w:r w:rsidRPr="003F31F8" w:rsidR="00EB5F45">
        <w:rPr>
          <w:i/>
          <w:iCs/>
        </w:rPr>
        <w:t>2</w:t>
      </w:r>
      <w:r w:rsidRPr="008F4FD6" w:rsidR="00E362FA">
        <w:rPr>
          <w:i/>
          <w:iCs/>
        </w:rPr>
        <w:t xml:space="preserve"> </w:t>
      </w:r>
      <w:r w:rsidRPr="003F31F8" w:rsidR="00F62CC0">
        <w:rPr>
          <w:i/>
          <w:iCs/>
        </w:rPr>
        <w:t>https://www.bls.gov/news.release/archives/ecec_09172019.pdf)</w:t>
      </w:r>
      <w:r w:rsidRPr="00CB5054">
        <w:rPr>
          <w:i/>
          <w:iCs/>
        </w:rPr>
        <w:t xml:space="preserve"> </w:t>
      </w:r>
      <w:r w:rsidRPr="00CB5054">
        <w:t xml:space="preserve">for fringe benefits; this figure represents the average level of fringe benefits in the private sector. </w:t>
      </w:r>
      <w:r w:rsidR="00031B1C">
        <w:t xml:space="preserve">Also, OSHA added overhead cost to the wages. </w:t>
      </w:r>
      <w:r w:rsidRPr="00CB5054">
        <w:t xml:space="preserve">The </w:t>
      </w:r>
      <w:r w:rsidR="00EC7F29">
        <w:t>estimated hourly</w:t>
      </w:r>
      <w:r w:rsidRPr="00CB5054">
        <w:t xml:space="preserve"> wages are:</w:t>
      </w:r>
    </w:p>
    <w:p w:rsidR="0020436F" w:rsidP="00F67DA7" w14:paraId="7BB21054" w14:textId="77777777">
      <w:pPr>
        <w:pStyle w:val="Default"/>
      </w:pPr>
    </w:p>
    <w:p w:rsidR="0020436F" w:rsidRPr="007056ED" w:rsidP="00F67DA7" w14:paraId="79297148" w14:textId="24FA1792">
      <w:pPr>
        <w:pStyle w:val="Default"/>
        <w:rPr>
          <w:b/>
        </w:rPr>
      </w:pPr>
      <w:r>
        <w:rPr>
          <w:b/>
        </w:rPr>
        <w:t>Table 1 – Estimated Wage Rate</w:t>
      </w:r>
      <w:r w:rsidR="004C3D31">
        <w:rPr>
          <w:b/>
        </w:rPr>
        <w:t>*</w:t>
      </w:r>
    </w:p>
    <w:p w:rsidR="0020436F" w:rsidP="00F67DA7" w14:paraId="45EBC048" w14:textId="77777777">
      <w:pPr>
        <w:pStyle w:val="Default"/>
      </w:pPr>
    </w:p>
    <w:tbl>
      <w:tblPr>
        <w:tblW w:w="9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620"/>
        <w:gridCol w:w="1440"/>
        <w:gridCol w:w="1440"/>
        <w:gridCol w:w="1440"/>
        <w:gridCol w:w="1620"/>
      </w:tblGrid>
      <w:tr w14:paraId="6D3316DF" w14:textId="77777777" w:rsidTr="00540A6D">
        <w:tblPrEx>
          <w:tblW w:w="9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430" w:type="dxa"/>
            <w:shd w:val="clear" w:color="auto" w:fill="A8D08D" w:themeFill="accent6" w:themeFillTint="99"/>
          </w:tcPr>
          <w:p w:rsidR="00D604A1" w:rsidRPr="00C86733" w:rsidP="00E640DF" w14:paraId="003C5E01" w14:textId="77777777">
            <w:pPr>
              <w:pStyle w:val="Default"/>
              <w:widowControl w:val="0"/>
              <w:overflowPunct w:val="0"/>
            </w:pPr>
            <w:r w:rsidRPr="00C86733">
              <w:rPr>
                <w:b/>
              </w:rPr>
              <w:t>Occupational Title</w:t>
            </w:r>
          </w:p>
        </w:tc>
        <w:tc>
          <w:tcPr>
            <w:tcW w:w="1620" w:type="dxa"/>
            <w:shd w:val="clear" w:color="auto" w:fill="A8D08D" w:themeFill="accent6" w:themeFillTint="99"/>
          </w:tcPr>
          <w:p w:rsidR="00D604A1" w:rsidRPr="00C86733" w:rsidP="00E640DF" w14:paraId="26EF09A8" w14:textId="77777777">
            <w:pPr>
              <w:pStyle w:val="Default"/>
              <w:widowControl w:val="0"/>
              <w:overflowPunct w:val="0"/>
            </w:pPr>
            <w:r w:rsidRPr="00C86733">
              <w:rPr>
                <w:b/>
              </w:rPr>
              <w:t>Standard Occupation Code</w:t>
            </w:r>
          </w:p>
        </w:tc>
        <w:tc>
          <w:tcPr>
            <w:tcW w:w="1440" w:type="dxa"/>
            <w:shd w:val="clear" w:color="auto" w:fill="A8D08D" w:themeFill="accent6" w:themeFillTint="99"/>
          </w:tcPr>
          <w:p w:rsidR="00D604A1" w:rsidRPr="002E3937" w:rsidP="00E640DF" w14:paraId="3B523BD6" w14:textId="77777777">
            <w:pPr>
              <w:pStyle w:val="Default"/>
              <w:widowControl w:val="0"/>
              <w:overflowPunct w:val="0"/>
            </w:pPr>
            <w:r w:rsidRPr="00BC2195">
              <w:rPr>
                <w:b/>
              </w:rPr>
              <w:t>Medi</w:t>
            </w:r>
            <w:r w:rsidRPr="001810D8">
              <w:rPr>
                <w:b/>
              </w:rPr>
              <w:t>an Hour</w:t>
            </w:r>
            <w:r w:rsidRPr="00A559FF">
              <w:rPr>
                <w:b/>
              </w:rPr>
              <w:t xml:space="preserve">ly Wage </w:t>
            </w:r>
          </w:p>
        </w:tc>
        <w:tc>
          <w:tcPr>
            <w:tcW w:w="1440" w:type="dxa"/>
            <w:shd w:val="clear" w:color="auto" w:fill="A8D08D" w:themeFill="accent6" w:themeFillTint="99"/>
          </w:tcPr>
          <w:p w:rsidR="00D604A1" w:rsidRPr="00776D10" w:rsidP="00E640DF" w14:paraId="5CCE65BE" w14:textId="77777777">
            <w:pPr>
              <w:pStyle w:val="Default"/>
              <w:widowControl w:val="0"/>
              <w:overflowPunct w:val="0"/>
            </w:pPr>
            <w:r w:rsidRPr="00776D10">
              <w:rPr>
                <w:b/>
              </w:rPr>
              <w:t xml:space="preserve">Fringe Benefits </w:t>
            </w:r>
          </w:p>
        </w:tc>
        <w:tc>
          <w:tcPr>
            <w:tcW w:w="1440" w:type="dxa"/>
            <w:shd w:val="clear" w:color="auto" w:fill="A8D08D" w:themeFill="accent6" w:themeFillTint="99"/>
          </w:tcPr>
          <w:p w:rsidR="00D604A1" w:rsidRPr="007056ED" w:rsidP="00E640DF" w14:paraId="75222487" w14:textId="77777777">
            <w:pPr>
              <w:pStyle w:val="Default"/>
              <w:widowControl w:val="0"/>
              <w:overflowPunct w:val="0"/>
              <w:rPr>
                <w:b/>
              </w:rPr>
            </w:pPr>
            <w:r w:rsidRPr="007056ED">
              <w:rPr>
                <w:b/>
              </w:rPr>
              <w:t>Overhead</w:t>
            </w:r>
          </w:p>
        </w:tc>
        <w:tc>
          <w:tcPr>
            <w:tcW w:w="1620" w:type="dxa"/>
            <w:shd w:val="clear" w:color="auto" w:fill="A8D08D" w:themeFill="accent6" w:themeFillTint="99"/>
          </w:tcPr>
          <w:p w:rsidR="00D604A1" w:rsidRPr="00C86733" w:rsidP="00E640DF" w14:paraId="39E04E92" w14:textId="77777777">
            <w:pPr>
              <w:pStyle w:val="Default"/>
              <w:widowControl w:val="0"/>
              <w:overflowPunct w:val="0"/>
            </w:pPr>
            <w:r w:rsidRPr="00C86733">
              <w:rPr>
                <w:b/>
              </w:rPr>
              <w:t>Loaded hourly Wage Rate</w:t>
            </w:r>
          </w:p>
        </w:tc>
      </w:tr>
      <w:tr w14:paraId="10888E87" w14:textId="77777777" w:rsidTr="00540A6D">
        <w:tblPrEx>
          <w:tblW w:w="9990" w:type="dxa"/>
          <w:tblInd w:w="-725" w:type="dxa"/>
          <w:tblLayout w:type="fixed"/>
          <w:tblLook w:val="04A0"/>
        </w:tblPrEx>
        <w:tc>
          <w:tcPr>
            <w:tcW w:w="2430" w:type="dxa"/>
            <w:shd w:val="clear" w:color="auto" w:fill="auto"/>
          </w:tcPr>
          <w:p w:rsidR="00D604A1" w:rsidRPr="007056ED" w:rsidP="00E640DF" w14:paraId="5C014F10" w14:textId="77777777">
            <w:pPr>
              <w:pStyle w:val="Default"/>
              <w:widowControl w:val="0"/>
              <w:overflowPunct w:val="0"/>
            </w:pPr>
            <w:r w:rsidRPr="007056ED">
              <w:t>Manager</w:t>
            </w:r>
          </w:p>
        </w:tc>
        <w:tc>
          <w:tcPr>
            <w:tcW w:w="1620" w:type="dxa"/>
            <w:shd w:val="clear" w:color="auto" w:fill="auto"/>
          </w:tcPr>
          <w:p w:rsidR="00D604A1" w:rsidRPr="007056ED" w:rsidP="00E640DF" w14:paraId="394301F0" w14:textId="77777777">
            <w:pPr>
              <w:pStyle w:val="Default"/>
              <w:widowControl w:val="0"/>
              <w:overflowPunct w:val="0"/>
            </w:pPr>
            <w:r w:rsidRPr="007056ED">
              <w:t>11-0000</w:t>
            </w:r>
          </w:p>
        </w:tc>
        <w:tc>
          <w:tcPr>
            <w:tcW w:w="1440" w:type="dxa"/>
            <w:shd w:val="clear" w:color="auto" w:fill="auto"/>
          </w:tcPr>
          <w:p w:rsidR="00D604A1" w:rsidRPr="007056ED" w:rsidP="008B692C" w14:paraId="5AAE27F5" w14:textId="5D3D0328">
            <w:pPr>
              <w:pStyle w:val="Default"/>
              <w:widowControl w:val="0"/>
              <w:overflowPunct w:val="0"/>
            </w:pPr>
            <w:r w:rsidRPr="007056ED">
              <w:t>$</w:t>
            </w:r>
            <w:r w:rsidR="00E95AD9">
              <w:t>51.62</w:t>
            </w:r>
          </w:p>
        </w:tc>
        <w:tc>
          <w:tcPr>
            <w:tcW w:w="1440" w:type="dxa"/>
            <w:shd w:val="clear" w:color="auto" w:fill="auto"/>
          </w:tcPr>
          <w:p w:rsidR="00D604A1" w:rsidRPr="007056ED" w:rsidP="006F05A5" w14:paraId="663FBEB0" w14:textId="54A5B65F">
            <w:pPr>
              <w:pStyle w:val="Default"/>
              <w:widowControl w:val="0"/>
              <w:overflowPunct w:val="0"/>
            </w:pPr>
            <w:r>
              <w:t>31</w:t>
            </w:r>
            <w:r w:rsidR="00475D95">
              <w:t>.03</w:t>
            </w:r>
            <w:r w:rsidRPr="007056ED" w:rsidR="002B7EDA">
              <w:t>%</w:t>
            </w:r>
          </w:p>
        </w:tc>
        <w:tc>
          <w:tcPr>
            <w:tcW w:w="1440" w:type="dxa"/>
            <w:shd w:val="clear" w:color="auto" w:fill="auto"/>
          </w:tcPr>
          <w:p w:rsidR="00D604A1" w:rsidRPr="007056ED" w:rsidP="007D5840" w14:paraId="36835A3A" w14:textId="1FE8F57C">
            <w:pPr>
              <w:pStyle w:val="Default"/>
              <w:widowControl w:val="0"/>
              <w:overflowPunct w:val="0"/>
            </w:pPr>
            <w:r w:rsidRPr="007056ED">
              <w:t>1</w:t>
            </w:r>
            <w:r w:rsidR="007F54A1">
              <w:t>1.73</w:t>
            </w:r>
            <w:r w:rsidRPr="007056ED">
              <w:t>%</w:t>
            </w:r>
          </w:p>
        </w:tc>
        <w:tc>
          <w:tcPr>
            <w:tcW w:w="1620" w:type="dxa"/>
            <w:shd w:val="clear" w:color="auto" w:fill="auto"/>
          </w:tcPr>
          <w:p w:rsidR="00D604A1" w:rsidRPr="007056ED" w:rsidP="00E640DF" w14:paraId="68293950" w14:textId="7130BD41">
            <w:pPr>
              <w:pStyle w:val="Default"/>
              <w:widowControl w:val="0"/>
              <w:overflowPunct w:val="0"/>
            </w:pPr>
            <w:r w:rsidRPr="007056ED">
              <w:t>$</w:t>
            </w:r>
            <w:r w:rsidR="00E95AD9">
              <w:t>83.62</w:t>
            </w:r>
          </w:p>
        </w:tc>
      </w:tr>
      <w:tr w14:paraId="6A816871" w14:textId="77777777" w:rsidTr="00540A6D">
        <w:tblPrEx>
          <w:tblW w:w="9990" w:type="dxa"/>
          <w:tblInd w:w="-725" w:type="dxa"/>
          <w:tblLayout w:type="fixed"/>
          <w:tblLook w:val="04A0"/>
        </w:tblPrEx>
        <w:tc>
          <w:tcPr>
            <w:tcW w:w="2430" w:type="dxa"/>
            <w:shd w:val="clear" w:color="auto" w:fill="auto"/>
          </w:tcPr>
          <w:p w:rsidR="002B7EDA" w:rsidRPr="007056ED" w:rsidP="00E640DF" w14:paraId="61D08A10" w14:textId="77777777">
            <w:pPr>
              <w:pStyle w:val="Default"/>
              <w:widowControl w:val="0"/>
              <w:overflowPunct w:val="0"/>
            </w:pPr>
            <w:r w:rsidRPr="007056ED">
              <w:t>Logistics Personnel</w:t>
            </w:r>
          </w:p>
        </w:tc>
        <w:tc>
          <w:tcPr>
            <w:tcW w:w="1620" w:type="dxa"/>
            <w:shd w:val="clear" w:color="auto" w:fill="auto"/>
          </w:tcPr>
          <w:p w:rsidR="002B7EDA" w:rsidRPr="007056ED" w:rsidP="00E640DF" w14:paraId="184D6A6C" w14:textId="77777777">
            <w:pPr>
              <w:pStyle w:val="Default"/>
              <w:widowControl w:val="0"/>
              <w:overflowPunct w:val="0"/>
            </w:pPr>
            <w:r w:rsidRPr="007056ED">
              <w:t>13-1081</w:t>
            </w:r>
          </w:p>
        </w:tc>
        <w:tc>
          <w:tcPr>
            <w:tcW w:w="1440" w:type="dxa"/>
            <w:shd w:val="clear" w:color="auto" w:fill="auto"/>
          </w:tcPr>
          <w:p w:rsidR="002B7EDA" w:rsidRPr="007056ED" w:rsidP="008B692C" w14:paraId="6CF86635" w14:textId="21929E84">
            <w:pPr>
              <w:pStyle w:val="Default"/>
              <w:widowControl w:val="0"/>
              <w:overflowPunct w:val="0"/>
            </w:pPr>
            <w:r w:rsidRPr="007056ED">
              <w:t>$</w:t>
            </w:r>
            <w:r w:rsidR="00E95AD9">
              <w:t>37.27</w:t>
            </w:r>
          </w:p>
        </w:tc>
        <w:tc>
          <w:tcPr>
            <w:tcW w:w="1440" w:type="dxa"/>
            <w:shd w:val="clear" w:color="auto" w:fill="auto"/>
          </w:tcPr>
          <w:p w:rsidR="002B7EDA" w:rsidRPr="007056ED" w:rsidP="006F05A5" w14:paraId="1075E935" w14:textId="76B146D7">
            <w:pPr>
              <w:pStyle w:val="Default"/>
              <w:widowControl w:val="0"/>
              <w:overflowPunct w:val="0"/>
            </w:pPr>
            <w:r>
              <w:t>31.03</w:t>
            </w:r>
            <w:r w:rsidRPr="007056ED">
              <w:t>%</w:t>
            </w:r>
          </w:p>
        </w:tc>
        <w:tc>
          <w:tcPr>
            <w:tcW w:w="1440" w:type="dxa"/>
            <w:shd w:val="clear" w:color="auto" w:fill="auto"/>
          </w:tcPr>
          <w:p w:rsidR="002B7EDA" w:rsidRPr="007056ED" w:rsidP="007D5840" w14:paraId="168043BD" w14:textId="2B0A1D90">
            <w:pPr>
              <w:pStyle w:val="Default"/>
              <w:widowControl w:val="0"/>
              <w:overflowPunct w:val="0"/>
            </w:pPr>
            <w:r w:rsidRPr="007056ED">
              <w:t>1</w:t>
            </w:r>
            <w:r w:rsidR="007F54A1">
              <w:t>1.73</w:t>
            </w:r>
            <w:r w:rsidRPr="007056ED">
              <w:t>%</w:t>
            </w:r>
          </w:p>
        </w:tc>
        <w:tc>
          <w:tcPr>
            <w:tcW w:w="1620" w:type="dxa"/>
            <w:shd w:val="clear" w:color="auto" w:fill="auto"/>
          </w:tcPr>
          <w:p w:rsidR="002B7EDA" w:rsidRPr="007056ED" w:rsidP="00E640DF" w14:paraId="51B366F3" w14:textId="74EF8B1E">
            <w:pPr>
              <w:pStyle w:val="Default"/>
              <w:widowControl w:val="0"/>
              <w:overflowPunct w:val="0"/>
            </w:pPr>
            <w:r w:rsidRPr="007056ED">
              <w:t>$</w:t>
            </w:r>
            <w:r w:rsidR="00E95AD9">
              <w:t>60.37</w:t>
            </w:r>
          </w:p>
        </w:tc>
      </w:tr>
      <w:tr w14:paraId="2D87C306" w14:textId="77777777" w:rsidTr="00540A6D">
        <w:tblPrEx>
          <w:tblW w:w="9990" w:type="dxa"/>
          <w:tblInd w:w="-725" w:type="dxa"/>
          <w:tblLayout w:type="fixed"/>
          <w:tblLook w:val="04A0"/>
        </w:tblPrEx>
        <w:tc>
          <w:tcPr>
            <w:tcW w:w="2430" w:type="dxa"/>
            <w:shd w:val="clear" w:color="auto" w:fill="auto"/>
          </w:tcPr>
          <w:p w:rsidR="002B7EDA" w:rsidRPr="007056ED" w:rsidP="00E640DF" w14:paraId="0190B409" w14:textId="77777777">
            <w:pPr>
              <w:pStyle w:val="Default"/>
              <w:widowControl w:val="0"/>
              <w:overflowPunct w:val="0"/>
            </w:pPr>
            <w:r w:rsidRPr="007056ED">
              <w:t>Production Worker</w:t>
            </w:r>
          </w:p>
        </w:tc>
        <w:tc>
          <w:tcPr>
            <w:tcW w:w="1620" w:type="dxa"/>
            <w:shd w:val="clear" w:color="auto" w:fill="auto"/>
          </w:tcPr>
          <w:p w:rsidR="002B7EDA" w:rsidRPr="007056ED" w:rsidP="00E640DF" w14:paraId="27576FD9" w14:textId="77777777">
            <w:pPr>
              <w:pStyle w:val="Default"/>
              <w:widowControl w:val="0"/>
              <w:overflowPunct w:val="0"/>
            </w:pPr>
            <w:r w:rsidRPr="007056ED">
              <w:t>51-0000</w:t>
            </w:r>
          </w:p>
        </w:tc>
        <w:tc>
          <w:tcPr>
            <w:tcW w:w="1440" w:type="dxa"/>
            <w:shd w:val="clear" w:color="auto" w:fill="auto"/>
          </w:tcPr>
          <w:p w:rsidR="002B7EDA" w:rsidRPr="007056ED" w:rsidP="008B692C" w14:paraId="606AA29C" w14:textId="66BCCB6A">
            <w:pPr>
              <w:pStyle w:val="Default"/>
              <w:widowControl w:val="0"/>
              <w:overflowPunct w:val="0"/>
            </w:pPr>
            <w:r w:rsidRPr="007056ED">
              <w:t>$</w:t>
            </w:r>
            <w:r w:rsidR="00E95AD9">
              <w:t>19.19</w:t>
            </w:r>
          </w:p>
        </w:tc>
        <w:tc>
          <w:tcPr>
            <w:tcW w:w="1440" w:type="dxa"/>
            <w:shd w:val="clear" w:color="auto" w:fill="auto"/>
          </w:tcPr>
          <w:p w:rsidR="002B7EDA" w:rsidRPr="007056ED" w:rsidP="006F05A5" w14:paraId="75ED2AA6" w14:textId="7407FD9C">
            <w:pPr>
              <w:pStyle w:val="Default"/>
              <w:widowControl w:val="0"/>
              <w:overflowPunct w:val="0"/>
            </w:pPr>
            <w:r>
              <w:t>31.03</w:t>
            </w:r>
            <w:r w:rsidRPr="007056ED">
              <w:t>%</w:t>
            </w:r>
          </w:p>
        </w:tc>
        <w:tc>
          <w:tcPr>
            <w:tcW w:w="1440" w:type="dxa"/>
            <w:shd w:val="clear" w:color="auto" w:fill="auto"/>
          </w:tcPr>
          <w:p w:rsidR="002B7EDA" w:rsidRPr="007056ED" w:rsidP="007D5840" w14:paraId="268A2116" w14:textId="68318E2B">
            <w:pPr>
              <w:pStyle w:val="Default"/>
              <w:widowControl w:val="0"/>
              <w:overflowPunct w:val="0"/>
            </w:pPr>
            <w:r w:rsidRPr="007056ED">
              <w:t>1</w:t>
            </w:r>
            <w:r w:rsidR="007F54A1">
              <w:t>1.73</w:t>
            </w:r>
            <w:r w:rsidRPr="007056ED">
              <w:t>%</w:t>
            </w:r>
          </w:p>
        </w:tc>
        <w:tc>
          <w:tcPr>
            <w:tcW w:w="1620" w:type="dxa"/>
            <w:shd w:val="clear" w:color="auto" w:fill="auto"/>
          </w:tcPr>
          <w:p w:rsidR="002B7EDA" w:rsidRPr="007056ED" w:rsidP="007D5840" w14:paraId="1C24095C" w14:textId="25C1CD52">
            <w:pPr>
              <w:pStyle w:val="Default"/>
              <w:widowControl w:val="0"/>
              <w:overflowPunct w:val="0"/>
            </w:pPr>
            <w:r w:rsidRPr="008B692C">
              <w:t>$</w:t>
            </w:r>
            <w:r w:rsidR="00041950">
              <w:t>31.09</w:t>
            </w:r>
          </w:p>
        </w:tc>
      </w:tr>
      <w:tr w14:paraId="2D208153" w14:textId="77777777" w:rsidTr="00540A6D">
        <w:tblPrEx>
          <w:tblW w:w="9990" w:type="dxa"/>
          <w:tblInd w:w="-725" w:type="dxa"/>
          <w:tblLayout w:type="fixed"/>
          <w:tblLook w:val="04A0"/>
        </w:tblPrEx>
        <w:tc>
          <w:tcPr>
            <w:tcW w:w="2430" w:type="dxa"/>
            <w:shd w:val="clear" w:color="auto" w:fill="auto"/>
          </w:tcPr>
          <w:p w:rsidR="002B7EDA" w:rsidRPr="007056ED" w:rsidP="00367ACC" w14:paraId="4C518449" w14:textId="4A4F6823">
            <w:pPr>
              <w:pStyle w:val="Default"/>
              <w:widowControl w:val="0"/>
              <w:overflowPunct w:val="0"/>
            </w:pPr>
            <w:r w:rsidRPr="007056ED">
              <w:t>Occupational Health &amp; Safety Specialist</w:t>
            </w:r>
          </w:p>
        </w:tc>
        <w:tc>
          <w:tcPr>
            <w:tcW w:w="1620" w:type="dxa"/>
            <w:shd w:val="clear" w:color="auto" w:fill="auto"/>
          </w:tcPr>
          <w:p w:rsidR="002B7EDA" w:rsidRPr="007056ED" w:rsidP="002C1FBB" w14:paraId="6E4CCCD1" w14:textId="519646A2">
            <w:pPr>
              <w:pStyle w:val="Default"/>
              <w:widowControl w:val="0"/>
              <w:overflowPunct w:val="0"/>
            </w:pPr>
            <w:r>
              <w:t>19-5011</w:t>
            </w:r>
          </w:p>
        </w:tc>
        <w:tc>
          <w:tcPr>
            <w:tcW w:w="1440" w:type="dxa"/>
            <w:shd w:val="clear" w:color="auto" w:fill="auto"/>
          </w:tcPr>
          <w:p w:rsidR="002B7EDA" w:rsidRPr="007056ED" w:rsidP="008B692C" w14:paraId="135A6823" w14:textId="5AA841E9">
            <w:pPr>
              <w:pStyle w:val="Default"/>
              <w:widowControl w:val="0"/>
              <w:overflowPunct w:val="0"/>
            </w:pPr>
            <w:r w:rsidRPr="007056ED">
              <w:t>$</w:t>
            </w:r>
            <w:r w:rsidR="00E95AD9">
              <w:t>37.77</w:t>
            </w:r>
          </w:p>
        </w:tc>
        <w:tc>
          <w:tcPr>
            <w:tcW w:w="1440" w:type="dxa"/>
            <w:shd w:val="clear" w:color="auto" w:fill="auto"/>
          </w:tcPr>
          <w:p w:rsidR="002B7EDA" w:rsidRPr="007056ED" w:rsidP="006F05A5" w14:paraId="0E59C416" w14:textId="76219DEA">
            <w:pPr>
              <w:pStyle w:val="Default"/>
              <w:widowControl w:val="0"/>
              <w:overflowPunct w:val="0"/>
            </w:pPr>
            <w:r>
              <w:t>31.03</w:t>
            </w:r>
            <w:r w:rsidRPr="007056ED">
              <w:t>%</w:t>
            </w:r>
          </w:p>
        </w:tc>
        <w:tc>
          <w:tcPr>
            <w:tcW w:w="1440" w:type="dxa"/>
            <w:shd w:val="clear" w:color="auto" w:fill="auto"/>
          </w:tcPr>
          <w:p w:rsidR="002B7EDA" w:rsidRPr="007056ED" w:rsidP="007D5840" w14:paraId="24C42A67" w14:textId="655475B0">
            <w:pPr>
              <w:pStyle w:val="Default"/>
              <w:widowControl w:val="0"/>
              <w:overflowPunct w:val="0"/>
            </w:pPr>
            <w:r w:rsidRPr="007056ED">
              <w:t>1</w:t>
            </w:r>
            <w:r w:rsidR="007F54A1">
              <w:t>1.73</w:t>
            </w:r>
            <w:r w:rsidRPr="007056ED">
              <w:t>%</w:t>
            </w:r>
          </w:p>
        </w:tc>
        <w:tc>
          <w:tcPr>
            <w:tcW w:w="1620" w:type="dxa"/>
            <w:shd w:val="clear" w:color="auto" w:fill="auto"/>
          </w:tcPr>
          <w:p w:rsidR="002B7EDA" w:rsidRPr="007056ED" w:rsidP="00E640DF" w14:paraId="149B83EB" w14:textId="268555CD">
            <w:pPr>
              <w:pStyle w:val="Default"/>
              <w:widowControl w:val="0"/>
              <w:overflowPunct w:val="0"/>
            </w:pPr>
            <w:r w:rsidRPr="007056ED">
              <w:t>$</w:t>
            </w:r>
            <w:r w:rsidR="00041950">
              <w:t>61.18</w:t>
            </w:r>
          </w:p>
        </w:tc>
      </w:tr>
      <w:tr w14:paraId="35BF10BF" w14:textId="77777777" w:rsidTr="00540A6D">
        <w:tblPrEx>
          <w:tblW w:w="9990" w:type="dxa"/>
          <w:tblInd w:w="-725" w:type="dxa"/>
          <w:tblLayout w:type="fixed"/>
          <w:tblLook w:val="04A0"/>
        </w:tblPrEx>
        <w:tc>
          <w:tcPr>
            <w:tcW w:w="2430" w:type="dxa"/>
            <w:shd w:val="clear" w:color="auto" w:fill="auto"/>
          </w:tcPr>
          <w:p w:rsidR="00BC2195" w:rsidRPr="00BC2195" w:rsidP="00E640DF" w14:paraId="530E1469" w14:textId="77777777">
            <w:pPr>
              <w:pStyle w:val="Default"/>
              <w:widowControl w:val="0"/>
              <w:overflowPunct w:val="0"/>
            </w:pPr>
            <w:r>
              <w:t>Clerical Worker</w:t>
            </w:r>
          </w:p>
        </w:tc>
        <w:tc>
          <w:tcPr>
            <w:tcW w:w="1620" w:type="dxa"/>
            <w:shd w:val="clear" w:color="auto" w:fill="auto"/>
          </w:tcPr>
          <w:p w:rsidR="00BC2195" w:rsidRPr="00BC2195" w:rsidP="00AF4E21" w14:paraId="5E31D004" w14:textId="77777777">
            <w:pPr>
              <w:pStyle w:val="Default"/>
              <w:widowControl w:val="0"/>
              <w:overflowPunct w:val="0"/>
            </w:pPr>
            <w:r>
              <w:t>43-6014</w:t>
            </w:r>
          </w:p>
        </w:tc>
        <w:tc>
          <w:tcPr>
            <w:tcW w:w="1440" w:type="dxa"/>
            <w:shd w:val="clear" w:color="auto" w:fill="auto"/>
          </w:tcPr>
          <w:p w:rsidR="00BC2195" w:rsidRPr="00BC2195" w:rsidP="00385F3F" w14:paraId="38061B6B" w14:textId="6DCDD3A5">
            <w:pPr>
              <w:pStyle w:val="Default"/>
              <w:widowControl w:val="0"/>
              <w:overflowPunct w:val="0"/>
            </w:pPr>
            <w:r>
              <w:t>$</w:t>
            </w:r>
            <w:r w:rsidR="00E95AD9">
              <w:t>19.71</w:t>
            </w:r>
          </w:p>
        </w:tc>
        <w:tc>
          <w:tcPr>
            <w:tcW w:w="1440" w:type="dxa"/>
            <w:shd w:val="clear" w:color="auto" w:fill="auto"/>
          </w:tcPr>
          <w:p w:rsidR="00BC2195" w:rsidRPr="00BC2195" w:rsidP="006F05A5" w14:paraId="5D56BC46" w14:textId="76D87838">
            <w:pPr>
              <w:pStyle w:val="Default"/>
              <w:widowControl w:val="0"/>
              <w:overflowPunct w:val="0"/>
            </w:pPr>
            <w:r>
              <w:t>31.03</w:t>
            </w:r>
            <w:r>
              <w:t>%</w:t>
            </w:r>
          </w:p>
        </w:tc>
        <w:tc>
          <w:tcPr>
            <w:tcW w:w="1440" w:type="dxa"/>
            <w:shd w:val="clear" w:color="auto" w:fill="auto"/>
          </w:tcPr>
          <w:p w:rsidR="00BC2195" w:rsidRPr="00BC2195" w:rsidP="007D5840" w14:paraId="6381B28D" w14:textId="3073D3D3">
            <w:pPr>
              <w:pStyle w:val="Default"/>
              <w:widowControl w:val="0"/>
              <w:overflowPunct w:val="0"/>
            </w:pPr>
            <w:r>
              <w:t>1</w:t>
            </w:r>
            <w:r w:rsidR="007F54A1">
              <w:t>1.73</w:t>
            </w:r>
            <w:r>
              <w:t>%</w:t>
            </w:r>
          </w:p>
        </w:tc>
        <w:tc>
          <w:tcPr>
            <w:tcW w:w="1620" w:type="dxa"/>
            <w:shd w:val="clear" w:color="auto" w:fill="auto"/>
          </w:tcPr>
          <w:p w:rsidR="00BC2195" w:rsidRPr="00BC2195" w:rsidP="00547867" w14:paraId="01ABC55C" w14:textId="6692197F">
            <w:pPr>
              <w:pStyle w:val="Default"/>
              <w:widowControl w:val="0"/>
              <w:overflowPunct w:val="0"/>
            </w:pPr>
            <w:r>
              <w:t>31.93</w:t>
            </w:r>
          </w:p>
        </w:tc>
      </w:tr>
    </w:tbl>
    <w:p w:rsidR="0020436F" w:rsidRPr="00781E36" w:rsidP="00F67DA7" w14:paraId="7DF23D50" w14:textId="1F019AE5">
      <w:pPr>
        <w:pStyle w:val="Default"/>
        <w:rPr>
          <w:sz w:val="20"/>
          <w:szCs w:val="20"/>
        </w:rPr>
      </w:pPr>
      <w:r w:rsidRPr="00781E36">
        <w:rPr>
          <w:sz w:val="20"/>
          <w:szCs w:val="20"/>
        </w:rPr>
        <w:t>*</w:t>
      </w:r>
      <w:r w:rsidRPr="00781E36" w:rsidR="0034142F">
        <w:rPr>
          <w:sz w:val="20"/>
          <w:szCs w:val="20"/>
        </w:rPr>
        <w:t>Wage rate</w:t>
      </w:r>
      <w:r w:rsidRPr="00781E36" w:rsidR="00EF1E2D">
        <w:rPr>
          <w:sz w:val="20"/>
          <w:szCs w:val="20"/>
        </w:rPr>
        <w:t xml:space="preserve"> estimates are </w:t>
      </w:r>
      <w:r w:rsidRPr="00781E36" w:rsidR="00AB34B8">
        <w:rPr>
          <w:sz w:val="20"/>
          <w:szCs w:val="20"/>
        </w:rPr>
        <w:t>from the ORA excel spr</w:t>
      </w:r>
      <w:r w:rsidRPr="00781E36" w:rsidR="00095B6E">
        <w:rPr>
          <w:sz w:val="20"/>
          <w:szCs w:val="20"/>
        </w:rPr>
        <w:t>eadsheets under the wage tab for</w:t>
      </w:r>
      <w:r w:rsidRPr="00781E36">
        <w:rPr>
          <w:sz w:val="20"/>
          <w:szCs w:val="20"/>
        </w:rPr>
        <w:t xml:space="preserve"> FEA.</w:t>
      </w:r>
    </w:p>
    <w:p w:rsidR="00F67DA7" w:rsidRPr="00CB5054" w:rsidP="00F67DA7" w14:paraId="5127134F" w14:textId="77777777">
      <w:pPr>
        <w:pStyle w:val="Default"/>
      </w:pPr>
    </w:p>
    <w:p w:rsidR="007F1206" w:rsidRPr="00CB5054" w:rsidP="007F1206" w14:paraId="631C913E" w14:textId="0B34360E">
      <w:pPr>
        <w:pStyle w:val="Default"/>
      </w:pPr>
      <w:r w:rsidRPr="00CB5054">
        <w:rPr>
          <w:b/>
          <w:bCs/>
        </w:rPr>
        <w:t>1.</w:t>
      </w:r>
      <w:r w:rsidRPr="003A15DB">
        <w:rPr>
          <w:b/>
          <w:bCs/>
          <w:color w:val="auto"/>
        </w:rPr>
        <w:t xml:space="preserve"> Written Hazard Communication Programs </w:t>
      </w:r>
      <w:r w:rsidRPr="00CB5054">
        <w:rPr>
          <w:b/>
          <w:bCs/>
        </w:rPr>
        <w:t xml:space="preserve">(§ 1910.1200(e)) </w:t>
      </w:r>
    </w:p>
    <w:p w:rsidR="007F1206" w:rsidP="007F1206" w14:paraId="59FCE5AB" w14:textId="77777777">
      <w:pPr>
        <w:pStyle w:val="Default"/>
        <w:rPr>
          <w:b/>
          <w:bCs/>
        </w:rPr>
      </w:pPr>
      <w:r w:rsidRPr="00CB5054">
        <w:rPr>
          <w:b/>
          <w:bCs/>
        </w:rPr>
        <w:t xml:space="preserve">(New Establishments) </w:t>
      </w:r>
    </w:p>
    <w:p w:rsidR="0097611C" w:rsidRPr="00CB5054" w:rsidP="007F1206" w14:paraId="5603AB69" w14:textId="77777777">
      <w:pPr>
        <w:pStyle w:val="Default"/>
      </w:pPr>
    </w:p>
    <w:p w:rsidR="007F1206" w:rsidRPr="00CB5054" w:rsidP="007F1206" w14:paraId="65D3B043" w14:textId="472A7F75">
      <w:pPr>
        <w:pStyle w:val="Default"/>
      </w:pPr>
      <w:r w:rsidRPr="00CB5054">
        <w:t xml:space="preserve">Written Hazard Communication Program: All affected establishments must have a written hazard communication program explaining how the establishment meets the criteria of the standard with respect to labeling, SDSs, and worker information and training as discussed under paragraph (e) of the standard. The RIA estimates manufacturing plants take an average of 5 hours (4 professional hours and 1 clerical hour) </w:t>
      </w:r>
      <w:r w:rsidRPr="00CB5054">
        <w:t xml:space="preserve">to develop a written hazard communication program while non-manufacturing facilities take an average of 2.5 hours (2 hours professional and </w:t>
      </w:r>
      <w:r w:rsidR="00B81F72">
        <w:t>0</w:t>
      </w:r>
      <w:r w:rsidRPr="00CB5054">
        <w:t xml:space="preserve">.5 clerical). </w:t>
      </w:r>
    </w:p>
    <w:p w:rsidR="007F1206" w:rsidRPr="00CB5054" w:rsidP="007F1206" w14:paraId="051DE15F" w14:textId="77777777">
      <w:pPr>
        <w:pStyle w:val="Default"/>
        <w:ind w:right="-80"/>
      </w:pPr>
    </w:p>
    <w:p w:rsidR="007F1206" w:rsidRPr="00CB5054" w:rsidP="007F1206" w14:paraId="665BA39F" w14:textId="77777777">
      <w:pPr>
        <w:pStyle w:val="Default"/>
        <w:ind w:right="-80"/>
      </w:pPr>
      <w:r w:rsidRPr="00CB5054">
        <w:t xml:space="preserve">To determine the total number of </w:t>
      </w:r>
      <w:r w:rsidRPr="00CB5054">
        <w:rPr>
          <w:i/>
          <w:iCs/>
        </w:rPr>
        <w:t xml:space="preserve">new </w:t>
      </w:r>
      <w:r w:rsidRPr="00CB5054">
        <w:t xml:space="preserve">manufacturing and non-manufacturing establishments the agency multiplied the total number of manufacturing and non-manufacturing establishments by the rate of entry. </w:t>
      </w:r>
    </w:p>
    <w:p w:rsidR="007F1206" w:rsidRPr="00CB5054" w:rsidP="007F1206" w14:paraId="64A0E7BF" w14:textId="77777777">
      <w:pPr>
        <w:pStyle w:val="Default"/>
        <w:ind w:right="-80"/>
      </w:pPr>
    </w:p>
    <w:p w:rsidR="007F1206" w:rsidRPr="00CB5054" w:rsidP="007F1206" w14:paraId="0BE77430" w14:textId="6AAC2926">
      <w:pPr>
        <w:pStyle w:val="Default"/>
        <w:ind w:right="-80"/>
      </w:pPr>
      <w:r w:rsidRPr="00CB5054">
        <w:t xml:space="preserve">In addition, since </w:t>
      </w:r>
      <w:r w:rsidR="001F26AC">
        <w:t>60%</w:t>
      </w:r>
      <w:r w:rsidRPr="00CB5054">
        <w:t xml:space="preserve"> of establishments </w:t>
      </w:r>
      <w:r w:rsidR="001F29DA">
        <w:t>were</w:t>
      </w:r>
      <w:r w:rsidRPr="00CB5054" w:rsidR="001F29DA">
        <w:t xml:space="preserve"> </w:t>
      </w:r>
      <w:r w:rsidRPr="00CB5054">
        <w:t>in compliance</w:t>
      </w:r>
      <w:r w:rsidRPr="00CB5054">
        <w:t xml:space="preserve"> prior to the promulgation of the HCS as a result of </w:t>
      </w:r>
      <w:r w:rsidR="001F26AC">
        <w:t>s</w:t>
      </w:r>
      <w:r w:rsidRPr="00CB5054">
        <w:t xml:space="preserve">tate </w:t>
      </w:r>
      <w:r w:rsidR="001F26AC">
        <w:t>s</w:t>
      </w:r>
      <w:r w:rsidRPr="00CB5054">
        <w:t xml:space="preserve">tandards, the total number of new establishments was multiplied </w:t>
      </w:r>
      <w:r w:rsidRPr="00AD1097">
        <w:t xml:space="preserve">by </w:t>
      </w:r>
      <w:r w:rsidRPr="00AB0B90">
        <w:t>40%</w:t>
      </w:r>
      <w:r w:rsidRPr="00AD1097">
        <w:t xml:space="preserve"> to reflect</w:t>
      </w:r>
      <w:r w:rsidRPr="00CB5054">
        <w:t xml:space="preserve"> burden hours and costs attributed to the HCS. </w:t>
      </w:r>
    </w:p>
    <w:p w:rsidR="0025445D" w:rsidRPr="00CB5054" w:rsidP="007F1206" w14:paraId="49611B32" w14:textId="77777777">
      <w:pPr>
        <w:pStyle w:val="Default"/>
        <w:ind w:right="-80"/>
      </w:pPr>
    </w:p>
    <w:p w:rsidR="007F1206" w:rsidRPr="00CB5054" w:rsidP="007F1206" w14:paraId="2D5D2B20" w14:textId="77777777">
      <w:pPr>
        <w:pStyle w:val="Default"/>
        <w:ind w:right="-80"/>
      </w:pPr>
      <w:r w:rsidRPr="00CB5054">
        <w:rPr>
          <w:u w:val="single"/>
        </w:rPr>
        <w:t>Number of new establishments affected</w:t>
      </w:r>
      <w:r w:rsidRPr="00CB5054">
        <w:t xml:space="preserve">: </w:t>
      </w:r>
    </w:p>
    <w:p w:rsidR="007F1206" w:rsidRPr="00CB5054" w:rsidP="007F1206" w14:paraId="6A4C3BEC" w14:textId="77777777">
      <w:pPr>
        <w:pStyle w:val="Default"/>
        <w:ind w:right="-80"/>
        <w:rPr>
          <w:sz w:val="23"/>
          <w:szCs w:val="23"/>
        </w:rPr>
      </w:pPr>
    </w:p>
    <w:p w:rsidR="007F1206" w:rsidP="007F1206" w14:paraId="09A3A9A6" w14:textId="14C8690C">
      <w:pPr>
        <w:pStyle w:val="Default"/>
        <w:ind w:right="-80"/>
      </w:pPr>
      <w:r w:rsidRPr="00CB5054">
        <w:t xml:space="preserve">New manufacturing establishments: </w:t>
      </w:r>
      <w:r w:rsidR="00BC3E07">
        <w:t>77,144</w:t>
      </w:r>
      <w:r w:rsidRPr="00CB5054">
        <w:t xml:space="preserve"> manufacturing establishments x </w:t>
      </w:r>
      <w:r w:rsidR="00EB6743">
        <w:t>0</w:t>
      </w:r>
      <w:r w:rsidRPr="00CB5054">
        <w:t xml:space="preserve">.072 (rate of entry) x 40% = </w:t>
      </w:r>
      <w:r w:rsidR="00822332">
        <w:t>2,222</w:t>
      </w:r>
      <w:r w:rsidRPr="00CB5054" w:rsidR="00BF75EE">
        <w:t xml:space="preserve"> </w:t>
      </w:r>
      <w:r w:rsidRPr="00CB5054">
        <w:t xml:space="preserve">affected new manufacturing establishments. </w:t>
      </w:r>
    </w:p>
    <w:p w:rsidR="006D3DAF" w:rsidRPr="00CB5054" w:rsidP="007F1206" w14:paraId="66B001C5" w14:textId="77777777">
      <w:pPr>
        <w:pStyle w:val="Default"/>
        <w:ind w:right="-80"/>
      </w:pPr>
    </w:p>
    <w:p w:rsidR="007F1206" w:rsidRPr="00CB5054" w:rsidP="007F1206" w14:paraId="0940D2D0" w14:textId="53BE9AE5">
      <w:pPr>
        <w:pStyle w:val="Default"/>
        <w:ind w:right="-80"/>
      </w:pPr>
      <w:r w:rsidRPr="00CB5054">
        <w:t xml:space="preserve">New non-manufacturing establishments: </w:t>
      </w:r>
      <w:r w:rsidR="00BC3E07">
        <w:t>5,503,762</w:t>
      </w:r>
      <w:r w:rsidRPr="00CB5054">
        <w:t xml:space="preserve"> non-manufacturing establishments x .127 (rate of entry) x 40% = </w:t>
      </w:r>
      <w:r w:rsidR="00822332">
        <w:t>279,591</w:t>
      </w:r>
      <w:r w:rsidRPr="00CB5054">
        <w:t xml:space="preserve"> affected new non-manufacturing establishments</w:t>
      </w:r>
      <w:r w:rsidR="0061191F">
        <w:t>.</w:t>
      </w:r>
      <w:r w:rsidRPr="00CB5054">
        <w:t xml:space="preserve"> </w:t>
      </w:r>
    </w:p>
    <w:p w:rsidR="00AB0B90" w:rsidP="007F1206" w14:paraId="16E42CCA" w14:textId="77777777">
      <w:pPr>
        <w:pStyle w:val="Default"/>
        <w:ind w:right="-80"/>
        <w:rPr>
          <w:b/>
          <w:bCs/>
        </w:rPr>
      </w:pPr>
    </w:p>
    <w:p w:rsidR="007F1206" w:rsidRPr="00CB5054" w:rsidP="007F1206" w14:paraId="4A96EFD7" w14:textId="77777777">
      <w:pPr>
        <w:pStyle w:val="Default"/>
        <w:ind w:right="-80"/>
      </w:pPr>
      <w:r w:rsidRPr="00CB5054">
        <w:rPr>
          <w:b/>
          <w:bCs/>
        </w:rPr>
        <w:t>Burden Hours and Costs</w:t>
      </w:r>
      <w:r w:rsidRPr="002567E2">
        <w:rPr>
          <w:bCs/>
        </w:rPr>
        <w:t>:</w:t>
      </w:r>
      <w:r w:rsidRPr="00CB5054">
        <w:rPr>
          <w:b/>
          <w:bCs/>
        </w:rPr>
        <w:t xml:space="preserve"> </w:t>
      </w:r>
    </w:p>
    <w:p w:rsidR="007F1206" w:rsidRPr="00CB5054" w:rsidP="007F1206" w14:paraId="1B7BD643" w14:textId="77777777">
      <w:pPr>
        <w:pStyle w:val="Default"/>
        <w:ind w:right="-80"/>
      </w:pPr>
    </w:p>
    <w:p w:rsidR="007F1206" w:rsidRPr="00CB5054" w:rsidP="007F1206" w14:paraId="78D782EE" w14:textId="77777777">
      <w:pPr>
        <w:pStyle w:val="Default"/>
        <w:ind w:right="-80"/>
      </w:pPr>
      <w:r w:rsidRPr="00CB5054">
        <w:rPr>
          <w:u w:val="single"/>
        </w:rPr>
        <w:t>Manufacturing</w:t>
      </w:r>
      <w:r w:rsidRPr="00CB5054">
        <w:t xml:space="preserve">: </w:t>
      </w:r>
    </w:p>
    <w:p w:rsidR="007F1206" w:rsidRPr="00CB5054" w:rsidP="007F1206" w14:paraId="7EC6E64F" w14:textId="77777777">
      <w:pPr>
        <w:pStyle w:val="Default"/>
        <w:ind w:left="720" w:right="-80"/>
        <w:rPr>
          <w:b/>
          <w:bCs/>
        </w:rPr>
      </w:pPr>
    </w:p>
    <w:p w:rsidR="007F1206" w:rsidRPr="00CB5054" w:rsidP="007F1206" w14:paraId="2F7E5CA9" w14:textId="77777777">
      <w:pPr>
        <w:pStyle w:val="Default"/>
        <w:ind w:left="720" w:right="-80"/>
      </w:pPr>
      <w:r w:rsidRPr="00CB5054">
        <w:rPr>
          <w:b/>
          <w:bCs/>
        </w:rPr>
        <w:t>Burden hours</w:t>
      </w:r>
      <w:r w:rsidRPr="00CB5054">
        <w:t xml:space="preserve">: </w:t>
      </w:r>
    </w:p>
    <w:p w:rsidR="007F1206" w:rsidRPr="00CB5054" w:rsidP="007F1206" w14:paraId="1DB591E5" w14:textId="1D56712F">
      <w:pPr>
        <w:pStyle w:val="Default"/>
        <w:ind w:right="-80" w:firstLine="720"/>
      </w:pPr>
      <w:r>
        <w:t>2,222</w:t>
      </w:r>
      <w:r w:rsidRPr="00CB5054" w:rsidR="00BF75EE">
        <w:t xml:space="preserve"> </w:t>
      </w:r>
      <w:r w:rsidRPr="00CB5054">
        <w:t xml:space="preserve">affected new establishments x </w:t>
      </w:r>
      <w:r w:rsidR="00273D4D">
        <w:t>4</w:t>
      </w:r>
      <w:r w:rsidRPr="00CB5054" w:rsidR="00273D4D">
        <w:t xml:space="preserve"> </w:t>
      </w:r>
      <w:r w:rsidRPr="00CB5054">
        <w:t xml:space="preserve">hours professional = </w:t>
      </w:r>
      <w:r>
        <w:t>8,888</w:t>
      </w:r>
      <w:r w:rsidR="00840930">
        <w:t xml:space="preserve"> </w:t>
      </w:r>
      <w:r w:rsidRPr="00CB5054">
        <w:t>h</w:t>
      </w:r>
      <w:r w:rsidR="002567E2">
        <w:t>ours</w:t>
      </w:r>
      <w:r w:rsidRPr="00CB5054">
        <w:t xml:space="preserve"> </w:t>
      </w:r>
    </w:p>
    <w:p w:rsidR="00252B13" w:rsidP="007F1206" w14:paraId="59AAB124" w14:textId="15912986">
      <w:pPr>
        <w:pStyle w:val="Default"/>
        <w:ind w:left="720" w:right="-80"/>
        <w:rPr>
          <w:b/>
          <w:bCs/>
        </w:rPr>
      </w:pPr>
      <w:r>
        <w:t>2,222</w:t>
      </w:r>
      <w:r w:rsidRPr="00CB5054" w:rsidR="00BF75EE">
        <w:t xml:space="preserve"> </w:t>
      </w:r>
      <w:r w:rsidRPr="00CB5054" w:rsidR="007F1206">
        <w:t xml:space="preserve">affected new establishments x 1 hour clerical = </w:t>
      </w:r>
      <w:r>
        <w:t>2,222</w:t>
      </w:r>
      <w:r w:rsidRPr="00CB5054" w:rsidR="00BF75EE">
        <w:t xml:space="preserve"> </w:t>
      </w:r>
      <w:r w:rsidRPr="00CB5054" w:rsidR="007F1206">
        <w:t>h</w:t>
      </w:r>
      <w:r w:rsidR="002567E2">
        <w:t>ours</w:t>
      </w:r>
    </w:p>
    <w:p w:rsidR="006D3DAF" w:rsidP="007F1206" w14:paraId="045A9FB4" w14:textId="05A1A0EE">
      <w:pPr>
        <w:pStyle w:val="Default"/>
        <w:ind w:left="720" w:right="-80"/>
        <w:rPr>
          <w:b/>
          <w:bCs/>
        </w:rPr>
      </w:pPr>
      <w:r w:rsidRPr="00CB5054">
        <w:rPr>
          <w:b/>
          <w:bCs/>
        </w:rPr>
        <w:t xml:space="preserve">Total burden hours </w:t>
      </w:r>
      <w:r w:rsidRPr="00CB5054">
        <w:t xml:space="preserve">= </w:t>
      </w:r>
      <w:r w:rsidR="001A4492">
        <w:t>11,110</w:t>
      </w:r>
      <w:r w:rsidRPr="00CB5054" w:rsidR="006A4AE0">
        <w:t xml:space="preserve"> </w:t>
      </w:r>
      <w:r w:rsidRPr="00CB5054">
        <w:t xml:space="preserve">hours </w:t>
      </w:r>
    </w:p>
    <w:p w:rsidR="006D3DAF" w:rsidP="007F1206" w14:paraId="23AD65E7" w14:textId="77777777">
      <w:pPr>
        <w:pStyle w:val="Default"/>
        <w:ind w:left="720" w:right="-80"/>
        <w:rPr>
          <w:b/>
          <w:bCs/>
        </w:rPr>
      </w:pPr>
    </w:p>
    <w:p w:rsidR="007F1206" w:rsidRPr="00CB5054" w:rsidP="007F1206" w14:paraId="4E2B1A85" w14:textId="77777777">
      <w:pPr>
        <w:pStyle w:val="Default"/>
        <w:ind w:left="720" w:right="-80"/>
      </w:pPr>
      <w:r w:rsidRPr="00CB5054">
        <w:rPr>
          <w:b/>
          <w:bCs/>
        </w:rPr>
        <w:t>Cost</w:t>
      </w:r>
      <w:r w:rsidRPr="00CB5054">
        <w:t xml:space="preserve">: </w:t>
      </w:r>
    </w:p>
    <w:p w:rsidR="007F1206" w:rsidRPr="00CB5054" w:rsidP="00401AC9" w14:paraId="66A544B8" w14:textId="5D0E5DF3">
      <w:pPr>
        <w:pStyle w:val="Default"/>
        <w:ind w:right="-80" w:firstLine="720"/>
      </w:pPr>
      <w:r>
        <w:t>8,888</w:t>
      </w:r>
      <w:r w:rsidRPr="00CB5054" w:rsidR="006A4AE0">
        <w:t xml:space="preserve"> </w:t>
      </w:r>
      <w:r w:rsidRPr="00CB5054">
        <w:t xml:space="preserve">hours x </w:t>
      </w:r>
      <w:r w:rsidR="00252B13">
        <w:t>$</w:t>
      </w:r>
      <w:r w:rsidR="00E95AD9">
        <w:t>83.62</w:t>
      </w:r>
      <w:r w:rsidRPr="00CB5054" w:rsidR="00BA18E9">
        <w:t xml:space="preserve"> </w:t>
      </w:r>
      <w:r w:rsidRPr="00CB5054">
        <w:t>professional wage rate hour = $</w:t>
      </w:r>
      <w:r w:rsidR="00D930BE">
        <w:t>743,215</w:t>
      </w:r>
    </w:p>
    <w:p w:rsidR="007F1206" w:rsidRPr="00CB5054" w:rsidP="00401AC9" w14:paraId="6D4A2FF7" w14:textId="5F424157">
      <w:pPr>
        <w:shd w:val="solid" w:color="FFFFFF" w:fill="FFFFFF"/>
        <w:ind w:firstLine="720"/>
        <w:rPr>
          <w:b/>
          <w:color w:val="000000"/>
          <w:sz w:val="24"/>
          <w:szCs w:val="24"/>
        </w:rPr>
      </w:pPr>
      <w:r>
        <w:rPr>
          <w:color w:val="000000"/>
          <w:sz w:val="24"/>
          <w:szCs w:val="24"/>
        </w:rPr>
        <w:t>2,222</w:t>
      </w:r>
      <w:r w:rsidRPr="00CB5054" w:rsidR="00BF75EE">
        <w:rPr>
          <w:color w:val="000000"/>
          <w:sz w:val="24"/>
          <w:szCs w:val="24"/>
        </w:rPr>
        <w:t xml:space="preserve"> </w:t>
      </w:r>
      <w:r w:rsidRPr="00CB5054">
        <w:rPr>
          <w:color w:val="000000"/>
          <w:sz w:val="24"/>
          <w:szCs w:val="24"/>
        </w:rPr>
        <w:t xml:space="preserve">hours x </w:t>
      </w:r>
      <w:r w:rsidR="00252B13">
        <w:rPr>
          <w:color w:val="000000"/>
          <w:sz w:val="24"/>
          <w:szCs w:val="24"/>
        </w:rPr>
        <w:t>$</w:t>
      </w:r>
      <w:r w:rsidR="00041950">
        <w:rPr>
          <w:color w:val="000000"/>
          <w:sz w:val="24"/>
          <w:szCs w:val="24"/>
        </w:rPr>
        <w:t>31.93</w:t>
      </w:r>
      <w:r w:rsidRPr="00CB5054" w:rsidR="006421BC">
        <w:rPr>
          <w:color w:val="000000"/>
          <w:sz w:val="24"/>
          <w:szCs w:val="24"/>
        </w:rPr>
        <w:t xml:space="preserve"> </w:t>
      </w:r>
      <w:r w:rsidRPr="00CB5054">
        <w:rPr>
          <w:color w:val="000000"/>
          <w:sz w:val="24"/>
          <w:szCs w:val="24"/>
        </w:rPr>
        <w:t>clerical wage rate = $</w:t>
      </w:r>
      <w:r w:rsidR="00D930BE">
        <w:rPr>
          <w:color w:val="000000"/>
          <w:sz w:val="24"/>
          <w:szCs w:val="24"/>
        </w:rPr>
        <w:t>70,948</w:t>
      </w:r>
    </w:p>
    <w:p w:rsidR="007F1206" w:rsidRPr="00CB5054" w:rsidP="00401AC9" w14:paraId="521F10DD" w14:textId="093E56C6">
      <w:pPr>
        <w:pStyle w:val="Default"/>
        <w:ind w:right="-80" w:firstLine="720"/>
      </w:pPr>
      <w:r w:rsidRPr="00CB5054">
        <w:rPr>
          <w:b/>
          <w:bCs/>
        </w:rPr>
        <w:t xml:space="preserve">Total cost </w:t>
      </w:r>
      <w:r w:rsidRPr="00CB5054">
        <w:t>= $</w:t>
      </w:r>
      <w:r w:rsidR="003720DC">
        <w:t>814</w:t>
      </w:r>
      <w:r w:rsidR="00DA02FA">
        <w:t>,163</w:t>
      </w:r>
    </w:p>
    <w:p w:rsidR="00252B13" w:rsidP="007F1206" w14:paraId="0CD6CB20" w14:textId="77777777">
      <w:pPr>
        <w:pStyle w:val="Default"/>
        <w:rPr>
          <w:u w:val="single"/>
        </w:rPr>
      </w:pPr>
    </w:p>
    <w:p w:rsidR="007F1206" w:rsidP="007F1206" w14:paraId="273B4020" w14:textId="77777777">
      <w:pPr>
        <w:pStyle w:val="Default"/>
      </w:pPr>
      <w:r w:rsidRPr="00CB5054">
        <w:rPr>
          <w:u w:val="single"/>
        </w:rPr>
        <w:t>Non-Manufacturing</w:t>
      </w:r>
      <w:r w:rsidRPr="00CB5054">
        <w:t xml:space="preserve">: </w:t>
      </w:r>
    </w:p>
    <w:p w:rsidR="00252B13" w:rsidRPr="00CB5054" w:rsidP="007F1206" w14:paraId="2717D9A1" w14:textId="77777777">
      <w:pPr>
        <w:pStyle w:val="Default"/>
      </w:pPr>
    </w:p>
    <w:p w:rsidR="00035C91" w:rsidRPr="00CB5054" w:rsidP="00401AC9" w14:paraId="5904AC56" w14:textId="77777777">
      <w:pPr>
        <w:pStyle w:val="Default"/>
      </w:pPr>
      <w:r>
        <w:rPr>
          <w:b/>
          <w:bCs/>
        </w:rPr>
        <w:tab/>
      </w:r>
      <w:r w:rsidRPr="00CB5054" w:rsidR="007F1206">
        <w:rPr>
          <w:b/>
          <w:bCs/>
        </w:rPr>
        <w:t>Burden hours</w:t>
      </w:r>
      <w:r w:rsidRPr="002567E2" w:rsidR="007F1206">
        <w:rPr>
          <w:bCs/>
        </w:rPr>
        <w:t>:</w:t>
      </w:r>
      <w:r w:rsidRPr="00CB5054" w:rsidR="007F1206">
        <w:rPr>
          <w:b/>
          <w:bCs/>
        </w:rPr>
        <w:t xml:space="preserve"> </w:t>
      </w:r>
    </w:p>
    <w:p w:rsidR="007F1206" w:rsidRPr="00CB5054" w:rsidP="00401AC9" w14:paraId="23543796" w14:textId="4191DCB6">
      <w:pPr>
        <w:pStyle w:val="Default"/>
        <w:ind w:firstLine="720"/>
      </w:pPr>
      <w:r>
        <w:t>279,591</w:t>
      </w:r>
      <w:r w:rsidRPr="00CB5054" w:rsidR="006A4AE0">
        <w:t xml:space="preserve"> </w:t>
      </w:r>
      <w:r w:rsidRPr="00CB5054">
        <w:t xml:space="preserve">affected new establishments x </w:t>
      </w:r>
      <w:r w:rsidR="00273D4D">
        <w:t>2</w:t>
      </w:r>
      <w:r w:rsidRPr="00CB5054" w:rsidR="00273D4D">
        <w:t xml:space="preserve"> </w:t>
      </w:r>
      <w:r w:rsidRPr="00CB5054">
        <w:t xml:space="preserve">hours professional = </w:t>
      </w:r>
      <w:r w:rsidR="00B04853">
        <w:t>559,182</w:t>
      </w:r>
      <w:r w:rsidRPr="00CB5054">
        <w:t xml:space="preserve"> h</w:t>
      </w:r>
      <w:r w:rsidR="00035C91">
        <w:t>ours</w:t>
      </w:r>
    </w:p>
    <w:p w:rsidR="007F1206" w:rsidRPr="00CB5054" w:rsidP="00401AC9" w14:paraId="70E52EE2" w14:textId="405FA83C">
      <w:pPr>
        <w:pStyle w:val="Default"/>
        <w:ind w:firstLine="720"/>
      </w:pPr>
      <w:r>
        <w:t>279,591</w:t>
      </w:r>
      <w:r w:rsidRPr="00CB5054" w:rsidR="006A4AE0">
        <w:t xml:space="preserve"> </w:t>
      </w:r>
      <w:r w:rsidRPr="00CB5054">
        <w:t xml:space="preserve">affected new establishments x .5 clerical = </w:t>
      </w:r>
      <w:r w:rsidR="009E2C36">
        <w:t>139,796</w:t>
      </w:r>
      <w:r w:rsidRPr="00CB5054">
        <w:t xml:space="preserve"> h</w:t>
      </w:r>
      <w:r w:rsidR="00035C91">
        <w:t>ours</w:t>
      </w:r>
    </w:p>
    <w:p w:rsidR="007F1206" w:rsidRPr="00CB5054" w:rsidP="00401AC9" w14:paraId="2344998D" w14:textId="2FD6DC45">
      <w:pPr>
        <w:pStyle w:val="Default"/>
        <w:ind w:firstLine="720"/>
      </w:pPr>
      <w:r w:rsidRPr="00CB5054">
        <w:rPr>
          <w:b/>
          <w:bCs/>
        </w:rPr>
        <w:t xml:space="preserve">Total burden hours </w:t>
      </w:r>
      <w:r w:rsidRPr="00CB5054">
        <w:t xml:space="preserve">= </w:t>
      </w:r>
      <w:r w:rsidR="00D720AD">
        <w:t>698,978</w:t>
      </w:r>
      <w:r w:rsidRPr="00CB5054">
        <w:t xml:space="preserve"> hours </w:t>
      </w:r>
    </w:p>
    <w:p w:rsidR="005B0809" w:rsidRPr="00CB5054" w:rsidP="007F1206" w14:paraId="19C37D08" w14:textId="77777777">
      <w:pPr>
        <w:pStyle w:val="Default"/>
        <w:ind w:left="2340" w:hanging="900"/>
      </w:pPr>
    </w:p>
    <w:p w:rsidR="007F1206" w:rsidRPr="00CB5054" w:rsidP="007F1206" w14:paraId="7BA06854" w14:textId="77777777">
      <w:pPr>
        <w:pStyle w:val="Default"/>
        <w:ind w:left="1440" w:hanging="720"/>
      </w:pPr>
      <w:r w:rsidRPr="00CB5054">
        <w:rPr>
          <w:b/>
          <w:bCs/>
        </w:rPr>
        <w:t>Cost</w:t>
      </w:r>
      <w:r w:rsidRPr="002567E2">
        <w:rPr>
          <w:bCs/>
        </w:rPr>
        <w:t xml:space="preserve">: </w:t>
      </w:r>
    </w:p>
    <w:p w:rsidR="007F1206" w:rsidRPr="00CB5054" w:rsidP="00401AC9" w14:paraId="53CF6935" w14:textId="21D1D32E">
      <w:pPr>
        <w:pStyle w:val="Default"/>
        <w:ind w:firstLine="720"/>
      </w:pPr>
      <w:r>
        <w:t>559,182</w:t>
      </w:r>
      <w:r w:rsidRPr="00CB5054" w:rsidR="00865904">
        <w:t xml:space="preserve"> </w:t>
      </w:r>
      <w:r w:rsidRPr="00CB5054">
        <w:t xml:space="preserve">hours x </w:t>
      </w:r>
      <w:r w:rsidR="00252B13">
        <w:t>$</w:t>
      </w:r>
      <w:r w:rsidR="00E95AD9">
        <w:t>83.62</w:t>
      </w:r>
      <w:r w:rsidRPr="00CB5054" w:rsidR="00BA18E9">
        <w:t xml:space="preserve"> </w:t>
      </w:r>
      <w:r w:rsidRPr="00CB5054">
        <w:t xml:space="preserve">professional wage rate = </w:t>
      </w:r>
      <w:r w:rsidRPr="004C24A4" w:rsidR="004C24A4">
        <w:t>$</w:t>
      </w:r>
      <w:r w:rsidR="00D930BE">
        <w:t>46,758,799</w:t>
      </w:r>
    </w:p>
    <w:p w:rsidR="007F1206" w:rsidRPr="00CB5054" w:rsidP="00401AC9" w14:paraId="5703F87C" w14:textId="4A805705">
      <w:pPr>
        <w:pStyle w:val="Default"/>
        <w:ind w:firstLine="720"/>
      </w:pPr>
      <w:r>
        <w:t>139,796</w:t>
      </w:r>
      <w:r w:rsidRPr="00CB5054" w:rsidR="00865904">
        <w:t xml:space="preserve"> </w:t>
      </w:r>
      <w:r w:rsidRPr="00CB5054">
        <w:t xml:space="preserve">hours x </w:t>
      </w:r>
      <w:r w:rsidR="00252B13">
        <w:t>$</w:t>
      </w:r>
      <w:r w:rsidR="00041950">
        <w:t>31.93</w:t>
      </w:r>
      <w:r w:rsidRPr="00CB5054" w:rsidR="006421BC">
        <w:t xml:space="preserve"> </w:t>
      </w:r>
      <w:r w:rsidRPr="00CB5054">
        <w:t>clerical wage rate =</w:t>
      </w:r>
      <w:r w:rsidRPr="004C24A4" w:rsidR="004C24A4">
        <w:t xml:space="preserve"> $</w:t>
      </w:r>
      <w:r w:rsidR="00D930BE">
        <w:t>4,463,686</w:t>
      </w:r>
      <w:r w:rsidRPr="004C24A4" w:rsidR="004C24A4">
        <w:t xml:space="preserve"> </w:t>
      </w:r>
    </w:p>
    <w:p w:rsidR="007F1206" w:rsidRPr="00401AC9" w:rsidP="00401AC9" w14:paraId="4E608BE8" w14:textId="3EE97F6E">
      <w:pPr>
        <w:pStyle w:val="Default"/>
        <w:ind w:firstLine="720"/>
      </w:pPr>
      <w:r w:rsidRPr="00CB5054">
        <w:rPr>
          <w:b/>
          <w:bCs/>
        </w:rPr>
        <w:t>Total cost</w:t>
      </w:r>
      <w:r w:rsidRPr="002567E2">
        <w:rPr>
          <w:bCs/>
        </w:rPr>
        <w:t>:</w:t>
      </w:r>
      <w:r w:rsidRPr="00CB5054">
        <w:rPr>
          <w:b/>
          <w:bCs/>
        </w:rPr>
        <w:t xml:space="preserve"> </w:t>
      </w:r>
      <w:r w:rsidRPr="00401AC9" w:rsidR="004C24A4">
        <w:rPr>
          <w:bCs/>
        </w:rPr>
        <w:t>$</w:t>
      </w:r>
      <w:r w:rsidR="00F85104">
        <w:rPr>
          <w:bCs/>
        </w:rPr>
        <w:t>51,</w:t>
      </w:r>
      <w:r w:rsidR="00052BA5">
        <w:rPr>
          <w:bCs/>
        </w:rPr>
        <w:t>222,485</w:t>
      </w:r>
      <w:r w:rsidRPr="00401AC9" w:rsidR="004C24A4">
        <w:rPr>
          <w:bCs/>
        </w:rPr>
        <w:t xml:space="preserve"> </w:t>
      </w:r>
    </w:p>
    <w:p w:rsidR="005B0809" w:rsidRPr="00CB5054" w:rsidP="00401AC9" w14:paraId="68E41B78" w14:textId="77777777">
      <w:pPr>
        <w:pStyle w:val="Default"/>
        <w:tabs>
          <w:tab w:val="left" w:pos="2535"/>
        </w:tabs>
        <w:ind w:left="1440"/>
        <w:rPr>
          <w:sz w:val="23"/>
          <w:szCs w:val="23"/>
        </w:rPr>
      </w:pPr>
      <w:r>
        <w:rPr>
          <w:sz w:val="23"/>
          <w:szCs w:val="23"/>
        </w:rPr>
        <w:tab/>
      </w:r>
    </w:p>
    <w:p w:rsidR="007F1206" w:rsidRPr="00CB5054" w:rsidP="007F1206" w14:paraId="11FEC2C8" w14:textId="77777777">
      <w:pPr>
        <w:pStyle w:val="Default"/>
      </w:pPr>
      <w:r w:rsidRPr="00CB5054">
        <w:t xml:space="preserve">Total Burden Hours and Costs: </w:t>
      </w:r>
    </w:p>
    <w:p w:rsidR="007F1206" w:rsidRPr="00CB5054" w:rsidP="00CF78D3" w14:paraId="7583339E" w14:textId="77777777">
      <w:pPr>
        <w:pStyle w:val="Default"/>
        <w:ind w:left="3600" w:firstLine="720"/>
        <w:rPr>
          <w:u w:val="single"/>
        </w:rPr>
      </w:pPr>
      <w:r w:rsidRPr="00CB5054">
        <w:rPr>
          <w:u w:val="single"/>
        </w:rPr>
        <w:t xml:space="preserve">Non- </w:t>
      </w:r>
    </w:p>
    <w:p w:rsidR="007F1206" w:rsidRPr="00CB5054" w:rsidP="007F1206" w14:paraId="456020BF" w14:textId="77777777">
      <w:pPr>
        <w:pStyle w:val="Default"/>
        <w:ind w:left="1440" w:firstLine="720"/>
        <w:rPr>
          <w:u w:val="single"/>
        </w:rPr>
      </w:pPr>
      <w:r w:rsidRPr="00CB5054">
        <w:rPr>
          <w:u w:val="single"/>
        </w:rPr>
        <w:t>Manufacturing</w:t>
      </w:r>
      <w:r w:rsidRPr="00CB5054">
        <w:t xml:space="preserve"> </w:t>
      </w:r>
      <w:r w:rsidRPr="00CB5054" w:rsidR="00CF78D3">
        <w:tab/>
      </w:r>
      <w:r w:rsidRPr="00CB5054">
        <w:rPr>
          <w:u w:val="single"/>
        </w:rPr>
        <w:t>Manufacturing</w:t>
      </w:r>
      <w:r w:rsidRPr="00CB5054">
        <w:t xml:space="preserve"> </w:t>
      </w:r>
      <w:r w:rsidRPr="00CB5054" w:rsidR="00CF78D3">
        <w:tab/>
      </w:r>
      <w:r w:rsidRPr="00CB5054">
        <w:rPr>
          <w:u w:val="single"/>
        </w:rPr>
        <w:t xml:space="preserve">TOTAL </w:t>
      </w:r>
    </w:p>
    <w:p w:rsidR="007F1206" w:rsidRPr="00CB5054" w:rsidP="00CF78D3" w14:paraId="13D50C0B" w14:textId="1962D37E">
      <w:pPr>
        <w:pStyle w:val="Default"/>
      </w:pPr>
      <w:r w:rsidRPr="00CB5054">
        <w:rPr>
          <w:b/>
          <w:bCs/>
        </w:rPr>
        <w:t>Burden hours</w:t>
      </w:r>
      <w:r w:rsidRPr="00D639B1">
        <w:rPr>
          <w:bCs/>
        </w:rPr>
        <w:t xml:space="preserve">: </w:t>
      </w:r>
      <w:r w:rsidRPr="00CB5054" w:rsidR="00CF78D3">
        <w:rPr>
          <w:b/>
          <w:bCs/>
        </w:rPr>
        <w:tab/>
      </w:r>
      <w:r w:rsidR="001A4492">
        <w:t>11,110</w:t>
      </w:r>
      <w:r w:rsidRPr="00CB5054" w:rsidR="00A62277">
        <w:t xml:space="preserve"> </w:t>
      </w:r>
      <w:r w:rsidRPr="00CB5054" w:rsidR="00CF78D3">
        <w:tab/>
      </w:r>
      <w:r w:rsidRPr="00CB5054" w:rsidR="00CF78D3">
        <w:tab/>
      </w:r>
      <w:r w:rsidR="009D51D4">
        <w:t>698,978</w:t>
      </w:r>
      <w:r w:rsidRPr="00CB5054" w:rsidR="00A62277">
        <w:t xml:space="preserve"> </w:t>
      </w:r>
      <w:r w:rsidRPr="00CB5054" w:rsidR="00CF78D3">
        <w:tab/>
      </w:r>
      <w:r w:rsidR="00D95399">
        <w:tab/>
      </w:r>
      <w:r w:rsidR="009D51D4">
        <w:t>710,088</w:t>
      </w:r>
      <w:r w:rsidRPr="00CB5054">
        <w:t xml:space="preserve"> </w:t>
      </w:r>
    </w:p>
    <w:p w:rsidR="004C24A4" w:rsidRPr="0037570A" w:rsidP="00401AC9" w14:paraId="6F3BAE80" w14:textId="1E54C28C">
      <w:pPr>
        <w:pStyle w:val="Default"/>
        <w:tabs>
          <w:tab w:val="left" w:pos="720"/>
          <w:tab w:val="left" w:pos="1440"/>
          <w:tab w:val="left" w:pos="2160"/>
          <w:tab w:val="left" w:pos="2880"/>
          <w:tab w:val="left" w:pos="3600"/>
          <w:tab w:val="left" w:pos="4320"/>
          <w:tab w:val="left" w:pos="5040"/>
          <w:tab w:val="left" w:pos="6735"/>
        </w:tabs>
        <w:ind w:firstLine="720"/>
      </w:pPr>
      <w:r w:rsidRPr="00CB5054">
        <w:rPr>
          <w:b/>
          <w:bCs/>
        </w:rPr>
        <w:t xml:space="preserve">Cost: </w:t>
      </w:r>
      <w:r w:rsidRPr="00CB5054" w:rsidR="00CF78D3">
        <w:rPr>
          <w:b/>
          <w:bCs/>
        </w:rPr>
        <w:tab/>
      </w:r>
      <w:r>
        <w:rPr>
          <w:b/>
          <w:bCs/>
        </w:rPr>
        <w:t xml:space="preserve">       </w:t>
      </w:r>
      <w:r w:rsidR="00D95399">
        <w:rPr>
          <w:b/>
          <w:bCs/>
        </w:rPr>
        <w:tab/>
      </w:r>
      <w:r>
        <w:rPr>
          <w:b/>
          <w:bCs/>
        </w:rPr>
        <w:t xml:space="preserve"> </w:t>
      </w:r>
      <w:r w:rsidRPr="00CB5054" w:rsidR="00A62277">
        <w:t>$</w:t>
      </w:r>
      <w:r w:rsidR="00412A45">
        <w:t>814,163</w:t>
      </w:r>
      <w:r w:rsidR="00D95399">
        <w:tab/>
      </w:r>
      <w:r w:rsidR="00D95399">
        <w:tab/>
      </w:r>
      <w:r>
        <w:t>$</w:t>
      </w:r>
      <w:r w:rsidR="00C64E2A">
        <w:rPr>
          <w:bCs/>
        </w:rPr>
        <w:t>51,222,485</w:t>
      </w:r>
      <w:r w:rsidRPr="0037570A">
        <w:rPr>
          <w:bCs/>
        </w:rPr>
        <w:t xml:space="preserve"> </w:t>
      </w:r>
      <w:r>
        <w:rPr>
          <w:bCs/>
        </w:rPr>
        <w:t xml:space="preserve">               </w:t>
      </w:r>
      <w:r w:rsidR="00277F05">
        <w:rPr>
          <w:bCs/>
        </w:rPr>
        <w:t>$</w:t>
      </w:r>
      <w:r w:rsidR="00C11E0E">
        <w:rPr>
          <w:bCs/>
        </w:rPr>
        <w:t>52,036,648</w:t>
      </w:r>
    </w:p>
    <w:p w:rsidR="004C24A4" w:rsidRPr="00CB5054" w:rsidP="004C24A4" w14:paraId="5FA260A8" w14:textId="77777777">
      <w:pPr>
        <w:pStyle w:val="Default"/>
        <w:tabs>
          <w:tab w:val="left" w:pos="2535"/>
        </w:tabs>
        <w:ind w:left="1440"/>
        <w:rPr>
          <w:sz w:val="23"/>
          <w:szCs w:val="23"/>
        </w:rPr>
      </w:pPr>
      <w:r>
        <w:rPr>
          <w:sz w:val="23"/>
          <w:szCs w:val="23"/>
        </w:rPr>
        <w:tab/>
      </w:r>
    </w:p>
    <w:p w:rsidR="007F1206" w:rsidRPr="00CB5054" w:rsidP="007F1206" w14:paraId="7362E61E" w14:textId="5B63AC06">
      <w:pPr>
        <w:pStyle w:val="Default"/>
      </w:pPr>
      <w:r w:rsidRPr="00CB5054">
        <w:rPr>
          <w:b/>
          <w:bCs/>
        </w:rPr>
        <w:t>2</w:t>
      </w:r>
      <w:r w:rsidRPr="00CB5054">
        <w:t xml:space="preserve">. </w:t>
      </w:r>
      <w:r w:rsidRPr="003A15DB">
        <w:rPr>
          <w:b/>
          <w:bCs/>
          <w:color w:val="auto"/>
        </w:rPr>
        <w:t xml:space="preserve">Written Hazard Communication Program (§ </w:t>
      </w:r>
      <w:r w:rsidRPr="00CB5054">
        <w:rPr>
          <w:b/>
          <w:bCs/>
        </w:rPr>
        <w:t xml:space="preserve">1910.1200(e)) </w:t>
      </w:r>
    </w:p>
    <w:p w:rsidR="007F1206" w:rsidRPr="00CB5054" w:rsidP="007F1206" w14:paraId="34230BFA" w14:textId="77777777">
      <w:pPr>
        <w:pStyle w:val="Default"/>
        <w:rPr>
          <w:b/>
          <w:bCs/>
        </w:rPr>
      </w:pPr>
      <w:r w:rsidRPr="00CB5054">
        <w:rPr>
          <w:b/>
          <w:bCs/>
        </w:rPr>
        <w:t xml:space="preserve">(Existing Establishments) </w:t>
      </w:r>
    </w:p>
    <w:p w:rsidR="007F1206" w:rsidRPr="00CB5054" w:rsidP="007F1206" w14:paraId="3F8F520F" w14:textId="77777777">
      <w:pPr>
        <w:pStyle w:val="Default"/>
      </w:pPr>
    </w:p>
    <w:p w:rsidR="007F1206" w:rsidRPr="00CB5054" w:rsidP="007F1206" w14:paraId="784BD3ED" w14:textId="64B1394A">
      <w:pPr>
        <w:pStyle w:val="Default"/>
      </w:pPr>
      <w:r w:rsidRPr="00CB5054">
        <w:t xml:space="preserve">OSHA estimates existing manufacturing establishments take 1 hour and non-manufacturing establishments </w:t>
      </w:r>
      <w:r w:rsidR="008A075B">
        <w:t>0</w:t>
      </w:r>
      <w:r w:rsidRPr="00CB5054">
        <w:t xml:space="preserve">.5 hour to update and maintain their hazard communication programs. Forty percent of the establishments incur burden hours and costs </w:t>
      </w:r>
      <w:r w:rsidRPr="00CB5054">
        <w:t>as a result of</w:t>
      </w:r>
      <w:r w:rsidRPr="00CB5054">
        <w:t xml:space="preserve"> the HCS. </w:t>
      </w:r>
    </w:p>
    <w:p w:rsidR="00477383" w:rsidRPr="00CB5054" w:rsidP="007F1206" w14:paraId="100E1A12" w14:textId="77777777">
      <w:pPr>
        <w:pStyle w:val="Default"/>
      </w:pPr>
    </w:p>
    <w:p w:rsidR="007F1206" w:rsidRPr="00CB5054" w:rsidP="007F1206" w14:paraId="080AD878" w14:textId="77777777">
      <w:pPr>
        <w:pStyle w:val="Default"/>
      </w:pPr>
      <w:r w:rsidRPr="00CB5054">
        <w:rPr>
          <w:u w:val="single"/>
        </w:rPr>
        <w:t>Number of Existing Establishments Affected</w:t>
      </w:r>
      <w:r w:rsidRPr="00CB5054">
        <w:t xml:space="preserve">: </w:t>
      </w:r>
    </w:p>
    <w:p w:rsidR="007F1206" w:rsidRPr="00CB5054" w:rsidP="007F1206" w14:paraId="231F225A" w14:textId="77777777">
      <w:pPr>
        <w:pStyle w:val="Default"/>
      </w:pPr>
    </w:p>
    <w:p w:rsidR="007F1206" w:rsidRPr="00CB5054" w:rsidP="007F1206" w14:paraId="7C75975B" w14:textId="21D90B4F">
      <w:pPr>
        <w:pStyle w:val="Default"/>
      </w:pPr>
      <w:r w:rsidRPr="00CB5054">
        <w:t xml:space="preserve">Existing manufacturing establishments affected: </w:t>
      </w:r>
      <w:r w:rsidR="00BC3E07">
        <w:t>77,144</w:t>
      </w:r>
      <w:r w:rsidRPr="00CB5054" w:rsidR="00D14757">
        <w:t xml:space="preserve"> </w:t>
      </w:r>
      <w:r w:rsidRPr="00CB5054">
        <w:t xml:space="preserve">manufacturing establishments </w:t>
      </w:r>
      <w:r w:rsidR="00AF6454">
        <w:t>–</w:t>
      </w:r>
      <w:r w:rsidRPr="00CB5054" w:rsidR="00565288">
        <w:t xml:space="preserve"> </w:t>
      </w:r>
      <w:r w:rsidR="00BC3E07">
        <w:t>5,554</w:t>
      </w:r>
      <w:r w:rsidRPr="00CB5054" w:rsidR="00565288">
        <w:t xml:space="preserve"> new manufacturing establishments affected = </w:t>
      </w:r>
      <w:r w:rsidR="009D51D4">
        <w:t>71,590</w:t>
      </w:r>
      <w:r w:rsidRPr="00CB5054" w:rsidR="00565288">
        <w:t xml:space="preserve"> existing establishments</w:t>
      </w:r>
      <w:r w:rsidR="00565288">
        <w:t xml:space="preserve">; then </w:t>
      </w:r>
      <w:r w:rsidR="009D51D4">
        <w:t>71,590</w:t>
      </w:r>
      <w:r w:rsidRPr="00CB5054" w:rsidR="00565288">
        <w:t xml:space="preserve"> affected</w:t>
      </w:r>
      <w:r w:rsidR="00565288">
        <w:t xml:space="preserve"> existing establishment</w:t>
      </w:r>
      <w:r w:rsidRPr="00CB5054" w:rsidR="00565288">
        <w:t xml:space="preserve"> </w:t>
      </w:r>
      <w:r w:rsidRPr="00CB5054">
        <w:t xml:space="preserve">x 40% = </w:t>
      </w:r>
      <w:r w:rsidR="003304D4">
        <w:t>28,636</w:t>
      </w:r>
      <w:r w:rsidRPr="00CB5054" w:rsidR="00D14757">
        <w:t xml:space="preserve"> </w:t>
      </w:r>
      <w:r w:rsidR="00565288">
        <w:t xml:space="preserve">existing </w:t>
      </w:r>
      <w:r w:rsidRPr="00CB5054">
        <w:t>affected establishment</w:t>
      </w:r>
      <w:r w:rsidR="00565288">
        <w:t>s</w:t>
      </w:r>
      <w:r w:rsidRPr="00CB5054">
        <w:t xml:space="preserve">. </w:t>
      </w:r>
    </w:p>
    <w:p w:rsidR="00CF78D3" w:rsidRPr="00CB5054" w:rsidP="007F1206" w14:paraId="463C74E5" w14:textId="77777777">
      <w:pPr>
        <w:pStyle w:val="Default"/>
      </w:pPr>
    </w:p>
    <w:p w:rsidR="007F1206" w:rsidRPr="00CB5054" w:rsidP="007F1206" w14:paraId="185D5254" w14:textId="1D112888">
      <w:pPr>
        <w:pStyle w:val="Default"/>
      </w:pPr>
      <w:r w:rsidRPr="00CB5054">
        <w:t>Existing non</w:t>
      </w:r>
      <w:r w:rsidRPr="00CB5054" w:rsidR="00FA671B">
        <w:t>-</w:t>
      </w:r>
      <w:r w:rsidRPr="00CB5054">
        <w:t xml:space="preserve">manufacturing establishments affected: </w:t>
      </w:r>
      <w:r w:rsidR="00BC3E07">
        <w:t>5,503,762</w:t>
      </w:r>
      <w:r w:rsidRPr="00CB5054" w:rsidR="00D14757">
        <w:t xml:space="preserve"> </w:t>
      </w:r>
      <w:r w:rsidRPr="00CB5054">
        <w:t xml:space="preserve">non-manufacturing establishments </w:t>
      </w:r>
      <w:r w:rsidR="008C2A5B">
        <w:t>–</w:t>
      </w:r>
      <w:r w:rsidRPr="00CB5054" w:rsidR="00333E1F">
        <w:t xml:space="preserve"> </w:t>
      </w:r>
      <w:r w:rsidR="00BC3E07">
        <w:t>698,978</w:t>
      </w:r>
      <w:r w:rsidRPr="00CB5054" w:rsidR="00333E1F">
        <w:t xml:space="preserve"> new non-manufacturing establishments affected = </w:t>
      </w:r>
      <w:r w:rsidR="003304D4">
        <w:t>4,804,784</w:t>
      </w:r>
      <w:r w:rsidRPr="00CB5054" w:rsidR="00333E1F">
        <w:t xml:space="preserve"> existing establishments affected</w:t>
      </w:r>
      <w:r w:rsidR="00333E1F">
        <w:t xml:space="preserve">; then </w:t>
      </w:r>
      <w:r w:rsidR="003304D4">
        <w:t>4,804,784</w:t>
      </w:r>
      <w:r w:rsidR="008C2A5B">
        <w:t xml:space="preserve"> existing establishments </w:t>
      </w:r>
      <w:r w:rsidRPr="00AD1097">
        <w:t xml:space="preserve">x </w:t>
      </w:r>
      <w:r w:rsidRPr="00AB0B90">
        <w:t>40%</w:t>
      </w:r>
      <w:r w:rsidRPr="00AD1097">
        <w:t xml:space="preserve"> = </w:t>
      </w:r>
      <w:r w:rsidR="003304D4">
        <w:t>1,921,914</w:t>
      </w:r>
      <w:r w:rsidR="008C2A5B">
        <w:t xml:space="preserve"> </w:t>
      </w:r>
      <w:r w:rsidRPr="00CB5054">
        <w:t>affected establishments</w:t>
      </w:r>
      <w:r w:rsidR="008C2A5B">
        <w:t>.</w:t>
      </w:r>
      <w:r w:rsidRPr="00CB5054">
        <w:t xml:space="preserve"> </w:t>
      </w:r>
    </w:p>
    <w:p w:rsidR="00CF78D3" w:rsidRPr="00CB5054" w:rsidP="007F1206" w14:paraId="4F2C31E3" w14:textId="77777777">
      <w:pPr>
        <w:pStyle w:val="Default"/>
        <w:rPr>
          <w:sz w:val="23"/>
          <w:szCs w:val="23"/>
        </w:rPr>
      </w:pPr>
    </w:p>
    <w:p w:rsidR="007F1206" w:rsidRPr="00CB5054" w:rsidP="007F1206" w14:paraId="6D82B558" w14:textId="77777777">
      <w:pPr>
        <w:pStyle w:val="Default"/>
      </w:pPr>
      <w:r w:rsidRPr="00CB5054">
        <w:rPr>
          <w:u w:val="single"/>
        </w:rPr>
        <w:t>Manufacturing</w:t>
      </w:r>
      <w:r w:rsidRPr="00CB5054">
        <w:t xml:space="preserve">: </w:t>
      </w:r>
    </w:p>
    <w:p w:rsidR="007F1206" w:rsidRPr="00CB5054" w:rsidP="007F1206" w14:paraId="4A73CFAE" w14:textId="77777777">
      <w:pPr>
        <w:pStyle w:val="Default"/>
      </w:pPr>
    </w:p>
    <w:p w:rsidR="007F1206" w:rsidRPr="00CB5054" w:rsidP="007F1206" w14:paraId="57F31077" w14:textId="39024409">
      <w:pPr>
        <w:pStyle w:val="Default"/>
        <w:ind w:firstLine="720"/>
      </w:pPr>
      <w:r w:rsidRPr="00CB5054">
        <w:rPr>
          <w:b/>
          <w:bCs/>
        </w:rPr>
        <w:t>Burden hours</w:t>
      </w:r>
      <w:r w:rsidRPr="00982C2A">
        <w:rPr>
          <w:bCs/>
        </w:rPr>
        <w:t>:</w:t>
      </w:r>
      <w:r w:rsidRPr="00CB5054">
        <w:rPr>
          <w:b/>
          <w:bCs/>
        </w:rPr>
        <w:t xml:space="preserve"> </w:t>
      </w:r>
      <w:r w:rsidR="003304D4">
        <w:rPr>
          <w:bCs/>
        </w:rPr>
        <w:t>28,636</w:t>
      </w:r>
      <w:r w:rsidRPr="00CB5054" w:rsidR="00CD67B2">
        <w:t xml:space="preserve"> </w:t>
      </w:r>
      <w:r w:rsidRPr="00CB5054">
        <w:t xml:space="preserve">existing establishments x </w:t>
      </w:r>
      <w:r w:rsidR="00273D4D">
        <w:t>1</w:t>
      </w:r>
      <w:r w:rsidRPr="00CB5054" w:rsidR="00273D4D">
        <w:t xml:space="preserve"> </w:t>
      </w:r>
      <w:r w:rsidRPr="00CB5054">
        <w:t xml:space="preserve">hour = </w:t>
      </w:r>
      <w:r w:rsidR="003304D4">
        <w:t>28,636</w:t>
      </w:r>
      <w:r w:rsidRPr="00CB5054" w:rsidR="00CD67B2">
        <w:t xml:space="preserve"> </w:t>
      </w:r>
      <w:r w:rsidRPr="00CB5054">
        <w:t xml:space="preserve">hours </w:t>
      </w:r>
    </w:p>
    <w:p w:rsidR="007F1206" w:rsidRPr="00CB5054" w:rsidP="00F51D17" w14:paraId="22CB7F4C" w14:textId="7506EBCD">
      <w:pPr>
        <w:shd w:val="solid" w:color="FFFFFF" w:fill="FFFFFF"/>
        <w:ind w:left="1440"/>
        <w:rPr>
          <w:b/>
          <w:color w:val="000000"/>
          <w:sz w:val="24"/>
          <w:szCs w:val="24"/>
        </w:rPr>
      </w:pPr>
      <w:r>
        <w:rPr>
          <w:b/>
          <w:bCs/>
          <w:color w:val="000000"/>
          <w:sz w:val="24"/>
          <w:szCs w:val="24"/>
        </w:rPr>
        <w:t xml:space="preserve">    </w:t>
      </w:r>
      <w:r w:rsidRPr="00CB5054">
        <w:rPr>
          <w:b/>
          <w:bCs/>
          <w:color w:val="000000"/>
          <w:sz w:val="24"/>
          <w:szCs w:val="24"/>
        </w:rPr>
        <w:t>Cost</w:t>
      </w:r>
      <w:r w:rsidRPr="00982C2A">
        <w:rPr>
          <w:bCs/>
          <w:color w:val="000000"/>
          <w:sz w:val="24"/>
          <w:szCs w:val="24"/>
        </w:rPr>
        <w:t xml:space="preserve">: </w:t>
      </w:r>
      <w:r w:rsidR="003304D4">
        <w:rPr>
          <w:bCs/>
          <w:color w:val="000000"/>
          <w:sz w:val="24"/>
          <w:szCs w:val="24"/>
        </w:rPr>
        <w:t>28,636</w:t>
      </w:r>
      <w:r w:rsidRPr="00CB5054" w:rsidR="0085256B">
        <w:rPr>
          <w:color w:val="000000"/>
        </w:rPr>
        <w:t xml:space="preserve"> </w:t>
      </w:r>
      <w:r w:rsidRPr="00CB5054">
        <w:rPr>
          <w:color w:val="000000"/>
          <w:sz w:val="24"/>
          <w:szCs w:val="24"/>
        </w:rPr>
        <w:t xml:space="preserve">hours x </w:t>
      </w:r>
      <w:r w:rsidR="00252B13">
        <w:rPr>
          <w:color w:val="000000"/>
          <w:sz w:val="24"/>
          <w:szCs w:val="24"/>
        </w:rPr>
        <w:t>$</w:t>
      </w:r>
      <w:r w:rsidR="00E95AD9">
        <w:rPr>
          <w:color w:val="000000"/>
          <w:sz w:val="24"/>
          <w:szCs w:val="24"/>
        </w:rPr>
        <w:t>83.62</w:t>
      </w:r>
      <w:r w:rsidRPr="00CB5054" w:rsidR="00BA18E9">
        <w:rPr>
          <w:color w:val="000000"/>
          <w:sz w:val="24"/>
          <w:szCs w:val="24"/>
        </w:rPr>
        <w:t xml:space="preserve"> </w:t>
      </w:r>
      <w:r w:rsidRPr="00CB5054">
        <w:rPr>
          <w:color w:val="000000"/>
          <w:sz w:val="24"/>
          <w:szCs w:val="24"/>
        </w:rPr>
        <w:t>= $</w:t>
      </w:r>
      <w:r w:rsidR="000F4BC5">
        <w:rPr>
          <w:color w:val="000000"/>
          <w:sz w:val="24"/>
          <w:szCs w:val="24"/>
        </w:rPr>
        <w:t>2,394,542</w:t>
      </w:r>
    </w:p>
    <w:p w:rsidR="007F1206" w:rsidRPr="00CB5054" w:rsidP="00D80711" w14:paraId="73DF46D2" w14:textId="77777777">
      <w:pPr>
        <w:shd w:val="solid" w:color="FFFFFF" w:fill="FFFFFF"/>
        <w:rPr>
          <w:b/>
          <w:color w:val="000000"/>
          <w:sz w:val="24"/>
          <w:szCs w:val="24"/>
        </w:rPr>
      </w:pPr>
    </w:p>
    <w:p w:rsidR="00001CE2" w:rsidRPr="00CB5054" w:rsidP="00001CE2" w14:paraId="57ACD9AD" w14:textId="77777777">
      <w:pPr>
        <w:pStyle w:val="Default"/>
      </w:pPr>
      <w:r w:rsidRPr="00CB5054">
        <w:rPr>
          <w:u w:val="single"/>
        </w:rPr>
        <w:t>Non-Manufacturing</w:t>
      </w:r>
      <w:r w:rsidRPr="00CB5054">
        <w:t xml:space="preserve">: </w:t>
      </w:r>
    </w:p>
    <w:p w:rsidR="0042270F" w:rsidRPr="00CB5054" w:rsidP="00001CE2" w14:paraId="1D27B790" w14:textId="77777777">
      <w:pPr>
        <w:pStyle w:val="Default"/>
      </w:pPr>
    </w:p>
    <w:p w:rsidR="00001CE2" w:rsidRPr="00CB5054" w:rsidP="00001CE2" w14:paraId="17B9D081" w14:textId="0EA2C2EC">
      <w:pPr>
        <w:pStyle w:val="Default"/>
        <w:ind w:firstLine="720"/>
      </w:pPr>
      <w:r w:rsidRPr="00CB5054">
        <w:rPr>
          <w:b/>
          <w:bCs/>
        </w:rPr>
        <w:t>Burden hours</w:t>
      </w:r>
      <w:r w:rsidRPr="00D639B1">
        <w:rPr>
          <w:bCs/>
        </w:rPr>
        <w:t xml:space="preserve">: </w:t>
      </w:r>
      <w:r w:rsidR="003304D4">
        <w:t>1,921,914</w:t>
      </w:r>
      <w:r w:rsidRPr="00CB5054" w:rsidR="0042270F">
        <w:t xml:space="preserve"> </w:t>
      </w:r>
      <w:r w:rsidRPr="00CB5054">
        <w:t xml:space="preserve">establishments x </w:t>
      </w:r>
      <w:r w:rsidR="00B832E8">
        <w:t>0</w:t>
      </w:r>
      <w:r w:rsidR="00D20A0C">
        <w:t>.5</w:t>
      </w:r>
      <w:r w:rsidRPr="00CB5054" w:rsidR="00D20A0C">
        <w:t xml:space="preserve"> </w:t>
      </w:r>
      <w:r w:rsidRPr="00CB5054">
        <w:t xml:space="preserve">hour = </w:t>
      </w:r>
      <w:r w:rsidR="005B3593">
        <w:t>960,957</w:t>
      </w:r>
      <w:r w:rsidR="008C2A5B">
        <w:t xml:space="preserve"> </w:t>
      </w:r>
      <w:r w:rsidRPr="00CB5054">
        <w:t xml:space="preserve">hours </w:t>
      </w:r>
    </w:p>
    <w:p w:rsidR="00001CE2" w:rsidRPr="00CB5054" w:rsidP="00001CE2" w14:paraId="4E809963" w14:textId="7AC2601D">
      <w:pPr>
        <w:pStyle w:val="Default"/>
        <w:ind w:firstLine="1440"/>
      </w:pPr>
      <w:r>
        <w:rPr>
          <w:b/>
          <w:bCs/>
        </w:rPr>
        <w:t xml:space="preserve">    </w:t>
      </w:r>
      <w:r w:rsidRPr="00CB5054">
        <w:rPr>
          <w:b/>
          <w:bCs/>
        </w:rPr>
        <w:t>Cost</w:t>
      </w:r>
      <w:r w:rsidRPr="00D639B1">
        <w:rPr>
          <w:bCs/>
        </w:rPr>
        <w:t>:</w:t>
      </w:r>
      <w:r w:rsidRPr="00CB5054">
        <w:rPr>
          <w:b/>
          <w:bCs/>
        </w:rPr>
        <w:t xml:space="preserve"> </w:t>
      </w:r>
      <w:r w:rsidR="005B3593">
        <w:t>960,957</w:t>
      </w:r>
      <w:r w:rsidRPr="00CB5054" w:rsidR="0085256B">
        <w:t xml:space="preserve"> </w:t>
      </w:r>
      <w:r w:rsidRPr="00CB5054">
        <w:t xml:space="preserve">hours x </w:t>
      </w:r>
      <w:r w:rsidR="00252B13">
        <w:t>$</w:t>
      </w:r>
      <w:r w:rsidR="00E95AD9">
        <w:t>83.62</w:t>
      </w:r>
      <w:r w:rsidRPr="00CB5054" w:rsidR="00BA18E9">
        <w:t xml:space="preserve"> </w:t>
      </w:r>
      <w:r w:rsidRPr="00CB5054">
        <w:t xml:space="preserve">= </w:t>
      </w:r>
      <w:r w:rsidR="00AD2CB0">
        <w:t>$</w:t>
      </w:r>
      <w:r w:rsidR="0095436B">
        <w:t>80,355,224</w:t>
      </w:r>
      <w:r w:rsidRPr="00AD2CB0" w:rsidR="00AD2CB0">
        <w:t xml:space="preserve"> </w:t>
      </w:r>
    </w:p>
    <w:p w:rsidR="00001CE2" w:rsidRPr="00CB5054" w:rsidP="00001CE2" w14:paraId="36895178" w14:textId="77777777">
      <w:pPr>
        <w:pStyle w:val="Default"/>
      </w:pPr>
    </w:p>
    <w:p w:rsidR="00001CE2" w:rsidRPr="00CB5054" w:rsidP="00001CE2" w14:paraId="4D072EA7" w14:textId="77777777">
      <w:pPr>
        <w:pStyle w:val="Default"/>
      </w:pPr>
      <w:r w:rsidRPr="00CB5054">
        <w:t xml:space="preserve">Total Burden hours and costs </w:t>
      </w:r>
    </w:p>
    <w:p w:rsidR="00001CE2" w:rsidRPr="00CB5054" w:rsidP="00001CE2" w14:paraId="27959024" w14:textId="77777777">
      <w:pPr>
        <w:pStyle w:val="Default"/>
        <w:ind w:left="3600" w:firstLine="720"/>
      </w:pPr>
      <w:r w:rsidRPr="00CB5054">
        <w:t xml:space="preserve">Non- </w:t>
      </w:r>
    </w:p>
    <w:p w:rsidR="00001CE2" w:rsidRPr="00CB5054" w:rsidP="00001CE2" w14:paraId="2FC775E4" w14:textId="77777777">
      <w:pPr>
        <w:pStyle w:val="Default"/>
        <w:ind w:left="1440" w:firstLine="720"/>
        <w:rPr>
          <w:b/>
          <w:bCs/>
        </w:rPr>
      </w:pPr>
      <w:r w:rsidRPr="00CB5054">
        <w:t xml:space="preserve">Manufacturing </w:t>
      </w:r>
      <w:r w:rsidRPr="00CB5054">
        <w:tab/>
      </w:r>
      <w:r w:rsidRPr="00CB5054">
        <w:t>Manufacturing</w:t>
      </w:r>
      <w:r w:rsidRPr="00CB5054">
        <w:t xml:space="preserve"> </w:t>
      </w:r>
      <w:r w:rsidRPr="00CB5054">
        <w:tab/>
        <w:t xml:space="preserve">TOTAL </w:t>
      </w:r>
    </w:p>
    <w:p w:rsidR="00001CE2" w:rsidRPr="00401AC9" w:rsidP="00001CE2" w14:paraId="12028A3E" w14:textId="16604103">
      <w:pPr>
        <w:pStyle w:val="Default"/>
      </w:pPr>
      <w:r w:rsidRPr="00401AC9">
        <w:rPr>
          <w:b/>
          <w:bCs/>
        </w:rPr>
        <w:t>Burden hours</w:t>
      </w:r>
      <w:r w:rsidRPr="00401AC9">
        <w:rPr>
          <w:bCs/>
        </w:rPr>
        <w:t xml:space="preserve">: </w:t>
      </w:r>
      <w:r w:rsidRPr="00401AC9">
        <w:rPr>
          <w:bCs/>
        </w:rPr>
        <w:tab/>
      </w:r>
      <w:r w:rsidRPr="00401AC9" w:rsidR="00AD2CB0">
        <w:rPr>
          <w:bCs/>
        </w:rPr>
        <w:t xml:space="preserve">   </w:t>
      </w:r>
      <w:r w:rsidR="003304D4">
        <w:t>28,636</w:t>
      </w:r>
      <w:r w:rsidRPr="00401AC9" w:rsidR="0085256B">
        <w:t xml:space="preserve"> </w:t>
      </w:r>
      <w:r w:rsidRPr="00401AC9">
        <w:tab/>
      </w:r>
      <w:r w:rsidR="00D95399">
        <w:tab/>
      </w:r>
      <w:r w:rsidR="005B3593">
        <w:t>960,957</w:t>
      </w:r>
      <w:r w:rsidRPr="00401AC9" w:rsidR="0085256B">
        <w:t xml:space="preserve"> </w:t>
      </w:r>
      <w:r w:rsidRPr="00401AC9">
        <w:tab/>
      </w:r>
      <w:r w:rsidR="00D95399">
        <w:tab/>
      </w:r>
      <w:r w:rsidR="0080331B">
        <w:t>989,593</w:t>
      </w:r>
      <w:r w:rsidRPr="00401AC9">
        <w:t xml:space="preserve"> </w:t>
      </w:r>
    </w:p>
    <w:p w:rsidR="00AD2CB0" w:rsidRPr="00401AC9" w:rsidP="00AD2CB0" w14:paraId="067E1AE8" w14:textId="0B97861B">
      <w:pPr>
        <w:rPr>
          <w:bCs/>
          <w:kern w:val="0"/>
          <w:sz w:val="24"/>
          <w:szCs w:val="24"/>
        </w:rPr>
      </w:pPr>
      <w:r w:rsidRPr="00401AC9">
        <w:rPr>
          <w:b/>
          <w:bCs/>
          <w:sz w:val="24"/>
          <w:szCs w:val="24"/>
        </w:rPr>
        <w:t>Costs</w:t>
      </w:r>
      <w:r w:rsidRPr="00401AC9">
        <w:rPr>
          <w:bCs/>
          <w:sz w:val="24"/>
          <w:szCs w:val="24"/>
        </w:rPr>
        <w:t xml:space="preserve">: </w:t>
      </w:r>
      <w:r w:rsidRPr="00401AC9">
        <w:rPr>
          <w:bCs/>
          <w:sz w:val="24"/>
          <w:szCs w:val="24"/>
        </w:rPr>
        <w:tab/>
      </w:r>
      <w:r w:rsidRPr="00401AC9">
        <w:rPr>
          <w:bCs/>
          <w:sz w:val="24"/>
          <w:szCs w:val="24"/>
        </w:rPr>
        <w:tab/>
        <w:t xml:space="preserve">             </w:t>
      </w:r>
      <w:r w:rsidRPr="00401AC9" w:rsidR="00AB63F5">
        <w:rPr>
          <w:sz w:val="24"/>
          <w:szCs w:val="24"/>
        </w:rPr>
        <w:t>$</w:t>
      </w:r>
      <w:r w:rsidR="000F4BC5">
        <w:rPr>
          <w:color w:val="000000"/>
          <w:sz w:val="24"/>
          <w:szCs w:val="24"/>
        </w:rPr>
        <w:t>2,394,542</w:t>
      </w:r>
      <w:r w:rsidRPr="00401AC9">
        <w:rPr>
          <w:sz w:val="24"/>
          <w:szCs w:val="24"/>
        </w:rPr>
        <w:tab/>
      </w:r>
      <w:r w:rsidR="00D95399">
        <w:rPr>
          <w:sz w:val="24"/>
          <w:szCs w:val="24"/>
        </w:rPr>
        <w:tab/>
      </w:r>
      <w:r w:rsidRPr="00401AC9">
        <w:rPr>
          <w:sz w:val="24"/>
          <w:szCs w:val="24"/>
        </w:rPr>
        <w:t>$</w:t>
      </w:r>
      <w:r w:rsidR="004E1BD2">
        <w:rPr>
          <w:sz w:val="24"/>
          <w:szCs w:val="24"/>
        </w:rPr>
        <w:t>80,355,224</w:t>
      </w:r>
      <w:r w:rsidRPr="00401AC9">
        <w:rPr>
          <w:sz w:val="24"/>
          <w:szCs w:val="24"/>
        </w:rPr>
        <w:t xml:space="preserve"> </w:t>
      </w:r>
      <w:r w:rsidRPr="00401AC9">
        <w:rPr>
          <w:sz w:val="24"/>
          <w:szCs w:val="24"/>
        </w:rPr>
        <w:tab/>
      </w:r>
      <w:r w:rsidRPr="00401AC9">
        <w:rPr>
          <w:sz w:val="24"/>
          <w:szCs w:val="24"/>
        </w:rPr>
        <w:tab/>
      </w:r>
      <w:r w:rsidRPr="00401AC9">
        <w:rPr>
          <w:bCs/>
          <w:kern w:val="0"/>
          <w:sz w:val="24"/>
          <w:szCs w:val="24"/>
        </w:rPr>
        <w:t>$</w:t>
      </w:r>
      <w:r w:rsidR="00B71A7D">
        <w:rPr>
          <w:bCs/>
          <w:kern w:val="0"/>
          <w:sz w:val="24"/>
          <w:szCs w:val="24"/>
        </w:rPr>
        <w:t>82,749,767</w:t>
      </w:r>
      <w:r w:rsidRPr="00401AC9">
        <w:rPr>
          <w:bCs/>
          <w:kern w:val="0"/>
          <w:sz w:val="24"/>
          <w:szCs w:val="24"/>
        </w:rPr>
        <w:t xml:space="preserve"> </w:t>
      </w:r>
    </w:p>
    <w:p w:rsidR="00001CE2" w:rsidRPr="00CB5054" w:rsidP="00401AC9" w14:paraId="2EDAFA78" w14:textId="77777777">
      <w:pPr>
        <w:pStyle w:val="Default"/>
        <w:tabs>
          <w:tab w:val="left" w:pos="7320"/>
        </w:tabs>
        <w:rPr>
          <w:b/>
          <w:bCs/>
        </w:rPr>
      </w:pPr>
      <w:r>
        <w:rPr>
          <w:b/>
          <w:bCs/>
        </w:rPr>
        <w:tab/>
      </w:r>
    </w:p>
    <w:p w:rsidR="00001CE2" w:rsidRPr="00CB5054" w:rsidP="00001CE2" w14:paraId="21C78C50" w14:textId="77777777">
      <w:pPr>
        <w:pStyle w:val="Default"/>
        <w:rPr>
          <w:b/>
          <w:bCs/>
        </w:rPr>
      </w:pPr>
      <w:r w:rsidRPr="00CB5054">
        <w:rPr>
          <w:b/>
          <w:bCs/>
        </w:rPr>
        <w:t xml:space="preserve">3. </w:t>
      </w:r>
      <w:r w:rsidRPr="003A15DB">
        <w:rPr>
          <w:b/>
          <w:bCs/>
          <w:color w:val="auto"/>
        </w:rPr>
        <w:t xml:space="preserve">Hazard </w:t>
      </w:r>
      <w:r w:rsidRPr="003A15DB" w:rsidR="00982C2A">
        <w:rPr>
          <w:b/>
          <w:bCs/>
          <w:color w:val="auto"/>
        </w:rPr>
        <w:t>Classification</w:t>
      </w:r>
      <w:r w:rsidRPr="003A15DB">
        <w:rPr>
          <w:b/>
          <w:bCs/>
          <w:color w:val="auto"/>
        </w:rPr>
        <w:t xml:space="preserve"> </w:t>
      </w:r>
      <w:r w:rsidRPr="00CB5054">
        <w:rPr>
          <w:b/>
          <w:bCs/>
        </w:rPr>
        <w:t xml:space="preserve">(§ 1910.1200(d)) </w:t>
      </w:r>
    </w:p>
    <w:p w:rsidR="00001CE2" w:rsidRPr="00CB5054" w:rsidP="00001CE2" w14:paraId="7F5E8DCF" w14:textId="77777777">
      <w:pPr>
        <w:pStyle w:val="Default"/>
      </w:pPr>
    </w:p>
    <w:p w:rsidR="00001CE2" w:rsidRPr="00CB5054" w:rsidP="00001CE2" w14:paraId="6973399B" w14:textId="0D7D7968">
      <w:pPr>
        <w:pStyle w:val="Default"/>
      </w:pPr>
      <w:r>
        <w:t xml:space="preserve">Chemical manufacturers and importers must evaluate chemicals produced in their workplaces or imported by them to classify the chemicals in accordance with the </w:t>
      </w:r>
      <w:r>
        <w:t xml:space="preserve">standard.  For each chemical, the chemical manufacturer or importer must determine the hazard classes, and, </w:t>
      </w:r>
      <w:r w:rsidRPr="003A15DB">
        <w:rPr>
          <w:iCs/>
        </w:rPr>
        <w:t>where appropriate</w:t>
      </w:r>
      <w:r>
        <w:t xml:space="preserve">, the category of each class that apply to the chemical being classified. </w:t>
      </w:r>
      <w:r>
        <w:rPr>
          <w:color w:val="FF0000"/>
        </w:rPr>
        <w:t xml:space="preserve"> </w:t>
      </w:r>
      <w:r>
        <w:t xml:space="preserve">Employers are not required to classify chemicals unless they choose not to rely on the classification performed by the chemical manufacturer or importer for the chemical to satisfy this requirement. </w:t>
      </w:r>
      <w:r w:rsidRPr="00CB5054">
        <w:t xml:space="preserve">On average, a professional takes 8 hours to conduct the hazard </w:t>
      </w:r>
      <w:r>
        <w:t xml:space="preserve">classification and </w:t>
      </w:r>
      <w:r w:rsidRPr="00CB5054">
        <w:t>to develop the necessary labels and SDSs</w:t>
      </w:r>
      <w:r w:rsidR="00547867">
        <w:t xml:space="preserve"> for each chemical</w:t>
      </w:r>
      <w:r w:rsidRPr="00CB5054">
        <w:t xml:space="preserve">. </w:t>
      </w:r>
      <w:r w:rsidRPr="00CB5054">
        <w:tab/>
      </w:r>
    </w:p>
    <w:p w:rsidR="00001CE2" w:rsidRPr="00CB5054" w:rsidP="00001CE2" w14:paraId="0475CF72" w14:textId="77777777">
      <w:pPr>
        <w:pStyle w:val="Default"/>
      </w:pPr>
    </w:p>
    <w:p w:rsidR="00001CE2" w:rsidRPr="00CB5054" w:rsidP="00001CE2" w14:paraId="36A3FD9D" w14:textId="1148BB23">
      <w:pPr>
        <w:pStyle w:val="Default"/>
      </w:pPr>
      <w:r w:rsidRPr="00CB5054">
        <w:t>The total number of affected chemical products</w:t>
      </w:r>
      <w:r w:rsidR="00547867">
        <w:t>,</w:t>
      </w:r>
      <w:r w:rsidRPr="00CB5054">
        <w:t xml:space="preserve"> </w:t>
      </w:r>
      <w:r w:rsidR="0037380C">
        <w:t>116,302</w:t>
      </w:r>
      <w:r w:rsidR="00547867">
        <w:t>,</w:t>
      </w:r>
      <w:r w:rsidRPr="00CB5054">
        <w:t xml:space="preserve"> is determined by multiplying the total number of chemical products</w:t>
      </w:r>
      <w:r w:rsidR="00547867">
        <w:t>,</w:t>
      </w:r>
      <w:r w:rsidRPr="00CB5054">
        <w:t xml:space="preserve"> </w:t>
      </w:r>
      <w:r w:rsidR="00BC3E07">
        <w:t>1,453,774</w:t>
      </w:r>
      <w:r w:rsidR="00547867">
        <w:t>,</w:t>
      </w:r>
      <w:r w:rsidRPr="00CB5054">
        <w:t xml:space="preserve"> </w:t>
      </w:r>
      <w:r w:rsidRPr="00AD1097">
        <w:t xml:space="preserve">by </w:t>
      </w:r>
      <w:r w:rsidR="007E26E6">
        <w:t>t</w:t>
      </w:r>
      <w:r w:rsidRPr="00CB5054">
        <w:t>he percentage of new chemical products annually</w:t>
      </w:r>
      <w:r w:rsidR="00794DBD">
        <w:t>,</w:t>
      </w:r>
      <w:r w:rsidRPr="00CB5054">
        <w:t xml:space="preserve"> </w:t>
      </w:r>
      <w:r w:rsidR="007E26E6">
        <w:t xml:space="preserve">which </w:t>
      </w:r>
      <w:r w:rsidRPr="00CB5054">
        <w:t xml:space="preserve">is 8% of the total affected chemical products </w:t>
      </w:r>
      <w:r w:rsidR="007E26E6">
        <w:t xml:space="preserve">= </w:t>
      </w:r>
      <w:r w:rsidR="0037380C">
        <w:t>116,302</w:t>
      </w:r>
      <w:r w:rsidR="007E26E6">
        <w:t xml:space="preserve"> and then multiplying the total by </w:t>
      </w:r>
      <w:r w:rsidR="00D65A7C">
        <w:t xml:space="preserve">the </w:t>
      </w:r>
      <w:r w:rsidR="007E26E6">
        <w:t xml:space="preserve">non-compliance rate </w:t>
      </w:r>
      <w:r w:rsidR="00D65A7C">
        <w:t>of</w:t>
      </w:r>
      <w:r w:rsidR="007E26E6">
        <w:t xml:space="preserve"> 40% =</w:t>
      </w:r>
      <w:r w:rsidRPr="00CB5054">
        <w:t xml:space="preserve"> </w:t>
      </w:r>
      <w:r w:rsidR="00841ECE">
        <w:t>46,521</w:t>
      </w:r>
      <w:r w:rsidRPr="00CB5054">
        <w:t>.</w:t>
      </w:r>
    </w:p>
    <w:p w:rsidR="00001CE2" w:rsidRPr="00CB5054" w:rsidP="00001CE2" w14:paraId="4C454886" w14:textId="77777777">
      <w:pPr>
        <w:pStyle w:val="Default"/>
      </w:pPr>
      <w:r w:rsidRPr="00CB5054">
        <w:t xml:space="preserve"> </w:t>
      </w:r>
    </w:p>
    <w:p w:rsidR="00001CE2" w:rsidRPr="00CB5054" w:rsidP="00001CE2" w14:paraId="18FC2A61" w14:textId="62BD7156">
      <w:pPr>
        <w:pStyle w:val="Default"/>
        <w:ind w:firstLine="720"/>
      </w:pPr>
      <w:r w:rsidRPr="00CB5054">
        <w:rPr>
          <w:b/>
          <w:bCs/>
        </w:rPr>
        <w:t>Burden hours</w:t>
      </w:r>
      <w:r w:rsidRPr="00D639B1">
        <w:rPr>
          <w:bCs/>
        </w:rPr>
        <w:t>:</w:t>
      </w:r>
      <w:r w:rsidRPr="00CB5054">
        <w:rPr>
          <w:b/>
          <w:bCs/>
        </w:rPr>
        <w:t xml:space="preserve"> </w:t>
      </w:r>
      <w:r w:rsidR="00841ECE">
        <w:t>46,521</w:t>
      </w:r>
      <w:r w:rsidRPr="00CB5054" w:rsidR="00E52D86">
        <w:t xml:space="preserve"> </w:t>
      </w:r>
      <w:r w:rsidRPr="00CB5054">
        <w:t xml:space="preserve">new hazardous products x 8 hours = </w:t>
      </w:r>
      <w:r w:rsidR="00841ECE">
        <w:t>372,168</w:t>
      </w:r>
      <w:r w:rsidRPr="00CB5054">
        <w:t xml:space="preserve"> hours </w:t>
      </w:r>
    </w:p>
    <w:p w:rsidR="00395ACA" w:rsidP="002D67A0" w14:paraId="1CF27BB8" w14:textId="3EB0A8ED">
      <w:pPr>
        <w:pStyle w:val="Default"/>
        <w:ind w:left="720" w:firstLine="720"/>
      </w:pPr>
      <w:r>
        <w:rPr>
          <w:b/>
          <w:bCs/>
        </w:rPr>
        <w:t xml:space="preserve">    </w:t>
      </w:r>
      <w:r w:rsidRPr="00CB5054" w:rsidR="00001CE2">
        <w:rPr>
          <w:b/>
          <w:bCs/>
        </w:rPr>
        <w:t>Cost</w:t>
      </w:r>
      <w:r w:rsidRPr="00D639B1" w:rsidR="00001CE2">
        <w:rPr>
          <w:bCs/>
        </w:rPr>
        <w:t>:</w:t>
      </w:r>
      <w:r w:rsidRPr="00CB5054" w:rsidR="00001CE2">
        <w:rPr>
          <w:b/>
          <w:bCs/>
        </w:rPr>
        <w:t xml:space="preserve"> </w:t>
      </w:r>
      <w:r w:rsidR="00841ECE">
        <w:t>372,168</w:t>
      </w:r>
      <w:r w:rsidRPr="00CB5054" w:rsidR="00E52D86">
        <w:t xml:space="preserve"> </w:t>
      </w:r>
      <w:r w:rsidRPr="00CB5054" w:rsidR="00001CE2">
        <w:t xml:space="preserve">hours x </w:t>
      </w:r>
      <w:r w:rsidR="00252B13">
        <w:t>$</w:t>
      </w:r>
      <w:r w:rsidR="00E95AD9">
        <w:t>83.62</w:t>
      </w:r>
      <w:r w:rsidRPr="00CB5054" w:rsidR="00BA18E9">
        <w:t xml:space="preserve"> </w:t>
      </w:r>
      <w:r w:rsidRPr="00CB5054" w:rsidR="00001CE2">
        <w:t>= $</w:t>
      </w:r>
      <w:r w:rsidR="00840A5F">
        <w:t>31,120,688</w:t>
      </w:r>
    </w:p>
    <w:p w:rsidR="00A3588F" w:rsidP="00CD252D" w14:paraId="1D810954" w14:textId="77777777">
      <w:pPr>
        <w:pStyle w:val="Default"/>
      </w:pPr>
    </w:p>
    <w:p w:rsidR="00580BF2" w:rsidRPr="00AB0B90" w:rsidP="00580BF2" w14:paraId="69C145D2" w14:textId="48056147">
      <w:pPr>
        <w:pStyle w:val="Default"/>
        <w:rPr>
          <w:bCs/>
        </w:rPr>
      </w:pPr>
      <w:r>
        <w:rPr>
          <w:b/>
          <w:bCs/>
        </w:rPr>
        <w:t>4</w:t>
      </w:r>
      <w:r w:rsidR="00F806FA">
        <w:rPr>
          <w:b/>
          <w:bCs/>
        </w:rPr>
        <w:t xml:space="preserve">. </w:t>
      </w:r>
      <w:r>
        <w:rPr>
          <w:b/>
          <w:bCs/>
        </w:rPr>
        <w:t xml:space="preserve"> </w:t>
      </w:r>
      <w:r w:rsidRPr="003A15DB">
        <w:rPr>
          <w:b/>
          <w:bCs/>
          <w:color w:val="auto"/>
        </w:rPr>
        <w:t>Revis</w:t>
      </w:r>
      <w:r>
        <w:rPr>
          <w:b/>
          <w:bCs/>
          <w:color w:val="auto"/>
        </w:rPr>
        <w:t>ions</w:t>
      </w:r>
      <w:r w:rsidRPr="003A15DB">
        <w:rPr>
          <w:b/>
          <w:bCs/>
          <w:color w:val="auto"/>
        </w:rPr>
        <w:t xml:space="preserve"> </w:t>
      </w:r>
      <w:r w:rsidR="00992260">
        <w:rPr>
          <w:b/>
          <w:bCs/>
          <w:color w:val="auto"/>
        </w:rPr>
        <w:t xml:space="preserve">to </w:t>
      </w:r>
      <w:r w:rsidRPr="00FF1F12">
        <w:rPr>
          <w:b/>
          <w:bCs/>
        </w:rPr>
        <w:t>SDSs</w:t>
      </w:r>
      <w:r>
        <w:rPr>
          <w:b/>
          <w:bCs/>
        </w:rPr>
        <w:t xml:space="preserve"> and Labels </w:t>
      </w:r>
      <w:r w:rsidRPr="00CB5054" w:rsidR="00B9686B">
        <w:rPr>
          <w:b/>
          <w:bCs/>
        </w:rPr>
        <w:t>(§ 1910.1200(</w:t>
      </w:r>
      <w:r w:rsidR="00992260">
        <w:rPr>
          <w:b/>
          <w:bCs/>
        </w:rPr>
        <w:t>f</w:t>
      </w:r>
      <w:r w:rsidRPr="00CB5054" w:rsidR="00B9686B">
        <w:rPr>
          <w:b/>
          <w:bCs/>
        </w:rPr>
        <w:t>))</w:t>
      </w:r>
      <w:r w:rsidR="00B9686B">
        <w:rPr>
          <w:b/>
          <w:bCs/>
        </w:rPr>
        <w:t xml:space="preserve"> </w:t>
      </w:r>
    </w:p>
    <w:p w:rsidR="00580BF2" w:rsidRPr="00AB0B90" w:rsidP="00580BF2" w14:paraId="36A0769C" w14:textId="77777777">
      <w:pPr>
        <w:pStyle w:val="Default"/>
        <w:rPr>
          <w:bCs/>
        </w:rPr>
      </w:pPr>
    </w:p>
    <w:p w:rsidR="00580BF2" w:rsidP="00580BF2" w14:paraId="44F31909" w14:textId="34AD59B7">
      <w:pPr>
        <w:contextualSpacing/>
        <w:rPr>
          <w:rFonts w:eastAsia="Calibri"/>
          <w:bCs/>
          <w:sz w:val="24"/>
          <w:szCs w:val="24"/>
        </w:rPr>
      </w:pPr>
      <w:r w:rsidRPr="00473AA2">
        <w:rPr>
          <w:rFonts w:eastAsia="Calibri"/>
          <w:bCs/>
          <w:sz w:val="24"/>
          <w:szCs w:val="24"/>
        </w:rPr>
        <w:t xml:space="preserve">The rule requires establishments to revise </w:t>
      </w:r>
      <w:r>
        <w:rPr>
          <w:rFonts w:eastAsia="Calibri"/>
          <w:bCs/>
          <w:sz w:val="24"/>
          <w:szCs w:val="24"/>
        </w:rPr>
        <w:t xml:space="preserve">their electronic templates for </w:t>
      </w:r>
      <w:r w:rsidRPr="00473AA2">
        <w:rPr>
          <w:rFonts w:eastAsia="Calibri"/>
          <w:bCs/>
          <w:sz w:val="24"/>
          <w:szCs w:val="24"/>
        </w:rPr>
        <w:t xml:space="preserve">SDSs and labels to conform to formatting and language criteria in precautionary statements and related mandatory language specified in the Appendices. Under the </w:t>
      </w:r>
      <w:r>
        <w:rPr>
          <w:rFonts w:eastAsia="Calibri"/>
          <w:bCs/>
          <w:sz w:val="24"/>
          <w:szCs w:val="24"/>
        </w:rPr>
        <w:t>final</w:t>
      </w:r>
      <w:r w:rsidRPr="00473AA2">
        <w:rPr>
          <w:rFonts w:eastAsia="Calibri"/>
          <w:bCs/>
          <w:sz w:val="24"/>
          <w:szCs w:val="24"/>
        </w:rPr>
        <w:t xml:space="preserve"> rule, affected establishments must update labels and SDSs for select hazardous chemicals to include </w:t>
      </w:r>
      <w:r>
        <w:rPr>
          <w:rFonts w:eastAsia="Calibri"/>
          <w:bCs/>
          <w:sz w:val="24"/>
          <w:szCs w:val="24"/>
        </w:rPr>
        <w:t>updated product identifier,</w:t>
      </w:r>
      <w:r w:rsidRPr="00473AA2">
        <w:rPr>
          <w:rFonts w:eastAsia="Calibri"/>
          <w:bCs/>
          <w:sz w:val="24"/>
          <w:szCs w:val="24"/>
        </w:rPr>
        <w:t xml:space="preserve"> signal word(s), hazard statement(s), pictogram(s), and precautionary statement(s) for each hazard class and associated hazard category. The </w:t>
      </w:r>
      <w:r w:rsidRPr="007C362C">
        <w:rPr>
          <w:rFonts w:eastAsia="Calibri"/>
          <w:bCs/>
          <w:sz w:val="24"/>
          <w:szCs w:val="24"/>
        </w:rPr>
        <w:t>modification of SDSs and labels under</w:t>
      </w:r>
      <w:r w:rsidRPr="00ED1370">
        <w:rPr>
          <w:rFonts w:eastAsia="Calibri"/>
          <w:bCs/>
          <w:sz w:val="24"/>
          <w:szCs w:val="24"/>
        </w:rPr>
        <w:t xml:space="preserve"> the revisions in </w:t>
      </w:r>
      <w:r w:rsidRPr="007C362C">
        <w:rPr>
          <w:rFonts w:eastAsia="Calibri"/>
          <w:bCs/>
          <w:sz w:val="24"/>
          <w:szCs w:val="24"/>
        </w:rPr>
        <w:t>Appendices C and D</w:t>
      </w:r>
      <w:r w:rsidRPr="00473AA2">
        <w:rPr>
          <w:rFonts w:eastAsia="Calibri"/>
          <w:bCs/>
          <w:sz w:val="24"/>
          <w:szCs w:val="24"/>
        </w:rPr>
        <w:t xml:space="preserve"> involves conforming to formatting and language standards, but does not require any additional testing, studies, or research to be conducted. </w:t>
      </w:r>
      <w:r>
        <w:rPr>
          <w:rFonts w:eastAsia="Calibri"/>
          <w:bCs/>
          <w:sz w:val="24"/>
          <w:szCs w:val="24"/>
        </w:rPr>
        <w:t>C</w:t>
      </w:r>
      <w:r w:rsidRPr="00473AA2">
        <w:rPr>
          <w:rFonts w:eastAsia="Calibri"/>
          <w:bCs/>
          <w:sz w:val="24"/>
          <w:szCs w:val="24"/>
        </w:rPr>
        <w:t xml:space="preserve">hemical manufacturers and importers generally review, revise, and update SDSs and labels periodically. Therefore, there is a regular cycle of change for these documents. The proposed rule requires </w:t>
      </w:r>
      <w:r>
        <w:rPr>
          <w:rFonts w:eastAsia="Calibri"/>
          <w:bCs/>
          <w:sz w:val="24"/>
          <w:szCs w:val="24"/>
        </w:rPr>
        <w:t xml:space="preserve">only </w:t>
      </w:r>
      <w:r w:rsidRPr="00473AA2">
        <w:rPr>
          <w:rFonts w:eastAsia="Calibri"/>
          <w:bCs/>
          <w:sz w:val="24"/>
          <w:szCs w:val="24"/>
        </w:rPr>
        <w:t>minimal changes</w:t>
      </w:r>
      <w:r>
        <w:rPr>
          <w:rFonts w:eastAsia="Calibri"/>
          <w:bCs/>
          <w:sz w:val="24"/>
          <w:szCs w:val="24"/>
        </w:rPr>
        <w:t xml:space="preserve"> to the electronic content of SDSs and labels</w:t>
      </w:r>
      <w:r w:rsidRPr="00473AA2">
        <w:rPr>
          <w:rFonts w:eastAsia="Calibri"/>
          <w:bCs/>
          <w:sz w:val="24"/>
          <w:szCs w:val="24"/>
        </w:rPr>
        <w:t xml:space="preserve">, and OSHA expects that the phase-in period </w:t>
      </w:r>
      <w:r>
        <w:rPr>
          <w:rFonts w:eastAsia="Calibri"/>
          <w:bCs/>
          <w:sz w:val="24"/>
          <w:szCs w:val="24"/>
        </w:rPr>
        <w:t>for the proposed changes to the standard would allow</w:t>
      </w:r>
      <w:r w:rsidRPr="00473AA2">
        <w:rPr>
          <w:rFonts w:eastAsia="Calibri"/>
          <w:bCs/>
          <w:sz w:val="24"/>
          <w:szCs w:val="24"/>
        </w:rPr>
        <w:t xml:space="preserve"> chemical manufacturers and importers to take advantage of the normal cycle of change to phase in the revisions for their products</w:t>
      </w:r>
      <w:r>
        <w:rPr>
          <w:rFonts w:eastAsia="Calibri"/>
          <w:bCs/>
          <w:sz w:val="24"/>
          <w:szCs w:val="24"/>
        </w:rPr>
        <w:t>,</w:t>
      </w:r>
      <w:r w:rsidRPr="00473AA2">
        <w:rPr>
          <w:rFonts w:eastAsia="Calibri"/>
          <w:bCs/>
          <w:sz w:val="24"/>
          <w:szCs w:val="24"/>
        </w:rPr>
        <w:t xml:space="preserve"> </w:t>
      </w:r>
      <w:r>
        <w:rPr>
          <w:rFonts w:eastAsia="Calibri"/>
          <w:bCs/>
          <w:sz w:val="24"/>
          <w:szCs w:val="24"/>
        </w:rPr>
        <w:t>and therefore that it would not be necessary to replace existing labels or SDSs</w:t>
      </w:r>
      <w:r w:rsidRPr="00473AA2">
        <w:rPr>
          <w:rFonts w:eastAsia="Calibri"/>
          <w:bCs/>
          <w:sz w:val="24"/>
          <w:szCs w:val="24"/>
        </w:rPr>
        <w:t>.</w:t>
      </w:r>
    </w:p>
    <w:p w:rsidR="00580BF2" w:rsidRPr="00473AA2" w:rsidP="00580BF2" w14:paraId="3D144A5B" w14:textId="77777777">
      <w:pPr>
        <w:contextualSpacing/>
        <w:rPr>
          <w:rFonts w:eastAsia="Calibri"/>
          <w:bCs/>
          <w:sz w:val="24"/>
          <w:szCs w:val="24"/>
        </w:rPr>
      </w:pPr>
    </w:p>
    <w:p w:rsidR="00580BF2" w:rsidP="00580BF2" w14:paraId="4E7567F7" w14:textId="6F370C51">
      <w:pPr>
        <w:pStyle w:val="Default"/>
      </w:pPr>
      <w:r w:rsidRPr="002D7018">
        <w:t xml:space="preserve">Labels - Chemical manufacturers, importers, distributors, or employers who become newly aware of any significant information regarding the hazards of a chemical must revise the labels for the chemical within six months of becoming aware of the new </w:t>
      </w:r>
      <w:r w:rsidRPr="002D7018" w:rsidR="008757B6">
        <w:t>information and</w:t>
      </w:r>
      <w:r w:rsidRPr="002D7018">
        <w:t xml:space="preserve"> must ensure that labels on containers of hazardous chemicals shipped after that time contain the new information.</w:t>
      </w:r>
    </w:p>
    <w:p w:rsidR="00580BF2" w:rsidRPr="002D7018" w:rsidP="00580BF2" w14:paraId="09223F95" w14:textId="77777777">
      <w:pPr>
        <w:pStyle w:val="Default"/>
      </w:pPr>
    </w:p>
    <w:p w:rsidR="00580BF2" w:rsidP="00580BF2" w14:paraId="01EDEA3C" w14:textId="60F9CE58">
      <w:pPr>
        <w:pStyle w:val="Default"/>
      </w:pPr>
      <w:r w:rsidRPr="002D7018">
        <w:t>SDS</w:t>
      </w:r>
      <w:r w:rsidR="0024071C">
        <w:t>s</w:t>
      </w:r>
      <w:r w:rsidRPr="002D7018">
        <w:t xml:space="preserve"> - Chemical manufacturers, importers, distributors, or employers who become newly aware of any significant information regarding the hazards of a chemical must revise the SDS for the chemical within </w:t>
      </w:r>
      <w:r>
        <w:t>three</w:t>
      </w:r>
      <w:r w:rsidRPr="002D7018">
        <w:t xml:space="preserve"> months of becoming aware of the new </w:t>
      </w:r>
      <w:r w:rsidRPr="002D7018" w:rsidR="001F60A7">
        <w:t>information and</w:t>
      </w:r>
      <w:r w:rsidRPr="002D7018">
        <w:t xml:space="preserve"> must ensure that SDSs of hazardous chemicals shipped after that time contain the new information.</w:t>
      </w:r>
    </w:p>
    <w:p w:rsidR="00580BF2" w:rsidP="00580BF2" w14:paraId="1F3FAEA1" w14:textId="77777777">
      <w:pPr>
        <w:pStyle w:val="Default"/>
      </w:pPr>
    </w:p>
    <w:p w:rsidR="00580BF2" w:rsidRPr="00AB0B90" w:rsidP="00580BF2" w14:paraId="691B1E1F" w14:textId="6B2D5FE8">
      <w:pPr>
        <w:pStyle w:val="Default"/>
        <w:jc w:val="center"/>
        <w:rPr>
          <w:sz w:val="23"/>
          <w:szCs w:val="23"/>
        </w:rPr>
      </w:pPr>
      <w:r w:rsidRPr="00F5356F">
        <w:rPr>
          <w:b/>
          <w:bCs/>
          <w:sz w:val="23"/>
          <w:szCs w:val="23"/>
        </w:rPr>
        <w:t xml:space="preserve">Table </w:t>
      </w:r>
      <w:r>
        <w:rPr>
          <w:b/>
          <w:bCs/>
          <w:sz w:val="23"/>
          <w:szCs w:val="23"/>
        </w:rPr>
        <w:t>2</w:t>
      </w:r>
      <w:r w:rsidRPr="00AB0B90">
        <w:rPr>
          <w:b/>
          <w:bCs/>
          <w:sz w:val="23"/>
          <w:szCs w:val="23"/>
        </w:rPr>
        <w:t xml:space="preserve"> - Burden Hours and Costs for Revisions</w:t>
      </w:r>
      <w:r>
        <w:rPr>
          <w:b/>
          <w:bCs/>
          <w:sz w:val="23"/>
          <w:szCs w:val="23"/>
        </w:rPr>
        <w:t xml:space="preserve"> </w:t>
      </w:r>
      <w:r w:rsidR="001F60A7">
        <w:rPr>
          <w:b/>
          <w:bCs/>
          <w:sz w:val="23"/>
          <w:szCs w:val="23"/>
        </w:rPr>
        <w:t>to</w:t>
      </w:r>
    </w:p>
    <w:p w:rsidR="00580BF2" w:rsidP="00580BF2" w14:paraId="505F6E9E" w14:textId="77777777">
      <w:pPr>
        <w:shd w:val="solid" w:color="FFFFFF" w:fill="FFFFFF"/>
        <w:jc w:val="center"/>
        <w:rPr>
          <w:b/>
          <w:bCs/>
          <w:color w:val="000000"/>
          <w:sz w:val="23"/>
          <w:szCs w:val="23"/>
        </w:rPr>
      </w:pPr>
      <w:r w:rsidRPr="00AB0B90">
        <w:rPr>
          <w:b/>
          <w:bCs/>
          <w:color w:val="000000"/>
          <w:sz w:val="23"/>
          <w:szCs w:val="23"/>
        </w:rPr>
        <w:t xml:space="preserve"> Safety Data Sheets and Labeling Requirements</w:t>
      </w:r>
    </w:p>
    <w:p w:rsidR="00580BF2" w:rsidRPr="00AB0B90" w:rsidP="00580BF2" w14:paraId="782377B1" w14:textId="77777777">
      <w:pPr>
        <w:shd w:val="solid" w:color="FFFFFF" w:fill="FFFFFF"/>
        <w:jc w:val="center"/>
        <w:rPr>
          <w:b/>
          <w:bCs/>
          <w:color w:val="000000"/>
          <w:sz w:val="24"/>
          <w:szCs w:val="24"/>
        </w:rPr>
      </w:pPr>
    </w:p>
    <w:tbl>
      <w:tblPr>
        <w:tblpPr w:leftFromText="180" w:rightFromText="180" w:vertAnchor="text" w:horzAnchor="page" w:tblpX="1192" w:tblpY="112"/>
        <w:tblW w:w="9914" w:type="dxa"/>
        <w:tblLayout w:type="fixed"/>
        <w:tblLook w:val="0000"/>
      </w:tblPr>
      <w:tblGrid>
        <w:gridCol w:w="1635"/>
        <w:gridCol w:w="1129"/>
        <w:gridCol w:w="1281"/>
        <w:gridCol w:w="1170"/>
        <w:gridCol w:w="1099"/>
        <w:gridCol w:w="1200"/>
        <w:gridCol w:w="1000"/>
        <w:gridCol w:w="1400"/>
      </w:tblGrid>
      <w:tr w14:paraId="6A03134B" w14:textId="77777777" w:rsidTr="00781E36">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DEEAF6"/>
            <w:noWrap/>
            <w:vAlign w:val="bottom"/>
          </w:tcPr>
          <w:p w:rsidR="00083D03" w:rsidRPr="00AB0B90" w:rsidP="00083D03" w14:paraId="5D007A71" w14:textId="77777777">
            <w:pPr>
              <w:widowControl/>
              <w:overflowPunct/>
              <w:autoSpaceDE/>
              <w:autoSpaceDN/>
              <w:adjustRightInd/>
              <w:rPr>
                <w:b/>
                <w:color w:val="000000"/>
                <w:kern w:val="0"/>
              </w:rPr>
            </w:pPr>
            <w:r w:rsidRPr="00AB0B90">
              <w:rPr>
                <w:b/>
                <w:color w:val="000000"/>
                <w:kern w:val="0"/>
              </w:rPr>
              <w:t>Establishment Size</w:t>
            </w:r>
          </w:p>
        </w:tc>
        <w:tc>
          <w:tcPr>
            <w:tcW w:w="1129"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083D03" w:rsidRPr="00AB0B90" w:rsidP="00781E36" w14:paraId="76662F1E" w14:textId="77777777">
            <w:pPr>
              <w:widowControl/>
              <w:overflowPunct/>
              <w:autoSpaceDE/>
              <w:autoSpaceDN/>
              <w:adjustRightInd/>
              <w:jc w:val="center"/>
              <w:rPr>
                <w:b/>
                <w:color w:val="000000"/>
                <w:kern w:val="0"/>
              </w:rPr>
            </w:pPr>
            <w:r w:rsidRPr="00AB0B90">
              <w:rPr>
                <w:b/>
                <w:color w:val="000000"/>
                <w:kern w:val="0"/>
              </w:rPr>
              <w:t># of SDSs</w:t>
            </w:r>
          </w:p>
        </w:tc>
        <w:tc>
          <w:tcPr>
            <w:tcW w:w="1281"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083D03" w:rsidRPr="00AB0B90" w:rsidP="00781E36" w14:paraId="492A8B95" w14:textId="77777777">
            <w:pPr>
              <w:widowControl/>
              <w:overflowPunct/>
              <w:autoSpaceDE/>
              <w:autoSpaceDN/>
              <w:adjustRightInd/>
              <w:jc w:val="center"/>
              <w:rPr>
                <w:b/>
                <w:color w:val="000000"/>
                <w:kern w:val="0"/>
              </w:rPr>
            </w:pPr>
            <w:r w:rsidRPr="00AB0B90">
              <w:rPr>
                <w:b/>
                <w:color w:val="000000"/>
                <w:kern w:val="0"/>
              </w:rPr>
              <w:t>% Not in Compliance</w:t>
            </w:r>
          </w:p>
        </w:tc>
        <w:tc>
          <w:tcPr>
            <w:tcW w:w="1170" w:type="dxa"/>
            <w:tcBorders>
              <w:top w:val="single" w:sz="4" w:space="0" w:color="auto"/>
              <w:left w:val="single" w:sz="4" w:space="0" w:color="auto"/>
              <w:bottom w:val="single" w:sz="4" w:space="0" w:color="auto"/>
              <w:right w:val="single" w:sz="4" w:space="0" w:color="auto"/>
            </w:tcBorders>
            <w:shd w:val="clear" w:color="auto" w:fill="DEEAF6"/>
            <w:vAlign w:val="center"/>
          </w:tcPr>
          <w:p w:rsidR="00083D03" w:rsidRPr="00AB0B90" w:rsidP="00781E36" w14:paraId="0039AC5F" w14:textId="77777777">
            <w:pPr>
              <w:widowControl/>
              <w:overflowPunct/>
              <w:autoSpaceDE/>
              <w:autoSpaceDN/>
              <w:adjustRightInd/>
              <w:jc w:val="center"/>
              <w:rPr>
                <w:b/>
                <w:color w:val="000000"/>
                <w:kern w:val="0"/>
              </w:rPr>
            </w:pPr>
            <w:r>
              <w:rPr>
                <w:b/>
                <w:color w:val="000000"/>
                <w:kern w:val="0"/>
              </w:rPr>
              <w:t>Total Responses</w:t>
            </w:r>
          </w:p>
        </w:tc>
        <w:tc>
          <w:tcPr>
            <w:tcW w:w="1099" w:type="dxa"/>
            <w:tcBorders>
              <w:top w:val="single" w:sz="4" w:space="0" w:color="auto"/>
              <w:left w:val="single" w:sz="4" w:space="0" w:color="auto"/>
              <w:bottom w:val="single" w:sz="4" w:space="0" w:color="auto"/>
              <w:right w:val="single" w:sz="4" w:space="0" w:color="auto"/>
            </w:tcBorders>
            <w:shd w:val="clear" w:color="auto" w:fill="DEEAF6"/>
            <w:vAlign w:val="center"/>
          </w:tcPr>
          <w:p w:rsidR="00083D03" w:rsidRPr="00AB0B90" w:rsidP="00781E36" w14:paraId="3F9678CD" w14:textId="77777777">
            <w:pPr>
              <w:widowControl/>
              <w:overflowPunct/>
              <w:autoSpaceDE/>
              <w:autoSpaceDN/>
              <w:adjustRightInd/>
              <w:jc w:val="center"/>
              <w:rPr>
                <w:b/>
                <w:color w:val="000000"/>
                <w:kern w:val="0"/>
              </w:rPr>
            </w:pPr>
            <w:r>
              <w:rPr>
                <w:b/>
                <w:color w:val="000000"/>
                <w:kern w:val="0"/>
              </w:rPr>
              <w:t>Time per Response</w:t>
            </w:r>
          </w:p>
        </w:tc>
        <w:tc>
          <w:tcPr>
            <w:tcW w:w="120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083D03" w:rsidRPr="00AB0B90" w:rsidP="00781E36" w14:paraId="0AA52479" w14:textId="77777777">
            <w:pPr>
              <w:widowControl/>
              <w:overflowPunct/>
              <w:autoSpaceDE/>
              <w:autoSpaceDN/>
              <w:adjustRightInd/>
              <w:jc w:val="center"/>
              <w:rPr>
                <w:b/>
                <w:color w:val="000000"/>
                <w:kern w:val="0"/>
              </w:rPr>
            </w:pPr>
            <w:r w:rsidRPr="00AB0B90">
              <w:rPr>
                <w:b/>
                <w:color w:val="000000"/>
                <w:kern w:val="0"/>
              </w:rPr>
              <w:t>Total Burden Hours</w:t>
            </w:r>
          </w:p>
        </w:tc>
        <w:tc>
          <w:tcPr>
            <w:tcW w:w="100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083D03" w:rsidRPr="00AB0B90" w:rsidP="00781E36" w14:paraId="7C74E934" w14:textId="0D57A1EA">
            <w:pPr>
              <w:widowControl/>
              <w:overflowPunct/>
              <w:autoSpaceDE/>
              <w:autoSpaceDN/>
              <w:adjustRightInd/>
              <w:jc w:val="center"/>
              <w:rPr>
                <w:b/>
                <w:color w:val="000000"/>
                <w:kern w:val="0"/>
              </w:rPr>
            </w:pPr>
            <w:r>
              <w:rPr>
                <w:b/>
                <w:color w:val="000000"/>
                <w:kern w:val="0"/>
              </w:rPr>
              <w:t>Loaded</w:t>
            </w:r>
            <w:r w:rsidR="00966F46">
              <w:rPr>
                <w:b/>
                <w:color w:val="000000"/>
                <w:kern w:val="0"/>
              </w:rPr>
              <w:t xml:space="preserve"> </w:t>
            </w:r>
            <w:r w:rsidRPr="00AB0B90">
              <w:rPr>
                <w:b/>
                <w:color w:val="000000"/>
                <w:kern w:val="0"/>
              </w:rPr>
              <w:t>Hourly Wage</w:t>
            </w:r>
          </w:p>
        </w:tc>
        <w:tc>
          <w:tcPr>
            <w:tcW w:w="140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083D03" w:rsidRPr="00AB0B90" w:rsidP="00781E36" w14:paraId="2C237963" w14:textId="77777777">
            <w:pPr>
              <w:widowControl/>
              <w:overflowPunct/>
              <w:autoSpaceDE/>
              <w:autoSpaceDN/>
              <w:adjustRightInd/>
              <w:jc w:val="center"/>
              <w:rPr>
                <w:b/>
                <w:color w:val="000000"/>
                <w:kern w:val="0"/>
              </w:rPr>
            </w:pPr>
            <w:r w:rsidRPr="00AB0B90">
              <w:rPr>
                <w:b/>
                <w:color w:val="000000"/>
                <w:kern w:val="0"/>
              </w:rPr>
              <w:t>Total Burden Cost</w:t>
            </w:r>
          </w:p>
        </w:tc>
      </w:tr>
      <w:tr w14:paraId="2061D165" w14:textId="77777777" w:rsidTr="00083D03">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2B6F7208" w14:textId="77777777">
            <w:pPr>
              <w:widowControl/>
              <w:overflowPunct/>
              <w:autoSpaceDE/>
              <w:autoSpaceDN/>
              <w:adjustRightInd/>
              <w:rPr>
                <w:color w:val="000000"/>
                <w:kern w:val="0"/>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6D766F1A" w14:textId="77777777">
            <w:pPr>
              <w:widowControl/>
              <w:overflowPunct/>
              <w:autoSpaceDE/>
              <w:autoSpaceDN/>
              <w:adjustRightInd/>
              <w:rPr>
                <w:color w:val="000000"/>
                <w:kern w:val="0"/>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73911C3F" w14:textId="77777777">
            <w:pPr>
              <w:widowControl/>
              <w:overflowPunct/>
              <w:autoSpaceDE/>
              <w:autoSpaceDN/>
              <w:adjustRightInd/>
              <w:rPr>
                <w:color w:val="000000"/>
                <w:kern w:val="0"/>
              </w:rPr>
            </w:pPr>
          </w:p>
        </w:tc>
        <w:tc>
          <w:tcPr>
            <w:tcW w:w="1170" w:type="dxa"/>
            <w:tcBorders>
              <w:top w:val="single" w:sz="4" w:space="0" w:color="auto"/>
              <w:left w:val="single" w:sz="4" w:space="0" w:color="auto"/>
              <w:bottom w:val="single" w:sz="4" w:space="0" w:color="auto"/>
              <w:right w:val="single" w:sz="4" w:space="0" w:color="auto"/>
            </w:tcBorders>
            <w:vAlign w:val="bottom"/>
          </w:tcPr>
          <w:p w:rsidR="00083D03" w:rsidRPr="00AB0B90" w:rsidP="00083D03" w14:paraId="20F59AFE" w14:textId="77777777">
            <w:pPr>
              <w:widowControl/>
              <w:overflowPunct/>
              <w:autoSpaceDE/>
              <w:autoSpaceDN/>
              <w:adjustRightInd/>
              <w:rPr>
                <w:color w:val="000000"/>
                <w:kern w:val="0"/>
              </w:rPr>
            </w:pPr>
          </w:p>
        </w:tc>
        <w:tc>
          <w:tcPr>
            <w:tcW w:w="1099" w:type="dxa"/>
            <w:tcBorders>
              <w:top w:val="single" w:sz="4" w:space="0" w:color="auto"/>
              <w:left w:val="single" w:sz="4" w:space="0" w:color="auto"/>
              <w:bottom w:val="single" w:sz="4" w:space="0" w:color="auto"/>
              <w:right w:val="single" w:sz="4" w:space="0" w:color="auto"/>
            </w:tcBorders>
            <w:vAlign w:val="bottom"/>
          </w:tcPr>
          <w:p w:rsidR="00083D03" w:rsidRPr="00AB0B90" w:rsidP="00083D03" w14:paraId="0947D0BA" w14:textId="77777777">
            <w:pPr>
              <w:widowControl/>
              <w:overflowPunct/>
              <w:autoSpaceDE/>
              <w:autoSpaceDN/>
              <w:adjustRightInd/>
              <w:rPr>
                <w:color w:val="000000"/>
                <w:kern w:val="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231F29DE" w14:textId="77777777">
            <w:pPr>
              <w:widowControl/>
              <w:overflowPunct/>
              <w:autoSpaceDE/>
              <w:autoSpaceDN/>
              <w:adjustRightInd/>
              <w:rPr>
                <w:color w:val="000000"/>
                <w:kern w:val="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7D95E942" w14:textId="77777777">
            <w:pPr>
              <w:widowControl/>
              <w:overflowPunct/>
              <w:autoSpaceDE/>
              <w:autoSpaceDN/>
              <w:adjustRightInd/>
              <w:rPr>
                <w:color w:val="000000"/>
                <w:kern w:val="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7B229158" w14:textId="77777777">
            <w:pPr>
              <w:widowControl/>
              <w:overflowPunct/>
              <w:autoSpaceDE/>
              <w:autoSpaceDN/>
              <w:adjustRightInd/>
              <w:rPr>
                <w:color w:val="000000"/>
                <w:kern w:val="0"/>
              </w:rPr>
            </w:pPr>
          </w:p>
        </w:tc>
      </w:tr>
      <w:tr w14:paraId="3185FE0E" w14:textId="77777777" w:rsidTr="00781E36">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36864E26" w14:textId="77777777">
            <w:pPr>
              <w:widowControl/>
              <w:overflowPunct/>
              <w:autoSpaceDE/>
              <w:autoSpaceDN/>
              <w:adjustRightInd/>
              <w:rPr>
                <w:color w:val="000000"/>
                <w:kern w:val="0"/>
              </w:rPr>
            </w:pPr>
            <w:r w:rsidRPr="00AB0B90">
              <w:rPr>
                <w:color w:val="000000"/>
                <w:kern w:val="0"/>
              </w:rPr>
              <w:t>1-19</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5970DF8B" w14:textId="77777777">
            <w:pPr>
              <w:widowControl/>
              <w:overflowPunct/>
              <w:autoSpaceDE/>
              <w:autoSpaceDN/>
              <w:adjustRightInd/>
              <w:jc w:val="right"/>
              <w:rPr>
                <w:color w:val="000000"/>
                <w:kern w:val="0"/>
              </w:rPr>
            </w:pPr>
            <w:r>
              <w:rPr>
                <w:color w:val="000000"/>
                <w:kern w:val="0"/>
              </w:rPr>
              <w:t>97,861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5A3CCC3C" w14:textId="77777777">
            <w:pPr>
              <w:widowControl/>
              <w:overflowPunct/>
              <w:autoSpaceDE/>
              <w:autoSpaceDN/>
              <w:adjustRightInd/>
              <w:jc w:val="right"/>
              <w:rPr>
                <w:color w:val="000000"/>
                <w:kern w:val="0"/>
              </w:rPr>
            </w:pPr>
            <w:r w:rsidRPr="00AB0B90">
              <w:rPr>
                <w:color w:val="000000"/>
                <w:kern w:val="0"/>
              </w:rPr>
              <w:t>99%</w:t>
            </w:r>
          </w:p>
        </w:tc>
        <w:tc>
          <w:tcPr>
            <w:tcW w:w="1170" w:type="dxa"/>
            <w:tcBorders>
              <w:top w:val="single" w:sz="4" w:space="0" w:color="auto"/>
              <w:left w:val="single" w:sz="4" w:space="0" w:color="auto"/>
              <w:bottom w:val="single" w:sz="4" w:space="0" w:color="auto"/>
              <w:right w:val="single" w:sz="4" w:space="0" w:color="auto"/>
            </w:tcBorders>
            <w:vAlign w:val="bottom"/>
          </w:tcPr>
          <w:p w:rsidR="00DF11A8" w:rsidRPr="00AB0B90" w:rsidP="00DF11A8" w14:paraId="6973F37C" w14:textId="77777777">
            <w:pPr>
              <w:widowControl/>
              <w:overflowPunct/>
              <w:autoSpaceDE/>
              <w:autoSpaceDN/>
              <w:adjustRightInd/>
              <w:jc w:val="right"/>
              <w:rPr>
                <w:color w:val="000000"/>
                <w:kern w:val="0"/>
              </w:rPr>
            </w:pPr>
            <w:r>
              <w:rPr>
                <w:color w:val="000000"/>
                <w:kern w:val="0"/>
              </w:rPr>
              <w:t>96,882</w:t>
            </w:r>
          </w:p>
        </w:tc>
        <w:tc>
          <w:tcPr>
            <w:tcW w:w="1099" w:type="dxa"/>
            <w:tcBorders>
              <w:top w:val="single" w:sz="4" w:space="0" w:color="auto"/>
              <w:left w:val="single" w:sz="4" w:space="0" w:color="auto"/>
              <w:bottom w:val="single" w:sz="4" w:space="0" w:color="auto"/>
              <w:right w:val="single" w:sz="4" w:space="0" w:color="auto"/>
            </w:tcBorders>
            <w:vAlign w:val="center"/>
          </w:tcPr>
          <w:p w:rsidR="00DF11A8" w:rsidRPr="00626829" w:rsidP="00DF11A8" w14:paraId="2050C626" w14:textId="77777777">
            <w:pPr>
              <w:widowControl/>
              <w:overflowPunct/>
              <w:autoSpaceDE/>
              <w:autoSpaceDN/>
              <w:adjustRightInd/>
              <w:jc w:val="right"/>
              <w:rPr>
                <w:color w:val="000000"/>
                <w:kern w:val="0"/>
              </w:rPr>
            </w:pPr>
            <w:r w:rsidRPr="00781E36">
              <w:t>0.70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55CE5B12" w14:textId="77777777">
            <w:pPr>
              <w:widowControl/>
              <w:overflowPunct/>
              <w:autoSpaceDE/>
              <w:autoSpaceDN/>
              <w:adjustRightInd/>
              <w:jc w:val="right"/>
              <w:rPr>
                <w:color w:val="000000"/>
                <w:kern w:val="0"/>
              </w:rPr>
            </w:pPr>
            <w:r w:rsidRPr="00781E36">
              <w:rPr>
                <w:color w:val="000000"/>
              </w:rPr>
              <w:t>67,818</w:t>
            </w:r>
          </w:p>
        </w:tc>
        <w:tc>
          <w:tcPr>
            <w:tcW w:w="1000" w:type="dxa"/>
            <w:tcBorders>
              <w:top w:val="single" w:sz="4" w:space="0" w:color="auto"/>
              <w:left w:val="single" w:sz="4" w:space="0" w:color="auto"/>
              <w:bottom w:val="single" w:sz="4" w:space="0" w:color="auto"/>
              <w:right w:val="single" w:sz="4" w:space="0" w:color="auto"/>
            </w:tcBorders>
            <w:shd w:val="clear" w:color="auto" w:fill="auto"/>
            <w:noWrap/>
          </w:tcPr>
          <w:p w:rsidR="00DF11A8" w:rsidRPr="00626829" w:rsidP="00DF11A8" w14:paraId="6888B560" w14:textId="27FB3874">
            <w:pPr>
              <w:widowControl/>
              <w:overflowPunct/>
              <w:autoSpaceDE/>
              <w:autoSpaceDN/>
              <w:adjustRightInd/>
              <w:jc w:val="right"/>
              <w:rPr>
                <w:color w:val="000000"/>
                <w:kern w:val="0"/>
              </w:rPr>
            </w:pPr>
            <w:r w:rsidRPr="00626829">
              <w:t>$61.18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5FA31D08" w14:textId="0BAFE97E">
            <w:pPr>
              <w:widowControl/>
              <w:overflowPunct/>
              <w:autoSpaceDE/>
              <w:autoSpaceDN/>
              <w:adjustRightInd/>
              <w:jc w:val="right"/>
              <w:rPr>
                <w:color w:val="000000"/>
                <w:kern w:val="0"/>
              </w:rPr>
            </w:pPr>
            <w:r w:rsidRPr="00781E36">
              <w:rPr>
                <w:color w:val="000000"/>
              </w:rPr>
              <w:t>$4,</w:t>
            </w:r>
            <w:r w:rsidR="00ED068D">
              <w:rPr>
                <w:color w:val="000000"/>
              </w:rPr>
              <w:t>096,</w:t>
            </w:r>
            <w:r w:rsidR="00E168AF">
              <w:rPr>
                <w:color w:val="000000"/>
              </w:rPr>
              <w:t>534</w:t>
            </w:r>
          </w:p>
        </w:tc>
      </w:tr>
      <w:tr w14:paraId="117F3ECC" w14:textId="77777777" w:rsidTr="00781E36">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2F9FC2DB" w14:textId="77777777">
            <w:pPr>
              <w:widowControl/>
              <w:overflowPunct/>
              <w:autoSpaceDE/>
              <w:autoSpaceDN/>
              <w:adjustRightInd/>
              <w:rPr>
                <w:color w:val="000000"/>
                <w:kern w:val="0"/>
              </w:rPr>
            </w:pPr>
            <w:r w:rsidRPr="00AB0B90">
              <w:rPr>
                <w:color w:val="000000"/>
                <w:kern w:val="0"/>
              </w:rPr>
              <w:t>20-99</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1F031CEF" w14:textId="77777777">
            <w:pPr>
              <w:widowControl/>
              <w:overflowPunct/>
              <w:autoSpaceDE/>
              <w:autoSpaceDN/>
              <w:adjustRightInd/>
              <w:jc w:val="right"/>
              <w:rPr>
                <w:color w:val="000000"/>
                <w:kern w:val="0"/>
              </w:rPr>
            </w:pPr>
            <w:r>
              <w:rPr>
                <w:color w:val="000000"/>
                <w:kern w:val="0"/>
              </w:rPr>
              <w:t>118,360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5579BA57" w14:textId="77777777">
            <w:pPr>
              <w:widowControl/>
              <w:overflowPunct/>
              <w:autoSpaceDE/>
              <w:autoSpaceDN/>
              <w:adjustRightInd/>
              <w:jc w:val="right"/>
              <w:rPr>
                <w:color w:val="000000"/>
                <w:kern w:val="0"/>
              </w:rPr>
            </w:pPr>
            <w:r w:rsidRPr="00AB0B90">
              <w:rPr>
                <w:color w:val="000000"/>
                <w:kern w:val="0"/>
              </w:rPr>
              <w:t>95%</w:t>
            </w:r>
          </w:p>
        </w:tc>
        <w:tc>
          <w:tcPr>
            <w:tcW w:w="1170" w:type="dxa"/>
            <w:tcBorders>
              <w:top w:val="single" w:sz="4" w:space="0" w:color="auto"/>
              <w:left w:val="single" w:sz="4" w:space="0" w:color="auto"/>
              <w:bottom w:val="single" w:sz="4" w:space="0" w:color="auto"/>
              <w:right w:val="single" w:sz="4" w:space="0" w:color="auto"/>
            </w:tcBorders>
            <w:vAlign w:val="bottom"/>
          </w:tcPr>
          <w:p w:rsidR="00DF11A8" w:rsidRPr="00AB0B90" w:rsidP="00DF11A8" w14:paraId="39EE7A51" w14:textId="77777777">
            <w:pPr>
              <w:widowControl/>
              <w:overflowPunct/>
              <w:autoSpaceDE/>
              <w:autoSpaceDN/>
              <w:adjustRightInd/>
              <w:jc w:val="right"/>
              <w:rPr>
                <w:color w:val="000000"/>
                <w:kern w:val="0"/>
              </w:rPr>
            </w:pPr>
            <w:r>
              <w:rPr>
                <w:color w:val="000000"/>
                <w:kern w:val="0"/>
              </w:rPr>
              <w:t>112,442</w:t>
            </w:r>
          </w:p>
        </w:tc>
        <w:tc>
          <w:tcPr>
            <w:tcW w:w="1099" w:type="dxa"/>
            <w:tcBorders>
              <w:top w:val="single" w:sz="4" w:space="0" w:color="auto"/>
              <w:left w:val="single" w:sz="4" w:space="0" w:color="auto"/>
              <w:bottom w:val="single" w:sz="4" w:space="0" w:color="auto"/>
              <w:right w:val="single" w:sz="4" w:space="0" w:color="auto"/>
            </w:tcBorders>
            <w:vAlign w:val="center"/>
          </w:tcPr>
          <w:p w:rsidR="00DF11A8" w:rsidRPr="00626829" w:rsidP="00DF11A8" w14:paraId="0CD73FAF" w14:textId="77777777">
            <w:pPr>
              <w:widowControl/>
              <w:overflowPunct/>
              <w:autoSpaceDE/>
              <w:autoSpaceDN/>
              <w:adjustRightInd/>
              <w:jc w:val="right"/>
              <w:rPr>
                <w:color w:val="000000"/>
                <w:kern w:val="0"/>
              </w:rPr>
            </w:pPr>
            <w:r w:rsidRPr="00781E36">
              <w:t>0.70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38B2D047" w14:textId="77777777">
            <w:pPr>
              <w:widowControl/>
              <w:overflowPunct/>
              <w:autoSpaceDE/>
              <w:autoSpaceDN/>
              <w:adjustRightInd/>
              <w:jc w:val="right"/>
              <w:rPr>
                <w:color w:val="000000"/>
                <w:kern w:val="0"/>
              </w:rPr>
            </w:pPr>
            <w:r w:rsidRPr="00626829">
              <w:rPr>
                <w:color w:val="000000"/>
                <w:kern w:val="0"/>
              </w:rPr>
              <w:t>78,709</w:t>
            </w:r>
          </w:p>
        </w:tc>
        <w:tc>
          <w:tcPr>
            <w:tcW w:w="1000" w:type="dxa"/>
            <w:tcBorders>
              <w:top w:val="single" w:sz="4" w:space="0" w:color="auto"/>
              <w:left w:val="single" w:sz="4" w:space="0" w:color="auto"/>
              <w:bottom w:val="single" w:sz="4" w:space="0" w:color="auto"/>
              <w:right w:val="single" w:sz="4" w:space="0" w:color="auto"/>
            </w:tcBorders>
            <w:shd w:val="clear" w:color="auto" w:fill="auto"/>
            <w:noWrap/>
          </w:tcPr>
          <w:p w:rsidR="00DF11A8" w:rsidRPr="00626829" w:rsidP="00DF11A8" w14:paraId="3EECF402" w14:textId="1228A82B">
            <w:pPr>
              <w:widowControl/>
              <w:overflowPunct/>
              <w:autoSpaceDE/>
              <w:autoSpaceDN/>
              <w:adjustRightInd/>
              <w:jc w:val="right"/>
              <w:rPr>
                <w:color w:val="000000"/>
                <w:kern w:val="0"/>
              </w:rPr>
            </w:pPr>
            <w:r w:rsidRPr="00626829">
              <w:t>$61.18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2359BDC1" w14:textId="5CBCFA8D">
            <w:pPr>
              <w:widowControl/>
              <w:overflowPunct/>
              <w:autoSpaceDE/>
              <w:autoSpaceDN/>
              <w:adjustRightInd/>
              <w:jc w:val="right"/>
              <w:rPr>
                <w:color w:val="000000"/>
                <w:kern w:val="0"/>
              </w:rPr>
            </w:pPr>
            <w:r w:rsidRPr="00781E36">
              <w:rPr>
                <w:color w:val="000000"/>
              </w:rPr>
              <w:t>$4,</w:t>
            </w:r>
            <w:r w:rsidR="00E168AF">
              <w:rPr>
                <w:color w:val="000000"/>
              </w:rPr>
              <w:t>754,450</w:t>
            </w:r>
          </w:p>
        </w:tc>
      </w:tr>
      <w:tr w14:paraId="5850A0A5" w14:textId="77777777" w:rsidTr="00781E36">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3007EA6B" w14:textId="77777777">
            <w:pPr>
              <w:widowControl/>
              <w:overflowPunct/>
              <w:autoSpaceDE/>
              <w:autoSpaceDN/>
              <w:adjustRightInd/>
              <w:rPr>
                <w:color w:val="000000"/>
                <w:kern w:val="0"/>
              </w:rPr>
            </w:pPr>
            <w:r w:rsidRPr="00AB0B90">
              <w:rPr>
                <w:color w:val="000000"/>
                <w:kern w:val="0"/>
              </w:rPr>
              <w:t>100-499</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3AB8E5C2" w14:textId="77777777">
            <w:pPr>
              <w:widowControl/>
              <w:overflowPunct/>
              <w:autoSpaceDE/>
              <w:autoSpaceDN/>
              <w:adjustRightInd/>
              <w:jc w:val="right"/>
              <w:rPr>
                <w:color w:val="000000"/>
                <w:kern w:val="0"/>
              </w:rPr>
            </w:pPr>
            <w:r>
              <w:rPr>
                <w:color w:val="000000"/>
                <w:kern w:val="0"/>
              </w:rPr>
              <w:t>232,674</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625329FA" w14:textId="77777777">
            <w:pPr>
              <w:widowControl/>
              <w:overflowPunct/>
              <w:autoSpaceDE/>
              <w:autoSpaceDN/>
              <w:adjustRightInd/>
              <w:jc w:val="right"/>
              <w:rPr>
                <w:color w:val="000000"/>
                <w:kern w:val="0"/>
              </w:rPr>
            </w:pPr>
            <w:r w:rsidRPr="00AB0B90">
              <w:rPr>
                <w:color w:val="000000"/>
                <w:kern w:val="0"/>
              </w:rPr>
              <w:t>75%</w:t>
            </w:r>
          </w:p>
        </w:tc>
        <w:tc>
          <w:tcPr>
            <w:tcW w:w="1170" w:type="dxa"/>
            <w:tcBorders>
              <w:top w:val="single" w:sz="4" w:space="0" w:color="auto"/>
              <w:left w:val="single" w:sz="4" w:space="0" w:color="auto"/>
              <w:bottom w:val="single" w:sz="4" w:space="0" w:color="auto"/>
              <w:right w:val="single" w:sz="4" w:space="0" w:color="auto"/>
            </w:tcBorders>
            <w:vAlign w:val="bottom"/>
          </w:tcPr>
          <w:p w:rsidR="00DF11A8" w:rsidRPr="00AB0B90" w:rsidP="00DF11A8" w14:paraId="2B7E483E" w14:textId="77777777">
            <w:pPr>
              <w:widowControl/>
              <w:overflowPunct/>
              <w:autoSpaceDE/>
              <w:autoSpaceDN/>
              <w:adjustRightInd/>
              <w:jc w:val="right"/>
              <w:rPr>
                <w:color w:val="000000"/>
                <w:kern w:val="0"/>
              </w:rPr>
            </w:pPr>
            <w:r>
              <w:rPr>
                <w:color w:val="000000"/>
                <w:kern w:val="0"/>
              </w:rPr>
              <w:t>174,506</w:t>
            </w:r>
          </w:p>
        </w:tc>
        <w:tc>
          <w:tcPr>
            <w:tcW w:w="1099" w:type="dxa"/>
            <w:tcBorders>
              <w:top w:val="single" w:sz="4" w:space="0" w:color="auto"/>
              <w:left w:val="single" w:sz="4" w:space="0" w:color="auto"/>
              <w:bottom w:val="single" w:sz="4" w:space="0" w:color="auto"/>
              <w:right w:val="single" w:sz="4" w:space="0" w:color="auto"/>
            </w:tcBorders>
            <w:vAlign w:val="center"/>
          </w:tcPr>
          <w:p w:rsidR="00DF11A8" w:rsidRPr="00626829" w:rsidP="00DF11A8" w14:paraId="26A645FF" w14:textId="77777777">
            <w:pPr>
              <w:widowControl/>
              <w:overflowPunct/>
              <w:autoSpaceDE/>
              <w:autoSpaceDN/>
              <w:adjustRightInd/>
              <w:jc w:val="right"/>
              <w:rPr>
                <w:color w:val="000000"/>
                <w:kern w:val="0"/>
              </w:rPr>
            </w:pPr>
            <w:r w:rsidRPr="00781E36">
              <w:t>0.50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53D80873" w14:textId="77777777">
            <w:pPr>
              <w:widowControl/>
              <w:overflowPunct/>
              <w:autoSpaceDE/>
              <w:autoSpaceDN/>
              <w:adjustRightInd/>
              <w:jc w:val="right"/>
              <w:rPr>
                <w:color w:val="000000"/>
                <w:kern w:val="0"/>
              </w:rPr>
            </w:pPr>
            <w:r w:rsidRPr="00781E36">
              <w:rPr>
                <w:color w:val="000000"/>
              </w:rPr>
              <w:t>87,253</w:t>
            </w:r>
          </w:p>
        </w:tc>
        <w:tc>
          <w:tcPr>
            <w:tcW w:w="1000" w:type="dxa"/>
            <w:tcBorders>
              <w:top w:val="single" w:sz="4" w:space="0" w:color="auto"/>
              <w:left w:val="single" w:sz="4" w:space="0" w:color="auto"/>
              <w:bottom w:val="single" w:sz="4" w:space="0" w:color="auto"/>
              <w:right w:val="single" w:sz="4" w:space="0" w:color="auto"/>
            </w:tcBorders>
            <w:shd w:val="clear" w:color="auto" w:fill="auto"/>
            <w:noWrap/>
          </w:tcPr>
          <w:p w:rsidR="00DF11A8" w:rsidRPr="00626829" w:rsidP="00DF11A8" w14:paraId="21C90230" w14:textId="652F387F">
            <w:pPr>
              <w:widowControl/>
              <w:overflowPunct/>
              <w:autoSpaceDE/>
              <w:autoSpaceDN/>
              <w:adjustRightInd/>
              <w:jc w:val="right"/>
              <w:rPr>
                <w:color w:val="000000"/>
                <w:kern w:val="0"/>
              </w:rPr>
            </w:pPr>
            <w:r w:rsidRPr="00626829">
              <w:t>$61.18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3765C02F" w14:textId="58C08C53">
            <w:pPr>
              <w:widowControl/>
              <w:overflowPunct/>
              <w:autoSpaceDE/>
              <w:autoSpaceDN/>
              <w:adjustRightInd/>
              <w:jc w:val="right"/>
              <w:rPr>
                <w:color w:val="000000"/>
                <w:kern w:val="0"/>
              </w:rPr>
            </w:pPr>
            <w:r w:rsidRPr="00781E36">
              <w:rPr>
                <w:color w:val="000000"/>
              </w:rPr>
              <w:t>$5,</w:t>
            </w:r>
            <w:r w:rsidR="008241EB">
              <w:rPr>
                <w:color w:val="000000"/>
              </w:rPr>
              <w:t>270,512</w:t>
            </w:r>
          </w:p>
        </w:tc>
      </w:tr>
      <w:tr w14:paraId="31E0913D" w14:textId="77777777" w:rsidTr="00781E36">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3FA6BC0E" w14:textId="77777777">
            <w:pPr>
              <w:widowControl/>
              <w:overflowPunct/>
              <w:autoSpaceDE/>
              <w:autoSpaceDN/>
              <w:adjustRightInd/>
              <w:rPr>
                <w:color w:val="000000"/>
                <w:kern w:val="0"/>
              </w:rPr>
            </w:pPr>
            <w:r w:rsidRPr="00AB0B90">
              <w:rPr>
                <w:color w:val="000000"/>
                <w:kern w:val="0"/>
              </w:rPr>
              <w:t>500+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7A894032" w14:textId="77777777">
            <w:pPr>
              <w:widowControl/>
              <w:overflowPunct/>
              <w:autoSpaceDE/>
              <w:autoSpaceDN/>
              <w:adjustRightInd/>
              <w:jc w:val="right"/>
              <w:rPr>
                <w:color w:val="000000"/>
                <w:kern w:val="0"/>
              </w:rPr>
            </w:pPr>
            <w:r>
              <w:rPr>
                <w:color w:val="000000"/>
                <w:kern w:val="0"/>
              </w:rPr>
              <w:t>1,004,879</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1A8" w:rsidRPr="00AB0B90" w:rsidP="00DF11A8" w14:paraId="7E70B991" w14:textId="77777777">
            <w:pPr>
              <w:widowControl/>
              <w:overflowPunct/>
              <w:autoSpaceDE/>
              <w:autoSpaceDN/>
              <w:adjustRightInd/>
              <w:jc w:val="right"/>
              <w:rPr>
                <w:color w:val="000000"/>
                <w:kern w:val="0"/>
              </w:rPr>
            </w:pPr>
            <w:r w:rsidRPr="00AB0B90">
              <w:rPr>
                <w:color w:val="000000"/>
                <w:kern w:val="0"/>
              </w:rPr>
              <w:t>25%</w:t>
            </w:r>
          </w:p>
        </w:tc>
        <w:tc>
          <w:tcPr>
            <w:tcW w:w="1170" w:type="dxa"/>
            <w:tcBorders>
              <w:top w:val="single" w:sz="4" w:space="0" w:color="auto"/>
              <w:left w:val="single" w:sz="4" w:space="0" w:color="auto"/>
              <w:bottom w:val="single" w:sz="4" w:space="0" w:color="auto"/>
              <w:right w:val="single" w:sz="4" w:space="0" w:color="auto"/>
            </w:tcBorders>
            <w:vAlign w:val="bottom"/>
          </w:tcPr>
          <w:p w:rsidR="00DF11A8" w:rsidRPr="00AB0B90" w:rsidP="00DF11A8" w14:paraId="458BF62C" w14:textId="77777777">
            <w:pPr>
              <w:widowControl/>
              <w:overflowPunct/>
              <w:autoSpaceDE/>
              <w:autoSpaceDN/>
              <w:adjustRightInd/>
              <w:jc w:val="right"/>
              <w:rPr>
                <w:color w:val="000000"/>
                <w:kern w:val="0"/>
              </w:rPr>
            </w:pPr>
            <w:r>
              <w:rPr>
                <w:color w:val="000000"/>
                <w:kern w:val="0"/>
              </w:rPr>
              <w:t>251,220</w:t>
            </w:r>
          </w:p>
        </w:tc>
        <w:tc>
          <w:tcPr>
            <w:tcW w:w="1099" w:type="dxa"/>
            <w:tcBorders>
              <w:top w:val="single" w:sz="4" w:space="0" w:color="auto"/>
              <w:left w:val="single" w:sz="4" w:space="0" w:color="auto"/>
              <w:bottom w:val="single" w:sz="4" w:space="0" w:color="auto"/>
              <w:right w:val="single" w:sz="4" w:space="0" w:color="auto"/>
            </w:tcBorders>
            <w:vAlign w:val="center"/>
          </w:tcPr>
          <w:p w:rsidR="00DF11A8" w:rsidRPr="00626829" w:rsidP="00DF11A8" w14:paraId="256FD1A0" w14:textId="77777777">
            <w:pPr>
              <w:widowControl/>
              <w:overflowPunct/>
              <w:autoSpaceDE/>
              <w:autoSpaceDN/>
              <w:adjustRightInd/>
              <w:jc w:val="right"/>
              <w:rPr>
                <w:color w:val="000000"/>
                <w:kern w:val="0"/>
              </w:rPr>
            </w:pPr>
            <w:r w:rsidRPr="00781E36">
              <w:t>0.30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4DC9A038" w14:textId="77777777">
            <w:pPr>
              <w:widowControl/>
              <w:overflowPunct/>
              <w:autoSpaceDE/>
              <w:autoSpaceDN/>
              <w:adjustRightInd/>
              <w:jc w:val="right"/>
              <w:rPr>
                <w:color w:val="000000"/>
                <w:kern w:val="0"/>
              </w:rPr>
            </w:pPr>
            <w:r w:rsidRPr="00781E36">
              <w:rPr>
                <w:color w:val="000000"/>
              </w:rPr>
              <w:t>75,366</w:t>
            </w:r>
          </w:p>
        </w:tc>
        <w:tc>
          <w:tcPr>
            <w:tcW w:w="1000" w:type="dxa"/>
            <w:tcBorders>
              <w:top w:val="single" w:sz="4" w:space="0" w:color="auto"/>
              <w:left w:val="single" w:sz="4" w:space="0" w:color="auto"/>
              <w:bottom w:val="single" w:sz="4" w:space="0" w:color="auto"/>
              <w:right w:val="single" w:sz="4" w:space="0" w:color="auto"/>
            </w:tcBorders>
            <w:shd w:val="clear" w:color="auto" w:fill="auto"/>
            <w:noWrap/>
          </w:tcPr>
          <w:p w:rsidR="00DF11A8" w:rsidRPr="00626829" w:rsidP="00DF11A8" w14:paraId="4B146DEB" w14:textId="48F0EDF9">
            <w:pPr>
              <w:widowControl/>
              <w:overflowPunct/>
              <w:autoSpaceDE/>
              <w:autoSpaceDN/>
              <w:adjustRightInd/>
              <w:jc w:val="right"/>
              <w:rPr>
                <w:color w:val="000000"/>
                <w:kern w:val="0"/>
              </w:rPr>
            </w:pPr>
            <w:r w:rsidRPr="00626829">
              <w:t>$61.18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1A8" w:rsidRPr="00626829" w:rsidP="00DF11A8" w14:paraId="69C9A796" w14:textId="7CC39FE3">
            <w:pPr>
              <w:widowControl/>
              <w:overflowPunct/>
              <w:autoSpaceDE/>
              <w:autoSpaceDN/>
              <w:adjustRightInd/>
              <w:jc w:val="right"/>
              <w:rPr>
                <w:color w:val="000000"/>
                <w:kern w:val="0"/>
              </w:rPr>
            </w:pPr>
            <w:r w:rsidRPr="00781E36">
              <w:rPr>
                <w:color w:val="000000"/>
              </w:rPr>
              <w:t>$4,</w:t>
            </w:r>
            <w:r w:rsidR="006F1EF7">
              <w:rPr>
                <w:color w:val="000000"/>
              </w:rPr>
              <w:t>552,489</w:t>
            </w:r>
          </w:p>
        </w:tc>
      </w:tr>
      <w:tr w14:paraId="78C6C3A2" w14:textId="77777777" w:rsidTr="00083D03">
        <w:tblPrEx>
          <w:tblW w:w="9914"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407E9519" w14:textId="77777777">
            <w:pPr>
              <w:widowControl/>
              <w:overflowPunct/>
              <w:autoSpaceDE/>
              <w:autoSpaceDN/>
              <w:adjustRightInd/>
              <w:rPr>
                <w:color w:val="000000"/>
                <w:kern w:val="0"/>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532AC7B5" w14:textId="77777777">
            <w:pPr>
              <w:widowControl/>
              <w:overflowPunct/>
              <w:autoSpaceDE/>
              <w:autoSpaceDN/>
              <w:adjustRightInd/>
              <w:rPr>
                <w:color w:val="000000"/>
                <w:kern w:val="0"/>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2B3C4C9D" w14:textId="77777777">
            <w:pPr>
              <w:widowControl/>
              <w:overflowPunct/>
              <w:autoSpaceDE/>
              <w:autoSpaceDN/>
              <w:adjustRightInd/>
              <w:rPr>
                <w:color w:val="000000"/>
                <w:kern w:val="0"/>
              </w:rPr>
            </w:pPr>
          </w:p>
        </w:tc>
        <w:tc>
          <w:tcPr>
            <w:tcW w:w="1170" w:type="dxa"/>
            <w:tcBorders>
              <w:top w:val="single" w:sz="4" w:space="0" w:color="auto"/>
              <w:left w:val="single" w:sz="4" w:space="0" w:color="auto"/>
              <w:bottom w:val="single" w:sz="4" w:space="0" w:color="auto"/>
              <w:right w:val="single" w:sz="4" w:space="0" w:color="auto"/>
            </w:tcBorders>
          </w:tcPr>
          <w:p w:rsidR="00083D03" w:rsidRPr="00AB0B90" w:rsidP="00083D03" w14:paraId="4353DF0E" w14:textId="77777777">
            <w:pPr>
              <w:widowControl/>
              <w:overflowPunct/>
              <w:autoSpaceDE/>
              <w:autoSpaceDN/>
              <w:adjustRightInd/>
              <w:rPr>
                <w:color w:val="000000"/>
                <w:kern w:val="0"/>
              </w:rPr>
            </w:pPr>
          </w:p>
        </w:tc>
        <w:tc>
          <w:tcPr>
            <w:tcW w:w="1099" w:type="dxa"/>
            <w:tcBorders>
              <w:top w:val="single" w:sz="4" w:space="0" w:color="auto"/>
              <w:left w:val="single" w:sz="4" w:space="0" w:color="auto"/>
              <w:bottom w:val="single" w:sz="4" w:space="0" w:color="auto"/>
              <w:right w:val="single" w:sz="4" w:space="0" w:color="auto"/>
            </w:tcBorders>
            <w:vAlign w:val="bottom"/>
          </w:tcPr>
          <w:p w:rsidR="00083D03" w:rsidRPr="00AB0B90" w:rsidP="00083D03" w14:paraId="03A0E286" w14:textId="77777777">
            <w:pPr>
              <w:widowControl/>
              <w:overflowPunct/>
              <w:autoSpaceDE/>
              <w:autoSpaceDN/>
              <w:adjustRightInd/>
              <w:rPr>
                <w:color w:val="000000"/>
                <w:kern w:val="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4E1ED844" w14:textId="77777777">
            <w:pPr>
              <w:widowControl/>
              <w:overflowPunct/>
              <w:autoSpaceDE/>
              <w:autoSpaceDN/>
              <w:adjustRightInd/>
              <w:rPr>
                <w:color w:val="000000"/>
                <w:kern w:val="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105B7B47" w14:textId="77777777">
            <w:pPr>
              <w:widowControl/>
              <w:overflowPunct/>
              <w:autoSpaceDE/>
              <w:autoSpaceDN/>
              <w:adjustRightInd/>
              <w:rPr>
                <w:color w:val="000000"/>
                <w:kern w:val="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20950CB7" w14:textId="77777777">
            <w:pPr>
              <w:widowControl/>
              <w:overflowPunct/>
              <w:autoSpaceDE/>
              <w:autoSpaceDN/>
              <w:adjustRightInd/>
              <w:rPr>
                <w:color w:val="000000"/>
                <w:kern w:val="0"/>
              </w:rPr>
            </w:pPr>
          </w:p>
        </w:tc>
      </w:tr>
      <w:tr w14:paraId="4CF7B695" w14:textId="77777777" w:rsidTr="00083D03">
        <w:tblPrEx>
          <w:tblW w:w="9914" w:type="dxa"/>
          <w:tblLayout w:type="fixed"/>
          <w:tblLook w:val="0000"/>
        </w:tblPrEx>
        <w:trPr>
          <w:trHeight w:val="80"/>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0299FCA7" w14:textId="77777777">
            <w:pPr>
              <w:widowControl/>
              <w:overflowPunct/>
              <w:autoSpaceDE/>
              <w:autoSpaceDN/>
              <w:adjustRightInd/>
              <w:rPr>
                <w:b/>
                <w:color w:val="000000"/>
                <w:kern w:val="0"/>
              </w:rPr>
            </w:pPr>
            <w:r w:rsidRPr="00AB0B90">
              <w:rPr>
                <w:b/>
                <w:color w:val="000000"/>
                <w:kern w:val="0"/>
              </w:rPr>
              <w:t>Total</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687E3462" w14:textId="77777777">
            <w:pPr>
              <w:widowControl/>
              <w:overflowPunct/>
              <w:autoSpaceDE/>
              <w:autoSpaceDN/>
              <w:adjustRightInd/>
              <w:jc w:val="right"/>
              <w:rPr>
                <w:b/>
                <w:color w:val="000000"/>
                <w:kern w:val="0"/>
              </w:rPr>
            </w:pPr>
            <w:r>
              <w:rPr>
                <w:b/>
                <w:color w:val="000000"/>
                <w:kern w:val="0"/>
              </w:rPr>
              <w:t>1,453,774</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4CAC89C4" w14:textId="77777777">
            <w:pPr>
              <w:widowControl/>
              <w:overflowPunct/>
              <w:autoSpaceDE/>
              <w:autoSpaceDN/>
              <w:adjustRightInd/>
              <w:jc w:val="right"/>
              <w:rPr>
                <w:b/>
                <w:color w:val="000000"/>
                <w:kern w:val="0"/>
              </w:rPr>
            </w:pPr>
          </w:p>
        </w:tc>
        <w:tc>
          <w:tcPr>
            <w:tcW w:w="1170" w:type="dxa"/>
            <w:tcBorders>
              <w:top w:val="single" w:sz="4" w:space="0" w:color="auto"/>
              <w:left w:val="single" w:sz="4" w:space="0" w:color="auto"/>
              <w:bottom w:val="single" w:sz="4" w:space="0" w:color="auto"/>
              <w:right w:val="single" w:sz="4" w:space="0" w:color="auto"/>
            </w:tcBorders>
          </w:tcPr>
          <w:p w:rsidR="00083D03" w:rsidRPr="00AB0B90" w:rsidP="00083D03" w14:paraId="122DFFD8" w14:textId="77777777">
            <w:pPr>
              <w:widowControl/>
              <w:overflowPunct/>
              <w:autoSpaceDE/>
              <w:autoSpaceDN/>
              <w:adjustRightInd/>
              <w:jc w:val="right"/>
              <w:rPr>
                <w:b/>
                <w:color w:val="000000"/>
                <w:kern w:val="0"/>
              </w:rPr>
            </w:pPr>
            <w:r>
              <w:rPr>
                <w:b/>
                <w:color w:val="000000"/>
                <w:kern w:val="0"/>
              </w:rPr>
              <w:t>635,050</w:t>
            </w:r>
          </w:p>
        </w:tc>
        <w:tc>
          <w:tcPr>
            <w:tcW w:w="1099" w:type="dxa"/>
            <w:tcBorders>
              <w:top w:val="single" w:sz="4" w:space="0" w:color="auto"/>
              <w:left w:val="single" w:sz="4" w:space="0" w:color="auto"/>
              <w:bottom w:val="single" w:sz="4" w:space="0" w:color="auto"/>
              <w:right w:val="single" w:sz="4" w:space="0" w:color="auto"/>
            </w:tcBorders>
            <w:vAlign w:val="bottom"/>
          </w:tcPr>
          <w:p w:rsidR="00083D03" w:rsidRPr="00AB0B90" w:rsidP="00083D03" w14:paraId="09BCBA91" w14:textId="77777777">
            <w:pPr>
              <w:widowControl/>
              <w:overflowPunct/>
              <w:autoSpaceDE/>
              <w:autoSpaceDN/>
              <w:adjustRightInd/>
              <w:jc w:val="right"/>
              <w:rPr>
                <w:b/>
                <w:color w:val="000000"/>
                <w:kern w:val="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284E0FE3" w14:textId="47B0D576">
            <w:pPr>
              <w:widowControl/>
              <w:overflowPunct/>
              <w:autoSpaceDE/>
              <w:autoSpaceDN/>
              <w:adjustRightInd/>
              <w:jc w:val="right"/>
              <w:rPr>
                <w:b/>
                <w:color w:val="000000"/>
                <w:kern w:val="0"/>
              </w:rPr>
            </w:pPr>
            <w:r>
              <w:rPr>
                <w:b/>
                <w:color w:val="000000"/>
                <w:kern w:val="0"/>
              </w:rPr>
              <w:t>309,1</w:t>
            </w:r>
            <w:r w:rsidR="008408D1">
              <w:rPr>
                <w:b/>
                <w:color w:val="000000"/>
                <w:kern w:val="0"/>
              </w:rPr>
              <w:t>4</w:t>
            </w:r>
            <w:r>
              <w:rPr>
                <w:b/>
                <w:color w:val="000000"/>
                <w:kern w:val="0"/>
              </w:rPr>
              <w:t>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55C44EAE" w14:textId="77777777">
            <w:pPr>
              <w:widowControl/>
              <w:overflowPunct/>
              <w:autoSpaceDE/>
              <w:autoSpaceDN/>
              <w:adjustRightInd/>
              <w:jc w:val="right"/>
              <w:rPr>
                <w:b/>
                <w:color w:val="000000"/>
                <w:kern w:val="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D03" w:rsidRPr="00AB0B90" w:rsidP="00083D03" w14:paraId="670B5388" w14:textId="2E11603C">
            <w:pPr>
              <w:widowControl/>
              <w:overflowPunct/>
              <w:autoSpaceDE/>
              <w:autoSpaceDN/>
              <w:adjustRightInd/>
              <w:jc w:val="right"/>
              <w:rPr>
                <w:b/>
                <w:color w:val="000000"/>
                <w:kern w:val="0"/>
              </w:rPr>
            </w:pPr>
            <w:r w:rsidRPr="00AB0B90">
              <w:rPr>
                <w:b/>
                <w:color w:val="000000"/>
                <w:kern w:val="0"/>
              </w:rPr>
              <w:t>$</w:t>
            </w:r>
            <w:r>
              <w:rPr>
                <w:b/>
                <w:color w:val="000000"/>
                <w:kern w:val="0"/>
              </w:rPr>
              <w:t>18,</w:t>
            </w:r>
            <w:r w:rsidR="006F1EF7">
              <w:rPr>
                <w:b/>
                <w:color w:val="000000"/>
                <w:kern w:val="0"/>
              </w:rPr>
              <w:t>673,985</w:t>
            </w:r>
          </w:p>
        </w:tc>
      </w:tr>
    </w:tbl>
    <w:p w:rsidR="00580BF2" w:rsidP="00580BF2" w14:paraId="03B3A868" w14:textId="77777777">
      <w:pPr>
        <w:pStyle w:val="Default"/>
      </w:pPr>
    </w:p>
    <w:p w:rsidR="008757B6" w:rsidP="00001CE2" w14:paraId="13216EBF" w14:textId="77777777">
      <w:pPr>
        <w:pStyle w:val="Default"/>
        <w:rPr>
          <w:b/>
          <w:bCs/>
          <w:color w:val="auto"/>
        </w:rPr>
      </w:pPr>
    </w:p>
    <w:p w:rsidR="00001CE2" w:rsidRPr="00CB5054" w:rsidP="00001CE2" w14:paraId="7A4F99ED" w14:textId="0AF446DF">
      <w:pPr>
        <w:pStyle w:val="Default"/>
        <w:rPr>
          <w:b/>
          <w:bCs/>
        </w:rPr>
      </w:pPr>
      <w:r>
        <w:rPr>
          <w:b/>
          <w:bCs/>
          <w:color w:val="auto"/>
        </w:rPr>
        <w:t xml:space="preserve">5. </w:t>
      </w:r>
      <w:r w:rsidRPr="003A15DB">
        <w:rPr>
          <w:b/>
          <w:bCs/>
          <w:color w:val="auto"/>
        </w:rPr>
        <w:t xml:space="preserve">Sending of </w:t>
      </w:r>
      <w:r w:rsidRPr="003A15DB" w:rsidR="008925F4">
        <w:rPr>
          <w:b/>
          <w:bCs/>
          <w:color w:val="auto"/>
        </w:rPr>
        <w:t>SDS</w:t>
      </w:r>
      <w:r w:rsidRPr="003A15DB">
        <w:rPr>
          <w:b/>
          <w:bCs/>
          <w:color w:val="auto"/>
        </w:rPr>
        <w:t>s</w:t>
      </w:r>
      <w:r w:rsidRPr="00CB5054">
        <w:rPr>
          <w:b/>
          <w:bCs/>
        </w:rPr>
        <w:t xml:space="preserve"> (§ 1910.1200(g)) </w:t>
      </w:r>
    </w:p>
    <w:p w:rsidR="00001CE2" w:rsidRPr="00CB5054" w:rsidP="00001CE2" w14:paraId="5AD12510" w14:textId="77777777">
      <w:pPr>
        <w:pStyle w:val="Default"/>
      </w:pPr>
      <w:r w:rsidRPr="00CB5054">
        <w:rPr>
          <w:b/>
          <w:bCs/>
        </w:rPr>
        <w:t>(Sending</w:t>
      </w:r>
      <w:r w:rsidRPr="00CB5054" w:rsidR="00014EB1">
        <w:rPr>
          <w:b/>
          <w:bCs/>
        </w:rPr>
        <w:t xml:space="preserve"> </w:t>
      </w:r>
      <w:r w:rsidRPr="00CB5054" w:rsidR="008925F4">
        <w:rPr>
          <w:b/>
          <w:bCs/>
        </w:rPr>
        <w:t>SDS</w:t>
      </w:r>
      <w:r w:rsidRPr="00CB5054" w:rsidR="00014EB1">
        <w:rPr>
          <w:b/>
          <w:bCs/>
        </w:rPr>
        <w:t>s for</w:t>
      </w:r>
      <w:r w:rsidRPr="00CB5054">
        <w:rPr>
          <w:b/>
          <w:bCs/>
        </w:rPr>
        <w:t xml:space="preserve"> </w:t>
      </w:r>
      <w:r w:rsidR="00D25AC6">
        <w:rPr>
          <w:b/>
          <w:bCs/>
        </w:rPr>
        <w:t xml:space="preserve">new </w:t>
      </w:r>
      <w:r w:rsidRPr="00CB5054">
        <w:rPr>
          <w:b/>
          <w:bCs/>
        </w:rPr>
        <w:t xml:space="preserve">hazardous chemicals to </w:t>
      </w:r>
      <w:r w:rsidR="00D25AC6">
        <w:rPr>
          <w:b/>
          <w:bCs/>
        </w:rPr>
        <w:t xml:space="preserve">existing </w:t>
      </w:r>
      <w:r w:rsidRPr="00CB5054">
        <w:rPr>
          <w:b/>
          <w:bCs/>
        </w:rPr>
        <w:t>establishments)</w:t>
      </w:r>
    </w:p>
    <w:p w:rsidR="00001CE2" w:rsidRPr="00CB5054" w:rsidP="00001CE2" w14:paraId="2487BC58" w14:textId="77777777">
      <w:pPr>
        <w:pStyle w:val="Default"/>
        <w:ind w:hanging="7920"/>
      </w:pPr>
      <w:r w:rsidRPr="00CB5054">
        <w:rPr>
          <w:b/>
          <w:bCs/>
        </w:rPr>
        <w:t>(Sending MSDS</w:t>
      </w:r>
    </w:p>
    <w:p w:rsidR="00001CE2" w:rsidRPr="00CB5054" w:rsidP="00001CE2" w14:paraId="0651342B" w14:textId="2312994E">
      <w:pPr>
        <w:pStyle w:val="Default"/>
      </w:pPr>
      <w:r w:rsidRPr="00CB5054">
        <w:t xml:space="preserve">Manufacturers, importers, or employers distributing hazardous chemicals or products must send </w:t>
      </w:r>
      <w:r w:rsidRPr="00CB5054" w:rsidR="008925F4">
        <w:t>SDS</w:t>
      </w:r>
      <w:r w:rsidRPr="00CB5054">
        <w:t>s to establishments receiving the</w:t>
      </w:r>
      <w:r w:rsidR="003670AD">
        <w:t xml:space="preserve"> </w:t>
      </w:r>
      <w:r w:rsidR="00F92202">
        <w:t xml:space="preserve">new </w:t>
      </w:r>
      <w:r w:rsidRPr="00CB5054" w:rsidR="00F92202">
        <w:t>hazardous</w:t>
      </w:r>
      <w:r w:rsidRPr="00CB5054">
        <w:t xml:space="preserve"> chemical or product. </w:t>
      </w:r>
      <w:r w:rsidRPr="00CB5054" w:rsidR="00014EB1">
        <w:t xml:space="preserve">OSHA estimates </w:t>
      </w:r>
      <w:r w:rsidRPr="00CB5054">
        <w:t xml:space="preserve">a manufacturer, importer, or employer generating the </w:t>
      </w:r>
      <w:r w:rsidRPr="00CB5054" w:rsidR="008925F4">
        <w:t>SDS</w:t>
      </w:r>
      <w:r w:rsidRPr="00CB5054">
        <w:t xml:space="preserve"> takes .14 clerical hours to distribute a</w:t>
      </w:r>
      <w:r w:rsidR="00794DBD">
        <w:t>n</w:t>
      </w:r>
      <w:r w:rsidRPr="00CB5054">
        <w:t xml:space="preserve"> </w:t>
      </w:r>
      <w:r w:rsidRPr="00CB5054" w:rsidR="008925F4">
        <w:t>SDS</w:t>
      </w:r>
      <w:r w:rsidRPr="00CB5054">
        <w:t xml:space="preserve">. </w:t>
      </w:r>
      <w:r w:rsidRPr="00AB0B90" w:rsidR="005B017F">
        <w:rPr>
          <w:bCs/>
        </w:rPr>
        <w:t>OSHA recognizes that the time it takes for manufacturers, importers, or employers to transmit SDSs is overestimated because some are sent electronically.</w:t>
      </w:r>
      <w:r w:rsidR="001754C2">
        <w:rPr>
          <w:bCs/>
        </w:rPr>
        <w:t xml:space="preserve"> </w:t>
      </w:r>
      <w:r w:rsidR="000633CD">
        <w:t>Only 8% of the hazard</w:t>
      </w:r>
      <w:r w:rsidR="00794DBD">
        <w:t>ous</w:t>
      </w:r>
      <w:r w:rsidR="000633CD">
        <w:t xml:space="preserve"> chemicals will be new annually.</w:t>
      </w:r>
    </w:p>
    <w:p w:rsidR="00001CE2" w:rsidP="00001CE2" w14:paraId="744B11EF" w14:textId="77777777">
      <w:pPr>
        <w:pStyle w:val="Default"/>
      </w:pPr>
    </w:p>
    <w:p w:rsidR="00BC2EA8" w:rsidRPr="00CB5054" w:rsidP="00001CE2" w14:paraId="7EFC067D" w14:textId="77777777">
      <w:pPr>
        <w:pStyle w:val="Default"/>
      </w:pPr>
      <w:r>
        <w:t>To determine the number of new hazardous chemicals existing establishments receive, OSHA estimated tha</w:t>
      </w:r>
      <w:r w:rsidR="00945B11">
        <w:t>t</w:t>
      </w:r>
      <w:r>
        <w:t>, on average, each manufacturing establishment has 22 hazardous chemicals</w:t>
      </w:r>
      <w:r w:rsidR="00FD22B9">
        <w:t>.</w:t>
      </w:r>
      <w:r>
        <w:t xml:space="preserve"> Therefore, the number of new chemical</w:t>
      </w:r>
      <w:r w:rsidR="00821A19">
        <w:t>s</w:t>
      </w:r>
      <w:r>
        <w:t xml:space="preserve"> per manufacturing establishment averages </w:t>
      </w:r>
      <w:r w:rsidR="00283768">
        <w:t>1.76</w:t>
      </w:r>
      <w:r>
        <w:t xml:space="preserve"> new chemicals.</w:t>
      </w:r>
    </w:p>
    <w:p w:rsidR="00001CE2" w:rsidP="00D80711" w14:paraId="2591F59A" w14:textId="77777777">
      <w:pPr>
        <w:shd w:val="solid" w:color="FFFFFF" w:fill="FFFFFF"/>
        <w:rPr>
          <w:b/>
          <w:color w:val="000000"/>
          <w:sz w:val="22"/>
          <w:szCs w:val="22"/>
        </w:rPr>
      </w:pPr>
    </w:p>
    <w:p w:rsidR="00283768" w:rsidRPr="00283768" w:rsidP="00D80711" w14:paraId="6B87E916" w14:textId="77777777">
      <w:pPr>
        <w:shd w:val="solid" w:color="FFFFFF" w:fill="FFFFFF"/>
        <w:rPr>
          <w:color w:val="000000"/>
          <w:sz w:val="24"/>
          <w:szCs w:val="24"/>
        </w:rPr>
      </w:pPr>
      <w:r w:rsidRPr="00781E36">
        <w:rPr>
          <w:color w:val="000000"/>
          <w:sz w:val="24"/>
          <w:szCs w:val="24"/>
          <w:u w:val="single"/>
        </w:rPr>
        <w:t>Manufacturing</w:t>
      </w:r>
      <w:r>
        <w:rPr>
          <w:color w:val="000000"/>
          <w:sz w:val="24"/>
          <w:szCs w:val="24"/>
        </w:rPr>
        <w:t>:</w:t>
      </w:r>
    </w:p>
    <w:p w:rsidR="00BC2EA8" w:rsidRPr="00CB5054" w:rsidP="00D80711" w14:paraId="5805F085" w14:textId="77777777">
      <w:pPr>
        <w:shd w:val="solid" w:color="FFFFFF" w:fill="FFFFFF"/>
        <w:rPr>
          <w:b/>
          <w:color w:val="000000"/>
          <w:sz w:val="22"/>
          <w:szCs w:val="22"/>
        </w:rPr>
      </w:pPr>
    </w:p>
    <w:p w:rsidR="00001CE2" w:rsidRPr="00CB5054" w:rsidP="00001CE2" w14:paraId="76E8FE26" w14:textId="10D29E75">
      <w:pPr>
        <w:pStyle w:val="Default"/>
        <w:ind w:left="1620" w:hanging="1620"/>
      </w:pPr>
      <w:r w:rsidRPr="00CB5054">
        <w:rPr>
          <w:b/>
          <w:bCs/>
        </w:rPr>
        <w:t>Burden hours</w:t>
      </w:r>
      <w:r w:rsidRPr="00982C2A">
        <w:rPr>
          <w:bCs/>
        </w:rPr>
        <w:t>:</w:t>
      </w:r>
      <w:r w:rsidRPr="00CB5054">
        <w:rPr>
          <w:b/>
          <w:bCs/>
        </w:rPr>
        <w:t xml:space="preserve"> </w:t>
      </w:r>
      <w:r w:rsidR="00D50616">
        <w:rPr>
          <w:b/>
          <w:bCs/>
        </w:rPr>
        <w:t xml:space="preserve"> </w:t>
      </w:r>
      <w:r w:rsidR="003304D4">
        <w:t>28,636</w:t>
      </w:r>
      <w:r w:rsidRPr="00CB5054" w:rsidR="00BC2EA8">
        <w:t xml:space="preserve"> </w:t>
      </w:r>
      <w:r w:rsidR="00BC2EA8">
        <w:t xml:space="preserve">establishments x </w:t>
      </w:r>
      <w:r w:rsidR="00283768">
        <w:t>1.76</w:t>
      </w:r>
      <w:r w:rsidR="00BC2EA8">
        <w:t xml:space="preserve"> new hazardous chemicals </w:t>
      </w:r>
      <w:r w:rsidRPr="00CB5054">
        <w:t xml:space="preserve">x .14 hour = </w:t>
      </w:r>
      <w:r w:rsidR="009F4A03">
        <w:t>7,056</w:t>
      </w:r>
      <w:r w:rsidRPr="00CB5054">
        <w:t xml:space="preserve"> hours </w:t>
      </w:r>
    </w:p>
    <w:p w:rsidR="00001CE2" w:rsidRPr="00CB5054" w:rsidP="00001CE2" w14:paraId="636ADDDB" w14:textId="4F5B8B43">
      <w:pPr>
        <w:pStyle w:val="Default"/>
        <w:ind w:firstLine="720"/>
      </w:pPr>
      <w:r w:rsidRPr="00CB5054">
        <w:rPr>
          <w:b/>
          <w:bCs/>
        </w:rPr>
        <w:t>Cost</w:t>
      </w:r>
      <w:r w:rsidRPr="00982C2A">
        <w:rPr>
          <w:bCs/>
        </w:rPr>
        <w:t>:</w:t>
      </w:r>
      <w:r w:rsidR="006D3DAF">
        <w:rPr>
          <w:bCs/>
        </w:rPr>
        <w:t xml:space="preserve">    </w:t>
      </w:r>
      <w:r w:rsidRPr="00CB5054">
        <w:rPr>
          <w:b/>
          <w:bCs/>
        </w:rPr>
        <w:t xml:space="preserve"> </w:t>
      </w:r>
      <w:r w:rsidR="009F4A03">
        <w:t>7,056</w:t>
      </w:r>
      <w:r w:rsidRPr="00CB5054" w:rsidR="00014EB1">
        <w:t xml:space="preserve"> </w:t>
      </w:r>
      <w:r w:rsidRPr="00CB5054">
        <w:t xml:space="preserve">hours x </w:t>
      </w:r>
      <w:r w:rsidR="00252B13">
        <w:t>$</w:t>
      </w:r>
      <w:r w:rsidR="00041950">
        <w:t>31.93</w:t>
      </w:r>
      <w:r w:rsidRPr="00CB5054" w:rsidR="0068668C">
        <w:t xml:space="preserve"> </w:t>
      </w:r>
      <w:r w:rsidRPr="00CB5054">
        <w:t>= $</w:t>
      </w:r>
      <w:r w:rsidR="00486CBD">
        <w:t>225,298</w:t>
      </w:r>
      <w:r w:rsidRPr="00CB5054">
        <w:t xml:space="preserve"> </w:t>
      </w:r>
    </w:p>
    <w:p w:rsidR="00283768" w:rsidP="00283768" w14:paraId="15CE03B0" w14:textId="77777777">
      <w:pPr>
        <w:shd w:val="solid" w:color="FFFFFF" w:fill="FFFFFF"/>
        <w:rPr>
          <w:color w:val="000000"/>
          <w:sz w:val="24"/>
          <w:szCs w:val="24"/>
        </w:rPr>
      </w:pPr>
    </w:p>
    <w:p w:rsidR="00283768" w:rsidP="00283768" w14:paraId="1B702459" w14:textId="24230A8F">
      <w:pPr>
        <w:shd w:val="solid" w:color="FFFFFF" w:fill="FFFFFF"/>
        <w:rPr>
          <w:color w:val="000000"/>
          <w:sz w:val="24"/>
          <w:szCs w:val="24"/>
        </w:rPr>
      </w:pPr>
      <w:r>
        <w:rPr>
          <w:color w:val="000000"/>
          <w:sz w:val="24"/>
          <w:szCs w:val="24"/>
        </w:rPr>
        <w:t xml:space="preserve">Each </w:t>
      </w:r>
      <w:r>
        <w:rPr>
          <w:color w:val="000000"/>
          <w:sz w:val="24"/>
          <w:szCs w:val="24"/>
        </w:rPr>
        <w:t xml:space="preserve">non-manufacturing establishments </w:t>
      </w:r>
      <w:r>
        <w:rPr>
          <w:color w:val="000000"/>
          <w:sz w:val="24"/>
          <w:szCs w:val="24"/>
        </w:rPr>
        <w:t>has an average of</w:t>
      </w:r>
      <w:r>
        <w:rPr>
          <w:color w:val="000000"/>
          <w:sz w:val="24"/>
          <w:szCs w:val="24"/>
        </w:rPr>
        <w:t xml:space="preserve"> 15 hazardous chemicals</w:t>
      </w:r>
      <w:r>
        <w:rPr>
          <w:color w:val="000000"/>
          <w:sz w:val="24"/>
          <w:szCs w:val="24"/>
        </w:rPr>
        <w:t>;</w:t>
      </w:r>
      <w:r>
        <w:rPr>
          <w:color w:val="000000"/>
          <w:sz w:val="24"/>
          <w:szCs w:val="24"/>
        </w:rPr>
        <w:t xml:space="preserve"> assuming an </w:t>
      </w:r>
      <w:r w:rsidR="00D65A7C">
        <w:rPr>
          <w:color w:val="000000"/>
          <w:sz w:val="24"/>
          <w:szCs w:val="24"/>
        </w:rPr>
        <w:t>8%</w:t>
      </w:r>
      <w:r>
        <w:rPr>
          <w:color w:val="000000"/>
          <w:sz w:val="24"/>
          <w:szCs w:val="24"/>
        </w:rPr>
        <w:t xml:space="preserve"> new chemical </w:t>
      </w:r>
      <w:r w:rsidR="00982C2A">
        <w:rPr>
          <w:color w:val="000000"/>
          <w:sz w:val="24"/>
          <w:szCs w:val="24"/>
        </w:rPr>
        <w:t>rate</w:t>
      </w:r>
      <w:r>
        <w:rPr>
          <w:color w:val="000000"/>
          <w:sz w:val="24"/>
          <w:szCs w:val="24"/>
        </w:rPr>
        <w:t xml:space="preserve">, </w:t>
      </w:r>
      <w:r>
        <w:rPr>
          <w:color w:val="000000"/>
          <w:sz w:val="24"/>
          <w:szCs w:val="24"/>
        </w:rPr>
        <w:t>the number of new chemicals for non-manufacturing establishments is 1.2.</w:t>
      </w:r>
    </w:p>
    <w:p w:rsidR="00283768" w:rsidP="00283768" w14:paraId="382F20A8" w14:textId="77777777">
      <w:pPr>
        <w:shd w:val="solid" w:color="FFFFFF" w:fill="FFFFFF"/>
        <w:rPr>
          <w:color w:val="000000"/>
          <w:sz w:val="24"/>
          <w:szCs w:val="24"/>
        </w:rPr>
      </w:pPr>
    </w:p>
    <w:p w:rsidR="00283768" w:rsidP="00283768" w14:paraId="03049AF6" w14:textId="77777777">
      <w:pPr>
        <w:shd w:val="solid" w:color="FFFFFF" w:fill="FFFFFF"/>
        <w:rPr>
          <w:color w:val="000000"/>
          <w:sz w:val="24"/>
          <w:szCs w:val="24"/>
        </w:rPr>
      </w:pPr>
      <w:r w:rsidRPr="00781E36">
        <w:rPr>
          <w:color w:val="000000"/>
          <w:sz w:val="24"/>
          <w:szCs w:val="24"/>
          <w:u w:val="single"/>
        </w:rPr>
        <w:t>Non-Manufacturing</w:t>
      </w:r>
      <w:r>
        <w:rPr>
          <w:color w:val="000000"/>
          <w:sz w:val="24"/>
          <w:szCs w:val="24"/>
        </w:rPr>
        <w:t>:</w:t>
      </w:r>
    </w:p>
    <w:p w:rsidR="00283768" w:rsidRPr="00BC2EA8" w:rsidP="00283768" w14:paraId="62B97F3F" w14:textId="77777777">
      <w:pPr>
        <w:shd w:val="solid" w:color="FFFFFF" w:fill="FFFFFF"/>
        <w:rPr>
          <w:color w:val="000000"/>
          <w:sz w:val="24"/>
          <w:szCs w:val="24"/>
        </w:rPr>
      </w:pPr>
    </w:p>
    <w:p w:rsidR="00283768" w:rsidRPr="00CB5054" w:rsidP="00283768" w14:paraId="0153705B" w14:textId="572E8280">
      <w:pPr>
        <w:pStyle w:val="Default"/>
        <w:ind w:left="1620" w:hanging="1620"/>
      </w:pPr>
      <w:r w:rsidRPr="00CB5054">
        <w:rPr>
          <w:b/>
          <w:bCs/>
        </w:rPr>
        <w:t>Burden hours</w:t>
      </w:r>
      <w:r w:rsidRPr="00982C2A">
        <w:rPr>
          <w:bCs/>
        </w:rPr>
        <w:t xml:space="preserve">: </w:t>
      </w:r>
      <w:r w:rsidR="003304D4">
        <w:t>1,921,914</w:t>
      </w:r>
      <w:r w:rsidRPr="00CB5054" w:rsidR="00A42143">
        <w:t xml:space="preserve"> </w:t>
      </w:r>
      <w:r>
        <w:t xml:space="preserve">establishments x 1.2 new hazardous chemicals </w:t>
      </w:r>
      <w:r w:rsidRPr="00CB5054">
        <w:t xml:space="preserve">x .14 hour = </w:t>
      </w:r>
      <w:r w:rsidR="00075D41">
        <w:t>322,882</w:t>
      </w:r>
      <w:r w:rsidRPr="00CB5054">
        <w:t xml:space="preserve"> hours </w:t>
      </w:r>
    </w:p>
    <w:p w:rsidR="00283768" w:rsidP="00283768" w14:paraId="7909FCB7" w14:textId="5B66946D">
      <w:pPr>
        <w:pStyle w:val="Default"/>
        <w:ind w:firstLine="720"/>
      </w:pPr>
      <w:r w:rsidRPr="00CB5054">
        <w:rPr>
          <w:b/>
          <w:bCs/>
        </w:rPr>
        <w:t>Cost</w:t>
      </w:r>
      <w:r w:rsidRPr="00982C2A">
        <w:rPr>
          <w:bCs/>
        </w:rPr>
        <w:t xml:space="preserve">: </w:t>
      </w:r>
      <w:r w:rsidR="00C97F9E">
        <w:tab/>
        <w:t xml:space="preserve">  </w:t>
      </w:r>
      <w:r w:rsidR="00075D41">
        <w:t>322,882</w:t>
      </w:r>
      <w:r w:rsidRPr="00CB5054">
        <w:t xml:space="preserve"> hours x </w:t>
      </w:r>
      <w:r w:rsidR="00252B13">
        <w:t>$</w:t>
      </w:r>
      <w:r w:rsidR="00041950">
        <w:t>31.93</w:t>
      </w:r>
      <w:r w:rsidRPr="00CB5054">
        <w:t xml:space="preserve"> = $</w:t>
      </w:r>
      <w:r w:rsidR="006C3C49">
        <w:t>10,309,622</w:t>
      </w:r>
    </w:p>
    <w:p w:rsidR="00A42143" w:rsidP="00283768" w14:paraId="0F30F863" w14:textId="77777777">
      <w:pPr>
        <w:pStyle w:val="Default"/>
        <w:ind w:firstLine="720"/>
      </w:pPr>
    </w:p>
    <w:p w:rsidR="00A42143" w:rsidRPr="00BB3A6E" w:rsidP="00EC30E5" w14:paraId="64B5AF60" w14:textId="77777777">
      <w:pPr>
        <w:pStyle w:val="Default"/>
      </w:pPr>
      <w:r w:rsidRPr="00EC30E5">
        <w:rPr>
          <w:b/>
        </w:rPr>
        <w:t>Total Burden hours and cost</w:t>
      </w:r>
      <w:r w:rsidRPr="00BB3A6E">
        <w:t>:</w:t>
      </w:r>
    </w:p>
    <w:p w:rsidR="00A42143" w:rsidP="00283768" w14:paraId="2915E5AB" w14:textId="5CB8FFCF">
      <w:pPr>
        <w:pStyle w:val="Default"/>
        <w:ind w:firstLine="720"/>
      </w:pPr>
      <w:r>
        <w:tab/>
      </w:r>
      <w:r>
        <w:tab/>
      </w:r>
      <w:r>
        <w:tab/>
      </w:r>
      <w:r>
        <w:tab/>
      </w:r>
      <w:r w:rsidR="00035C91">
        <w:tab/>
      </w:r>
      <w:r w:rsidR="0006747A">
        <w:tab/>
      </w:r>
      <w:r>
        <w:t>Non-</w:t>
      </w:r>
    </w:p>
    <w:p w:rsidR="00A42143" w:rsidRPr="00CB5054" w:rsidP="00283768" w14:paraId="4818AB42" w14:textId="3614F2F2">
      <w:pPr>
        <w:pStyle w:val="Default"/>
        <w:ind w:firstLine="720"/>
      </w:pPr>
      <w:r>
        <w:tab/>
      </w:r>
      <w:r w:rsidR="0006747A">
        <w:tab/>
      </w:r>
      <w:r>
        <w:t>Manufacturing</w:t>
      </w:r>
      <w:r>
        <w:tab/>
      </w:r>
      <w:r>
        <w:tab/>
      </w:r>
      <w:r>
        <w:tab/>
      </w:r>
      <w:r>
        <w:t>Manufacturing</w:t>
      </w:r>
      <w:r>
        <w:tab/>
      </w:r>
      <w:r>
        <w:tab/>
      </w:r>
      <w:r>
        <w:tab/>
        <w:t>Total</w:t>
      </w:r>
    </w:p>
    <w:p w:rsidR="00001CE2" w:rsidRPr="00A42143" w:rsidP="00D80711" w14:paraId="756EF085" w14:textId="22AC4800">
      <w:pPr>
        <w:shd w:val="solid" w:color="FFFFFF" w:fill="FFFFFF"/>
        <w:rPr>
          <w:b/>
          <w:color w:val="000000"/>
          <w:sz w:val="24"/>
          <w:szCs w:val="24"/>
        </w:rPr>
      </w:pPr>
      <w:r w:rsidRPr="007056ED">
        <w:rPr>
          <w:b/>
          <w:color w:val="000000"/>
          <w:sz w:val="24"/>
          <w:szCs w:val="24"/>
        </w:rPr>
        <w:t xml:space="preserve">Burden Hours: </w:t>
      </w:r>
      <w:r w:rsidR="00E5057D">
        <w:rPr>
          <w:b/>
          <w:color w:val="000000"/>
          <w:sz w:val="24"/>
          <w:szCs w:val="24"/>
        </w:rPr>
        <w:tab/>
      </w:r>
      <w:r w:rsidR="009F4A03">
        <w:rPr>
          <w:sz w:val="24"/>
          <w:szCs w:val="24"/>
        </w:rPr>
        <w:t>7,056</w:t>
      </w:r>
      <w:r w:rsidRPr="00A42143" w:rsidR="00A42143">
        <w:rPr>
          <w:sz w:val="24"/>
          <w:szCs w:val="24"/>
        </w:rPr>
        <w:tab/>
      </w:r>
      <w:r w:rsidRPr="00A42143" w:rsidR="00A42143">
        <w:rPr>
          <w:sz w:val="24"/>
          <w:szCs w:val="24"/>
        </w:rPr>
        <w:tab/>
      </w:r>
      <w:r w:rsidRPr="00A42143" w:rsidR="00A42143">
        <w:rPr>
          <w:sz w:val="24"/>
          <w:szCs w:val="24"/>
        </w:rPr>
        <w:tab/>
      </w:r>
      <w:r w:rsidR="0006747A">
        <w:rPr>
          <w:sz w:val="24"/>
          <w:szCs w:val="24"/>
        </w:rPr>
        <w:tab/>
      </w:r>
      <w:r w:rsidR="00075D41">
        <w:rPr>
          <w:sz w:val="24"/>
          <w:szCs w:val="24"/>
        </w:rPr>
        <w:t>322,882</w:t>
      </w:r>
      <w:r w:rsidR="00E5057D">
        <w:rPr>
          <w:sz w:val="24"/>
          <w:szCs w:val="24"/>
        </w:rPr>
        <w:tab/>
      </w:r>
      <w:r w:rsidR="00EC30E5">
        <w:rPr>
          <w:sz w:val="24"/>
          <w:szCs w:val="24"/>
        </w:rPr>
        <w:tab/>
      </w:r>
      <w:r>
        <w:rPr>
          <w:sz w:val="24"/>
          <w:szCs w:val="24"/>
        </w:rPr>
        <w:t xml:space="preserve">       </w:t>
      </w:r>
      <w:r w:rsidR="00762D84">
        <w:rPr>
          <w:sz w:val="24"/>
          <w:szCs w:val="24"/>
        </w:rPr>
        <w:t>329,938</w:t>
      </w:r>
    </w:p>
    <w:p w:rsidR="00A42143" w:rsidP="00D80711" w14:paraId="3C0E0D96" w14:textId="403A967E">
      <w:pPr>
        <w:shd w:val="solid" w:color="FFFFFF" w:fill="FFFFFF"/>
        <w:rPr>
          <w:sz w:val="24"/>
          <w:szCs w:val="24"/>
        </w:rPr>
      </w:pPr>
      <w:r>
        <w:rPr>
          <w:b/>
          <w:color w:val="000000"/>
          <w:sz w:val="24"/>
          <w:szCs w:val="24"/>
        </w:rPr>
        <w:t>Cost:</w:t>
      </w:r>
      <w:r>
        <w:rPr>
          <w:b/>
          <w:color w:val="000000"/>
          <w:sz w:val="24"/>
          <w:szCs w:val="24"/>
        </w:rPr>
        <w:tab/>
        <w:t xml:space="preserve">  </w:t>
      </w:r>
      <w:r w:rsidRPr="00A42143">
        <w:rPr>
          <w:b/>
          <w:color w:val="000000"/>
          <w:sz w:val="24"/>
          <w:szCs w:val="24"/>
        </w:rPr>
        <w:tab/>
      </w:r>
      <w:r>
        <w:rPr>
          <w:b/>
          <w:color w:val="000000"/>
          <w:sz w:val="24"/>
          <w:szCs w:val="24"/>
        </w:rPr>
        <w:t xml:space="preserve">    </w:t>
      </w:r>
      <w:r w:rsidR="0006747A">
        <w:rPr>
          <w:b/>
          <w:color w:val="000000"/>
          <w:sz w:val="24"/>
          <w:szCs w:val="24"/>
        </w:rPr>
        <w:tab/>
      </w:r>
      <w:r>
        <w:rPr>
          <w:b/>
          <w:color w:val="000000"/>
          <w:sz w:val="24"/>
          <w:szCs w:val="24"/>
        </w:rPr>
        <w:t xml:space="preserve"> </w:t>
      </w:r>
      <w:r w:rsidRPr="002A453F">
        <w:rPr>
          <w:sz w:val="24"/>
          <w:szCs w:val="24"/>
        </w:rPr>
        <w:t>$</w:t>
      </w:r>
      <w:r w:rsidR="00220A98">
        <w:rPr>
          <w:sz w:val="24"/>
          <w:szCs w:val="24"/>
        </w:rPr>
        <w:t>225,298</w:t>
      </w:r>
      <w:r w:rsidRPr="00A42143">
        <w:rPr>
          <w:sz w:val="24"/>
          <w:szCs w:val="24"/>
        </w:rPr>
        <w:tab/>
      </w:r>
      <w:r w:rsidRPr="00A42143">
        <w:rPr>
          <w:sz w:val="24"/>
          <w:szCs w:val="24"/>
        </w:rPr>
        <w:tab/>
      </w:r>
      <w:r w:rsidR="00854661">
        <w:rPr>
          <w:sz w:val="24"/>
          <w:szCs w:val="24"/>
        </w:rPr>
        <w:t xml:space="preserve">   </w:t>
      </w:r>
      <w:r w:rsidRPr="00A42143">
        <w:rPr>
          <w:sz w:val="24"/>
          <w:szCs w:val="24"/>
        </w:rPr>
        <w:tab/>
        <w:t>$</w:t>
      </w:r>
      <w:r w:rsidRPr="00781E36" w:rsidR="00716A40">
        <w:rPr>
          <w:sz w:val="24"/>
          <w:szCs w:val="24"/>
        </w:rPr>
        <w:t>10,309,622</w:t>
      </w:r>
      <w:r w:rsidR="00E5057D">
        <w:rPr>
          <w:sz w:val="24"/>
          <w:szCs w:val="24"/>
        </w:rPr>
        <w:tab/>
      </w:r>
      <w:r w:rsidR="00BF184D">
        <w:rPr>
          <w:sz w:val="24"/>
          <w:szCs w:val="24"/>
        </w:rPr>
        <w:t xml:space="preserve"> </w:t>
      </w:r>
      <w:r w:rsidR="00854661">
        <w:rPr>
          <w:sz w:val="24"/>
          <w:szCs w:val="24"/>
        </w:rPr>
        <w:t xml:space="preserve"> </w:t>
      </w:r>
      <w:r w:rsidR="00EC30E5">
        <w:rPr>
          <w:sz w:val="24"/>
          <w:szCs w:val="24"/>
        </w:rPr>
        <w:tab/>
      </w:r>
      <w:r>
        <w:rPr>
          <w:sz w:val="24"/>
          <w:szCs w:val="24"/>
        </w:rPr>
        <w:t xml:space="preserve">   </w:t>
      </w:r>
      <w:r w:rsidR="00EC30E5">
        <w:rPr>
          <w:sz w:val="24"/>
          <w:szCs w:val="24"/>
        </w:rPr>
        <w:t>$</w:t>
      </w:r>
      <w:r w:rsidR="00220A98">
        <w:rPr>
          <w:sz w:val="24"/>
          <w:szCs w:val="24"/>
        </w:rPr>
        <w:t>10,924,</w:t>
      </w:r>
      <w:r w:rsidR="001F179E">
        <w:rPr>
          <w:sz w:val="24"/>
          <w:szCs w:val="24"/>
        </w:rPr>
        <w:t>339</w:t>
      </w:r>
    </w:p>
    <w:p w:rsidR="003670AD" w:rsidP="00D80711" w14:paraId="022C034B" w14:textId="77777777">
      <w:pPr>
        <w:shd w:val="solid" w:color="FFFFFF" w:fill="FFFFFF"/>
        <w:rPr>
          <w:sz w:val="24"/>
          <w:szCs w:val="24"/>
        </w:rPr>
      </w:pPr>
    </w:p>
    <w:p w:rsidR="0085395B" w:rsidP="003670AD" w14:paraId="6D8718E1" w14:textId="77777777">
      <w:pPr>
        <w:pStyle w:val="Default"/>
        <w:rPr>
          <w:b/>
          <w:bCs/>
        </w:rPr>
      </w:pPr>
    </w:p>
    <w:p w:rsidR="0085395B" w:rsidRPr="00AB0B90" w:rsidP="0085395B" w14:paraId="72D25843" w14:textId="2F298001">
      <w:pPr>
        <w:pStyle w:val="Default"/>
        <w:rPr>
          <w:bCs/>
        </w:rPr>
      </w:pPr>
      <w:r>
        <w:rPr>
          <w:b/>
          <w:bCs/>
        </w:rPr>
        <w:t>6</w:t>
      </w:r>
      <w:r w:rsidRPr="00316285">
        <w:rPr>
          <w:b/>
          <w:bCs/>
        </w:rPr>
        <w:t>.</w:t>
      </w:r>
      <w:r w:rsidRPr="003A15DB">
        <w:rPr>
          <w:b/>
          <w:bCs/>
          <w:color w:val="auto"/>
        </w:rPr>
        <w:t xml:space="preserve"> Sending of SDSs</w:t>
      </w:r>
      <w:r w:rsidRPr="00447023">
        <w:rPr>
          <w:b/>
          <w:bCs/>
        </w:rPr>
        <w:t xml:space="preserve"> (§ 1910.1200(g))</w:t>
      </w:r>
      <w:r w:rsidRPr="00AB0B90">
        <w:rPr>
          <w:bCs/>
        </w:rPr>
        <w:t xml:space="preserve"> </w:t>
      </w:r>
    </w:p>
    <w:p w:rsidR="0085395B" w:rsidRPr="0085395B" w:rsidP="0085395B" w14:paraId="0A910219" w14:textId="77777777">
      <w:pPr>
        <w:pStyle w:val="Default"/>
        <w:rPr>
          <w:b/>
          <w:bCs/>
        </w:rPr>
      </w:pPr>
      <w:r w:rsidRPr="0085395B">
        <w:rPr>
          <w:b/>
          <w:bCs/>
        </w:rPr>
        <w:t>(Sending SDSs for all hazardous chemicals to new establishments)</w:t>
      </w:r>
    </w:p>
    <w:p w:rsidR="0085395B" w:rsidRPr="00AB0B90" w:rsidP="0085395B" w14:paraId="780A2104" w14:textId="77777777">
      <w:pPr>
        <w:pStyle w:val="Default"/>
        <w:rPr>
          <w:bCs/>
        </w:rPr>
      </w:pPr>
    </w:p>
    <w:p w:rsidR="0085395B" w:rsidRPr="00AB0B90" w:rsidP="0085395B" w14:paraId="37A18F8A" w14:textId="0B2229BE">
      <w:pPr>
        <w:pStyle w:val="Default"/>
        <w:rPr>
          <w:bCs/>
        </w:rPr>
      </w:pPr>
      <w:r w:rsidRPr="00AB0B90">
        <w:rPr>
          <w:bCs/>
        </w:rPr>
        <w:t xml:space="preserve">Manufacturers, importers, or employers developing SDSs must distribute SDSs to new establishments for all initial hazardous chemicals and for new chemical products they may receive during the year. The clerical time required to send SDSs to new establishments is the same as for existing establishments, </w:t>
      </w:r>
      <w:r w:rsidR="00B42028">
        <w:rPr>
          <w:bCs/>
        </w:rPr>
        <w:t>0</w:t>
      </w:r>
      <w:r w:rsidRPr="00AB0B90">
        <w:rPr>
          <w:bCs/>
        </w:rPr>
        <w:t>.14 hours. OSHA recognizes that the time it takes for manufacturers, importers, or employers to transmit SDSs is overestimated because some are sent electronically.</w:t>
      </w:r>
    </w:p>
    <w:p w:rsidR="0085395B" w:rsidRPr="00AB0B90" w:rsidP="0085395B" w14:paraId="4C0C68FD" w14:textId="1014601A">
      <w:pPr>
        <w:pStyle w:val="Default"/>
        <w:rPr>
          <w:bCs/>
        </w:rPr>
      </w:pPr>
      <w:r>
        <w:rPr>
          <w:bCs/>
        </w:rPr>
        <w:t xml:space="preserve"> </w:t>
      </w:r>
    </w:p>
    <w:p w:rsidR="0085395B" w:rsidRPr="00AB0B90" w:rsidP="0085395B" w14:paraId="1324932C" w14:textId="77777777">
      <w:pPr>
        <w:pStyle w:val="Default"/>
        <w:rPr>
          <w:bCs/>
        </w:rPr>
      </w:pPr>
      <w:r w:rsidRPr="00781E36">
        <w:rPr>
          <w:bCs/>
          <w:u w:val="single"/>
        </w:rPr>
        <w:t>Manufacturing</w:t>
      </w:r>
      <w:r w:rsidRPr="00AB0B90">
        <w:rPr>
          <w:bCs/>
        </w:rPr>
        <w:t>:</w:t>
      </w:r>
    </w:p>
    <w:p w:rsidR="0085395B" w:rsidRPr="00AB0B90" w:rsidP="0085395B" w14:paraId="7D2EA99D" w14:textId="77777777">
      <w:pPr>
        <w:pStyle w:val="Default"/>
        <w:rPr>
          <w:bCs/>
        </w:rPr>
      </w:pPr>
    </w:p>
    <w:p w:rsidR="0085395B" w:rsidRPr="00AB0B90" w:rsidP="0085395B" w14:paraId="022DF9CE" w14:textId="2230D87D">
      <w:pPr>
        <w:pStyle w:val="Default"/>
        <w:rPr>
          <w:bCs/>
        </w:rPr>
      </w:pPr>
      <w:r w:rsidRPr="00AB0B90">
        <w:rPr>
          <w:bCs/>
        </w:rPr>
        <w:t xml:space="preserve">OSHA estimates that new manufacturing establishments receive an average of </w:t>
      </w:r>
      <w:r w:rsidR="00794DBD">
        <w:rPr>
          <w:bCs/>
        </w:rPr>
        <w:t>23.76</w:t>
      </w:r>
      <w:r w:rsidRPr="00AB0B90" w:rsidR="00794DBD">
        <w:rPr>
          <w:bCs/>
        </w:rPr>
        <w:t xml:space="preserve"> </w:t>
      </w:r>
      <w:r w:rsidRPr="00AB0B90">
        <w:rPr>
          <w:bCs/>
        </w:rPr>
        <w:t>SDSs</w:t>
      </w:r>
      <w:r w:rsidR="00794DBD">
        <w:rPr>
          <w:bCs/>
        </w:rPr>
        <w:t>:</w:t>
      </w:r>
      <w:r w:rsidRPr="00AB0B90" w:rsidR="00794DBD">
        <w:rPr>
          <w:bCs/>
        </w:rPr>
        <w:t xml:space="preserve"> </w:t>
      </w:r>
      <w:r w:rsidRPr="00AB0B90">
        <w:rPr>
          <w:bCs/>
        </w:rPr>
        <w:t xml:space="preserve">22 </w:t>
      </w:r>
      <w:r w:rsidR="00794DBD">
        <w:rPr>
          <w:bCs/>
        </w:rPr>
        <w:t xml:space="preserve">for </w:t>
      </w:r>
      <w:r w:rsidRPr="00AB0B90">
        <w:rPr>
          <w:bCs/>
        </w:rPr>
        <w:t>hazardous chemicals initially plus 1.76 for new hazardous chemicals annually.</w:t>
      </w:r>
    </w:p>
    <w:p w:rsidR="0085395B" w:rsidRPr="00AB0B90" w:rsidP="0085395B" w14:paraId="38D4FA6D" w14:textId="77777777">
      <w:pPr>
        <w:pStyle w:val="Default"/>
        <w:rPr>
          <w:bCs/>
        </w:rPr>
      </w:pPr>
    </w:p>
    <w:p w:rsidR="0085395B" w:rsidRPr="00AB0B90" w:rsidP="00781E36" w14:paraId="5D97EFFB" w14:textId="482D4937">
      <w:pPr>
        <w:pStyle w:val="Default"/>
        <w:ind w:left="2880" w:hanging="2160"/>
        <w:rPr>
          <w:bCs/>
        </w:rPr>
      </w:pPr>
      <w:r w:rsidRPr="007056ED">
        <w:rPr>
          <w:b/>
          <w:bCs/>
        </w:rPr>
        <w:t>Burden hours</w:t>
      </w:r>
      <w:r w:rsidRPr="00AB0B90">
        <w:rPr>
          <w:bCs/>
        </w:rPr>
        <w:t xml:space="preserve">: </w:t>
      </w:r>
      <w:r w:rsidR="002F24B7">
        <w:rPr>
          <w:bCs/>
        </w:rPr>
        <w:tab/>
      </w:r>
      <w:r w:rsidR="00822332">
        <w:rPr>
          <w:bCs/>
        </w:rPr>
        <w:t>2,222</w:t>
      </w:r>
      <w:r w:rsidRPr="00AB0B90">
        <w:rPr>
          <w:bCs/>
        </w:rPr>
        <w:t xml:space="preserve"> new establishments x 23.76 hazardous chemicals x </w:t>
      </w:r>
      <w:r w:rsidR="00572FAD">
        <w:rPr>
          <w:bCs/>
        </w:rPr>
        <w:t>0</w:t>
      </w:r>
      <w:r w:rsidRPr="00AB0B90">
        <w:rPr>
          <w:bCs/>
        </w:rPr>
        <w:t xml:space="preserve">.14 hour = </w:t>
      </w:r>
      <w:r w:rsidR="009C5821">
        <w:rPr>
          <w:bCs/>
        </w:rPr>
        <w:t>7,391</w:t>
      </w:r>
      <w:r w:rsidRPr="00AB0B90">
        <w:rPr>
          <w:bCs/>
        </w:rPr>
        <w:t xml:space="preserve"> hours </w:t>
      </w:r>
    </w:p>
    <w:p w:rsidR="0085395B" w:rsidRPr="00AB0B90" w:rsidP="00781E36" w14:paraId="28DE4C7F" w14:textId="4E568360">
      <w:pPr>
        <w:pStyle w:val="Default"/>
        <w:ind w:left="1440"/>
        <w:rPr>
          <w:bCs/>
        </w:rPr>
      </w:pPr>
      <w:r w:rsidRPr="00781E36">
        <w:rPr>
          <w:b/>
        </w:rPr>
        <w:t>Cost</w:t>
      </w:r>
      <w:r w:rsidRPr="00AB0B90">
        <w:rPr>
          <w:bCs/>
        </w:rPr>
        <w:t xml:space="preserve">: </w:t>
      </w:r>
      <w:r w:rsidR="00572FAD">
        <w:rPr>
          <w:bCs/>
        </w:rPr>
        <w:tab/>
      </w:r>
      <w:r w:rsidR="00572FAD">
        <w:rPr>
          <w:bCs/>
        </w:rPr>
        <w:tab/>
      </w:r>
      <w:r w:rsidR="009C5821">
        <w:rPr>
          <w:bCs/>
        </w:rPr>
        <w:t>7,391</w:t>
      </w:r>
      <w:r w:rsidRPr="00AB0B90">
        <w:rPr>
          <w:bCs/>
        </w:rPr>
        <w:t xml:space="preserve"> hours x $</w:t>
      </w:r>
      <w:r w:rsidR="00041950">
        <w:rPr>
          <w:bCs/>
        </w:rPr>
        <w:t>31.93</w:t>
      </w:r>
      <w:r w:rsidRPr="00AB0B90">
        <w:rPr>
          <w:bCs/>
        </w:rPr>
        <w:t xml:space="preserve"> = $</w:t>
      </w:r>
      <w:r w:rsidR="00B42028">
        <w:rPr>
          <w:bCs/>
        </w:rPr>
        <w:t>235,995</w:t>
      </w:r>
    </w:p>
    <w:p w:rsidR="0085395B" w:rsidRPr="00AB0B90" w:rsidP="0085395B" w14:paraId="73297595" w14:textId="77777777">
      <w:pPr>
        <w:pStyle w:val="Default"/>
        <w:rPr>
          <w:bCs/>
        </w:rPr>
      </w:pPr>
    </w:p>
    <w:p w:rsidR="0085395B" w:rsidRPr="00AB0B90" w:rsidP="0085395B" w14:paraId="1890BFFB" w14:textId="77777777">
      <w:pPr>
        <w:pStyle w:val="Default"/>
        <w:rPr>
          <w:bCs/>
        </w:rPr>
      </w:pPr>
      <w:r w:rsidRPr="00781E36">
        <w:rPr>
          <w:bCs/>
          <w:u w:val="single"/>
        </w:rPr>
        <w:t>Non-manufacturing</w:t>
      </w:r>
      <w:r w:rsidRPr="00AB0B90">
        <w:rPr>
          <w:bCs/>
        </w:rPr>
        <w:t>:</w:t>
      </w:r>
    </w:p>
    <w:p w:rsidR="0085395B" w:rsidRPr="00AB0B90" w:rsidP="0085395B" w14:paraId="0421B490" w14:textId="77777777">
      <w:pPr>
        <w:pStyle w:val="Default"/>
        <w:rPr>
          <w:bCs/>
        </w:rPr>
      </w:pPr>
    </w:p>
    <w:p w:rsidR="0085395B" w:rsidRPr="00AB0B90" w:rsidP="0085395B" w14:paraId="1C18AA84" w14:textId="34AA6B7E">
      <w:pPr>
        <w:pStyle w:val="Default"/>
        <w:rPr>
          <w:bCs/>
        </w:rPr>
      </w:pPr>
      <w:r w:rsidRPr="00AB0B90">
        <w:rPr>
          <w:bCs/>
        </w:rPr>
        <w:t>Non-manufacturing establishments receive an estimated 16.2</w:t>
      </w:r>
      <w:r w:rsidR="00794DBD">
        <w:rPr>
          <w:bCs/>
        </w:rPr>
        <w:t xml:space="preserve"> SDSs:</w:t>
      </w:r>
      <w:r w:rsidRPr="00AB0B90" w:rsidR="00794DBD">
        <w:rPr>
          <w:bCs/>
        </w:rPr>
        <w:t xml:space="preserve"> </w:t>
      </w:r>
      <w:r w:rsidRPr="00AB0B90">
        <w:rPr>
          <w:bCs/>
        </w:rPr>
        <w:t xml:space="preserve">(15 </w:t>
      </w:r>
      <w:r w:rsidR="00794DBD">
        <w:rPr>
          <w:bCs/>
        </w:rPr>
        <w:t>initial plus</w:t>
      </w:r>
      <w:r w:rsidRPr="00AB0B90">
        <w:rPr>
          <w:bCs/>
        </w:rPr>
        <w:t xml:space="preserve"> 1.2 new </w:t>
      </w:r>
      <w:r>
        <w:rPr>
          <w:bCs/>
        </w:rPr>
        <w:t>h</w:t>
      </w:r>
      <w:r w:rsidRPr="00AB0B90">
        <w:rPr>
          <w:bCs/>
        </w:rPr>
        <w:t>azardous chemicals)</w:t>
      </w:r>
    </w:p>
    <w:p w:rsidR="0085395B" w:rsidRPr="00AB0B90" w:rsidP="0085395B" w14:paraId="79525840" w14:textId="77777777">
      <w:pPr>
        <w:pStyle w:val="Default"/>
        <w:rPr>
          <w:bCs/>
        </w:rPr>
      </w:pPr>
    </w:p>
    <w:p w:rsidR="0085395B" w:rsidRPr="00AB0B90" w:rsidP="00781E36" w14:paraId="67108855" w14:textId="22EE4ECB">
      <w:pPr>
        <w:pStyle w:val="Default"/>
        <w:ind w:left="2880" w:hanging="2160"/>
        <w:rPr>
          <w:bCs/>
        </w:rPr>
      </w:pPr>
      <w:r w:rsidRPr="007056ED">
        <w:rPr>
          <w:b/>
          <w:bCs/>
        </w:rPr>
        <w:t>Burden hours</w:t>
      </w:r>
      <w:r w:rsidRPr="00AB0B90">
        <w:rPr>
          <w:bCs/>
        </w:rPr>
        <w:t xml:space="preserve">: </w:t>
      </w:r>
      <w:r w:rsidR="0021763E">
        <w:rPr>
          <w:bCs/>
        </w:rPr>
        <w:tab/>
      </w:r>
      <w:r w:rsidR="00822332">
        <w:t>279,591</w:t>
      </w:r>
      <w:r w:rsidRPr="00AB0B90">
        <w:rPr>
          <w:bCs/>
        </w:rPr>
        <w:t xml:space="preserve"> new non-manufacturing establishments x 16.2 hazardous chemicals x .14 hour = </w:t>
      </w:r>
      <w:r w:rsidR="007B40B6">
        <w:rPr>
          <w:bCs/>
        </w:rPr>
        <w:t>634,112</w:t>
      </w:r>
      <w:r w:rsidRPr="00AB0B90">
        <w:rPr>
          <w:bCs/>
        </w:rPr>
        <w:t xml:space="preserve"> hours </w:t>
      </w:r>
    </w:p>
    <w:p w:rsidR="0085395B" w:rsidRPr="00AB0B90" w:rsidP="00781E36" w14:paraId="004B131A" w14:textId="09C52624">
      <w:pPr>
        <w:pStyle w:val="Default"/>
        <w:ind w:left="720" w:firstLine="720"/>
        <w:rPr>
          <w:bCs/>
        </w:rPr>
      </w:pPr>
      <w:r w:rsidRPr="00781E36">
        <w:rPr>
          <w:b/>
        </w:rPr>
        <w:t>Cost</w:t>
      </w:r>
      <w:r w:rsidRPr="00AB0B90">
        <w:rPr>
          <w:bCs/>
        </w:rPr>
        <w:t xml:space="preserve">: </w:t>
      </w:r>
      <w:r w:rsidR="0021763E">
        <w:rPr>
          <w:bCs/>
        </w:rPr>
        <w:tab/>
      </w:r>
      <w:r w:rsidR="0021763E">
        <w:rPr>
          <w:bCs/>
        </w:rPr>
        <w:tab/>
      </w:r>
      <w:r w:rsidR="007B40B6">
        <w:rPr>
          <w:bCs/>
        </w:rPr>
        <w:t>634,11</w:t>
      </w:r>
      <w:r w:rsidR="009627D1">
        <w:rPr>
          <w:bCs/>
        </w:rPr>
        <w:t>2</w:t>
      </w:r>
      <w:r w:rsidR="00C054E1">
        <w:rPr>
          <w:bCs/>
        </w:rPr>
        <w:t xml:space="preserve"> </w:t>
      </w:r>
      <w:r w:rsidRPr="00AB0B90">
        <w:rPr>
          <w:bCs/>
        </w:rPr>
        <w:t>hours x $</w:t>
      </w:r>
      <w:r w:rsidR="00041950">
        <w:rPr>
          <w:bCs/>
        </w:rPr>
        <w:t>31.93</w:t>
      </w:r>
      <w:r w:rsidRPr="00AB0B90">
        <w:rPr>
          <w:bCs/>
        </w:rPr>
        <w:t>= $</w:t>
      </w:r>
      <w:r w:rsidR="00B81713">
        <w:rPr>
          <w:bCs/>
        </w:rPr>
        <w:t>20,</w:t>
      </w:r>
      <w:r w:rsidR="006307E4">
        <w:rPr>
          <w:bCs/>
        </w:rPr>
        <w:t>247,196</w:t>
      </w:r>
    </w:p>
    <w:p w:rsidR="0085395B" w:rsidRPr="00AB0B90" w:rsidP="0085395B" w14:paraId="5B288756" w14:textId="77777777">
      <w:pPr>
        <w:pStyle w:val="Default"/>
        <w:rPr>
          <w:bCs/>
        </w:rPr>
      </w:pPr>
    </w:p>
    <w:p w:rsidR="0085395B" w:rsidRPr="00AB0B90" w:rsidP="0085395B" w14:paraId="3CDCE59B" w14:textId="77777777">
      <w:pPr>
        <w:pStyle w:val="Default"/>
        <w:rPr>
          <w:bCs/>
        </w:rPr>
      </w:pPr>
      <w:r w:rsidRPr="007056ED">
        <w:rPr>
          <w:b/>
          <w:bCs/>
        </w:rPr>
        <w:t>Total Burden hours and cost</w:t>
      </w:r>
      <w:r w:rsidRPr="00AB0B90">
        <w:rPr>
          <w:bCs/>
        </w:rPr>
        <w:t>:</w:t>
      </w:r>
    </w:p>
    <w:p w:rsidR="0085395B" w:rsidRPr="00AB0B90" w:rsidP="0085395B" w14:paraId="01613ABD" w14:textId="4658268E">
      <w:pPr>
        <w:pStyle w:val="Default"/>
        <w:rPr>
          <w:bCs/>
        </w:rPr>
      </w:pPr>
      <w:r w:rsidRPr="00AB0B90">
        <w:rPr>
          <w:bCs/>
        </w:rPr>
        <w:tab/>
      </w:r>
      <w:r w:rsidRPr="00AB0B90">
        <w:rPr>
          <w:bCs/>
        </w:rPr>
        <w:tab/>
      </w:r>
      <w:r w:rsidRPr="00AB0B90">
        <w:rPr>
          <w:bCs/>
        </w:rPr>
        <w:tab/>
      </w:r>
      <w:r w:rsidRPr="00AB0B90">
        <w:rPr>
          <w:bCs/>
        </w:rPr>
        <w:tab/>
      </w:r>
      <w:r w:rsidR="0036307A">
        <w:rPr>
          <w:bCs/>
        </w:rPr>
        <w:tab/>
      </w:r>
      <w:r w:rsidR="0036307A">
        <w:rPr>
          <w:bCs/>
        </w:rPr>
        <w:tab/>
      </w:r>
      <w:r w:rsidR="0036307A">
        <w:rPr>
          <w:bCs/>
        </w:rPr>
        <w:tab/>
      </w:r>
      <w:r w:rsidRPr="00AB0B90">
        <w:rPr>
          <w:bCs/>
        </w:rPr>
        <w:t>Non-</w:t>
      </w:r>
    </w:p>
    <w:p w:rsidR="0085395B" w:rsidRPr="00AB0B90" w:rsidP="003A15DB" w14:paraId="0A170675" w14:textId="7EA959E4">
      <w:pPr>
        <w:pStyle w:val="Default"/>
        <w:ind w:left="1440" w:firstLine="720"/>
        <w:rPr>
          <w:bCs/>
        </w:rPr>
      </w:pPr>
      <w:r w:rsidRPr="00AB0B90">
        <w:rPr>
          <w:bCs/>
        </w:rPr>
        <w:t>Manufacturing</w:t>
      </w:r>
      <w:r w:rsidRPr="00AB0B90">
        <w:rPr>
          <w:bCs/>
        </w:rPr>
        <w:tab/>
      </w:r>
      <w:r w:rsidRPr="00AB0B90">
        <w:rPr>
          <w:bCs/>
        </w:rPr>
        <w:tab/>
      </w:r>
      <w:r w:rsidRPr="00AB0B90">
        <w:rPr>
          <w:bCs/>
        </w:rPr>
        <w:tab/>
      </w:r>
      <w:r w:rsidRPr="00AB0B90">
        <w:rPr>
          <w:bCs/>
        </w:rPr>
        <w:t>Manufacturing</w:t>
      </w:r>
      <w:r w:rsidRPr="00AB0B90">
        <w:rPr>
          <w:bCs/>
        </w:rPr>
        <w:tab/>
      </w:r>
      <w:r w:rsidRPr="00AB0B90">
        <w:rPr>
          <w:bCs/>
        </w:rPr>
        <w:tab/>
        <w:t xml:space="preserve">        Total</w:t>
      </w:r>
    </w:p>
    <w:p w:rsidR="0085395B" w:rsidRPr="00AB0B90" w:rsidP="0085395B" w14:paraId="305F66E9" w14:textId="24F0343B">
      <w:pPr>
        <w:pStyle w:val="Default"/>
        <w:rPr>
          <w:bCs/>
        </w:rPr>
      </w:pPr>
      <w:r w:rsidRPr="007056ED">
        <w:rPr>
          <w:b/>
          <w:bCs/>
        </w:rPr>
        <w:t>Burden hours</w:t>
      </w:r>
      <w:r w:rsidRPr="00AB0B90">
        <w:rPr>
          <w:bCs/>
        </w:rPr>
        <w:t>:</w:t>
      </w:r>
      <w:r w:rsidR="00B831C7">
        <w:rPr>
          <w:bCs/>
        </w:rPr>
        <w:tab/>
      </w:r>
      <w:r w:rsidR="009C5821">
        <w:rPr>
          <w:bCs/>
        </w:rPr>
        <w:t>7,391</w:t>
      </w:r>
      <w:r w:rsidRPr="00AB0B90">
        <w:rPr>
          <w:bCs/>
        </w:rPr>
        <w:tab/>
      </w:r>
      <w:r w:rsidR="00B831C7">
        <w:rPr>
          <w:bCs/>
        </w:rPr>
        <w:tab/>
      </w:r>
      <w:r w:rsidR="00B831C7">
        <w:rPr>
          <w:bCs/>
        </w:rPr>
        <w:tab/>
      </w:r>
      <w:r w:rsidR="002C1FBB">
        <w:rPr>
          <w:bCs/>
        </w:rPr>
        <w:tab/>
      </w:r>
      <w:r w:rsidR="007B40B6">
        <w:rPr>
          <w:bCs/>
        </w:rPr>
        <w:t>634,11</w:t>
      </w:r>
      <w:r w:rsidR="009627D1">
        <w:rPr>
          <w:bCs/>
        </w:rPr>
        <w:t>2</w:t>
      </w:r>
      <w:r w:rsidRPr="00AB0B90">
        <w:rPr>
          <w:bCs/>
        </w:rPr>
        <w:tab/>
      </w:r>
      <w:r w:rsidRPr="00AB0B90">
        <w:rPr>
          <w:bCs/>
        </w:rPr>
        <w:tab/>
        <w:t xml:space="preserve">   </w:t>
      </w:r>
      <w:r w:rsidR="00F15AA1">
        <w:rPr>
          <w:bCs/>
        </w:rPr>
        <w:t>641,50</w:t>
      </w:r>
      <w:r w:rsidR="009627D1">
        <w:rPr>
          <w:bCs/>
        </w:rPr>
        <w:t>3</w:t>
      </w:r>
      <w:r w:rsidRPr="00AB0B90">
        <w:rPr>
          <w:bCs/>
        </w:rPr>
        <w:t xml:space="preserve">    </w:t>
      </w:r>
    </w:p>
    <w:p w:rsidR="0085395B" w:rsidRPr="00AB0B90" w:rsidP="0085395B" w14:paraId="56FBC4A9" w14:textId="4AB384F3">
      <w:pPr>
        <w:pStyle w:val="Default"/>
        <w:rPr>
          <w:bCs/>
        </w:rPr>
      </w:pPr>
      <w:r w:rsidRPr="007056ED">
        <w:rPr>
          <w:b/>
          <w:bCs/>
        </w:rPr>
        <w:t>Cost</w:t>
      </w:r>
      <w:r w:rsidRPr="00AB0B90">
        <w:rPr>
          <w:bCs/>
        </w:rPr>
        <w:t xml:space="preserve">:           </w:t>
      </w:r>
      <w:r w:rsidR="00B831C7">
        <w:rPr>
          <w:bCs/>
        </w:rPr>
        <w:tab/>
        <w:t xml:space="preserve">     </w:t>
      </w:r>
      <w:r w:rsidRPr="00AB0B90">
        <w:rPr>
          <w:bCs/>
        </w:rPr>
        <w:t xml:space="preserve"> </w:t>
      </w:r>
      <w:r w:rsidR="002C1FBB">
        <w:rPr>
          <w:bCs/>
        </w:rPr>
        <w:tab/>
      </w:r>
      <w:r w:rsidRPr="00AB0B90">
        <w:rPr>
          <w:bCs/>
        </w:rPr>
        <w:t>$</w:t>
      </w:r>
      <w:r w:rsidR="00581BBA">
        <w:rPr>
          <w:bCs/>
        </w:rPr>
        <w:t>235,</w:t>
      </w:r>
      <w:r w:rsidR="00C9132C">
        <w:rPr>
          <w:bCs/>
        </w:rPr>
        <w:t>995</w:t>
      </w:r>
      <w:r w:rsidRPr="00AB0B90">
        <w:rPr>
          <w:bCs/>
        </w:rPr>
        <w:tab/>
      </w:r>
      <w:r w:rsidRPr="00AB0B90">
        <w:rPr>
          <w:bCs/>
        </w:rPr>
        <w:tab/>
      </w:r>
      <w:r w:rsidR="00B831C7">
        <w:rPr>
          <w:bCs/>
        </w:rPr>
        <w:tab/>
      </w:r>
      <w:r w:rsidRPr="00AB0B90">
        <w:rPr>
          <w:bCs/>
        </w:rPr>
        <w:t>$</w:t>
      </w:r>
      <w:r w:rsidR="0029563D">
        <w:rPr>
          <w:bCs/>
        </w:rPr>
        <w:t>20,</w:t>
      </w:r>
      <w:r w:rsidR="0010348F">
        <w:rPr>
          <w:bCs/>
        </w:rPr>
        <w:t>247,196</w:t>
      </w:r>
      <w:r w:rsidRPr="00AB0B90">
        <w:rPr>
          <w:bCs/>
        </w:rPr>
        <w:tab/>
      </w:r>
      <w:r w:rsidRPr="00AB0B90">
        <w:rPr>
          <w:bCs/>
        </w:rPr>
        <w:tab/>
        <w:t>$</w:t>
      </w:r>
      <w:r w:rsidR="00853C7A">
        <w:rPr>
          <w:bCs/>
        </w:rPr>
        <w:t>20,</w:t>
      </w:r>
      <w:r w:rsidR="0091295D">
        <w:rPr>
          <w:bCs/>
        </w:rPr>
        <w:t>483,191</w:t>
      </w:r>
    </w:p>
    <w:p w:rsidR="0085395B" w:rsidRPr="00AB0B90" w:rsidP="003670AD" w14:paraId="13B45895" w14:textId="77777777">
      <w:pPr>
        <w:pStyle w:val="Default"/>
        <w:rPr>
          <w:bCs/>
        </w:rPr>
      </w:pPr>
    </w:p>
    <w:p w:rsidR="003670AD" w:rsidRPr="00CB5054" w:rsidP="003670AD" w14:paraId="08B70B5F" w14:textId="7234E60F">
      <w:pPr>
        <w:pStyle w:val="Default"/>
        <w:rPr>
          <w:b/>
          <w:bCs/>
        </w:rPr>
      </w:pPr>
      <w:r>
        <w:rPr>
          <w:b/>
          <w:bCs/>
        </w:rPr>
        <w:t>7</w:t>
      </w:r>
      <w:r w:rsidR="00BF184D">
        <w:rPr>
          <w:b/>
          <w:bCs/>
        </w:rPr>
        <w:t>.</w:t>
      </w:r>
      <w:r w:rsidRPr="003A15DB" w:rsidR="00316285">
        <w:rPr>
          <w:b/>
          <w:bCs/>
          <w:color w:val="auto"/>
        </w:rPr>
        <w:t xml:space="preserve"> </w:t>
      </w:r>
      <w:r w:rsidRPr="003A15DB">
        <w:rPr>
          <w:b/>
          <w:bCs/>
          <w:color w:val="auto"/>
        </w:rPr>
        <w:t>Sending of SDSs</w:t>
      </w:r>
      <w:r w:rsidRPr="00CB5054">
        <w:rPr>
          <w:b/>
          <w:bCs/>
        </w:rPr>
        <w:t xml:space="preserve"> (§ 1910.1200(g)) </w:t>
      </w:r>
    </w:p>
    <w:p w:rsidR="003670AD" w:rsidRPr="00CB5054" w:rsidP="003670AD" w14:paraId="713BFAAC" w14:textId="77777777">
      <w:pPr>
        <w:pStyle w:val="Default"/>
      </w:pPr>
      <w:r w:rsidRPr="00CB5054">
        <w:rPr>
          <w:b/>
          <w:bCs/>
        </w:rPr>
        <w:t>(Sending SDSs for</w:t>
      </w:r>
      <w:r>
        <w:rPr>
          <w:b/>
          <w:bCs/>
        </w:rPr>
        <w:t xml:space="preserve"> existing </w:t>
      </w:r>
      <w:r w:rsidRPr="00CB5054">
        <w:rPr>
          <w:b/>
          <w:bCs/>
        </w:rPr>
        <w:t xml:space="preserve">hazardous chemicals to </w:t>
      </w:r>
      <w:r>
        <w:rPr>
          <w:b/>
          <w:bCs/>
        </w:rPr>
        <w:t xml:space="preserve">existing </w:t>
      </w:r>
      <w:r w:rsidRPr="00CB5054">
        <w:rPr>
          <w:b/>
          <w:bCs/>
        </w:rPr>
        <w:t>establishments)</w:t>
      </w:r>
    </w:p>
    <w:p w:rsidR="003670AD" w:rsidRPr="00CB5054" w:rsidP="00AB0B90" w14:paraId="250C9D69" w14:textId="77777777">
      <w:pPr>
        <w:pStyle w:val="Default"/>
        <w:tabs>
          <w:tab w:val="center" w:pos="360"/>
        </w:tabs>
        <w:ind w:hanging="7920"/>
      </w:pPr>
      <w:r w:rsidRPr="00CB5054">
        <w:rPr>
          <w:b/>
          <w:bCs/>
        </w:rPr>
        <w:t>(Sending MSDS</w:t>
      </w:r>
      <w:r w:rsidR="009B00FD">
        <w:rPr>
          <w:b/>
          <w:bCs/>
        </w:rPr>
        <w:tab/>
      </w:r>
    </w:p>
    <w:p w:rsidR="003670AD" w:rsidRPr="00CB5054" w:rsidP="003670AD" w14:paraId="6FFF819C" w14:textId="1E9CC47D">
      <w:pPr>
        <w:pStyle w:val="Default"/>
      </w:pPr>
      <w:r w:rsidRPr="00CB5054">
        <w:t>Manufacturers, importers, or employers distributing hazardous chemicals or products must send SDSs to establishments receiving the hazardous chemical or product. OSHA estimates a manufacturer, importer, or employer generating the SDS takes .14 clerical hours to distribute a</w:t>
      </w:r>
      <w:r w:rsidR="00FD709A">
        <w:t>n existing</w:t>
      </w:r>
      <w:r w:rsidRPr="00CB5054">
        <w:t xml:space="preserve"> SDS</w:t>
      </w:r>
      <w:r w:rsidR="00FD709A">
        <w:t xml:space="preserve"> to a manufacturer deciding to use an existing hazardous chemical</w:t>
      </w:r>
      <w:r w:rsidR="00006F7A">
        <w:t xml:space="preserve"> that they had not previously used</w:t>
      </w:r>
      <w:r w:rsidRPr="00CB5054">
        <w:t>.</w:t>
      </w:r>
      <w:r>
        <w:t xml:space="preserve"> </w:t>
      </w:r>
      <w:r w:rsidR="00006F7A">
        <w:t>OSHA estimates that, on average, half of establishments (the equivalent of every</w:t>
      </w:r>
      <w:r>
        <w:t xml:space="preserve"> existing </w:t>
      </w:r>
      <w:r w:rsidR="00006F7A">
        <w:t xml:space="preserve">establishment newly using </w:t>
      </w:r>
      <w:r w:rsidR="002F021F">
        <w:t>0</w:t>
      </w:r>
      <w:r w:rsidR="00FD709A">
        <w:t>.</w:t>
      </w:r>
      <w:r>
        <w:t xml:space="preserve">5 </w:t>
      </w:r>
      <w:r w:rsidR="00006F7A">
        <w:t>existing</w:t>
      </w:r>
      <w:r>
        <w:t xml:space="preserve"> chemicals</w:t>
      </w:r>
      <w:r w:rsidR="00006F7A">
        <w:t>) will newly use an existing chemical</w:t>
      </w:r>
      <w:r>
        <w:t>.</w:t>
      </w:r>
    </w:p>
    <w:p w:rsidR="003670AD" w:rsidP="003670AD" w14:paraId="381C2DEA" w14:textId="77777777">
      <w:pPr>
        <w:shd w:val="solid" w:color="FFFFFF" w:fill="FFFFFF"/>
        <w:rPr>
          <w:b/>
          <w:color w:val="000000"/>
          <w:sz w:val="22"/>
          <w:szCs w:val="22"/>
        </w:rPr>
      </w:pPr>
    </w:p>
    <w:p w:rsidR="003670AD" w:rsidRPr="00283768" w:rsidP="003670AD" w14:paraId="2C1A47BF" w14:textId="77777777">
      <w:pPr>
        <w:shd w:val="solid" w:color="FFFFFF" w:fill="FFFFFF"/>
        <w:rPr>
          <w:color w:val="000000"/>
          <w:sz w:val="24"/>
          <w:szCs w:val="24"/>
        </w:rPr>
      </w:pPr>
      <w:r w:rsidRPr="00781E36">
        <w:rPr>
          <w:color w:val="000000"/>
          <w:sz w:val="24"/>
          <w:szCs w:val="24"/>
          <w:u w:val="single"/>
        </w:rPr>
        <w:t>Manufacturing</w:t>
      </w:r>
      <w:r>
        <w:rPr>
          <w:color w:val="000000"/>
          <w:sz w:val="24"/>
          <w:szCs w:val="24"/>
        </w:rPr>
        <w:t>:</w:t>
      </w:r>
    </w:p>
    <w:p w:rsidR="003670AD" w:rsidRPr="00CB5054" w:rsidP="003670AD" w14:paraId="073F26C8" w14:textId="77777777">
      <w:pPr>
        <w:shd w:val="solid" w:color="FFFFFF" w:fill="FFFFFF"/>
        <w:rPr>
          <w:b/>
          <w:color w:val="000000"/>
          <w:sz w:val="22"/>
          <w:szCs w:val="22"/>
        </w:rPr>
      </w:pPr>
    </w:p>
    <w:p w:rsidR="003670AD" w:rsidRPr="00CB5054" w:rsidP="003670AD" w14:paraId="1CBF8992" w14:textId="1B15A3B5">
      <w:pPr>
        <w:pStyle w:val="Default"/>
        <w:ind w:left="1620" w:hanging="1620"/>
      </w:pPr>
      <w:r w:rsidRPr="00CB5054">
        <w:rPr>
          <w:b/>
          <w:bCs/>
        </w:rPr>
        <w:t>Burden hours</w:t>
      </w:r>
      <w:r w:rsidRPr="00982C2A">
        <w:rPr>
          <w:bCs/>
        </w:rPr>
        <w:t>:</w:t>
      </w:r>
      <w:r w:rsidRPr="00CB5054">
        <w:rPr>
          <w:b/>
          <w:bCs/>
        </w:rPr>
        <w:t xml:space="preserve"> </w:t>
      </w:r>
      <w:r w:rsidR="003304D4">
        <w:t>28,636</w:t>
      </w:r>
      <w:r w:rsidRPr="00CB5054">
        <w:t xml:space="preserve"> </w:t>
      </w:r>
      <w:r>
        <w:t xml:space="preserve">establishments x .5 existing hazardous chemicals </w:t>
      </w:r>
      <w:r w:rsidRPr="00CB5054">
        <w:t xml:space="preserve">x </w:t>
      </w:r>
      <w:r w:rsidR="002F021F">
        <w:t>0</w:t>
      </w:r>
      <w:r w:rsidRPr="00CB5054">
        <w:t xml:space="preserve">.14 hour = </w:t>
      </w:r>
      <w:r w:rsidR="00F15AA1">
        <w:t>2,005</w:t>
      </w:r>
      <w:r w:rsidR="00611F06">
        <w:t xml:space="preserve"> hours</w:t>
      </w:r>
    </w:p>
    <w:p w:rsidR="003670AD" w:rsidRPr="00CB5054" w:rsidP="003670AD" w14:paraId="7B0D6161" w14:textId="0C5068A2">
      <w:pPr>
        <w:pStyle w:val="Default"/>
        <w:ind w:firstLine="720"/>
      </w:pPr>
      <w:r w:rsidRPr="00CB5054">
        <w:rPr>
          <w:b/>
          <w:bCs/>
        </w:rPr>
        <w:t>Cost</w:t>
      </w:r>
      <w:r w:rsidRPr="00982C2A">
        <w:rPr>
          <w:bCs/>
        </w:rPr>
        <w:t>:</w:t>
      </w:r>
      <w:r>
        <w:rPr>
          <w:bCs/>
        </w:rPr>
        <w:t xml:space="preserve">    </w:t>
      </w:r>
      <w:r w:rsidRPr="00CB5054">
        <w:rPr>
          <w:b/>
          <w:bCs/>
        </w:rPr>
        <w:t xml:space="preserve"> </w:t>
      </w:r>
      <w:r w:rsidR="00BE4489">
        <w:t xml:space="preserve"> </w:t>
      </w:r>
      <w:r w:rsidR="00F15AA1">
        <w:t>2,005</w:t>
      </w:r>
      <w:r w:rsidRPr="00CB5054">
        <w:t xml:space="preserve"> hours x </w:t>
      </w:r>
      <w:r w:rsidR="00252B13">
        <w:t>$</w:t>
      </w:r>
      <w:r w:rsidR="00041950">
        <w:t>31.93</w:t>
      </w:r>
      <w:r w:rsidRPr="00CB5054">
        <w:t xml:space="preserve"> = $</w:t>
      </w:r>
      <w:r w:rsidR="004479D5">
        <w:t>64,020</w:t>
      </w:r>
    </w:p>
    <w:p w:rsidR="003670AD" w:rsidP="003670AD" w14:paraId="4B5DC10C" w14:textId="77777777">
      <w:pPr>
        <w:shd w:val="solid" w:color="FFFFFF" w:fill="FFFFFF"/>
        <w:rPr>
          <w:color w:val="000000"/>
          <w:sz w:val="24"/>
          <w:szCs w:val="24"/>
        </w:rPr>
      </w:pPr>
    </w:p>
    <w:p w:rsidR="003670AD" w:rsidP="003670AD" w14:paraId="66C3B81B" w14:textId="2360EEFE">
      <w:pPr>
        <w:shd w:val="solid" w:color="FFFFFF" w:fill="FFFFFF"/>
        <w:rPr>
          <w:color w:val="000000"/>
          <w:sz w:val="24"/>
          <w:szCs w:val="24"/>
        </w:rPr>
      </w:pPr>
      <w:r>
        <w:rPr>
          <w:color w:val="000000"/>
          <w:sz w:val="24"/>
          <w:szCs w:val="24"/>
        </w:rPr>
        <w:t xml:space="preserve">For non-manufacturing establishments, </w:t>
      </w:r>
      <w:r w:rsidRPr="00006F7A" w:rsidR="00006F7A">
        <w:rPr>
          <w:color w:val="000000"/>
          <w:sz w:val="24"/>
          <w:szCs w:val="24"/>
        </w:rPr>
        <w:t xml:space="preserve">OSHA </w:t>
      </w:r>
      <w:r w:rsidR="00006F7A">
        <w:rPr>
          <w:color w:val="000000"/>
          <w:sz w:val="24"/>
          <w:szCs w:val="24"/>
        </w:rPr>
        <w:t xml:space="preserve">also </w:t>
      </w:r>
      <w:r w:rsidRPr="00006F7A" w:rsidR="00006F7A">
        <w:rPr>
          <w:color w:val="000000"/>
          <w:sz w:val="24"/>
          <w:szCs w:val="24"/>
        </w:rPr>
        <w:t xml:space="preserve">estimates that, on average, half of establishments (the equivalent of every existing establishment newly using </w:t>
      </w:r>
      <w:r w:rsidR="002F021F">
        <w:rPr>
          <w:color w:val="000000"/>
          <w:sz w:val="24"/>
          <w:szCs w:val="24"/>
        </w:rPr>
        <w:t>0</w:t>
      </w:r>
      <w:r w:rsidRPr="00006F7A" w:rsidR="00006F7A">
        <w:rPr>
          <w:color w:val="000000"/>
          <w:sz w:val="24"/>
          <w:szCs w:val="24"/>
        </w:rPr>
        <w:t>.5 existing chemicals) will newly use an existing chemica</w:t>
      </w:r>
      <w:r w:rsidR="00006F7A">
        <w:rPr>
          <w:color w:val="000000"/>
          <w:sz w:val="24"/>
          <w:szCs w:val="24"/>
        </w:rPr>
        <w:t xml:space="preserve">l.  </w:t>
      </w:r>
    </w:p>
    <w:p w:rsidR="00006F7A" w:rsidP="003670AD" w14:paraId="7D7AE056" w14:textId="77777777">
      <w:pPr>
        <w:shd w:val="solid" w:color="FFFFFF" w:fill="FFFFFF"/>
        <w:rPr>
          <w:color w:val="000000"/>
          <w:sz w:val="24"/>
          <w:szCs w:val="24"/>
        </w:rPr>
      </w:pPr>
    </w:p>
    <w:p w:rsidR="003670AD" w:rsidP="003670AD" w14:paraId="6DFD3F19" w14:textId="77777777">
      <w:pPr>
        <w:shd w:val="solid" w:color="FFFFFF" w:fill="FFFFFF"/>
        <w:rPr>
          <w:color w:val="000000"/>
          <w:sz w:val="24"/>
          <w:szCs w:val="24"/>
        </w:rPr>
      </w:pPr>
      <w:r w:rsidRPr="00781E36">
        <w:rPr>
          <w:color w:val="000000"/>
          <w:sz w:val="24"/>
          <w:szCs w:val="24"/>
          <w:u w:val="single"/>
        </w:rPr>
        <w:t>Non-Manufacturing</w:t>
      </w:r>
      <w:r>
        <w:rPr>
          <w:color w:val="000000"/>
          <w:sz w:val="24"/>
          <w:szCs w:val="24"/>
        </w:rPr>
        <w:t>:</w:t>
      </w:r>
    </w:p>
    <w:p w:rsidR="003670AD" w:rsidRPr="00BC2EA8" w:rsidP="003670AD" w14:paraId="276A85AA" w14:textId="77777777">
      <w:pPr>
        <w:shd w:val="solid" w:color="FFFFFF" w:fill="FFFFFF"/>
        <w:rPr>
          <w:color w:val="000000"/>
          <w:sz w:val="24"/>
          <w:szCs w:val="24"/>
        </w:rPr>
      </w:pPr>
    </w:p>
    <w:p w:rsidR="003670AD" w:rsidRPr="00CB5054" w:rsidP="003670AD" w14:paraId="3C968DAB" w14:textId="31E83ABF">
      <w:pPr>
        <w:pStyle w:val="Default"/>
        <w:ind w:left="1620" w:hanging="1620"/>
      </w:pPr>
      <w:r w:rsidRPr="00CB5054">
        <w:rPr>
          <w:b/>
          <w:bCs/>
        </w:rPr>
        <w:t>Burden hours</w:t>
      </w:r>
      <w:r w:rsidRPr="00982C2A">
        <w:rPr>
          <w:bCs/>
        </w:rPr>
        <w:t xml:space="preserve">: </w:t>
      </w:r>
      <w:r w:rsidR="003304D4">
        <w:t>1,921,914</w:t>
      </w:r>
      <w:r w:rsidRPr="00CB5054">
        <w:t xml:space="preserve"> </w:t>
      </w:r>
      <w:r>
        <w:t xml:space="preserve">establishments x .5 new hazardous chemicals </w:t>
      </w:r>
      <w:r w:rsidRPr="00CB5054">
        <w:t xml:space="preserve">x .14 hour = </w:t>
      </w:r>
      <w:r w:rsidR="00C97E47">
        <w:t>134,534</w:t>
      </w:r>
      <w:r w:rsidR="00FD709A">
        <w:t xml:space="preserve"> </w:t>
      </w:r>
      <w:r w:rsidRPr="00CB5054">
        <w:t xml:space="preserve">hours </w:t>
      </w:r>
    </w:p>
    <w:p w:rsidR="003670AD" w:rsidP="003670AD" w14:paraId="76C5BAD3" w14:textId="4C31F872">
      <w:pPr>
        <w:pStyle w:val="Default"/>
        <w:ind w:firstLine="720"/>
      </w:pPr>
      <w:r w:rsidRPr="00CB5054">
        <w:rPr>
          <w:b/>
          <w:bCs/>
        </w:rPr>
        <w:t>Cost</w:t>
      </w:r>
      <w:r w:rsidRPr="00982C2A">
        <w:rPr>
          <w:bCs/>
        </w:rPr>
        <w:t xml:space="preserve">: </w:t>
      </w:r>
      <w:r w:rsidR="00C97E47">
        <w:t>134,534</w:t>
      </w:r>
      <w:r w:rsidRPr="00CB5054">
        <w:t xml:space="preserve"> hours x </w:t>
      </w:r>
      <w:r w:rsidR="00252B13">
        <w:t>$</w:t>
      </w:r>
      <w:r w:rsidR="00041950">
        <w:t>31.93</w:t>
      </w:r>
      <w:r w:rsidRPr="00CB5054">
        <w:t xml:space="preserve"> = $</w:t>
      </w:r>
      <w:r w:rsidR="00E50390">
        <w:t>4,</w:t>
      </w:r>
      <w:r w:rsidR="00AA18A1">
        <w:t>295,671</w:t>
      </w:r>
      <w:r w:rsidRPr="00CB5054">
        <w:t xml:space="preserve"> </w:t>
      </w:r>
    </w:p>
    <w:p w:rsidR="003670AD" w:rsidP="003670AD" w14:paraId="1A9D2B76" w14:textId="77777777">
      <w:pPr>
        <w:pStyle w:val="Default"/>
        <w:ind w:firstLine="720"/>
      </w:pPr>
    </w:p>
    <w:p w:rsidR="00407CD1" w:rsidP="003670AD" w14:paraId="69B8E07F" w14:textId="77777777">
      <w:pPr>
        <w:pStyle w:val="Default"/>
        <w:rPr>
          <w:b/>
        </w:rPr>
      </w:pPr>
    </w:p>
    <w:p w:rsidR="003670AD" w:rsidRPr="00BB3A6E" w:rsidP="003670AD" w14:paraId="1A991C9F" w14:textId="24E7BFE1">
      <w:pPr>
        <w:pStyle w:val="Default"/>
      </w:pPr>
      <w:r w:rsidRPr="00EC30E5">
        <w:rPr>
          <w:b/>
        </w:rPr>
        <w:t>Total Burden hours and cost</w:t>
      </w:r>
      <w:r w:rsidRPr="00BB3A6E">
        <w:t>:</w:t>
      </w:r>
    </w:p>
    <w:p w:rsidR="003670AD" w:rsidP="003670AD" w14:paraId="7EEBAF90" w14:textId="2AC0A430">
      <w:pPr>
        <w:pStyle w:val="Default"/>
        <w:ind w:firstLine="720"/>
      </w:pPr>
      <w:r>
        <w:tab/>
      </w:r>
      <w:r>
        <w:tab/>
      </w:r>
      <w:r>
        <w:tab/>
      </w:r>
      <w:r>
        <w:tab/>
      </w:r>
      <w:r>
        <w:tab/>
      </w:r>
      <w:r w:rsidR="007D67C9">
        <w:tab/>
      </w:r>
      <w:r>
        <w:t>Non-</w:t>
      </w:r>
    </w:p>
    <w:p w:rsidR="003670AD" w:rsidRPr="00CB5054" w:rsidP="003670AD" w14:paraId="32BB232C" w14:textId="7BDF9D05">
      <w:pPr>
        <w:pStyle w:val="Default"/>
        <w:ind w:firstLine="720"/>
      </w:pPr>
      <w:r>
        <w:tab/>
      </w:r>
      <w:r w:rsidR="007D67C9">
        <w:tab/>
      </w:r>
      <w:r>
        <w:t>Manufacturing</w:t>
      </w:r>
      <w:r>
        <w:tab/>
      </w:r>
      <w:r>
        <w:tab/>
      </w:r>
      <w:r>
        <w:tab/>
      </w:r>
      <w:r>
        <w:t>Manufacturing</w:t>
      </w:r>
      <w:r>
        <w:tab/>
      </w:r>
      <w:r>
        <w:tab/>
        <w:t>Total</w:t>
      </w:r>
    </w:p>
    <w:p w:rsidR="00FD709A" w:rsidP="003670AD" w14:paraId="50410C33" w14:textId="2909E695">
      <w:pPr>
        <w:shd w:val="solid" w:color="FFFFFF" w:fill="FFFFFF"/>
        <w:rPr>
          <w:sz w:val="24"/>
          <w:szCs w:val="24"/>
        </w:rPr>
      </w:pPr>
      <w:r w:rsidRPr="00FE6D92">
        <w:rPr>
          <w:b/>
          <w:color w:val="000000"/>
          <w:sz w:val="24"/>
          <w:szCs w:val="24"/>
        </w:rPr>
        <w:t>Burden Hours</w:t>
      </w:r>
      <w:r w:rsidRPr="00FE6D92">
        <w:rPr>
          <w:color w:val="000000"/>
          <w:sz w:val="24"/>
          <w:szCs w:val="24"/>
        </w:rPr>
        <w:t xml:space="preserve">: </w:t>
      </w:r>
      <w:r w:rsidRPr="00FE6D92">
        <w:rPr>
          <w:b/>
          <w:color w:val="000000"/>
          <w:sz w:val="24"/>
          <w:szCs w:val="24"/>
        </w:rPr>
        <w:tab/>
      </w:r>
      <w:r w:rsidR="00F15AA1">
        <w:rPr>
          <w:sz w:val="24"/>
          <w:szCs w:val="24"/>
        </w:rPr>
        <w:t>2,005</w:t>
      </w:r>
      <w:r>
        <w:rPr>
          <w:sz w:val="24"/>
          <w:szCs w:val="24"/>
        </w:rPr>
        <w:tab/>
      </w:r>
      <w:r>
        <w:rPr>
          <w:sz w:val="24"/>
          <w:szCs w:val="24"/>
        </w:rPr>
        <w:tab/>
      </w:r>
      <w:r>
        <w:rPr>
          <w:sz w:val="24"/>
          <w:szCs w:val="24"/>
        </w:rPr>
        <w:tab/>
      </w:r>
      <w:r>
        <w:rPr>
          <w:sz w:val="24"/>
          <w:szCs w:val="24"/>
        </w:rPr>
        <w:tab/>
      </w:r>
      <w:r w:rsidR="00C97E47">
        <w:rPr>
          <w:sz w:val="24"/>
          <w:szCs w:val="24"/>
        </w:rPr>
        <w:t>134,534</w:t>
      </w:r>
      <w:r>
        <w:rPr>
          <w:sz w:val="24"/>
          <w:szCs w:val="24"/>
        </w:rPr>
        <w:tab/>
        <w:t xml:space="preserve">       </w:t>
      </w:r>
      <w:r w:rsidR="00023D0C">
        <w:rPr>
          <w:sz w:val="24"/>
          <w:szCs w:val="24"/>
        </w:rPr>
        <w:tab/>
      </w:r>
      <w:r w:rsidR="005A6110">
        <w:rPr>
          <w:sz w:val="24"/>
          <w:szCs w:val="24"/>
        </w:rPr>
        <w:t>136,539</w:t>
      </w:r>
    </w:p>
    <w:p w:rsidR="003670AD" w:rsidP="003670AD" w14:paraId="6A7DE9B9" w14:textId="625D1C0C">
      <w:pPr>
        <w:shd w:val="solid" w:color="FFFFFF" w:fill="FFFFFF"/>
        <w:rPr>
          <w:sz w:val="24"/>
          <w:szCs w:val="24"/>
        </w:rPr>
      </w:pPr>
      <w:r>
        <w:rPr>
          <w:b/>
          <w:color w:val="000000"/>
          <w:sz w:val="24"/>
          <w:szCs w:val="24"/>
        </w:rPr>
        <w:t>Cost</w:t>
      </w:r>
      <w:r w:rsidRPr="00401AC9">
        <w:rPr>
          <w:color w:val="000000"/>
          <w:sz w:val="24"/>
          <w:szCs w:val="24"/>
        </w:rPr>
        <w:t>:</w:t>
      </w:r>
      <w:r w:rsidRPr="00401AC9">
        <w:rPr>
          <w:color w:val="000000"/>
          <w:sz w:val="24"/>
          <w:szCs w:val="24"/>
        </w:rPr>
        <w:tab/>
      </w:r>
      <w:r>
        <w:rPr>
          <w:b/>
          <w:color w:val="000000"/>
          <w:sz w:val="24"/>
          <w:szCs w:val="24"/>
        </w:rPr>
        <w:t xml:space="preserve">  </w:t>
      </w:r>
      <w:r w:rsidRPr="00A42143">
        <w:rPr>
          <w:b/>
          <w:color w:val="000000"/>
          <w:sz w:val="24"/>
          <w:szCs w:val="24"/>
        </w:rPr>
        <w:tab/>
      </w:r>
      <w:r>
        <w:rPr>
          <w:b/>
          <w:color w:val="000000"/>
          <w:sz w:val="24"/>
          <w:szCs w:val="24"/>
        </w:rPr>
        <w:t xml:space="preserve"> </w:t>
      </w:r>
      <w:r w:rsidR="00FD709A">
        <w:rPr>
          <w:b/>
          <w:color w:val="000000"/>
          <w:sz w:val="24"/>
          <w:szCs w:val="24"/>
        </w:rPr>
        <w:t xml:space="preserve">   </w:t>
      </w:r>
      <w:r>
        <w:rPr>
          <w:b/>
          <w:color w:val="000000"/>
          <w:sz w:val="24"/>
          <w:szCs w:val="24"/>
        </w:rPr>
        <w:t xml:space="preserve">   </w:t>
      </w:r>
      <w:r w:rsidR="007D67C9">
        <w:rPr>
          <w:b/>
          <w:color w:val="000000"/>
          <w:sz w:val="24"/>
          <w:szCs w:val="24"/>
        </w:rPr>
        <w:tab/>
      </w:r>
      <w:r w:rsidRPr="00A42143">
        <w:rPr>
          <w:sz w:val="24"/>
          <w:szCs w:val="24"/>
        </w:rPr>
        <w:t>$</w:t>
      </w:r>
      <w:r w:rsidR="00CD4329">
        <w:rPr>
          <w:sz w:val="24"/>
          <w:szCs w:val="24"/>
        </w:rPr>
        <w:t>64,020</w:t>
      </w:r>
      <w:r w:rsidRPr="00A42143">
        <w:rPr>
          <w:sz w:val="24"/>
          <w:szCs w:val="24"/>
        </w:rPr>
        <w:tab/>
      </w:r>
      <w:r w:rsidRPr="00A42143">
        <w:rPr>
          <w:sz w:val="24"/>
          <w:szCs w:val="24"/>
        </w:rPr>
        <w:tab/>
      </w:r>
      <w:r>
        <w:rPr>
          <w:sz w:val="24"/>
          <w:szCs w:val="24"/>
        </w:rPr>
        <w:t xml:space="preserve">   </w:t>
      </w:r>
      <w:r w:rsidRPr="00A42143">
        <w:rPr>
          <w:sz w:val="24"/>
          <w:szCs w:val="24"/>
        </w:rPr>
        <w:tab/>
        <w:t>$</w:t>
      </w:r>
      <w:r w:rsidR="00CD4329">
        <w:rPr>
          <w:sz w:val="24"/>
          <w:szCs w:val="24"/>
        </w:rPr>
        <w:t>4,295,</w:t>
      </w:r>
      <w:r w:rsidR="00697B35">
        <w:rPr>
          <w:sz w:val="24"/>
          <w:szCs w:val="24"/>
        </w:rPr>
        <w:t>671</w:t>
      </w:r>
      <w:r>
        <w:rPr>
          <w:sz w:val="24"/>
          <w:szCs w:val="24"/>
        </w:rPr>
        <w:t xml:space="preserve"> </w:t>
      </w:r>
      <w:r>
        <w:rPr>
          <w:sz w:val="24"/>
          <w:szCs w:val="24"/>
        </w:rPr>
        <w:tab/>
        <w:t xml:space="preserve">   </w:t>
      </w:r>
      <w:r w:rsidR="00023D0C">
        <w:rPr>
          <w:sz w:val="24"/>
          <w:szCs w:val="24"/>
        </w:rPr>
        <w:tab/>
      </w:r>
      <w:r>
        <w:rPr>
          <w:sz w:val="24"/>
          <w:szCs w:val="24"/>
        </w:rPr>
        <w:t>$</w:t>
      </w:r>
      <w:r w:rsidR="000E421E">
        <w:rPr>
          <w:sz w:val="24"/>
          <w:szCs w:val="24"/>
        </w:rPr>
        <w:t>4,359,690</w:t>
      </w:r>
    </w:p>
    <w:p w:rsidR="003670AD" w:rsidP="003670AD" w14:paraId="7B7C5F4E" w14:textId="77777777">
      <w:pPr>
        <w:shd w:val="solid" w:color="FFFFFF" w:fill="FFFFFF"/>
        <w:rPr>
          <w:sz w:val="24"/>
          <w:szCs w:val="24"/>
        </w:rPr>
      </w:pPr>
    </w:p>
    <w:p w:rsidR="00CD607A" w:rsidRPr="00CB5054" w:rsidP="00CD607A" w14:paraId="750F816F" w14:textId="64F9B498">
      <w:pPr>
        <w:pStyle w:val="Default"/>
      </w:pPr>
      <w:r w:rsidRPr="003A15DB">
        <w:rPr>
          <w:b/>
          <w:bCs/>
          <w:color w:val="auto"/>
        </w:rPr>
        <w:t xml:space="preserve"> </w:t>
      </w:r>
      <w:r w:rsidR="00316285">
        <w:rPr>
          <w:b/>
          <w:bCs/>
        </w:rPr>
        <w:t>8</w:t>
      </w:r>
      <w:r w:rsidRPr="00CB5054">
        <w:rPr>
          <w:b/>
          <w:bCs/>
        </w:rPr>
        <w:t xml:space="preserve">. </w:t>
      </w:r>
      <w:r w:rsidRPr="003A15DB">
        <w:rPr>
          <w:b/>
          <w:bCs/>
          <w:color w:val="auto"/>
        </w:rPr>
        <w:t xml:space="preserve">Obtaining &amp; Maintaining </w:t>
      </w:r>
      <w:r w:rsidRPr="003A15DB" w:rsidR="008925F4">
        <w:rPr>
          <w:b/>
          <w:bCs/>
          <w:color w:val="auto"/>
        </w:rPr>
        <w:t>SDS</w:t>
      </w:r>
      <w:r w:rsidRPr="003A15DB">
        <w:rPr>
          <w:b/>
          <w:bCs/>
          <w:color w:val="auto"/>
        </w:rPr>
        <w:t xml:space="preserve">s </w:t>
      </w:r>
      <w:r w:rsidRPr="00CB5054">
        <w:rPr>
          <w:b/>
          <w:bCs/>
        </w:rPr>
        <w:t xml:space="preserve">(§ 1910.1200(g)) </w:t>
      </w:r>
    </w:p>
    <w:p w:rsidR="00CD607A" w:rsidRPr="00CB5054" w:rsidP="00CD607A" w14:paraId="6EE563F3" w14:textId="77777777">
      <w:pPr>
        <w:pStyle w:val="Default"/>
        <w:rPr>
          <w:b/>
          <w:bCs/>
        </w:rPr>
      </w:pPr>
      <w:r w:rsidRPr="00CB5054">
        <w:rPr>
          <w:b/>
          <w:bCs/>
        </w:rPr>
        <w:t xml:space="preserve">(Existing Establishments) </w:t>
      </w:r>
    </w:p>
    <w:p w:rsidR="00CD607A" w:rsidRPr="00CB5054" w:rsidP="00CD607A" w14:paraId="71385F61" w14:textId="77777777">
      <w:pPr>
        <w:pStyle w:val="Default"/>
      </w:pPr>
    </w:p>
    <w:p w:rsidR="00CD607A" w:rsidRPr="00CB5054" w:rsidP="00CD607A" w14:paraId="1AB0010E" w14:textId="77777777">
      <w:pPr>
        <w:pStyle w:val="Default"/>
      </w:pPr>
      <w:r w:rsidRPr="00CB5054">
        <w:t xml:space="preserve">All existing establishments that have hazardous chemicals must maintain </w:t>
      </w:r>
      <w:r w:rsidRPr="00CB5054" w:rsidR="008925F4">
        <w:t>SDS</w:t>
      </w:r>
      <w:r w:rsidRPr="00CB5054">
        <w:t>s, and</w:t>
      </w:r>
      <w:r w:rsidRPr="00CB5054">
        <w:t xml:space="preserve"> may need to obtain </w:t>
      </w:r>
      <w:r w:rsidRPr="00CB5054" w:rsidR="008925F4">
        <w:t>SDS</w:t>
      </w:r>
      <w:r w:rsidRPr="00CB5054">
        <w:t xml:space="preserve">s. Smaller establishments or establishments with fewer chemicals spend less time to obtain and maintain </w:t>
      </w:r>
      <w:r w:rsidRPr="00CB5054" w:rsidR="008925F4">
        <w:t>SDS</w:t>
      </w:r>
      <w:r w:rsidRPr="00CB5054">
        <w:t xml:space="preserve">s, while larger companies, companies with a greater number of chemicals, and construction companies having to keep </w:t>
      </w:r>
      <w:r w:rsidRPr="00CB5054" w:rsidR="008925F4">
        <w:t>SDS</w:t>
      </w:r>
      <w:r w:rsidRPr="00CB5054">
        <w:t xml:space="preserve">s at various job sites take a greater amount of time obtaining and maintaining </w:t>
      </w:r>
      <w:r w:rsidRPr="00CB5054" w:rsidR="008925F4">
        <w:t>SDS</w:t>
      </w:r>
      <w:r w:rsidRPr="00CB5054">
        <w:t xml:space="preserve">s. To account for this variance in time, OSHA estimates an average of 1 hour of clerical time per </w:t>
      </w:r>
      <w:r w:rsidRPr="00CB5054">
        <w:t xml:space="preserve">establishment is needed to obtain and maintain </w:t>
      </w:r>
      <w:r w:rsidRPr="00CB5054" w:rsidR="008925F4">
        <w:t>SDS</w:t>
      </w:r>
      <w:r w:rsidRPr="00CB5054">
        <w:t xml:space="preserve">s. OSHA assumes 40 percent of the establishments incur burden hours and costs </w:t>
      </w:r>
      <w:r w:rsidRPr="00CB5054">
        <w:t>as a result of</w:t>
      </w:r>
      <w:r w:rsidRPr="00CB5054">
        <w:t xml:space="preserve"> the HCS. </w:t>
      </w:r>
    </w:p>
    <w:p w:rsidR="00CD607A" w:rsidRPr="00CB5054" w:rsidP="00CD607A" w14:paraId="6D253074" w14:textId="77777777">
      <w:pPr>
        <w:pStyle w:val="Default"/>
      </w:pPr>
    </w:p>
    <w:p w:rsidR="00CD607A" w:rsidRPr="00CB5054" w:rsidP="00CD607A" w14:paraId="46C0BF16" w14:textId="77777777">
      <w:pPr>
        <w:pStyle w:val="Default"/>
      </w:pPr>
      <w:r w:rsidRPr="00CB5054">
        <w:rPr>
          <w:u w:val="single"/>
        </w:rPr>
        <w:t>Manufacturing</w:t>
      </w:r>
      <w:r w:rsidRPr="00CB5054">
        <w:t xml:space="preserve">: </w:t>
      </w:r>
    </w:p>
    <w:p w:rsidR="00CD607A" w:rsidRPr="00CB5054" w:rsidP="00CD607A" w14:paraId="6B6F8D06" w14:textId="77777777">
      <w:pPr>
        <w:pStyle w:val="Default"/>
      </w:pPr>
    </w:p>
    <w:p w:rsidR="00CD607A" w:rsidRPr="00CB5054" w:rsidP="00781E36" w14:paraId="31821DCF" w14:textId="0D51FA59">
      <w:pPr>
        <w:pStyle w:val="Default"/>
        <w:ind w:left="2880" w:hanging="2160"/>
      </w:pPr>
      <w:r w:rsidRPr="00CB5054">
        <w:rPr>
          <w:b/>
          <w:bCs/>
        </w:rPr>
        <w:t>Burden hours</w:t>
      </w:r>
      <w:r w:rsidRPr="00BB3A6E">
        <w:rPr>
          <w:bCs/>
        </w:rPr>
        <w:t>:</w:t>
      </w:r>
      <w:r w:rsidR="00987E65">
        <w:rPr>
          <w:bCs/>
        </w:rPr>
        <w:tab/>
      </w:r>
      <w:r w:rsidR="003304D4">
        <w:rPr>
          <w:bCs/>
        </w:rPr>
        <w:t>28,636</w:t>
      </w:r>
      <w:r w:rsidRPr="00CB5054" w:rsidR="00E52D86">
        <w:t xml:space="preserve"> </w:t>
      </w:r>
      <w:r w:rsidRPr="00CB5054">
        <w:t xml:space="preserve">existing establishments affected x 1 hour = </w:t>
      </w:r>
      <w:r w:rsidR="003304D4">
        <w:t>28,636</w:t>
      </w:r>
      <w:r w:rsidRPr="00CB5054" w:rsidR="00E52D86">
        <w:t xml:space="preserve"> </w:t>
      </w:r>
      <w:r w:rsidRPr="00CB5054">
        <w:t xml:space="preserve">hours </w:t>
      </w:r>
    </w:p>
    <w:p w:rsidR="00CD607A" w:rsidRPr="00CB5054" w:rsidP="00781E36" w14:paraId="67BE6723" w14:textId="19DE7D57">
      <w:pPr>
        <w:pStyle w:val="Default"/>
        <w:ind w:left="720" w:firstLine="720"/>
      </w:pPr>
      <w:r w:rsidRPr="00CB5054">
        <w:rPr>
          <w:b/>
          <w:bCs/>
        </w:rPr>
        <w:t>Cost</w:t>
      </w:r>
      <w:r w:rsidRPr="00BB3A6E">
        <w:rPr>
          <w:bCs/>
        </w:rPr>
        <w:t>:</w:t>
      </w:r>
      <w:r w:rsidRPr="00CB5054">
        <w:rPr>
          <w:b/>
          <w:bCs/>
        </w:rPr>
        <w:t xml:space="preserve"> </w:t>
      </w:r>
      <w:r w:rsidR="00987E65">
        <w:rPr>
          <w:b/>
          <w:bCs/>
        </w:rPr>
        <w:tab/>
      </w:r>
      <w:r w:rsidR="00987E65">
        <w:rPr>
          <w:b/>
          <w:bCs/>
        </w:rPr>
        <w:tab/>
      </w:r>
      <w:r w:rsidR="003304D4">
        <w:t>28,636</w:t>
      </w:r>
      <w:r w:rsidRPr="00CB5054" w:rsidR="00E52D86">
        <w:t xml:space="preserve"> </w:t>
      </w:r>
      <w:r w:rsidRPr="00CB5054">
        <w:t xml:space="preserve">hours x </w:t>
      </w:r>
      <w:r w:rsidR="00252B13">
        <w:t>$</w:t>
      </w:r>
      <w:r w:rsidR="00041950">
        <w:t>31.93</w:t>
      </w:r>
      <w:r w:rsidRPr="00CB5054" w:rsidR="00F37DB2">
        <w:t xml:space="preserve"> </w:t>
      </w:r>
      <w:r w:rsidRPr="00CB5054">
        <w:t>= $</w:t>
      </w:r>
      <w:r w:rsidR="0069140A">
        <w:t>914,</w:t>
      </w:r>
      <w:r w:rsidR="00F814AB">
        <w:t>347</w:t>
      </w:r>
    </w:p>
    <w:p w:rsidR="00CD607A" w:rsidRPr="00CB5054" w:rsidP="00CD607A" w14:paraId="0E879ADC" w14:textId="77777777">
      <w:pPr>
        <w:pStyle w:val="Default"/>
        <w:ind w:firstLine="1440"/>
      </w:pPr>
    </w:p>
    <w:p w:rsidR="00CD607A" w:rsidRPr="00CB5054" w:rsidP="00CD607A" w14:paraId="034CA80B" w14:textId="77777777">
      <w:pPr>
        <w:pStyle w:val="Default"/>
      </w:pPr>
      <w:r w:rsidRPr="00CB5054">
        <w:rPr>
          <w:u w:val="single"/>
        </w:rPr>
        <w:t>Non-Manufacturing</w:t>
      </w:r>
      <w:r w:rsidRPr="00CB5054">
        <w:t xml:space="preserve">: </w:t>
      </w:r>
    </w:p>
    <w:p w:rsidR="00CD607A" w:rsidRPr="00CB5054" w:rsidP="00CD607A" w14:paraId="2ED7515D" w14:textId="77777777">
      <w:pPr>
        <w:pStyle w:val="Default"/>
      </w:pPr>
    </w:p>
    <w:p w:rsidR="00CD607A" w:rsidRPr="00CB5054" w:rsidP="00781E36" w14:paraId="15592C70" w14:textId="66394E9E">
      <w:pPr>
        <w:pStyle w:val="Default"/>
        <w:ind w:left="2880" w:hanging="2160"/>
      </w:pPr>
      <w:r w:rsidRPr="00CB5054">
        <w:rPr>
          <w:b/>
          <w:bCs/>
        </w:rPr>
        <w:t>Burden hours</w:t>
      </w:r>
      <w:r w:rsidRPr="00BB3A6E" w:rsidR="00967C74">
        <w:rPr>
          <w:bCs/>
        </w:rPr>
        <w:t>:</w:t>
      </w:r>
      <w:r w:rsidRPr="00CB5054" w:rsidR="00967C74">
        <w:rPr>
          <w:b/>
          <w:bCs/>
        </w:rPr>
        <w:t xml:space="preserve"> </w:t>
      </w:r>
      <w:r w:rsidR="00987E65">
        <w:rPr>
          <w:b/>
          <w:bCs/>
        </w:rPr>
        <w:tab/>
      </w:r>
      <w:r w:rsidR="00FE6060">
        <w:t>1,921,914</w:t>
      </w:r>
      <w:r w:rsidRPr="00CB5054" w:rsidR="00F860E9">
        <w:t xml:space="preserve"> </w:t>
      </w:r>
      <w:r w:rsidRPr="00CB5054">
        <w:t xml:space="preserve">existing establishments affected x 1 hour = </w:t>
      </w:r>
      <w:r w:rsidR="00FE6060">
        <w:t>1,921,914</w:t>
      </w:r>
      <w:r w:rsidRPr="00CB5054" w:rsidR="00F860E9">
        <w:t xml:space="preserve"> </w:t>
      </w:r>
      <w:r w:rsidRPr="00CB5054">
        <w:t xml:space="preserve">hours </w:t>
      </w:r>
    </w:p>
    <w:p w:rsidR="00CD607A" w:rsidP="00CD607A" w14:paraId="190A9264" w14:textId="42C1EB27">
      <w:pPr>
        <w:pStyle w:val="Default"/>
        <w:ind w:firstLine="1440"/>
      </w:pPr>
      <w:r w:rsidRPr="00CB5054">
        <w:rPr>
          <w:b/>
          <w:bCs/>
        </w:rPr>
        <w:t>Cost</w:t>
      </w:r>
      <w:r w:rsidRPr="00BB3A6E">
        <w:rPr>
          <w:bCs/>
        </w:rPr>
        <w:t>:</w:t>
      </w:r>
      <w:r w:rsidRPr="00CB5054">
        <w:rPr>
          <w:b/>
          <w:bCs/>
        </w:rPr>
        <w:t xml:space="preserve"> </w:t>
      </w:r>
      <w:r w:rsidR="00987E65">
        <w:rPr>
          <w:b/>
          <w:bCs/>
        </w:rPr>
        <w:tab/>
      </w:r>
      <w:r w:rsidR="00987E65">
        <w:rPr>
          <w:b/>
          <w:bCs/>
        </w:rPr>
        <w:tab/>
      </w:r>
      <w:r w:rsidR="00906340">
        <w:t>1,921,914</w:t>
      </w:r>
      <w:r w:rsidRPr="00CB5054" w:rsidR="00F860E9">
        <w:t xml:space="preserve"> </w:t>
      </w:r>
      <w:r w:rsidRPr="00CB5054">
        <w:t xml:space="preserve">hours x </w:t>
      </w:r>
      <w:r w:rsidR="00252B13">
        <w:t>$</w:t>
      </w:r>
      <w:r w:rsidR="00041950">
        <w:t>31.93</w:t>
      </w:r>
      <w:r w:rsidRPr="00CB5054">
        <w:t xml:space="preserve"> = $</w:t>
      </w:r>
      <w:r w:rsidR="00AE4B57">
        <w:t>61,366,714</w:t>
      </w:r>
    </w:p>
    <w:p w:rsidR="003A56D5" w:rsidRPr="00CB5054" w:rsidP="00CD607A" w14:paraId="459EC7AA" w14:textId="77777777">
      <w:pPr>
        <w:pStyle w:val="Default"/>
        <w:ind w:firstLine="1440"/>
      </w:pPr>
    </w:p>
    <w:p w:rsidR="00CD607A" w:rsidRPr="00CB5054" w:rsidP="00CD607A" w14:paraId="775EAD94" w14:textId="77777777">
      <w:pPr>
        <w:pStyle w:val="Default"/>
        <w:rPr>
          <w:sz w:val="23"/>
          <w:szCs w:val="23"/>
        </w:rPr>
      </w:pPr>
      <w:r w:rsidRPr="00CB5054">
        <w:rPr>
          <w:sz w:val="23"/>
          <w:szCs w:val="23"/>
          <w:u w:val="single"/>
        </w:rPr>
        <w:t>Total Burden hours and costs</w:t>
      </w:r>
      <w:r w:rsidRPr="00CB5054">
        <w:rPr>
          <w:sz w:val="23"/>
          <w:szCs w:val="23"/>
        </w:rPr>
        <w:t xml:space="preserve">: </w:t>
      </w:r>
    </w:p>
    <w:p w:rsidR="00CD607A" w:rsidRPr="00CB5054" w:rsidP="00CD607A" w14:paraId="06360B64" w14:textId="77777777">
      <w:pPr>
        <w:pStyle w:val="Default"/>
      </w:pPr>
    </w:p>
    <w:p w:rsidR="00CD607A" w:rsidRPr="00CB5054" w:rsidP="005F15F0" w14:paraId="625FC249" w14:textId="14B16945">
      <w:pPr>
        <w:pStyle w:val="Default"/>
        <w:ind w:left="2880"/>
      </w:pPr>
      <w:r w:rsidRPr="00CB5054">
        <w:t xml:space="preserve">Manufacturing </w:t>
      </w:r>
      <w:r w:rsidRPr="00CB5054">
        <w:tab/>
        <w:t xml:space="preserve">Non-Manufacturing </w:t>
      </w:r>
      <w:r w:rsidRPr="00CB5054">
        <w:tab/>
      </w:r>
      <w:r w:rsidRPr="00CB5054" w:rsidR="00003EAB">
        <w:t>T</w:t>
      </w:r>
      <w:r w:rsidR="00003EAB">
        <w:t>otal</w:t>
      </w:r>
      <w:r w:rsidRPr="00CB5054" w:rsidR="00003EAB">
        <w:t xml:space="preserve"> </w:t>
      </w:r>
    </w:p>
    <w:p w:rsidR="00CD607A" w:rsidRPr="00CB5054" w:rsidP="00CD607A" w14:paraId="0EAD44E3" w14:textId="1FF140C7">
      <w:pPr>
        <w:pStyle w:val="Default"/>
      </w:pPr>
      <w:r w:rsidRPr="00CB5054">
        <w:rPr>
          <w:b/>
          <w:bCs/>
        </w:rPr>
        <w:t xml:space="preserve">            Burden hours</w:t>
      </w:r>
      <w:r w:rsidRPr="00BB3A6E">
        <w:rPr>
          <w:bCs/>
        </w:rPr>
        <w:t>:</w:t>
      </w:r>
      <w:r w:rsidRPr="00CB5054">
        <w:rPr>
          <w:b/>
          <w:bCs/>
        </w:rPr>
        <w:t xml:space="preserve"> </w:t>
      </w:r>
      <w:r w:rsidR="005F15F0">
        <w:rPr>
          <w:b/>
          <w:bCs/>
        </w:rPr>
        <w:tab/>
      </w:r>
      <w:r w:rsidR="003304D4">
        <w:t>28,636</w:t>
      </w:r>
      <w:r w:rsidRPr="00CB5054">
        <w:tab/>
      </w:r>
      <w:r w:rsidRPr="00CB5054">
        <w:tab/>
      </w:r>
      <w:r w:rsidR="005F15F0">
        <w:tab/>
      </w:r>
      <w:r w:rsidR="00906340">
        <w:t>1,921,914</w:t>
      </w:r>
      <w:r w:rsidRPr="00CB5054">
        <w:tab/>
      </w:r>
      <w:r w:rsidRPr="00CB5054">
        <w:tab/>
      </w:r>
      <w:r w:rsidR="0031763D">
        <w:t>1,950,550</w:t>
      </w:r>
      <w:r w:rsidRPr="00CB5054">
        <w:t xml:space="preserve"> </w:t>
      </w:r>
    </w:p>
    <w:p w:rsidR="00CD607A" w:rsidRPr="00CB5054" w:rsidP="00CD607A" w14:paraId="28386E31" w14:textId="1D6DFF8B">
      <w:pPr>
        <w:shd w:val="solid" w:color="FFFFFF" w:fill="FFFFFF"/>
        <w:ind w:left="720" w:firstLine="720"/>
        <w:rPr>
          <w:color w:val="000000"/>
          <w:sz w:val="24"/>
          <w:szCs w:val="24"/>
        </w:rPr>
      </w:pPr>
      <w:r w:rsidRPr="00CB5054">
        <w:rPr>
          <w:b/>
          <w:bCs/>
          <w:color w:val="000000"/>
          <w:sz w:val="24"/>
          <w:szCs w:val="24"/>
        </w:rPr>
        <w:t>Costs</w:t>
      </w:r>
      <w:r w:rsidRPr="00BB3A6E">
        <w:rPr>
          <w:bCs/>
          <w:color w:val="000000"/>
          <w:sz w:val="24"/>
          <w:szCs w:val="24"/>
        </w:rPr>
        <w:t>:</w:t>
      </w:r>
      <w:r w:rsidRPr="00CB5054">
        <w:rPr>
          <w:b/>
          <w:bCs/>
          <w:color w:val="000000"/>
          <w:sz w:val="24"/>
          <w:szCs w:val="24"/>
        </w:rPr>
        <w:t xml:space="preserve"> </w:t>
      </w:r>
      <w:r w:rsidR="00102B72">
        <w:rPr>
          <w:b/>
          <w:bCs/>
          <w:color w:val="000000"/>
          <w:sz w:val="24"/>
          <w:szCs w:val="24"/>
        </w:rPr>
        <w:tab/>
        <w:t xml:space="preserve">  </w:t>
      </w:r>
      <w:r w:rsidR="005F15F0">
        <w:rPr>
          <w:b/>
          <w:bCs/>
          <w:color w:val="000000"/>
          <w:sz w:val="24"/>
          <w:szCs w:val="24"/>
        </w:rPr>
        <w:tab/>
      </w:r>
      <w:r w:rsidRPr="00CB5054" w:rsidR="006A38C8">
        <w:rPr>
          <w:color w:val="000000"/>
          <w:sz w:val="24"/>
          <w:szCs w:val="24"/>
        </w:rPr>
        <w:t>$</w:t>
      </w:r>
      <w:r w:rsidRPr="00781E36" w:rsidR="00F814AB">
        <w:rPr>
          <w:sz w:val="24"/>
          <w:szCs w:val="24"/>
        </w:rPr>
        <w:t>914,347</w:t>
      </w:r>
      <w:r w:rsidRPr="00CB5054">
        <w:rPr>
          <w:color w:val="000000"/>
          <w:sz w:val="24"/>
          <w:szCs w:val="24"/>
        </w:rPr>
        <w:tab/>
      </w:r>
      <w:r w:rsidRPr="00CB5054">
        <w:rPr>
          <w:color w:val="000000"/>
          <w:sz w:val="24"/>
          <w:szCs w:val="24"/>
        </w:rPr>
        <w:tab/>
      </w:r>
      <w:r w:rsidRPr="00CB5054" w:rsidR="006A38C8">
        <w:rPr>
          <w:color w:val="000000"/>
          <w:sz w:val="24"/>
          <w:szCs w:val="24"/>
        </w:rPr>
        <w:t>$</w:t>
      </w:r>
      <w:r w:rsidR="00BD076C">
        <w:rPr>
          <w:color w:val="000000"/>
          <w:sz w:val="24"/>
          <w:szCs w:val="24"/>
        </w:rPr>
        <w:t>61,366,714</w:t>
      </w:r>
      <w:r w:rsidRPr="00CB5054">
        <w:rPr>
          <w:color w:val="000000"/>
          <w:sz w:val="24"/>
          <w:szCs w:val="24"/>
        </w:rPr>
        <w:tab/>
      </w:r>
      <w:r w:rsidRPr="00CB5054">
        <w:rPr>
          <w:color w:val="000000"/>
          <w:sz w:val="24"/>
          <w:szCs w:val="24"/>
        </w:rPr>
        <w:tab/>
        <w:t>$</w:t>
      </w:r>
      <w:r w:rsidR="006B312E">
        <w:rPr>
          <w:color w:val="000000"/>
          <w:sz w:val="24"/>
          <w:szCs w:val="24"/>
        </w:rPr>
        <w:t>62,281,062</w:t>
      </w:r>
    </w:p>
    <w:p w:rsidR="00CD607A" w:rsidRPr="00CB5054" w:rsidP="00CD607A" w14:paraId="17E80A58" w14:textId="77777777">
      <w:pPr>
        <w:shd w:val="solid" w:color="FFFFFF" w:fill="FFFFFF"/>
        <w:rPr>
          <w:color w:val="000000"/>
          <w:sz w:val="23"/>
          <w:szCs w:val="23"/>
        </w:rPr>
      </w:pPr>
    </w:p>
    <w:p w:rsidR="00CD607A" w:rsidRPr="008D055F" w:rsidP="00CD607A" w14:paraId="3BE1A2D1" w14:textId="2F61577A">
      <w:pPr>
        <w:pStyle w:val="Default"/>
      </w:pPr>
      <w:r>
        <w:rPr>
          <w:b/>
          <w:bCs/>
        </w:rPr>
        <w:t>9</w:t>
      </w:r>
      <w:r w:rsidRPr="008D055F" w:rsidR="00830B77">
        <w:rPr>
          <w:b/>
          <w:bCs/>
        </w:rPr>
        <w:t>.</w:t>
      </w:r>
      <w:r w:rsidRPr="008D055F">
        <w:rPr>
          <w:b/>
          <w:bCs/>
        </w:rPr>
        <w:t xml:space="preserve"> </w:t>
      </w:r>
      <w:r w:rsidRPr="003A15DB">
        <w:rPr>
          <w:b/>
          <w:bCs/>
          <w:color w:val="auto"/>
        </w:rPr>
        <w:t xml:space="preserve">Obtaining &amp; Maintaining </w:t>
      </w:r>
      <w:r w:rsidRPr="003A15DB" w:rsidR="008925F4">
        <w:rPr>
          <w:b/>
          <w:bCs/>
          <w:color w:val="auto"/>
        </w:rPr>
        <w:t>SDS</w:t>
      </w:r>
      <w:r w:rsidRPr="007056ED">
        <w:rPr>
          <w:b/>
          <w:bCs/>
          <w:color w:val="4472C4"/>
        </w:rPr>
        <w:t xml:space="preserve"> </w:t>
      </w:r>
      <w:r w:rsidRPr="008D055F">
        <w:rPr>
          <w:b/>
          <w:bCs/>
        </w:rPr>
        <w:t xml:space="preserve">(§ 1910.1200(g)) </w:t>
      </w:r>
    </w:p>
    <w:p w:rsidR="00CD607A" w:rsidRPr="008D055F" w:rsidP="00CD607A" w14:paraId="5A300564" w14:textId="77777777">
      <w:pPr>
        <w:pStyle w:val="Default"/>
        <w:rPr>
          <w:b/>
          <w:bCs/>
        </w:rPr>
      </w:pPr>
      <w:r w:rsidRPr="008D055F">
        <w:rPr>
          <w:b/>
          <w:bCs/>
        </w:rPr>
        <w:t xml:space="preserve">(New Establishments) </w:t>
      </w:r>
    </w:p>
    <w:p w:rsidR="00CD607A" w:rsidRPr="008D055F" w:rsidP="00CD607A" w14:paraId="7F4BA285" w14:textId="77777777">
      <w:pPr>
        <w:pStyle w:val="Default"/>
      </w:pPr>
    </w:p>
    <w:p w:rsidR="00CD607A" w:rsidRPr="008D055F" w:rsidP="00CD607A" w14:paraId="13A6B650" w14:textId="2CB4645D">
      <w:pPr>
        <w:shd w:val="solid" w:color="FFFFFF" w:fill="FFFFFF"/>
        <w:rPr>
          <w:b/>
          <w:color w:val="000000"/>
          <w:sz w:val="24"/>
          <w:szCs w:val="24"/>
        </w:rPr>
      </w:pPr>
      <w:r w:rsidRPr="008D055F">
        <w:rPr>
          <w:color w:val="000000"/>
          <w:sz w:val="24"/>
          <w:szCs w:val="24"/>
        </w:rPr>
        <w:t xml:space="preserve">All new establishments receive and maintain </w:t>
      </w:r>
      <w:r w:rsidRPr="008D055F" w:rsidR="008925F4">
        <w:rPr>
          <w:color w:val="000000"/>
          <w:sz w:val="24"/>
          <w:szCs w:val="24"/>
        </w:rPr>
        <w:t>SDS</w:t>
      </w:r>
      <w:r w:rsidRPr="008D055F">
        <w:rPr>
          <w:color w:val="000000"/>
          <w:sz w:val="24"/>
          <w:szCs w:val="24"/>
        </w:rPr>
        <w:t xml:space="preserve">s for hazardous chemicals at their locations. On occasion new establishments may need to obtain </w:t>
      </w:r>
      <w:r w:rsidRPr="008D055F" w:rsidR="008925F4">
        <w:rPr>
          <w:color w:val="000000"/>
          <w:sz w:val="24"/>
          <w:szCs w:val="24"/>
        </w:rPr>
        <w:t>SDS</w:t>
      </w:r>
      <w:r w:rsidRPr="008D055F">
        <w:rPr>
          <w:color w:val="000000"/>
          <w:sz w:val="24"/>
          <w:szCs w:val="24"/>
        </w:rPr>
        <w:t xml:space="preserve">s. A clerical worker spends an average of </w:t>
      </w:r>
      <w:r w:rsidR="00B54C8F">
        <w:rPr>
          <w:color w:val="000000"/>
          <w:sz w:val="24"/>
          <w:szCs w:val="24"/>
        </w:rPr>
        <w:t>0</w:t>
      </w:r>
      <w:r w:rsidRPr="008D055F">
        <w:rPr>
          <w:color w:val="000000"/>
          <w:sz w:val="24"/>
          <w:szCs w:val="24"/>
        </w:rPr>
        <w:t xml:space="preserve">.14 hour per </w:t>
      </w:r>
      <w:r w:rsidRPr="008D055F" w:rsidR="008925F4">
        <w:rPr>
          <w:color w:val="000000"/>
          <w:sz w:val="24"/>
          <w:szCs w:val="24"/>
        </w:rPr>
        <w:t>SDS</w:t>
      </w:r>
      <w:r w:rsidRPr="008D055F">
        <w:rPr>
          <w:color w:val="000000"/>
          <w:sz w:val="24"/>
          <w:szCs w:val="24"/>
        </w:rPr>
        <w:t xml:space="preserve"> to obtain and maintain the </w:t>
      </w:r>
      <w:r w:rsidRPr="008D055F" w:rsidR="008925F4">
        <w:rPr>
          <w:color w:val="000000"/>
          <w:sz w:val="24"/>
          <w:szCs w:val="24"/>
        </w:rPr>
        <w:t>SDS</w:t>
      </w:r>
      <w:r w:rsidRPr="008D055F">
        <w:rPr>
          <w:color w:val="000000"/>
          <w:sz w:val="24"/>
          <w:szCs w:val="24"/>
        </w:rPr>
        <w:t xml:space="preserve">s. The </w:t>
      </w:r>
      <w:r w:rsidR="004D5224">
        <w:rPr>
          <w:color w:val="000000"/>
          <w:sz w:val="24"/>
          <w:szCs w:val="24"/>
        </w:rPr>
        <w:t>a</w:t>
      </w:r>
      <w:r w:rsidRPr="008D055F" w:rsidR="004D5224">
        <w:rPr>
          <w:color w:val="000000"/>
          <w:sz w:val="24"/>
          <w:szCs w:val="24"/>
        </w:rPr>
        <w:t xml:space="preserve">gency </w:t>
      </w:r>
      <w:r w:rsidRPr="008D055F">
        <w:rPr>
          <w:color w:val="000000"/>
          <w:sz w:val="24"/>
          <w:szCs w:val="24"/>
        </w:rPr>
        <w:t xml:space="preserve">recognizes that the </w:t>
      </w:r>
      <w:r w:rsidR="004A61A0">
        <w:rPr>
          <w:color w:val="000000"/>
          <w:sz w:val="24"/>
          <w:szCs w:val="24"/>
        </w:rPr>
        <w:t>0</w:t>
      </w:r>
      <w:r w:rsidRPr="008D055F">
        <w:rPr>
          <w:color w:val="000000"/>
          <w:sz w:val="24"/>
          <w:szCs w:val="24"/>
        </w:rPr>
        <w:t xml:space="preserve">.14 hour </w:t>
      </w:r>
      <w:r w:rsidRPr="008D055F" w:rsidR="00BB3A6E">
        <w:rPr>
          <w:color w:val="000000"/>
          <w:sz w:val="24"/>
          <w:szCs w:val="24"/>
        </w:rPr>
        <w:t xml:space="preserve">is </w:t>
      </w:r>
      <w:r w:rsidRPr="008D055F">
        <w:rPr>
          <w:color w:val="000000"/>
          <w:sz w:val="24"/>
          <w:szCs w:val="24"/>
        </w:rPr>
        <w:t xml:space="preserve">an overestimate given numerous employers receive, obtain, and maintain </w:t>
      </w:r>
      <w:r w:rsidRPr="008D055F" w:rsidR="008925F4">
        <w:rPr>
          <w:color w:val="000000"/>
          <w:sz w:val="24"/>
          <w:szCs w:val="24"/>
        </w:rPr>
        <w:t>SDS</w:t>
      </w:r>
      <w:r w:rsidRPr="008D055F">
        <w:rPr>
          <w:color w:val="000000"/>
          <w:sz w:val="24"/>
          <w:szCs w:val="24"/>
        </w:rPr>
        <w:t>s electronically.</w:t>
      </w:r>
    </w:p>
    <w:p w:rsidR="00CD607A" w:rsidRPr="008D055F" w:rsidP="00D80711" w14:paraId="7DACE769" w14:textId="77777777">
      <w:pPr>
        <w:shd w:val="solid" w:color="FFFFFF" w:fill="FFFFFF"/>
        <w:rPr>
          <w:b/>
          <w:color w:val="000000"/>
          <w:sz w:val="24"/>
          <w:szCs w:val="24"/>
        </w:rPr>
      </w:pPr>
    </w:p>
    <w:p w:rsidR="00CD607A" w:rsidRPr="008D055F" w:rsidP="00CD607A" w14:paraId="6D36AADE" w14:textId="5ECA9678">
      <w:pPr>
        <w:pStyle w:val="Default"/>
      </w:pPr>
      <w:r w:rsidRPr="008D055F">
        <w:t xml:space="preserve">The number of new manufacturing establishments affected by the HCS is </w:t>
      </w:r>
      <w:r w:rsidR="00822332">
        <w:t>2,222</w:t>
      </w:r>
      <w:r w:rsidRPr="008D055F">
        <w:t xml:space="preserve">, and the number of new non-manufacturing establishments affected is </w:t>
      </w:r>
      <w:r w:rsidR="00822332">
        <w:t>279,591</w:t>
      </w:r>
      <w:r w:rsidRPr="008D055F">
        <w:t xml:space="preserve">. </w:t>
      </w:r>
      <w:r w:rsidRPr="008D055F" w:rsidR="00DA4698">
        <w:t>OSHA</w:t>
      </w:r>
      <w:r w:rsidRPr="008D055F">
        <w:t xml:space="preserve"> estimates that new manufacturing establishments require a total of </w:t>
      </w:r>
      <w:r w:rsidRPr="008D055F" w:rsidR="00342E8F">
        <w:t xml:space="preserve">23.76 </w:t>
      </w:r>
      <w:r w:rsidRPr="008D055F" w:rsidR="008925F4">
        <w:t>SDS</w:t>
      </w:r>
      <w:r w:rsidRPr="008D055F">
        <w:t xml:space="preserve">s, and </w:t>
      </w:r>
      <w:r w:rsidR="000F5F02">
        <w:t xml:space="preserve">new </w:t>
      </w:r>
      <w:r w:rsidRPr="008D055F">
        <w:t xml:space="preserve">non-manufacturing establishments require </w:t>
      </w:r>
      <w:r w:rsidRPr="008D055F" w:rsidR="00342E8F">
        <w:t xml:space="preserve">16.2 </w:t>
      </w:r>
      <w:r w:rsidRPr="008D055F" w:rsidR="008925F4">
        <w:t>SDS</w:t>
      </w:r>
      <w:r w:rsidRPr="008D055F">
        <w:t xml:space="preserve">s. The burden hours are determined by multiplying the number of establishments by the total number of </w:t>
      </w:r>
      <w:r w:rsidRPr="008D055F" w:rsidR="008925F4">
        <w:t>SDS</w:t>
      </w:r>
      <w:r w:rsidRPr="008D055F">
        <w:t xml:space="preserve">s per establishment by the time to obtain and maintain </w:t>
      </w:r>
      <w:r w:rsidRPr="008D055F" w:rsidR="008925F4">
        <w:t>SDS</w:t>
      </w:r>
      <w:r w:rsidRPr="008D055F">
        <w:t xml:space="preserve">s. </w:t>
      </w:r>
    </w:p>
    <w:p w:rsidR="0027122F" w:rsidRPr="008D055F" w:rsidP="00CD607A" w14:paraId="6545ED13" w14:textId="77777777">
      <w:pPr>
        <w:pStyle w:val="Default"/>
        <w:rPr>
          <w:sz w:val="23"/>
          <w:szCs w:val="23"/>
          <w:u w:val="single"/>
        </w:rPr>
      </w:pPr>
    </w:p>
    <w:p w:rsidR="00CD607A" w:rsidRPr="008D055F" w:rsidP="00CD607A" w14:paraId="46A4D76E" w14:textId="77777777">
      <w:pPr>
        <w:pStyle w:val="Default"/>
      </w:pPr>
      <w:r w:rsidRPr="008D055F">
        <w:rPr>
          <w:u w:val="single"/>
        </w:rPr>
        <w:t>Manufacturing</w:t>
      </w:r>
      <w:r w:rsidRPr="008D055F">
        <w:t xml:space="preserve">: </w:t>
      </w:r>
    </w:p>
    <w:p w:rsidR="0027122F" w:rsidRPr="008D055F" w:rsidP="00CD607A" w14:paraId="3CE97585" w14:textId="77777777">
      <w:pPr>
        <w:pStyle w:val="Default"/>
        <w:ind w:firstLine="720"/>
        <w:rPr>
          <w:b/>
          <w:bCs/>
        </w:rPr>
      </w:pPr>
    </w:p>
    <w:p w:rsidR="00CD607A" w:rsidRPr="008D055F" w:rsidP="00CD607A" w14:paraId="634E51FF" w14:textId="409AA511">
      <w:pPr>
        <w:pStyle w:val="Default"/>
        <w:ind w:firstLine="720"/>
      </w:pPr>
      <w:r w:rsidRPr="008D055F">
        <w:rPr>
          <w:b/>
          <w:bCs/>
        </w:rPr>
        <w:t>Burden hours</w:t>
      </w:r>
      <w:r w:rsidRPr="008D055F">
        <w:rPr>
          <w:bCs/>
        </w:rPr>
        <w:t xml:space="preserve">: </w:t>
      </w:r>
      <w:r w:rsidR="00822332">
        <w:t>2,222</w:t>
      </w:r>
      <w:r w:rsidRPr="008D055F" w:rsidR="00F860E9">
        <w:t xml:space="preserve"> </w:t>
      </w:r>
      <w:r w:rsidRPr="008D055F">
        <w:t xml:space="preserve">establishments x </w:t>
      </w:r>
      <w:r w:rsidRPr="008D055F" w:rsidR="00342E8F">
        <w:t xml:space="preserve">23.76 </w:t>
      </w:r>
      <w:r w:rsidRPr="008D055F" w:rsidR="008925F4">
        <w:t>SDS</w:t>
      </w:r>
      <w:r w:rsidRPr="008D055F">
        <w:t xml:space="preserve">s x </w:t>
      </w:r>
      <w:r w:rsidR="00ED3415">
        <w:t>0</w:t>
      </w:r>
      <w:r w:rsidRPr="008D055F">
        <w:t xml:space="preserve">.14 hour = </w:t>
      </w:r>
      <w:r w:rsidR="009C5821">
        <w:t>7,391</w:t>
      </w:r>
      <w:r w:rsidRPr="008D055F" w:rsidR="00F860E9">
        <w:t xml:space="preserve"> </w:t>
      </w:r>
      <w:r w:rsidRPr="008D055F">
        <w:t xml:space="preserve">hours </w:t>
      </w:r>
    </w:p>
    <w:p w:rsidR="004328F1" w:rsidP="00CD607A" w14:paraId="4EAC85F1" w14:textId="0E84F80B">
      <w:pPr>
        <w:pStyle w:val="Default"/>
        <w:ind w:left="720" w:firstLine="720"/>
      </w:pPr>
      <w:r w:rsidRPr="008D055F">
        <w:rPr>
          <w:b/>
          <w:bCs/>
        </w:rPr>
        <w:t>Cost</w:t>
      </w:r>
      <w:r w:rsidRPr="008D055F">
        <w:rPr>
          <w:bCs/>
        </w:rPr>
        <w:t xml:space="preserve">: </w:t>
      </w:r>
      <w:r w:rsidR="009C5821">
        <w:rPr>
          <w:bCs/>
        </w:rPr>
        <w:t>7,391</w:t>
      </w:r>
      <w:r w:rsidRPr="008D055F" w:rsidR="00F860E9">
        <w:t xml:space="preserve"> </w:t>
      </w:r>
      <w:r w:rsidRPr="008D055F">
        <w:t xml:space="preserve">hours x </w:t>
      </w:r>
      <w:r w:rsidR="00252B13">
        <w:t>$</w:t>
      </w:r>
      <w:r w:rsidR="00041950">
        <w:t>31.93</w:t>
      </w:r>
      <w:r w:rsidRPr="008D055F">
        <w:t xml:space="preserve"> = $</w:t>
      </w:r>
      <w:r w:rsidR="00F001B5">
        <w:t>235,</w:t>
      </w:r>
      <w:r w:rsidR="00586C5B">
        <w:t>995</w:t>
      </w:r>
    </w:p>
    <w:p w:rsidR="0027122F" w:rsidRPr="008D055F" w:rsidP="00CD607A" w14:paraId="4B9B5461" w14:textId="77777777">
      <w:pPr>
        <w:pStyle w:val="Default"/>
        <w:ind w:left="720" w:firstLine="720"/>
      </w:pPr>
    </w:p>
    <w:p w:rsidR="00CD607A" w:rsidRPr="008D055F" w:rsidP="00CD607A" w14:paraId="2100E14F" w14:textId="77777777">
      <w:pPr>
        <w:pStyle w:val="Default"/>
      </w:pPr>
      <w:r w:rsidRPr="008D055F">
        <w:rPr>
          <w:u w:val="single"/>
        </w:rPr>
        <w:t>Non-Manufacturing</w:t>
      </w:r>
      <w:r w:rsidRPr="008D055F">
        <w:t xml:space="preserve">: </w:t>
      </w:r>
    </w:p>
    <w:p w:rsidR="0027122F" w:rsidRPr="008D055F" w:rsidP="00CD607A" w14:paraId="39D065E5" w14:textId="77777777">
      <w:pPr>
        <w:pStyle w:val="Default"/>
      </w:pPr>
    </w:p>
    <w:p w:rsidR="00CD607A" w:rsidRPr="008D055F" w:rsidP="00CD607A" w14:paraId="0AE1E600" w14:textId="7FDCCEC6">
      <w:pPr>
        <w:pStyle w:val="Default"/>
        <w:ind w:left="2880" w:hanging="2160"/>
      </w:pPr>
      <w:r w:rsidRPr="008D055F">
        <w:rPr>
          <w:b/>
          <w:bCs/>
        </w:rPr>
        <w:t>Burden hours</w:t>
      </w:r>
      <w:r w:rsidRPr="008D055F">
        <w:rPr>
          <w:bCs/>
        </w:rPr>
        <w:t>:</w:t>
      </w:r>
      <w:r w:rsidRPr="008D055F">
        <w:rPr>
          <w:b/>
          <w:bCs/>
        </w:rPr>
        <w:t xml:space="preserve"> </w:t>
      </w:r>
      <w:r w:rsidR="00822332">
        <w:t>279,591</w:t>
      </w:r>
      <w:r w:rsidRPr="008D055F" w:rsidR="000F2413">
        <w:t xml:space="preserve"> </w:t>
      </w:r>
      <w:r w:rsidRPr="008D055F">
        <w:t xml:space="preserve">establishments x </w:t>
      </w:r>
      <w:r w:rsidRPr="008D055F" w:rsidR="00342E8F">
        <w:t xml:space="preserve">16.2 </w:t>
      </w:r>
      <w:r w:rsidRPr="008D055F" w:rsidR="008925F4">
        <w:t>SDS</w:t>
      </w:r>
      <w:r w:rsidRPr="008D055F">
        <w:t xml:space="preserve">s x </w:t>
      </w:r>
      <w:r w:rsidR="00ED3415">
        <w:t>0</w:t>
      </w:r>
      <w:r w:rsidRPr="008D055F">
        <w:t xml:space="preserve">.14 hour = </w:t>
      </w:r>
      <w:r w:rsidR="007B40B6">
        <w:t>634,11</w:t>
      </w:r>
      <w:r w:rsidR="008B3229">
        <w:t>2</w:t>
      </w:r>
      <w:r w:rsidRPr="008D055F">
        <w:t xml:space="preserve"> hours </w:t>
      </w:r>
    </w:p>
    <w:p w:rsidR="00CD607A" w:rsidRPr="008D055F" w:rsidP="0027122F" w14:paraId="17413F61" w14:textId="66774FDF">
      <w:pPr>
        <w:pStyle w:val="Default"/>
        <w:ind w:left="720" w:firstLine="720"/>
      </w:pPr>
      <w:r w:rsidRPr="008D055F">
        <w:rPr>
          <w:b/>
          <w:bCs/>
        </w:rPr>
        <w:t>Cost</w:t>
      </w:r>
      <w:r w:rsidRPr="008D055F">
        <w:rPr>
          <w:bCs/>
        </w:rPr>
        <w:t>:</w:t>
      </w:r>
      <w:r w:rsidRPr="008D055F">
        <w:rPr>
          <w:b/>
          <w:bCs/>
        </w:rPr>
        <w:t xml:space="preserve"> </w:t>
      </w:r>
      <w:r w:rsidR="007B40B6">
        <w:rPr>
          <w:bCs/>
        </w:rPr>
        <w:t>634,11</w:t>
      </w:r>
      <w:r w:rsidR="008B3229">
        <w:rPr>
          <w:bCs/>
        </w:rPr>
        <w:t>2</w:t>
      </w:r>
      <w:r w:rsidRPr="008D055F" w:rsidR="000F2413">
        <w:t xml:space="preserve"> </w:t>
      </w:r>
      <w:r w:rsidRPr="008D055F">
        <w:t xml:space="preserve">hours x </w:t>
      </w:r>
      <w:r w:rsidR="00252B13">
        <w:t>$</w:t>
      </w:r>
      <w:r w:rsidR="00041950">
        <w:t>31.93</w:t>
      </w:r>
      <w:r w:rsidRPr="008D055F" w:rsidR="00F37DB2">
        <w:t xml:space="preserve"> </w:t>
      </w:r>
      <w:r w:rsidRPr="008D055F">
        <w:t>= $</w:t>
      </w:r>
      <w:r w:rsidR="004514CC">
        <w:t>20,</w:t>
      </w:r>
      <w:r w:rsidR="00137C87">
        <w:t>247,196</w:t>
      </w:r>
    </w:p>
    <w:p w:rsidR="0027122F" w:rsidRPr="008D055F" w:rsidP="00CD607A" w14:paraId="3D293A9D" w14:textId="77777777">
      <w:pPr>
        <w:pStyle w:val="Default"/>
      </w:pPr>
    </w:p>
    <w:p w:rsidR="00CD607A" w:rsidRPr="008D055F" w:rsidP="00CD607A" w14:paraId="71BA72B9" w14:textId="77777777">
      <w:pPr>
        <w:pStyle w:val="Default"/>
        <w:rPr>
          <w:u w:val="single"/>
        </w:rPr>
      </w:pPr>
      <w:r w:rsidRPr="008D055F">
        <w:rPr>
          <w:u w:val="single"/>
        </w:rPr>
        <w:t xml:space="preserve">Total Burden hours and costs </w:t>
      </w:r>
    </w:p>
    <w:p w:rsidR="00CD607A" w:rsidRPr="008D055F" w:rsidP="0027122F" w14:paraId="18D00D4F" w14:textId="77777777">
      <w:pPr>
        <w:pStyle w:val="Default"/>
        <w:ind w:left="5040"/>
      </w:pPr>
      <w:r w:rsidRPr="008D055F">
        <w:t xml:space="preserve">Non- </w:t>
      </w:r>
    </w:p>
    <w:p w:rsidR="00CD607A" w:rsidRPr="008D055F" w:rsidP="0027122F" w14:paraId="009B4AF9" w14:textId="74E8942E">
      <w:pPr>
        <w:pStyle w:val="Default"/>
        <w:ind w:left="2160" w:firstLine="720"/>
      </w:pPr>
      <w:r w:rsidRPr="008D055F">
        <w:t xml:space="preserve">Manufacturing </w:t>
      </w:r>
      <w:r w:rsidRPr="008D055F" w:rsidR="0027122F">
        <w:tab/>
      </w:r>
      <w:r w:rsidRPr="008D055F">
        <w:t>Manufacturing</w:t>
      </w:r>
      <w:r w:rsidRPr="008D055F" w:rsidR="0027122F">
        <w:tab/>
      </w:r>
      <w:r w:rsidRPr="008D055F" w:rsidR="0027122F">
        <w:tab/>
      </w:r>
      <w:r w:rsidR="00B75664">
        <w:t>Total</w:t>
      </w:r>
      <w:r w:rsidRPr="008D055F" w:rsidR="00B75664">
        <w:t xml:space="preserve"> </w:t>
      </w:r>
    </w:p>
    <w:p w:rsidR="00CD607A" w:rsidRPr="008D055F" w:rsidP="00CD607A" w14:paraId="6097D991" w14:textId="4B77DFFF">
      <w:pPr>
        <w:pStyle w:val="Default"/>
        <w:ind w:firstLine="720"/>
      </w:pPr>
      <w:r w:rsidRPr="008D055F">
        <w:rPr>
          <w:b/>
          <w:bCs/>
        </w:rPr>
        <w:t>Burden</w:t>
      </w:r>
      <w:r w:rsidR="00296677">
        <w:rPr>
          <w:b/>
          <w:bCs/>
        </w:rPr>
        <w:t xml:space="preserve"> </w:t>
      </w:r>
      <w:r w:rsidRPr="008D055F">
        <w:rPr>
          <w:b/>
          <w:bCs/>
        </w:rPr>
        <w:t>hours</w:t>
      </w:r>
      <w:r w:rsidRPr="008D055F">
        <w:rPr>
          <w:bCs/>
        </w:rPr>
        <w:t xml:space="preserve">: </w:t>
      </w:r>
      <w:r w:rsidRPr="008D055F" w:rsidR="0027122F">
        <w:rPr>
          <w:b/>
          <w:bCs/>
        </w:rPr>
        <w:tab/>
      </w:r>
      <w:r w:rsidR="009C5821">
        <w:rPr>
          <w:bCs/>
        </w:rPr>
        <w:t>7,391</w:t>
      </w:r>
      <w:r w:rsidRPr="008D055F" w:rsidR="00F860E9">
        <w:tab/>
      </w:r>
      <w:r w:rsidRPr="008D055F" w:rsidR="0027122F">
        <w:tab/>
      </w:r>
      <w:r w:rsidRPr="008D055F" w:rsidR="000F2413">
        <w:tab/>
      </w:r>
      <w:r w:rsidR="007B40B6">
        <w:t>634,112</w:t>
      </w:r>
      <w:r w:rsidRPr="008D055F" w:rsidR="0027122F">
        <w:tab/>
      </w:r>
      <w:r w:rsidRPr="008D055F" w:rsidR="0027122F">
        <w:tab/>
      </w:r>
      <w:r w:rsidR="00F15AA1">
        <w:t>641,503</w:t>
      </w:r>
    </w:p>
    <w:p w:rsidR="00CD607A" w:rsidRPr="008D055F" w:rsidP="00CD607A" w14:paraId="3C8288D6" w14:textId="0F9F88E8">
      <w:pPr>
        <w:pStyle w:val="Default"/>
        <w:ind w:firstLine="720"/>
      </w:pPr>
      <w:r w:rsidRPr="008D055F">
        <w:rPr>
          <w:b/>
          <w:bCs/>
        </w:rPr>
        <w:t>Cost</w:t>
      </w:r>
      <w:r w:rsidRPr="008D055F">
        <w:rPr>
          <w:bCs/>
        </w:rPr>
        <w:t xml:space="preserve">: </w:t>
      </w:r>
      <w:r w:rsidRPr="008D055F" w:rsidR="0027122F">
        <w:rPr>
          <w:b/>
          <w:bCs/>
        </w:rPr>
        <w:tab/>
      </w:r>
      <w:r w:rsidRPr="008D055F" w:rsidR="0027122F">
        <w:rPr>
          <w:b/>
          <w:bCs/>
        </w:rPr>
        <w:tab/>
      </w:r>
      <w:r w:rsidRPr="008D055F" w:rsidR="0027122F">
        <w:rPr>
          <w:b/>
          <w:bCs/>
        </w:rPr>
        <w:tab/>
      </w:r>
      <w:r w:rsidRPr="008D055F" w:rsidR="00F860E9">
        <w:t>$</w:t>
      </w:r>
      <w:r w:rsidR="00586C5B">
        <w:t>235,995</w:t>
      </w:r>
      <w:r w:rsidRPr="008D055F" w:rsidR="0027122F">
        <w:tab/>
      </w:r>
      <w:r w:rsidRPr="008D055F" w:rsidR="0027122F">
        <w:tab/>
      </w:r>
      <w:r w:rsidRPr="008D055F" w:rsidR="006524B6">
        <w:t>$</w:t>
      </w:r>
      <w:r w:rsidR="00BE11CF">
        <w:t>20,247,196</w:t>
      </w:r>
      <w:r w:rsidRPr="008D055F" w:rsidR="0027122F">
        <w:tab/>
      </w:r>
      <w:r w:rsidRPr="008D055F" w:rsidR="0027122F">
        <w:tab/>
      </w:r>
      <w:r w:rsidRPr="008D055F">
        <w:t>$</w:t>
      </w:r>
      <w:r w:rsidR="00391844">
        <w:t>20,483,191</w:t>
      </w:r>
      <w:r w:rsidRPr="008D055F">
        <w:t xml:space="preserve"> </w:t>
      </w:r>
    </w:p>
    <w:p w:rsidR="0027122F" w:rsidRPr="00CB5054" w:rsidP="00CD607A" w14:paraId="76C85407" w14:textId="77777777">
      <w:pPr>
        <w:pStyle w:val="Default"/>
        <w:ind w:firstLine="720"/>
      </w:pPr>
    </w:p>
    <w:p w:rsidR="00CD607A" w:rsidRPr="00AB0B90" w:rsidP="00CD607A" w14:paraId="7E4C8C05" w14:textId="65B710A5">
      <w:pPr>
        <w:pStyle w:val="Default"/>
        <w:rPr>
          <w:b/>
          <w:bCs/>
          <w:color w:val="auto"/>
        </w:rPr>
      </w:pPr>
      <w:r>
        <w:rPr>
          <w:b/>
          <w:bCs/>
          <w:color w:val="auto"/>
        </w:rPr>
        <w:t>10</w:t>
      </w:r>
      <w:r w:rsidRPr="00AB0B90">
        <w:rPr>
          <w:b/>
          <w:bCs/>
          <w:color w:val="auto"/>
        </w:rPr>
        <w:t>.</w:t>
      </w:r>
      <w:r w:rsidRPr="00AB0B90">
        <w:rPr>
          <w:b/>
          <w:bCs/>
          <w:color w:val="FF0000"/>
        </w:rPr>
        <w:t xml:space="preserve"> </w:t>
      </w:r>
      <w:r w:rsidRPr="00AB0B90">
        <w:rPr>
          <w:b/>
          <w:bCs/>
          <w:color w:val="auto"/>
        </w:rPr>
        <w:t>Labeling Shipp</w:t>
      </w:r>
      <w:r w:rsidR="0011039E">
        <w:rPr>
          <w:b/>
          <w:bCs/>
          <w:color w:val="auto"/>
        </w:rPr>
        <w:t>ed</w:t>
      </w:r>
      <w:r w:rsidRPr="00AB0B90">
        <w:rPr>
          <w:b/>
          <w:bCs/>
          <w:color w:val="auto"/>
        </w:rPr>
        <w:t xml:space="preserve"> Containers (§ 1910.1200(f)) </w:t>
      </w:r>
    </w:p>
    <w:p w:rsidR="0027122F" w:rsidRPr="00AB0B90" w:rsidP="00CD607A" w14:paraId="59A4A934" w14:textId="77777777">
      <w:pPr>
        <w:pStyle w:val="Default"/>
        <w:rPr>
          <w:b/>
          <w:color w:val="auto"/>
        </w:rPr>
      </w:pPr>
    </w:p>
    <w:p w:rsidR="00CD607A" w:rsidRPr="00AB0B90" w:rsidP="00CD607A" w14:paraId="1CFC26CE" w14:textId="3402BFA2">
      <w:pPr>
        <w:pStyle w:val="Default"/>
        <w:rPr>
          <w:color w:val="auto"/>
          <w:sz w:val="23"/>
          <w:szCs w:val="23"/>
        </w:rPr>
      </w:pPr>
      <w:r w:rsidRPr="00AB0B90">
        <w:rPr>
          <w:color w:val="auto"/>
        </w:rPr>
        <w:t xml:space="preserve">There is no burden for affixing labels to </w:t>
      </w:r>
      <w:r w:rsidR="0011039E">
        <w:rPr>
          <w:color w:val="auto"/>
        </w:rPr>
        <w:t>shipped</w:t>
      </w:r>
      <w:r w:rsidRPr="00AB0B90">
        <w:rPr>
          <w:color w:val="auto"/>
        </w:rPr>
        <w:t xml:space="preserve"> containers because it is usual and customary practice for manufacturers to affix labels to containers being shipped.</w:t>
      </w:r>
      <w:r w:rsidRPr="00AB0B90">
        <w:rPr>
          <w:color w:val="auto"/>
          <w:sz w:val="23"/>
          <w:szCs w:val="23"/>
        </w:rPr>
        <w:t xml:space="preserve"> </w:t>
      </w:r>
    </w:p>
    <w:p w:rsidR="0027122F" w:rsidRPr="00AB0B90" w:rsidP="00CD607A" w14:paraId="10696A6E" w14:textId="77777777">
      <w:pPr>
        <w:pStyle w:val="Default"/>
        <w:rPr>
          <w:color w:val="auto"/>
          <w:sz w:val="23"/>
          <w:szCs w:val="23"/>
        </w:rPr>
      </w:pPr>
    </w:p>
    <w:p w:rsidR="00CD607A" w:rsidRPr="00CB5054" w:rsidP="00CD607A" w14:paraId="3724BD47" w14:textId="535806C2">
      <w:pPr>
        <w:pStyle w:val="Default"/>
        <w:rPr>
          <w:b/>
          <w:bCs/>
        </w:rPr>
      </w:pPr>
      <w:r>
        <w:rPr>
          <w:b/>
          <w:bCs/>
        </w:rPr>
        <w:t>11</w:t>
      </w:r>
      <w:r w:rsidRPr="00CB5054">
        <w:rPr>
          <w:b/>
          <w:bCs/>
        </w:rPr>
        <w:t xml:space="preserve">. </w:t>
      </w:r>
      <w:r w:rsidRPr="003A15DB">
        <w:rPr>
          <w:b/>
          <w:bCs/>
          <w:color w:val="auto"/>
        </w:rPr>
        <w:t>Labeling of In-Plant Containers (§</w:t>
      </w:r>
      <w:r w:rsidRPr="00CB5054">
        <w:rPr>
          <w:b/>
          <w:bCs/>
        </w:rPr>
        <w:t xml:space="preserve"> 1910.1200(f)(</w:t>
      </w:r>
      <w:r w:rsidR="0011039E">
        <w:rPr>
          <w:b/>
          <w:bCs/>
        </w:rPr>
        <w:t>6</w:t>
      </w:r>
      <w:r w:rsidRPr="00CB5054">
        <w:rPr>
          <w:b/>
          <w:bCs/>
        </w:rPr>
        <w:t xml:space="preserve">)) </w:t>
      </w:r>
    </w:p>
    <w:p w:rsidR="0027122F" w:rsidRPr="00CB5054" w:rsidP="00CD607A" w14:paraId="177E12EE" w14:textId="77777777">
      <w:pPr>
        <w:pStyle w:val="Default"/>
      </w:pPr>
    </w:p>
    <w:p w:rsidR="00CD607A" w:rsidRPr="00CB5054" w:rsidP="00CD607A" w14:paraId="5AA8E889" w14:textId="5BA10628">
      <w:pPr>
        <w:pStyle w:val="Default"/>
      </w:pPr>
      <w:r w:rsidRPr="00CB5054">
        <w:t xml:space="preserve">Labeling in-plant containers: Employers must ensure that portable containers that are transferred from the workers who filled them to other workers are labeled. </w:t>
      </w:r>
      <w:r w:rsidR="00C768B4">
        <w:t>It is</w:t>
      </w:r>
      <w:r w:rsidRPr="00CB5054">
        <w:t xml:space="preserve"> estimated </w:t>
      </w:r>
      <w:r w:rsidR="00794DBD">
        <w:t xml:space="preserve">this task </w:t>
      </w:r>
      <w:r w:rsidR="00FF4343">
        <w:t>takes</w:t>
      </w:r>
      <w:r w:rsidR="005B017F">
        <w:t xml:space="preserve"> </w:t>
      </w:r>
      <w:r w:rsidRPr="00CB5054">
        <w:t>approximately 12 seconds (</w:t>
      </w:r>
      <w:r w:rsidR="00C232F3">
        <w:t>0</w:t>
      </w:r>
      <w:r w:rsidRPr="00CB5054">
        <w:t>.0033 hour) of worker time per container. OSHA assumes 40</w:t>
      </w:r>
      <w:r w:rsidR="00FF4343">
        <w:t>%</w:t>
      </w:r>
      <w:r w:rsidRPr="00CB5054">
        <w:t xml:space="preserve"> of the containers incur burden hours and costs </w:t>
      </w:r>
      <w:r w:rsidRPr="00CB5054">
        <w:t>as a result of</w:t>
      </w:r>
      <w:r w:rsidRPr="00CB5054">
        <w:t xml:space="preserve"> the HCS. </w:t>
      </w:r>
    </w:p>
    <w:p w:rsidR="0027122F" w:rsidRPr="00CB5054" w:rsidP="00CD607A" w14:paraId="1CEDB2D4" w14:textId="77777777">
      <w:pPr>
        <w:pStyle w:val="Default"/>
      </w:pPr>
    </w:p>
    <w:p w:rsidR="00CD607A" w:rsidRPr="00CB5054" w:rsidP="00CD607A" w14:paraId="65F2276F" w14:textId="0B1AC2E2">
      <w:pPr>
        <w:pStyle w:val="Default"/>
        <w:ind w:left="2340" w:hanging="1620"/>
      </w:pPr>
      <w:r w:rsidRPr="00CB5054">
        <w:rPr>
          <w:b/>
          <w:bCs/>
        </w:rPr>
        <w:t>Burden hours</w:t>
      </w:r>
      <w:r w:rsidRPr="003E65D4">
        <w:rPr>
          <w:bCs/>
        </w:rPr>
        <w:t xml:space="preserve">: </w:t>
      </w:r>
      <w:r w:rsidRPr="007533F6" w:rsidR="007533F6">
        <w:rPr>
          <w:bCs/>
        </w:rPr>
        <w:t xml:space="preserve"> </w:t>
      </w:r>
      <w:r w:rsidR="00FD4C2B">
        <w:rPr>
          <w:bCs/>
        </w:rPr>
        <w:t>195,001,503</w:t>
      </w:r>
      <w:r w:rsidRPr="00CB5054">
        <w:t xml:space="preserve"> (# of containers) x 40% x </w:t>
      </w:r>
      <w:r w:rsidR="00C232F3">
        <w:t>0</w:t>
      </w:r>
      <w:r w:rsidRPr="00CB5054">
        <w:t xml:space="preserve">.0033 hours per container = </w:t>
      </w:r>
      <w:r w:rsidR="00A23186">
        <w:t>257,402</w:t>
      </w:r>
      <w:r w:rsidRPr="00CB5054">
        <w:t xml:space="preserve"> hours </w:t>
      </w:r>
    </w:p>
    <w:p w:rsidR="00F92202" w:rsidP="00CD607A" w14:paraId="15DFC4EA" w14:textId="2C4FE0A5">
      <w:pPr>
        <w:pStyle w:val="Default"/>
        <w:ind w:firstLine="1440"/>
      </w:pPr>
      <w:r w:rsidRPr="00CB5054">
        <w:rPr>
          <w:b/>
          <w:bCs/>
        </w:rPr>
        <w:t>Cost</w:t>
      </w:r>
      <w:r w:rsidRPr="003E65D4">
        <w:rPr>
          <w:bCs/>
        </w:rPr>
        <w:t xml:space="preserve">: </w:t>
      </w:r>
      <w:r w:rsidR="00A23186">
        <w:rPr>
          <w:bCs/>
        </w:rPr>
        <w:t>257,402</w:t>
      </w:r>
      <w:r w:rsidRPr="00CB5054" w:rsidR="007533F6">
        <w:t xml:space="preserve"> </w:t>
      </w:r>
      <w:r w:rsidRPr="00CB5054">
        <w:t xml:space="preserve">hours x </w:t>
      </w:r>
      <w:r w:rsidR="00252B13">
        <w:t>$</w:t>
      </w:r>
      <w:r w:rsidR="00E95AD9">
        <w:t>60.37</w:t>
      </w:r>
      <w:r w:rsidRPr="00CB5054">
        <w:t xml:space="preserve"> (worker) = $</w:t>
      </w:r>
      <w:r w:rsidR="00C91C1B">
        <w:t>15,539,359</w:t>
      </w:r>
    </w:p>
    <w:p w:rsidR="0027122F" w:rsidRPr="00CB5054" w:rsidP="00CD607A" w14:paraId="4491F496" w14:textId="77777777">
      <w:pPr>
        <w:pStyle w:val="Default"/>
        <w:ind w:firstLine="1440"/>
        <w:rPr>
          <w:sz w:val="23"/>
          <w:szCs w:val="23"/>
        </w:rPr>
      </w:pPr>
    </w:p>
    <w:p w:rsidR="00CD607A" w:rsidRPr="00CB5054" w:rsidP="00CD607A" w14:paraId="2E610572" w14:textId="2A864901">
      <w:pPr>
        <w:pStyle w:val="Default"/>
        <w:rPr>
          <w:b/>
          <w:bCs/>
        </w:rPr>
      </w:pPr>
      <w:r>
        <w:rPr>
          <w:b/>
          <w:bCs/>
        </w:rPr>
        <w:t>1</w:t>
      </w:r>
      <w:r w:rsidR="00316285">
        <w:rPr>
          <w:b/>
          <w:bCs/>
        </w:rPr>
        <w:t>2</w:t>
      </w:r>
      <w:r w:rsidRPr="00CB5054">
        <w:rPr>
          <w:b/>
          <w:bCs/>
        </w:rPr>
        <w:t xml:space="preserve">. </w:t>
      </w:r>
      <w:r w:rsidRPr="003A15DB">
        <w:rPr>
          <w:b/>
          <w:bCs/>
          <w:color w:val="auto"/>
        </w:rPr>
        <w:t>Access to Trade Secrets</w:t>
      </w:r>
      <w:r w:rsidRPr="00CB5054">
        <w:rPr>
          <w:b/>
          <w:bCs/>
        </w:rPr>
        <w:t xml:space="preserve"> (§ 1910.1200(</w:t>
      </w:r>
      <w:r w:rsidRPr="00CB5054">
        <w:rPr>
          <w:b/>
          <w:bCs/>
        </w:rPr>
        <w:t>i</w:t>
      </w:r>
      <w:r w:rsidRPr="00CB5054">
        <w:rPr>
          <w:b/>
          <w:bCs/>
        </w:rPr>
        <w:t xml:space="preserve">)) </w:t>
      </w:r>
    </w:p>
    <w:p w:rsidR="0027122F" w:rsidRPr="00CB5054" w:rsidP="00CD607A" w14:paraId="5B1AAFEB" w14:textId="77777777">
      <w:pPr>
        <w:pStyle w:val="Default"/>
      </w:pPr>
    </w:p>
    <w:p w:rsidR="00CD607A" w:rsidRPr="00CB5054" w:rsidP="008A3EFF" w14:paraId="29DBAB7B" w14:textId="3F4A7FE8">
      <w:pPr>
        <w:shd w:val="solid" w:color="FFFFFF" w:fill="FFFFFF"/>
        <w:rPr>
          <w:color w:val="000000"/>
          <w:sz w:val="24"/>
          <w:szCs w:val="24"/>
        </w:rPr>
      </w:pPr>
      <w:r w:rsidRPr="00CB5054">
        <w:rPr>
          <w:color w:val="000000"/>
          <w:sz w:val="24"/>
          <w:szCs w:val="24"/>
        </w:rPr>
        <w:t xml:space="preserve">Burden hours are estimated for employers to respond to requests from workers, their representatives, and health professionals for trade secret information. The </w:t>
      </w:r>
      <w:r w:rsidR="004D5224">
        <w:rPr>
          <w:color w:val="000000"/>
          <w:sz w:val="24"/>
          <w:szCs w:val="24"/>
        </w:rPr>
        <w:t>a</w:t>
      </w:r>
      <w:r w:rsidRPr="00CB5054" w:rsidR="004D5224">
        <w:rPr>
          <w:color w:val="000000"/>
          <w:sz w:val="24"/>
          <w:szCs w:val="24"/>
        </w:rPr>
        <w:t xml:space="preserve">gency </w:t>
      </w:r>
      <w:r w:rsidRPr="00CB5054">
        <w:rPr>
          <w:color w:val="000000"/>
          <w:sz w:val="24"/>
          <w:szCs w:val="24"/>
        </w:rPr>
        <w:t>estimates an average of 7 situations requiring access to trade secrets per 10,000 workers working in</w:t>
      </w:r>
      <w:r w:rsidRPr="00CB5054" w:rsidR="008A3EFF">
        <w:rPr>
          <w:color w:val="000000"/>
          <w:sz w:val="24"/>
          <w:szCs w:val="24"/>
        </w:rPr>
        <w:t xml:space="preserve"> </w:t>
      </w:r>
      <w:r w:rsidRPr="00CB5054">
        <w:rPr>
          <w:color w:val="000000"/>
          <w:sz w:val="24"/>
          <w:szCs w:val="24"/>
        </w:rPr>
        <w:t xml:space="preserve">establishments with hazardous chemicals. OSHA estimates there are </w:t>
      </w:r>
      <w:r w:rsidR="00BC3E07">
        <w:rPr>
          <w:color w:val="000000"/>
          <w:sz w:val="24"/>
          <w:szCs w:val="24"/>
        </w:rPr>
        <w:t>152,337,433</w:t>
      </w:r>
      <w:r w:rsidRPr="00CB5054" w:rsidR="00367968">
        <w:rPr>
          <w:color w:val="000000"/>
        </w:rPr>
        <w:t xml:space="preserve"> </w:t>
      </w:r>
      <w:r w:rsidRPr="00CB5054">
        <w:rPr>
          <w:color w:val="000000"/>
          <w:sz w:val="24"/>
          <w:szCs w:val="24"/>
        </w:rPr>
        <w:t xml:space="preserve">workers covered by the HCS, therefore, the </w:t>
      </w:r>
      <w:r w:rsidR="004D5224">
        <w:rPr>
          <w:color w:val="000000"/>
          <w:sz w:val="24"/>
          <w:szCs w:val="24"/>
        </w:rPr>
        <w:t>a</w:t>
      </w:r>
      <w:r w:rsidRPr="00CB5054" w:rsidR="004D5224">
        <w:rPr>
          <w:color w:val="000000"/>
          <w:sz w:val="24"/>
          <w:szCs w:val="24"/>
        </w:rPr>
        <w:t xml:space="preserve">gency </w:t>
      </w:r>
      <w:r w:rsidRPr="00CB5054">
        <w:rPr>
          <w:color w:val="000000"/>
          <w:sz w:val="24"/>
          <w:szCs w:val="24"/>
        </w:rPr>
        <w:t xml:space="preserve">estimates there are </w:t>
      </w:r>
      <w:r w:rsidR="00A23186">
        <w:rPr>
          <w:color w:val="000000"/>
          <w:sz w:val="24"/>
          <w:szCs w:val="24"/>
        </w:rPr>
        <w:t>106,636</w:t>
      </w:r>
      <w:r w:rsidRPr="00CB5054" w:rsidR="00AD43B1">
        <w:rPr>
          <w:color w:val="000000"/>
        </w:rPr>
        <w:t xml:space="preserve"> </w:t>
      </w:r>
      <w:r w:rsidRPr="00CB5054">
        <w:rPr>
          <w:color w:val="000000"/>
          <w:sz w:val="24"/>
          <w:szCs w:val="24"/>
        </w:rPr>
        <w:t>access requests (</w:t>
      </w:r>
      <w:r w:rsidR="00BC3E07">
        <w:rPr>
          <w:color w:val="000000"/>
          <w:sz w:val="24"/>
          <w:szCs w:val="24"/>
        </w:rPr>
        <w:t>152,337,433</w:t>
      </w:r>
      <w:r w:rsidRPr="00CB5054" w:rsidR="00DA4698">
        <w:rPr>
          <w:color w:val="000000"/>
        </w:rPr>
        <w:t xml:space="preserve"> </w:t>
      </w:r>
      <w:r w:rsidRPr="00CB5054">
        <w:rPr>
          <w:color w:val="000000"/>
          <w:sz w:val="24"/>
          <w:szCs w:val="24"/>
        </w:rPr>
        <w:t xml:space="preserve">workers/10,000 workers x 7 situations), and that a professional requires 4 hours to respond to each request. </w:t>
      </w:r>
    </w:p>
    <w:p w:rsidR="0027122F" w:rsidRPr="00CB5054" w:rsidP="00CD607A" w14:paraId="6B4E50BE" w14:textId="77777777">
      <w:pPr>
        <w:pStyle w:val="Default"/>
      </w:pPr>
    </w:p>
    <w:p w:rsidR="00CD607A" w:rsidRPr="00CB5054" w:rsidP="00CD607A" w14:paraId="367C78AB" w14:textId="2BABCBF1">
      <w:pPr>
        <w:pStyle w:val="Default"/>
        <w:ind w:firstLine="720"/>
      </w:pPr>
      <w:r w:rsidRPr="00CB5054">
        <w:rPr>
          <w:b/>
          <w:bCs/>
        </w:rPr>
        <w:t>Burden hours</w:t>
      </w:r>
      <w:r w:rsidRPr="003E65D4">
        <w:rPr>
          <w:bCs/>
        </w:rPr>
        <w:t xml:space="preserve">: </w:t>
      </w:r>
      <w:r w:rsidR="00A23186">
        <w:rPr>
          <w:bCs/>
        </w:rPr>
        <w:t>106,636</w:t>
      </w:r>
      <w:r w:rsidRPr="00CB5054">
        <w:t xml:space="preserve"> requests x 4 hours = </w:t>
      </w:r>
      <w:r w:rsidR="00A23186">
        <w:t>426,544</w:t>
      </w:r>
      <w:r w:rsidRPr="00CB5054">
        <w:t xml:space="preserve"> hours </w:t>
      </w:r>
    </w:p>
    <w:p w:rsidR="00CD607A" w:rsidRPr="00CB5054" w:rsidP="00CD607A" w14:paraId="602E0479" w14:textId="58136465">
      <w:pPr>
        <w:pStyle w:val="Default"/>
        <w:ind w:firstLine="1440"/>
      </w:pPr>
      <w:r w:rsidRPr="00CB5054">
        <w:rPr>
          <w:b/>
          <w:bCs/>
        </w:rPr>
        <w:t>Cost</w:t>
      </w:r>
      <w:r w:rsidRPr="003E65D4">
        <w:rPr>
          <w:bCs/>
        </w:rPr>
        <w:t>:</w:t>
      </w:r>
      <w:r w:rsidRPr="00CB5054">
        <w:rPr>
          <w:b/>
          <w:bCs/>
        </w:rPr>
        <w:t xml:space="preserve"> </w:t>
      </w:r>
      <w:r w:rsidR="00A23186">
        <w:rPr>
          <w:bCs/>
        </w:rPr>
        <w:t>426,544</w:t>
      </w:r>
      <w:r w:rsidRPr="00CB5054" w:rsidR="00AD43B1">
        <w:t xml:space="preserve"> </w:t>
      </w:r>
      <w:r w:rsidRPr="00CB5054">
        <w:t xml:space="preserve">hours x </w:t>
      </w:r>
      <w:r w:rsidR="00252B13">
        <w:t>$</w:t>
      </w:r>
      <w:r w:rsidR="00E95AD9">
        <w:t>83.62</w:t>
      </w:r>
      <w:r w:rsidRPr="00CB5054" w:rsidR="00BA18E9">
        <w:t xml:space="preserve"> </w:t>
      </w:r>
      <w:r w:rsidRPr="00CB5054">
        <w:t>= $</w:t>
      </w:r>
      <w:r w:rsidR="00DC1CE6">
        <w:t>35,667,609</w:t>
      </w:r>
    </w:p>
    <w:p w:rsidR="0027122F" w:rsidRPr="00CB5054" w:rsidP="00CD607A" w14:paraId="606E7351" w14:textId="77777777">
      <w:pPr>
        <w:pStyle w:val="Default"/>
        <w:ind w:firstLine="1440"/>
        <w:rPr>
          <w:sz w:val="23"/>
          <w:szCs w:val="23"/>
        </w:rPr>
      </w:pPr>
    </w:p>
    <w:p w:rsidR="00CD607A" w:rsidRPr="00C675F5" w:rsidP="00CD607A" w14:paraId="084AD0B5" w14:textId="3BDEAEBA">
      <w:pPr>
        <w:pStyle w:val="Default"/>
        <w:rPr>
          <w:b/>
          <w:bCs/>
        </w:rPr>
      </w:pPr>
      <w:r w:rsidRPr="00C675F5">
        <w:rPr>
          <w:b/>
          <w:bCs/>
        </w:rPr>
        <w:t>1</w:t>
      </w:r>
      <w:r w:rsidR="00316285">
        <w:rPr>
          <w:b/>
          <w:bCs/>
        </w:rPr>
        <w:t>3</w:t>
      </w:r>
      <w:r w:rsidRPr="00C675F5">
        <w:t xml:space="preserve">. </w:t>
      </w:r>
      <w:r w:rsidR="00E86C10">
        <w:t xml:space="preserve"> </w:t>
      </w:r>
      <w:r w:rsidRPr="003A15DB">
        <w:rPr>
          <w:b/>
          <w:bCs/>
          <w:color w:val="auto"/>
        </w:rPr>
        <w:t xml:space="preserve">Employee Access </w:t>
      </w:r>
      <w:r w:rsidRPr="00C675F5">
        <w:rPr>
          <w:b/>
          <w:bCs/>
        </w:rPr>
        <w:t>(§ 1910.1200(e)(4)</w:t>
      </w:r>
      <w:r w:rsidR="001B5225">
        <w:rPr>
          <w:b/>
          <w:bCs/>
        </w:rPr>
        <w:t xml:space="preserve"> and (g)(8)</w:t>
      </w:r>
      <w:r w:rsidRPr="00C675F5">
        <w:rPr>
          <w:b/>
          <w:bCs/>
        </w:rPr>
        <w:t xml:space="preserve">) </w:t>
      </w:r>
    </w:p>
    <w:p w:rsidR="0027122F" w:rsidRPr="00CB5054" w:rsidP="00CD607A" w14:paraId="393560E8" w14:textId="77777777">
      <w:pPr>
        <w:pStyle w:val="Default"/>
        <w:rPr>
          <w:sz w:val="23"/>
          <w:szCs w:val="23"/>
        </w:rPr>
      </w:pPr>
    </w:p>
    <w:p w:rsidR="0027122F" w:rsidP="00CD607A" w14:paraId="4FD3841D" w14:textId="1DC7D4D3">
      <w:pPr>
        <w:pStyle w:val="Default"/>
      </w:pPr>
      <w:r w:rsidRPr="00CB5054">
        <w:t xml:space="preserve">OSHA estimates an average of 1.5 requests per establishment for worker access to the written programs and </w:t>
      </w:r>
      <w:r w:rsidRPr="00CB5054" w:rsidR="008925F4">
        <w:t>SDS</w:t>
      </w:r>
      <w:r w:rsidRPr="00CB5054">
        <w:t>s. OSHA estimates a clerk takes 10 minutes (</w:t>
      </w:r>
      <w:r w:rsidR="005A6E4C">
        <w:t>0</w:t>
      </w:r>
      <w:r w:rsidRPr="00CB5054">
        <w:t>.1</w:t>
      </w:r>
      <w:r w:rsidR="00C37F23">
        <w:t>6</w:t>
      </w:r>
      <w:r w:rsidRPr="00CB5054">
        <w:t xml:space="preserve">7 hour) to show the worker the relevant documents and to return them to a file after the worker has examined them. OSHA assumes </w:t>
      </w:r>
      <w:r w:rsidRPr="00AB0B90">
        <w:t>40</w:t>
      </w:r>
      <w:r w:rsidRPr="00CB5054">
        <w:t xml:space="preserve"> percent of the establishments (</w:t>
      </w:r>
      <w:r w:rsidR="00CD41A3">
        <w:t>5,580,906</w:t>
      </w:r>
      <w:r w:rsidRPr="00CB5054">
        <w:t xml:space="preserve"> </w:t>
      </w:r>
      <w:r w:rsidRPr="00CB5054">
        <w:t xml:space="preserve">establishments x 40% = </w:t>
      </w:r>
      <w:r w:rsidR="00CD41A3">
        <w:t>2,232,362</w:t>
      </w:r>
      <w:r w:rsidRPr="00CB5054" w:rsidR="002E4CF2">
        <w:t xml:space="preserve"> </w:t>
      </w:r>
      <w:r w:rsidRPr="00CB5054">
        <w:t xml:space="preserve">establishments) incur burden hours and costs for providing workers access </w:t>
      </w:r>
      <w:r w:rsidRPr="00CB5054">
        <w:t>as a result of</w:t>
      </w:r>
      <w:r w:rsidRPr="00CB5054">
        <w:t xml:space="preserve"> the HCS.</w:t>
      </w:r>
    </w:p>
    <w:p w:rsidR="00C37F23" w:rsidP="00CD607A" w14:paraId="00803297" w14:textId="77777777">
      <w:pPr>
        <w:pStyle w:val="Default"/>
      </w:pPr>
    </w:p>
    <w:p w:rsidR="00C37F23" w:rsidP="00CD607A" w14:paraId="51218D77" w14:textId="6BB41115">
      <w:pPr>
        <w:pStyle w:val="Default"/>
      </w:pPr>
      <w:r>
        <w:t xml:space="preserve">     Burden hours: </w:t>
      </w:r>
      <w:r w:rsidR="00CD41A3">
        <w:t>2,232,362</w:t>
      </w:r>
      <w:r>
        <w:t xml:space="preserve"> establishments x 1.5 response x </w:t>
      </w:r>
      <w:r w:rsidR="00AA6290">
        <w:t>0</w:t>
      </w:r>
      <w:r>
        <w:t xml:space="preserve">.167 hours = </w:t>
      </w:r>
      <w:r w:rsidR="00CD41A3">
        <w:t>559,207</w:t>
      </w:r>
      <w:r>
        <w:t xml:space="preserve"> hours</w:t>
      </w:r>
    </w:p>
    <w:p w:rsidR="00765E6A" w:rsidP="00CD607A" w14:paraId="0F3CFA6E" w14:textId="713BD3B7">
      <w:pPr>
        <w:pStyle w:val="Default"/>
      </w:pPr>
      <w:r>
        <w:t xml:space="preserve">                  Cost: </w:t>
      </w:r>
      <w:r w:rsidR="00F5356F">
        <w:t xml:space="preserve">  </w:t>
      </w:r>
      <w:r w:rsidR="00CD41A3">
        <w:t>559,207</w:t>
      </w:r>
      <w:r w:rsidR="00F5356F">
        <w:t xml:space="preserve"> hours x $</w:t>
      </w:r>
      <w:r w:rsidR="00041950">
        <w:t>31.93</w:t>
      </w:r>
      <w:r w:rsidR="00F5356F">
        <w:t xml:space="preserve"> </w:t>
      </w:r>
      <w:r w:rsidR="00EF0F3E">
        <w:t>= $</w:t>
      </w:r>
      <w:r w:rsidR="00500352">
        <w:t>17,</w:t>
      </w:r>
      <w:r w:rsidR="00891395">
        <w:t>855,480</w:t>
      </w:r>
    </w:p>
    <w:p w:rsidR="00EF0F3E" w:rsidP="00CD607A" w14:paraId="316017FE" w14:textId="77777777">
      <w:pPr>
        <w:pStyle w:val="Default"/>
      </w:pPr>
    </w:p>
    <w:p w:rsidR="00CD607A" w:rsidP="00CD607A" w14:paraId="4E85306F" w14:textId="731B39C8">
      <w:pPr>
        <w:pStyle w:val="Default"/>
        <w:rPr>
          <w:b/>
        </w:rPr>
      </w:pPr>
      <w:r w:rsidRPr="00AB0B90">
        <w:rPr>
          <w:b/>
        </w:rPr>
        <w:t>1</w:t>
      </w:r>
      <w:r w:rsidR="00316285">
        <w:rPr>
          <w:b/>
        </w:rPr>
        <w:t>4</w:t>
      </w:r>
      <w:r w:rsidRPr="00AB0B90">
        <w:rPr>
          <w:b/>
        </w:rPr>
        <w:t xml:space="preserve">. </w:t>
      </w:r>
      <w:r w:rsidRPr="003A15DB">
        <w:rPr>
          <w:b/>
          <w:color w:val="auto"/>
        </w:rPr>
        <w:t>Federal A</w:t>
      </w:r>
      <w:r w:rsidRPr="003A15DB" w:rsidR="00E86C10">
        <w:rPr>
          <w:b/>
          <w:color w:val="auto"/>
        </w:rPr>
        <w:t>c</w:t>
      </w:r>
      <w:r w:rsidRPr="003A15DB">
        <w:rPr>
          <w:b/>
          <w:color w:val="auto"/>
        </w:rPr>
        <w:t>ce</w:t>
      </w:r>
      <w:r w:rsidRPr="003A15DB" w:rsidR="00E86C10">
        <w:rPr>
          <w:b/>
          <w:color w:val="auto"/>
        </w:rPr>
        <w:t>ss</w:t>
      </w:r>
      <w:r w:rsidRPr="00AB0B90">
        <w:rPr>
          <w:b/>
        </w:rPr>
        <w:t xml:space="preserve"> </w:t>
      </w:r>
    </w:p>
    <w:p w:rsidR="00B05269" w:rsidRPr="00AB0B90" w:rsidP="00CD607A" w14:paraId="669FDEE6" w14:textId="77777777">
      <w:pPr>
        <w:pStyle w:val="Default"/>
        <w:rPr>
          <w:b/>
        </w:rPr>
      </w:pPr>
    </w:p>
    <w:p w:rsidR="00714621" w:rsidP="00AB0B90" w14:paraId="1E370FD3" w14:textId="77777777">
      <w:pPr>
        <w:pStyle w:val="Default"/>
        <w:tabs>
          <w:tab w:val="left" w:pos="0"/>
        </w:tabs>
      </w:pPr>
      <w:r w:rsidRPr="00AB0B90">
        <w:rPr>
          <w:bCs/>
        </w:rPr>
        <w:t xml:space="preserve">Usually, OSHA requests access to records during an inspection.  Information collected by the </w:t>
      </w:r>
      <w:r w:rsidR="004D5224">
        <w:rPr>
          <w:bCs/>
        </w:rPr>
        <w:t>a</w:t>
      </w:r>
      <w:r w:rsidRPr="00AB0B90" w:rsidR="004D5224">
        <w:rPr>
          <w:bCs/>
        </w:rPr>
        <w:t xml:space="preserve">gency </w:t>
      </w:r>
      <w:r w:rsidRPr="00AB0B90">
        <w:rPr>
          <w:bCs/>
        </w:rPr>
        <w:t>during the investigation is not subject to the PRA under 5 CFR 1320.4(a)(2).  Therefore, OSHA takes no burden</w:t>
      </w:r>
      <w:r w:rsidR="00AB0B90">
        <w:rPr>
          <w:bCs/>
        </w:rPr>
        <w:t xml:space="preserve"> hours </w:t>
      </w:r>
      <w:r w:rsidRPr="00AB0B90">
        <w:rPr>
          <w:bCs/>
        </w:rPr>
        <w:t>or cost</w:t>
      </w:r>
      <w:r>
        <w:t>.</w:t>
      </w:r>
    </w:p>
    <w:p w:rsidR="0098303E" w:rsidRPr="007056ED" w:rsidP="0098303E" w14:paraId="65D67BF9" w14:textId="6CA9537F">
      <w:pPr>
        <w:pStyle w:val="Default"/>
        <w:rPr>
          <w:highlight w:val="yellow"/>
        </w:rPr>
      </w:pPr>
    </w:p>
    <w:p w:rsidR="00296677" w:rsidP="00247698" w14:paraId="705EFA43" w14:textId="36F525E6">
      <w:pPr>
        <w:pStyle w:val="Default"/>
      </w:pPr>
    </w:p>
    <w:p w:rsidR="004C5F94" w:rsidP="00FF1F12" w14:paraId="409941EC" w14:textId="77777777">
      <w:pPr>
        <w:pStyle w:val="Default"/>
        <w:rPr>
          <w:b/>
        </w:rPr>
      </w:pPr>
    </w:p>
    <w:p w:rsidR="004C5F94" w:rsidP="007056ED" w14:paraId="5282E176" w14:textId="3C06D221">
      <w:pPr>
        <w:pStyle w:val="Default"/>
        <w:rPr>
          <w:b/>
        </w:rPr>
      </w:pPr>
      <w:r w:rsidRPr="00AB0B90">
        <w:rPr>
          <w:b/>
        </w:rPr>
        <w:t>1</w:t>
      </w:r>
      <w:r w:rsidR="00FC39F2">
        <w:rPr>
          <w:b/>
        </w:rPr>
        <w:t>5</w:t>
      </w:r>
      <w:r w:rsidRPr="00AB0B90">
        <w:rPr>
          <w:b/>
        </w:rPr>
        <w:t xml:space="preserve">. </w:t>
      </w:r>
      <w:r>
        <w:rPr>
          <w:b/>
        </w:rPr>
        <w:t xml:space="preserve">Reclassification </w:t>
      </w:r>
    </w:p>
    <w:p w:rsidR="000C7E2A" w:rsidP="007056ED" w14:paraId="021046D6" w14:textId="77777777">
      <w:pPr>
        <w:pStyle w:val="Default"/>
        <w:rPr>
          <w:rFonts w:eastAsia="Calibri"/>
        </w:rPr>
      </w:pPr>
    </w:p>
    <w:p w:rsidR="004C5F94" w:rsidP="007056ED" w14:paraId="457A207C" w14:textId="52C34D91">
      <w:pPr>
        <w:pStyle w:val="Default"/>
        <w:rPr>
          <w:b/>
        </w:rPr>
      </w:pPr>
      <w:r w:rsidRPr="00473AA2">
        <w:rPr>
          <w:rFonts w:eastAsia="Calibri"/>
        </w:rPr>
        <w:t>The proposed rule requires aerosols, desensitized explosives, and flammable gases to be classified into the appropriate hazard classes and categories based on the best available information about these chemicals.  In addition, the HCS requires chemical manufacturers and importers to update SDSs and labels within three months and six months, respectively, of becoming aware of new developments regarding the hazards of the chemicals they produce or import.</w:t>
      </w:r>
    </w:p>
    <w:p w:rsidR="000C7E2A" w:rsidP="007056ED" w14:paraId="793D1D59" w14:textId="77777777">
      <w:pPr>
        <w:pStyle w:val="Default"/>
        <w:rPr>
          <w:rFonts w:eastAsia="Calibri"/>
        </w:rPr>
      </w:pPr>
    </w:p>
    <w:p w:rsidR="00C05A71" w:rsidP="007056ED" w14:paraId="389BCA2E" w14:textId="58942991">
      <w:pPr>
        <w:pStyle w:val="Default"/>
        <w:rPr>
          <w:rFonts w:eastAsia="Calibri"/>
        </w:rPr>
      </w:pPr>
      <w:r w:rsidRPr="00473AA2">
        <w:rPr>
          <w:rFonts w:eastAsia="Calibri"/>
        </w:rPr>
        <w:t xml:space="preserve">The revisions to the HCS continue to require firms that sell hazardous chemicals to employers to provide information about the associated hazards. Information is required to be presented </w:t>
      </w:r>
      <w:r w:rsidR="009D1DB0">
        <w:rPr>
          <w:rFonts w:eastAsia="Calibri"/>
        </w:rPr>
        <w:t>on an SDS</w:t>
      </w:r>
      <w:r w:rsidRPr="00473AA2">
        <w:rPr>
          <w:rFonts w:eastAsia="Calibri"/>
        </w:rPr>
        <w:t xml:space="preserve"> in the format specified in the standard, and some information is also required to be presented on product labels. The proposed rule requires affected chemical manufacturers to revise SDSs and labels for select hazardous chemicals to reflect chemical reclassifications and to conform to language criteria in precautionary statements and related mandatory language.</w:t>
      </w:r>
    </w:p>
    <w:p w:rsidR="00E04979" w:rsidP="00BC7802" w14:paraId="3DE9789E" w14:textId="6BAFE93D">
      <w:pPr>
        <w:pStyle w:val="Default"/>
        <w:rPr>
          <w:b/>
        </w:rPr>
      </w:pPr>
    </w:p>
    <w:p w:rsidR="00E04979" w:rsidP="00E04979" w14:paraId="40D6ADFB" w14:textId="6CE3BFBB">
      <w:pPr>
        <w:pStyle w:val="Default"/>
        <w:ind w:firstLine="720"/>
        <w:rPr>
          <w:b/>
        </w:rPr>
      </w:pPr>
      <w:r>
        <w:rPr>
          <w:b/>
        </w:rPr>
        <w:t xml:space="preserve">Table </w:t>
      </w:r>
      <w:r w:rsidR="00CE084E">
        <w:rPr>
          <w:b/>
        </w:rPr>
        <w:t>2</w:t>
      </w:r>
      <w:r>
        <w:rPr>
          <w:b/>
        </w:rPr>
        <w:t xml:space="preserve"> – Burden Hours and Cost for Reclassification</w:t>
      </w:r>
    </w:p>
    <w:p w:rsidR="004C5F94" w:rsidP="00FF1F12" w14:paraId="4BA82173" w14:textId="77777777">
      <w:pPr>
        <w:pStyle w:val="Default"/>
        <w:rPr>
          <w:b/>
        </w:rPr>
      </w:pPr>
    </w:p>
    <w:tbl>
      <w:tblPr>
        <w:tblW w:w="9630" w:type="dxa"/>
        <w:tblInd w:w="85" w:type="dxa"/>
        <w:tblLayout w:type="fixed"/>
        <w:tblLook w:val="0000"/>
      </w:tblPr>
      <w:tblGrid>
        <w:gridCol w:w="1440"/>
        <w:gridCol w:w="1170"/>
        <w:gridCol w:w="1260"/>
        <w:gridCol w:w="1209"/>
        <w:gridCol w:w="1017"/>
        <w:gridCol w:w="1284"/>
        <w:gridCol w:w="900"/>
        <w:gridCol w:w="1350"/>
      </w:tblGrid>
      <w:tr w14:paraId="55A6873A" w14:textId="77777777" w:rsidTr="00781E36">
        <w:tblPrEx>
          <w:tblW w:w="9630" w:type="dxa"/>
          <w:tblInd w:w="85" w:type="dxa"/>
          <w:tblLayout w:type="fixed"/>
          <w:tblLook w:val="0000"/>
        </w:tblPrEx>
        <w:trPr>
          <w:trHeight w:val="255"/>
          <w:tblHeader/>
        </w:trPr>
        <w:tc>
          <w:tcPr>
            <w:tcW w:w="144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0A01ED" w14:paraId="0C181159" w14:textId="77777777">
            <w:pPr>
              <w:widowControl/>
              <w:overflowPunct/>
              <w:autoSpaceDE/>
              <w:autoSpaceDN/>
              <w:adjustRightInd/>
              <w:rPr>
                <w:b/>
                <w:color w:val="000000"/>
                <w:kern w:val="0"/>
              </w:rPr>
            </w:pPr>
            <w:r w:rsidRPr="00AB0B90">
              <w:rPr>
                <w:b/>
                <w:color w:val="000000"/>
                <w:kern w:val="0"/>
              </w:rPr>
              <w:t>Establishment Size</w:t>
            </w:r>
          </w:p>
        </w:tc>
        <w:tc>
          <w:tcPr>
            <w:tcW w:w="117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781E36" w14:paraId="125E2B46" w14:textId="77777777">
            <w:pPr>
              <w:widowControl/>
              <w:overflowPunct/>
              <w:autoSpaceDE/>
              <w:autoSpaceDN/>
              <w:adjustRightInd/>
              <w:jc w:val="center"/>
              <w:rPr>
                <w:b/>
                <w:color w:val="000000"/>
                <w:kern w:val="0"/>
              </w:rPr>
            </w:pPr>
            <w:r>
              <w:rPr>
                <w:b/>
                <w:color w:val="000000"/>
                <w:kern w:val="0"/>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781E36" w14:paraId="41AEC8CA" w14:textId="77777777">
            <w:pPr>
              <w:widowControl/>
              <w:overflowPunct/>
              <w:autoSpaceDE/>
              <w:autoSpaceDN/>
              <w:adjustRightInd/>
              <w:jc w:val="center"/>
              <w:rPr>
                <w:b/>
                <w:color w:val="000000"/>
                <w:kern w:val="0"/>
              </w:rPr>
            </w:pPr>
            <w:r w:rsidRPr="00AB0B90">
              <w:rPr>
                <w:b/>
                <w:color w:val="000000"/>
                <w:kern w:val="0"/>
              </w:rPr>
              <w:t>% Not in Compliance</w:t>
            </w:r>
          </w:p>
        </w:tc>
        <w:tc>
          <w:tcPr>
            <w:tcW w:w="1209" w:type="dxa"/>
            <w:tcBorders>
              <w:top w:val="single" w:sz="4" w:space="0" w:color="auto"/>
              <w:left w:val="single" w:sz="4" w:space="0" w:color="auto"/>
              <w:bottom w:val="single" w:sz="4" w:space="0" w:color="auto"/>
              <w:right w:val="single" w:sz="4" w:space="0" w:color="auto"/>
            </w:tcBorders>
            <w:shd w:val="clear" w:color="auto" w:fill="DEEAF6"/>
            <w:vAlign w:val="center"/>
          </w:tcPr>
          <w:p w:rsidR="001B081E" w:rsidRPr="00AB0B90" w:rsidP="00781E36" w14:paraId="6959B53D" w14:textId="77777777">
            <w:pPr>
              <w:widowControl/>
              <w:overflowPunct/>
              <w:autoSpaceDE/>
              <w:autoSpaceDN/>
              <w:adjustRightInd/>
              <w:jc w:val="center"/>
              <w:rPr>
                <w:b/>
                <w:color w:val="000000"/>
                <w:kern w:val="0"/>
              </w:rPr>
            </w:pPr>
            <w:r>
              <w:rPr>
                <w:b/>
                <w:color w:val="000000"/>
                <w:kern w:val="0"/>
              </w:rPr>
              <w:t>Total Responses</w:t>
            </w:r>
          </w:p>
        </w:tc>
        <w:tc>
          <w:tcPr>
            <w:tcW w:w="1017" w:type="dxa"/>
            <w:tcBorders>
              <w:top w:val="single" w:sz="4" w:space="0" w:color="auto"/>
              <w:left w:val="single" w:sz="4" w:space="0" w:color="auto"/>
              <w:bottom w:val="single" w:sz="4" w:space="0" w:color="auto"/>
              <w:right w:val="single" w:sz="4" w:space="0" w:color="auto"/>
            </w:tcBorders>
            <w:shd w:val="clear" w:color="auto" w:fill="DEEAF6"/>
            <w:vAlign w:val="center"/>
          </w:tcPr>
          <w:p w:rsidR="001B081E" w:rsidRPr="00AB0B90" w:rsidP="00781E36" w14:paraId="318AC66B" w14:textId="77777777">
            <w:pPr>
              <w:widowControl/>
              <w:overflowPunct/>
              <w:autoSpaceDE/>
              <w:autoSpaceDN/>
              <w:adjustRightInd/>
              <w:jc w:val="center"/>
              <w:rPr>
                <w:b/>
                <w:color w:val="000000"/>
                <w:kern w:val="0"/>
              </w:rPr>
            </w:pPr>
            <w:r>
              <w:rPr>
                <w:b/>
                <w:color w:val="000000"/>
                <w:kern w:val="0"/>
              </w:rPr>
              <w:t>Time per Response</w:t>
            </w:r>
          </w:p>
        </w:tc>
        <w:tc>
          <w:tcPr>
            <w:tcW w:w="1284"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781E36" w14:paraId="33EAC7DF" w14:textId="77777777">
            <w:pPr>
              <w:widowControl/>
              <w:overflowPunct/>
              <w:autoSpaceDE/>
              <w:autoSpaceDN/>
              <w:adjustRightInd/>
              <w:jc w:val="center"/>
              <w:rPr>
                <w:b/>
                <w:color w:val="000000"/>
                <w:kern w:val="0"/>
              </w:rPr>
            </w:pPr>
            <w:r w:rsidRPr="00AB0B90">
              <w:rPr>
                <w:b/>
                <w:color w:val="000000"/>
                <w:kern w:val="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781E36" w14:paraId="5102770C" w14:textId="783F6A08">
            <w:pPr>
              <w:widowControl/>
              <w:overflowPunct/>
              <w:autoSpaceDE/>
              <w:autoSpaceDN/>
              <w:adjustRightInd/>
              <w:jc w:val="center"/>
              <w:rPr>
                <w:b/>
                <w:color w:val="000000"/>
                <w:kern w:val="0"/>
              </w:rPr>
            </w:pPr>
            <w:r>
              <w:rPr>
                <w:b/>
                <w:color w:val="000000"/>
                <w:kern w:val="0"/>
              </w:rPr>
              <w:t>Loaded</w:t>
            </w:r>
            <w:r w:rsidRPr="00AB0B90">
              <w:rPr>
                <w:b/>
                <w:color w:val="000000"/>
                <w:kern w:val="0"/>
              </w:rPr>
              <w:t xml:space="preserve"> Hourly</w:t>
            </w:r>
            <w:r w:rsidRPr="00AB0B90">
              <w:rPr>
                <w:b/>
                <w:color w:val="000000"/>
                <w:kern w:val="0"/>
              </w:rPr>
              <w:t xml:space="preserve"> Wage</w:t>
            </w:r>
          </w:p>
        </w:tc>
        <w:tc>
          <w:tcPr>
            <w:tcW w:w="13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1B081E" w:rsidRPr="00AB0B90" w:rsidP="00781E36" w14:paraId="669DFAAC" w14:textId="77777777">
            <w:pPr>
              <w:widowControl/>
              <w:overflowPunct/>
              <w:autoSpaceDE/>
              <w:autoSpaceDN/>
              <w:adjustRightInd/>
              <w:jc w:val="center"/>
              <w:rPr>
                <w:b/>
                <w:color w:val="000000"/>
                <w:kern w:val="0"/>
              </w:rPr>
            </w:pPr>
            <w:r w:rsidRPr="00AB0B90">
              <w:rPr>
                <w:b/>
                <w:color w:val="000000"/>
                <w:kern w:val="0"/>
              </w:rPr>
              <w:t>Total Burden Cost</w:t>
            </w:r>
          </w:p>
        </w:tc>
      </w:tr>
      <w:tr w14:paraId="0EEE980D"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709EA7BD" w14:textId="77777777">
            <w:pPr>
              <w:widowControl/>
              <w:overflowPunct/>
              <w:autoSpaceDE/>
              <w:autoSpaceDN/>
              <w:adjustRightInd/>
              <w:rPr>
                <w:color w:val="000000"/>
                <w:kern w:val="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1195FE8A" w14:textId="77777777">
            <w:pPr>
              <w:widowControl/>
              <w:overflowPunct/>
              <w:autoSpaceDE/>
              <w:autoSpaceDN/>
              <w:adjustRightInd/>
              <w:rPr>
                <w:color w:val="000000"/>
                <w:kern w:val="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4252B7CB" w14:textId="77777777">
            <w:pPr>
              <w:widowControl/>
              <w:overflowPunct/>
              <w:autoSpaceDE/>
              <w:autoSpaceDN/>
              <w:adjustRightInd/>
              <w:rPr>
                <w:color w:val="000000"/>
                <w:kern w:val="0"/>
              </w:rPr>
            </w:pPr>
          </w:p>
        </w:tc>
        <w:tc>
          <w:tcPr>
            <w:tcW w:w="1209" w:type="dxa"/>
            <w:tcBorders>
              <w:top w:val="single" w:sz="4" w:space="0" w:color="auto"/>
              <w:left w:val="single" w:sz="4" w:space="0" w:color="auto"/>
              <w:bottom w:val="single" w:sz="4" w:space="0" w:color="auto"/>
              <w:right w:val="single" w:sz="4" w:space="0" w:color="auto"/>
            </w:tcBorders>
            <w:vAlign w:val="bottom"/>
          </w:tcPr>
          <w:p w:rsidR="001B081E" w:rsidRPr="001F320C" w:rsidP="004E156D" w14:paraId="7A61C168" w14:textId="77777777">
            <w:pPr>
              <w:widowControl/>
              <w:overflowPunct/>
              <w:autoSpaceDE/>
              <w:autoSpaceDN/>
              <w:adjustRightInd/>
              <w:rPr>
                <w:color w:val="000000"/>
                <w:kern w:val="0"/>
              </w:rPr>
            </w:pPr>
          </w:p>
        </w:tc>
        <w:tc>
          <w:tcPr>
            <w:tcW w:w="1017" w:type="dxa"/>
            <w:tcBorders>
              <w:top w:val="single" w:sz="4" w:space="0" w:color="auto"/>
              <w:left w:val="single" w:sz="4" w:space="0" w:color="auto"/>
              <w:bottom w:val="single" w:sz="4" w:space="0" w:color="auto"/>
              <w:right w:val="single" w:sz="4" w:space="0" w:color="auto"/>
            </w:tcBorders>
            <w:vAlign w:val="bottom"/>
          </w:tcPr>
          <w:p w:rsidR="001B081E" w:rsidRPr="001F320C" w:rsidP="004E156D" w14:paraId="1345AABF" w14:textId="77777777">
            <w:pPr>
              <w:widowControl/>
              <w:overflowPunct/>
              <w:autoSpaceDE/>
              <w:autoSpaceDN/>
              <w:adjustRightInd/>
              <w:rPr>
                <w:color w:val="000000"/>
                <w:kern w:val="0"/>
              </w:rPr>
            </w:pP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72B40D84" w14:textId="77777777">
            <w:pPr>
              <w:widowControl/>
              <w:overflowPunct/>
              <w:autoSpaceDE/>
              <w:autoSpaceDN/>
              <w:adjustRightInd/>
              <w:rPr>
                <w:color w:val="000000"/>
                <w:kern w:val="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007780A3" w14:textId="77777777">
            <w:pPr>
              <w:widowControl/>
              <w:overflowPunct/>
              <w:autoSpaceDE/>
              <w:autoSpaceDN/>
              <w:adjustRightInd/>
              <w:rPr>
                <w:color w:val="000000"/>
                <w:kern w:val="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081E" w:rsidRPr="001F320C" w:rsidP="004E156D" w14:paraId="038E8E1D" w14:textId="77777777">
            <w:pPr>
              <w:widowControl/>
              <w:overflowPunct/>
              <w:autoSpaceDE/>
              <w:autoSpaceDN/>
              <w:adjustRightInd/>
              <w:rPr>
                <w:color w:val="000000"/>
                <w:kern w:val="0"/>
              </w:rPr>
            </w:pPr>
          </w:p>
        </w:tc>
      </w:tr>
      <w:tr w14:paraId="4BBDE3AA"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724BDB75" w14:textId="77777777">
            <w:pPr>
              <w:widowControl/>
              <w:overflowPunct/>
              <w:autoSpaceDE/>
              <w:autoSpaceDN/>
              <w:adjustRightInd/>
              <w:rPr>
                <w:color w:val="000000"/>
                <w:kern w:val="0"/>
              </w:rPr>
            </w:pPr>
            <w:r w:rsidRPr="001F320C">
              <w:rPr>
                <w:color w:val="000000"/>
                <w:kern w:val="0"/>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632F02EE" w14:textId="5BA9C6FD">
            <w:pPr>
              <w:widowControl/>
              <w:overflowPunct/>
              <w:autoSpaceDE/>
              <w:autoSpaceDN/>
              <w:adjustRightInd/>
              <w:jc w:val="center"/>
              <w:rPr>
                <w:color w:val="000000"/>
                <w:kern w:val="0"/>
              </w:rPr>
            </w:pPr>
            <w:r>
              <w:t>8,022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1D905861" w14:textId="77777777">
            <w:pPr>
              <w:widowControl/>
              <w:overflowPunct/>
              <w:autoSpaceDE/>
              <w:autoSpaceDN/>
              <w:adjustRightInd/>
              <w:jc w:val="center"/>
              <w:rPr>
                <w:color w:val="000000"/>
                <w:kern w:val="0"/>
              </w:rPr>
            </w:pPr>
            <w:r w:rsidRPr="001F320C">
              <w:rPr>
                <w:color w:val="000000"/>
                <w:kern w:val="0"/>
              </w:rPr>
              <w:t>100%</w:t>
            </w: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459B34A4" w14:textId="08C848DC">
            <w:pPr>
              <w:widowControl/>
              <w:overflowPunct/>
              <w:autoSpaceDE/>
              <w:autoSpaceDN/>
              <w:adjustRightInd/>
              <w:jc w:val="center"/>
              <w:rPr>
                <w:color w:val="000000"/>
                <w:kern w:val="0"/>
              </w:rPr>
            </w:pPr>
            <w:r>
              <w:t>8,022</w:t>
            </w: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8D55AD" w:rsidP="00781E36" w14:paraId="6E3F4247" w14:textId="069FD8CC">
            <w:pPr>
              <w:widowControl/>
              <w:overflowPunct/>
              <w:autoSpaceDE/>
              <w:autoSpaceDN/>
              <w:adjustRightInd/>
              <w:jc w:val="center"/>
              <w:rPr>
                <w:color w:val="000000"/>
                <w:kern w:val="0"/>
              </w:rPr>
            </w:pPr>
            <w:r w:rsidRPr="00781E36">
              <w:t>2.10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0BDEA1AC" w14:textId="63DA8189">
            <w:pPr>
              <w:widowControl/>
              <w:overflowPunct/>
              <w:autoSpaceDE/>
              <w:autoSpaceDN/>
              <w:adjustRightInd/>
              <w:jc w:val="center"/>
              <w:rPr>
                <w:color w:val="000000"/>
                <w:kern w:val="0"/>
              </w:rPr>
            </w:pPr>
            <w:r>
              <w:rPr>
                <w:color w:val="000000"/>
                <w:kern w:val="0"/>
              </w:rPr>
              <w:t>16,846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76ECEAF8" w14:textId="67059853">
            <w:pPr>
              <w:widowControl/>
              <w:overflowPunct/>
              <w:autoSpaceDE/>
              <w:autoSpaceDN/>
              <w:adjustRightInd/>
              <w:jc w:val="center"/>
              <w:rPr>
                <w:color w:val="000000"/>
                <w:kern w:val="0"/>
              </w:rPr>
            </w:pPr>
            <w:r w:rsidRPr="001F320C">
              <w:rPr>
                <w:color w:val="000000"/>
                <w:kern w:val="0"/>
              </w:rPr>
              <w:t>$</w:t>
            </w:r>
            <w:r>
              <w:rPr>
                <w:color w:val="000000"/>
                <w:kern w:val="0"/>
              </w:rPr>
              <w:t>61.18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79FF21BA" w14:textId="3EDBDA1D">
            <w:pPr>
              <w:widowControl/>
              <w:overflowPunct/>
              <w:autoSpaceDE/>
              <w:autoSpaceDN/>
              <w:adjustRightInd/>
              <w:jc w:val="center"/>
              <w:rPr>
                <w:color w:val="000000"/>
                <w:kern w:val="0"/>
              </w:rPr>
            </w:pPr>
            <w:r w:rsidRPr="001F320C">
              <w:rPr>
                <w:color w:val="000000"/>
                <w:kern w:val="0"/>
              </w:rPr>
              <w:t>$</w:t>
            </w:r>
            <w:r>
              <w:rPr>
                <w:color w:val="000000"/>
                <w:kern w:val="0"/>
              </w:rPr>
              <w:t>1,030,651</w:t>
            </w:r>
          </w:p>
        </w:tc>
      </w:tr>
      <w:tr w14:paraId="7BC94123"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4ED3DDC7" w14:textId="77777777">
            <w:pPr>
              <w:widowControl/>
              <w:overflowPunct/>
              <w:autoSpaceDE/>
              <w:autoSpaceDN/>
              <w:adjustRightInd/>
              <w:rPr>
                <w:color w:val="000000"/>
                <w:kern w:val="0"/>
              </w:rPr>
            </w:pPr>
            <w:r w:rsidRPr="001F320C">
              <w:rPr>
                <w:color w:val="000000"/>
                <w:kern w:val="0"/>
              </w:rPr>
              <w:t>20-99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30F00026" w14:textId="505ED123">
            <w:pPr>
              <w:widowControl/>
              <w:overflowPunct/>
              <w:autoSpaceDE/>
              <w:autoSpaceDN/>
              <w:adjustRightInd/>
              <w:jc w:val="center"/>
              <w:rPr>
                <w:color w:val="000000"/>
                <w:kern w:val="0"/>
              </w:rPr>
            </w:pPr>
            <w:r>
              <w:t>9,213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02427804" w14:textId="77777777">
            <w:pPr>
              <w:widowControl/>
              <w:overflowPunct/>
              <w:autoSpaceDE/>
              <w:autoSpaceDN/>
              <w:adjustRightInd/>
              <w:jc w:val="center"/>
              <w:rPr>
                <w:color w:val="000000"/>
                <w:kern w:val="0"/>
              </w:rPr>
            </w:pPr>
            <w:r w:rsidRPr="001F320C">
              <w:rPr>
                <w:color w:val="000000"/>
                <w:kern w:val="0"/>
              </w:rPr>
              <w:t>100%</w:t>
            </w: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4B02EC7F" w14:textId="616BAFF2">
            <w:pPr>
              <w:widowControl/>
              <w:overflowPunct/>
              <w:autoSpaceDE/>
              <w:autoSpaceDN/>
              <w:adjustRightInd/>
              <w:jc w:val="center"/>
              <w:rPr>
                <w:color w:val="000000"/>
                <w:kern w:val="0"/>
              </w:rPr>
            </w:pPr>
            <w:r>
              <w:t>9,213</w:t>
            </w: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8D55AD" w:rsidP="00781E36" w14:paraId="4A37A313" w14:textId="7B49B193">
            <w:pPr>
              <w:widowControl/>
              <w:overflowPunct/>
              <w:autoSpaceDE/>
              <w:autoSpaceDN/>
              <w:adjustRightInd/>
              <w:jc w:val="center"/>
              <w:rPr>
                <w:color w:val="000000"/>
                <w:kern w:val="0"/>
              </w:rPr>
            </w:pPr>
            <w:r w:rsidRPr="00781E36">
              <w:t>2.10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5377DFB3" w14:textId="3011C979">
            <w:pPr>
              <w:widowControl/>
              <w:overflowPunct/>
              <w:autoSpaceDE/>
              <w:autoSpaceDN/>
              <w:adjustRightInd/>
              <w:jc w:val="center"/>
              <w:rPr>
                <w:color w:val="000000"/>
                <w:kern w:val="0"/>
              </w:rPr>
            </w:pPr>
            <w:r>
              <w:rPr>
                <w:color w:val="000000"/>
                <w:kern w:val="0"/>
              </w:rPr>
              <w:t>19,347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38CDC107" w14:textId="624183DA">
            <w:pPr>
              <w:widowControl/>
              <w:overflowPunct/>
              <w:autoSpaceDE/>
              <w:autoSpaceDN/>
              <w:adjustRightInd/>
              <w:jc w:val="center"/>
              <w:rPr>
                <w:color w:val="000000"/>
                <w:kern w:val="0"/>
              </w:rPr>
            </w:pPr>
            <w:r w:rsidRPr="001F320C">
              <w:rPr>
                <w:color w:val="000000"/>
                <w:kern w:val="0"/>
              </w:rPr>
              <w:t>$</w:t>
            </w:r>
            <w:r>
              <w:rPr>
                <w:color w:val="000000"/>
                <w:kern w:val="0"/>
              </w:rPr>
              <w:t>61.18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4872EBB4" w14:textId="7DB165BB">
            <w:pPr>
              <w:widowControl/>
              <w:overflowPunct/>
              <w:autoSpaceDE/>
              <w:autoSpaceDN/>
              <w:adjustRightInd/>
              <w:jc w:val="center"/>
              <w:rPr>
                <w:color w:val="000000"/>
                <w:kern w:val="0"/>
              </w:rPr>
            </w:pPr>
            <w:r w:rsidRPr="001F320C">
              <w:rPr>
                <w:color w:val="000000"/>
                <w:kern w:val="0"/>
              </w:rPr>
              <w:t>$</w:t>
            </w:r>
            <w:r>
              <w:rPr>
                <w:color w:val="000000"/>
                <w:kern w:val="0"/>
              </w:rPr>
              <w:t>1,183,668</w:t>
            </w:r>
          </w:p>
        </w:tc>
      </w:tr>
      <w:tr w14:paraId="32F8432B"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72D4D95E" w14:textId="77777777">
            <w:pPr>
              <w:widowControl/>
              <w:overflowPunct/>
              <w:autoSpaceDE/>
              <w:autoSpaceDN/>
              <w:adjustRightInd/>
              <w:rPr>
                <w:color w:val="000000"/>
                <w:kern w:val="0"/>
              </w:rPr>
            </w:pPr>
            <w:r w:rsidRPr="001F320C">
              <w:rPr>
                <w:color w:val="000000"/>
                <w:kern w:val="0"/>
              </w:rPr>
              <w:t>100-499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6AA3DC83" w14:textId="11CDC3A7">
            <w:pPr>
              <w:widowControl/>
              <w:overflowPunct/>
              <w:autoSpaceDE/>
              <w:autoSpaceDN/>
              <w:adjustRightInd/>
              <w:jc w:val="center"/>
              <w:rPr>
                <w:color w:val="000000"/>
                <w:kern w:val="0"/>
              </w:rPr>
            </w:pPr>
            <w:r>
              <w:t>19,500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2B4F870D" w14:textId="77777777">
            <w:pPr>
              <w:widowControl/>
              <w:overflowPunct/>
              <w:autoSpaceDE/>
              <w:autoSpaceDN/>
              <w:adjustRightInd/>
              <w:jc w:val="center"/>
              <w:rPr>
                <w:color w:val="000000"/>
                <w:kern w:val="0"/>
              </w:rPr>
            </w:pPr>
            <w:r w:rsidRPr="001F320C">
              <w:rPr>
                <w:color w:val="000000"/>
                <w:kern w:val="0"/>
              </w:rPr>
              <w:t>100%</w:t>
            </w: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24FCC20F" w14:textId="7B8667B0">
            <w:pPr>
              <w:widowControl/>
              <w:overflowPunct/>
              <w:autoSpaceDE/>
              <w:autoSpaceDN/>
              <w:adjustRightInd/>
              <w:jc w:val="center"/>
              <w:rPr>
                <w:color w:val="000000"/>
                <w:kern w:val="0"/>
              </w:rPr>
            </w:pPr>
            <w:r>
              <w:t>19,500</w:t>
            </w: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8D55AD" w:rsidP="00781E36" w14:paraId="0FAD861B" w14:textId="6E44D507">
            <w:pPr>
              <w:widowControl/>
              <w:overflowPunct/>
              <w:autoSpaceDE/>
              <w:autoSpaceDN/>
              <w:adjustRightInd/>
              <w:jc w:val="center"/>
              <w:rPr>
                <w:color w:val="000000"/>
                <w:kern w:val="0"/>
              </w:rPr>
            </w:pPr>
            <w:r w:rsidRPr="00781E36">
              <w:t>1.50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0EFE6652" w14:textId="073B69E5">
            <w:pPr>
              <w:widowControl/>
              <w:overflowPunct/>
              <w:autoSpaceDE/>
              <w:autoSpaceDN/>
              <w:adjustRightInd/>
              <w:jc w:val="center"/>
              <w:rPr>
                <w:color w:val="000000"/>
                <w:kern w:val="0"/>
              </w:rPr>
            </w:pPr>
            <w:r>
              <w:rPr>
                <w:color w:val="000000"/>
                <w:kern w:val="0"/>
              </w:rPr>
              <w:t>29,250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50A80738" w14:textId="55092D4B">
            <w:pPr>
              <w:widowControl/>
              <w:overflowPunct/>
              <w:autoSpaceDE/>
              <w:autoSpaceDN/>
              <w:adjustRightInd/>
              <w:jc w:val="center"/>
              <w:rPr>
                <w:color w:val="000000"/>
                <w:kern w:val="0"/>
              </w:rPr>
            </w:pPr>
            <w:r w:rsidRPr="001F320C">
              <w:rPr>
                <w:color w:val="000000"/>
                <w:kern w:val="0"/>
              </w:rPr>
              <w:t>$</w:t>
            </w:r>
            <w:r>
              <w:rPr>
                <w:color w:val="000000"/>
                <w:kern w:val="0"/>
              </w:rPr>
              <w:t>61.18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5929C85B" w14:textId="7D386F11">
            <w:pPr>
              <w:widowControl/>
              <w:overflowPunct/>
              <w:autoSpaceDE/>
              <w:autoSpaceDN/>
              <w:adjustRightInd/>
              <w:jc w:val="center"/>
              <w:rPr>
                <w:color w:val="000000"/>
                <w:kern w:val="0"/>
              </w:rPr>
            </w:pPr>
            <w:r w:rsidRPr="001F320C">
              <w:rPr>
                <w:color w:val="000000"/>
                <w:kern w:val="0"/>
              </w:rPr>
              <w:t>$</w:t>
            </w:r>
            <w:r>
              <w:rPr>
                <w:color w:val="000000"/>
                <w:kern w:val="0"/>
              </w:rPr>
              <w:t xml:space="preserve"> </w:t>
            </w:r>
            <w:r>
              <w:rPr>
                <w:color w:val="000000"/>
                <w:kern w:val="0"/>
              </w:rPr>
              <w:t>1,789,515</w:t>
            </w:r>
          </w:p>
        </w:tc>
      </w:tr>
      <w:tr w14:paraId="4E160CDA"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7935A8FA" w14:textId="77777777">
            <w:pPr>
              <w:widowControl/>
              <w:overflowPunct/>
              <w:autoSpaceDE/>
              <w:autoSpaceDN/>
              <w:adjustRightInd/>
              <w:rPr>
                <w:color w:val="000000"/>
                <w:kern w:val="0"/>
              </w:rPr>
            </w:pPr>
            <w:r w:rsidRPr="001F320C">
              <w:rPr>
                <w:color w:val="000000"/>
                <w:kern w:val="0"/>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1AA06F4A" w14:textId="0938F018">
            <w:pPr>
              <w:widowControl/>
              <w:overflowPunct/>
              <w:autoSpaceDE/>
              <w:autoSpaceDN/>
              <w:adjustRightInd/>
              <w:jc w:val="center"/>
              <w:rPr>
                <w:color w:val="000000"/>
                <w:kern w:val="0"/>
              </w:rPr>
            </w:pPr>
            <w:r>
              <w:t>76,386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17DA3616" w14:textId="77777777">
            <w:pPr>
              <w:widowControl/>
              <w:overflowPunct/>
              <w:autoSpaceDE/>
              <w:autoSpaceDN/>
              <w:adjustRightInd/>
              <w:jc w:val="center"/>
              <w:rPr>
                <w:color w:val="000000"/>
                <w:kern w:val="0"/>
              </w:rPr>
            </w:pPr>
            <w:r w:rsidRPr="001F320C">
              <w:rPr>
                <w:color w:val="000000"/>
                <w:kern w:val="0"/>
              </w:rPr>
              <w:t>100%</w:t>
            </w: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2959B96B" w14:textId="7080A652">
            <w:pPr>
              <w:widowControl/>
              <w:overflowPunct/>
              <w:autoSpaceDE/>
              <w:autoSpaceDN/>
              <w:adjustRightInd/>
              <w:jc w:val="center"/>
              <w:rPr>
                <w:color w:val="000000"/>
                <w:kern w:val="0"/>
              </w:rPr>
            </w:pPr>
            <w:r>
              <w:t>76,386</w:t>
            </w: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8D55AD" w:rsidP="00781E36" w14:paraId="722B0606" w14:textId="12798E7B">
            <w:pPr>
              <w:widowControl/>
              <w:overflowPunct/>
              <w:autoSpaceDE/>
              <w:autoSpaceDN/>
              <w:adjustRightInd/>
              <w:jc w:val="center"/>
              <w:rPr>
                <w:color w:val="000000"/>
                <w:kern w:val="0"/>
              </w:rPr>
            </w:pPr>
            <w:r w:rsidRPr="00781E36">
              <w:t>0.90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7793114F" w14:textId="26B5BF34">
            <w:pPr>
              <w:widowControl/>
              <w:overflowPunct/>
              <w:autoSpaceDE/>
              <w:autoSpaceDN/>
              <w:adjustRightInd/>
              <w:jc w:val="center"/>
              <w:rPr>
                <w:color w:val="000000"/>
                <w:kern w:val="0"/>
              </w:rPr>
            </w:pPr>
            <w:r>
              <w:rPr>
                <w:color w:val="000000"/>
                <w:kern w:val="0"/>
              </w:rPr>
              <w:t>68,747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600BEAB9" w14:textId="14DBEC70">
            <w:pPr>
              <w:widowControl/>
              <w:overflowPunct/>
              <w:autoSpaceDE/>
              <w:autoSpaceDN/>
              <w:adjustRightInd/>
              <w:jc w:val="center"/>
              <w:rPr>
                <w:color w:val="000000"/>
                <w:kern w:val="0"/>
              </w:rPr>
            </w:pPr>
            <w:r w:rsidRPr="001F320C">
              <w:rPr>
                <w:color w:val="000000"/>
                <w:kern w:val="0"/>
              </w:rPr>
              <w:t>$</w:t>
            </w:r>
            <w:r>
              <w:rPr>
                <w:color w:val="000000"/>
                <w:kern w:val="0"/>
              </w:rPr>
              <w:t>61.18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4438B21E" w14:textId="3A1F943D">
            <w:pPr>
              <w:widowControl/>
              <w:overflowPunct/>
              <w:autoSpaceDE/>
              <w:autoSpaceDN/>
              <w:adjustRightInd/>
              <w:jc w:val="center"/>
              <w:rPr>
                <w:color w:val="000000"/>
                <w:kern w:val="0"/>
              </w:rPr>
            </w:pPr>
            <w:r w:rsidRPr="001F320C">
              <w:rPr>
                <w:color w:val="000000"/>
                <w:kern w:val="0"/>
              </w:rPr>
              <w:t>$</w:t>
            </w:r>
            <w:r>
              <w:rPr>
                <w:color w:val="000000"/>
                <w:kern w:val="0"/>
              </w:rPr>
              <w:t xml:space="preserve"> </w:t>
            </w:r>
            <w:r>
              <w:rPr>
                <w:color w:val="000000"/>
                <w:kern w:val="0"/>
              </w:rPr>
              <w:t>4,205,966</w:t>
            </w:r>
          </w:p>
        </w:tc>
      </w:tr>
      <w:tr w14:paraId="0A45B725" w14:textId="77777777" w:rsidTr="00781E36">
        <w:tblPrEx>
          <w:tblW w:w="9630" w:type="dxa"/>
          <w:tblInd w:w="85" w:type="dxa"/>
          <w:tblLayout w:type="fixed"/>
          <w:tblLook w:val="0000"/>
        </w:tblPrEx>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3EF7ECE0" w14:textId="77777777">
            <w:pPr>
              <w:widowControl/>
              <w:overflowPunct/>
              <w:autoSpaceDE/>
              <w:autoSpaceDN/>
              <w:adjustRightInd/>
              <w:rPr>
                <w:color w:val="000000"/>
                <w:kern w:val="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48471382" w14:textId="59FF2487">
            <w:pPr>
              <w:widowControl/>
              <w:overflowPunct/>
              <w:autoSpaceDE/>
              <w:autoSpaceDN/>
              <w:adjustRightInd/>
              <w:jc w:val="center"/>
              <w:rPr>
                <w:color w:val="000000"/>
                <w:kern w:val="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69C43CAA" w14:textId="77777777">
            <w:pPr>
              <w:widowControl/>
              <w:overflowPunct/>
              <w:autoSpaceDE/>
              <w:autoSpaceDN/>
              <w:adjustRightInd/>
              <w:jc w:val="center"/>
              <w:rPr>
                <w:color w:val="000000"/>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285828D1" w14:textId="77777777">
            <w:pPr>
              <w:widowControl/>
              <w:overflowPunct/>
              <w:autoSpaceDE/>
              <w:autoSpaceDN/>
              <w:adjustRightInd/>
              <w:jc w:val="center"/>
              <w:rPr>
                <w:color w:val="000000"/>
                <w:kern w:val="0"/>
              </w:rPr>
            </w:pP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59229258" w14:textId="77777777">
            <w:pPr>
              <w:widowControl/>
              <w:overflowPunct/>
              <w:autoSpaceDE/>
              <w:autoSpaceDN/>
              <w:adjustRightInd/>
              <w:jc w:val="center"/>
              <w:rPr>
                <w:color w:val="000000"/>
                <w:kern w:val="0"/>
              </w:rPr>
            </w:pP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1E55318F" w14:textId="77777777">
            <w:pPr>
              <w:widowControl/>
              <w:overflowPunct/>
              <w:autoSpaceDE/>
              <w:autoSpaceDN/>
              <w:adjustRightInd/>
              <w:jc w:val="center"/>
              <w:rPr>
                <w:color w:val="000000"/>
                <w:kern w:val="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455AEA87" w14:textId="77777777">
            <w:pPr>
              <w:widowControl/>
              <w:overflowPunct/>
              <w:autoSpaceDE/>
              <w:autoSpaceDN/>
              <w:adjustRightInd/>
              <w:jc w:val="center"/>
              <w:rPr>
                <w:color w:val="000000"/>
                <w:kern w:val="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4BE423FE" w14:textId="77777777">
            <w:pPr>
              <w:widowControl/>
              <w:overflowPunct/>
              <w:autoSpaceDE/>
              <w:autoSpaceDN/>
              <w:adjustRightInd/>
              <w:jc w:val="center"/>
              <w:rPr>
                <w:color w:val="000000"/>
                <w:kern w:val="0"/>
              </w:rPr>
            </w:pPr>
          </w:p>
        </w:tc>
      </w:tr>
      <w:tr w14:paraId="6F330B9B" w14:textId="77777777" w:rsidTr="00781E36">
        <w:tblPrEx>
          <w:tblW w:w="9630" w:type="dxa"/>
          <w:tblInd w:w="85" w:type="dxa"/>
          <w:tblLayout w:type="fixed"/>
          <w:tblLook w:val="0000"/>
        </w:tblPrEx>
        <w:trPr>
          <w:trHeight w:val="8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1587" w:rsidRPr="001F320C" w:rsidP="00041587" w14:paraId="2F8FC130" w14:textId="77777777">
            <w:pPr>
              <w:widowControl/>
              <w:overflowPunct/>
              <w:autoSpaceDE/>
              <w:autoSpaceDN/>
              <w:adjustRightInd/>
              <w:rPr>
                <w:b/>
                <w:color w:val="000000"/>
                <w:kern w:val="0"/>
              </w:rPr>
            </w:pPr>
            <w:r w:rsidRPr="001F320C">
              <w:rPr>
                <w:b/>
                <w:color w:val="000000"/>
                <w:kern w:val="0"/>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C66C77" w:rsidP="00781E36" w14:paraId="38F31180" w14:textId="11C52E98">
            <w:pPr>
              <w:widowControl/>
              <w:overflowPunct/>
              <w:autoSpaceDE/>
              <w:autoSpaceDN/>
              <w:adjustRightInd/>
              <w:jc w:val="center"/>
              <w:rPr>
                <w:b/>
                <w:color w:val="000000"/>
                <w:kern w:val="0"/>
              </w:rPr>
            </w:pPr>
            <w:r>
              <w:rPr>
                <w:b/>
                <w:bCs/>
                <w:color w:val="000000"/>
              </w:rPr>
              <w:t>113,121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5FF324C7" w14:textId="77777777">
            <w:pPr>
              <w:widowControl/>
              <w:overflowPunct/>
              <w:autoSpaceDE/>
              <w:autoSpaceDN/>
              <w:adjustRightInd/>
              <w:jc w:val="center"/>
              <w:rPr>
                <w:b/>
                <w:color w:val="000000"/>
                <w:kern w:val="0"/>
              </w:rPr>
            </w:pPr>
            <w:r w:rsidRPr="001F320C">
              <w:rPr>
                <w:b/>
                <w:bCs/>
                <w:kern w:val="0"/>
              </w:rPr>
              <w:t>—</w:t>
            </w:r>
          </w:p>
        </w:tc>
        <w:tc>
          <w:tcPr>
            <w:tcW w:w="1209"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0DD6D8DD" w14:textId="18BAFE45">
            <w:pPr>
              <w:widowControl/>
              <w:overflowPunct/>
              <w:autoSpaceDE/>
              <w:autoSpaceDN/>
              <w:adjustRightInd/>
              <w:jc w:val="center"/>
              <w:rPr>
                <w:b/>
                <w:color w:val="000000"/>
                <w:kern w:val="0"/>
              </w:rPr>
            </w:pPr>
            <w:r>
              <w:rPr>
                <w:b/>
                <w:bCs/>
                <w:color w:val="000000"/>
              </w:rPr>
              <w:t>113,121</w:t>
            </w:r>
          </w:p>
        </w:tc>
        <w:tc>
          <w:tcPr>
            <w:tcW w:w="1017" w:type="dxa"/>
            <w:tcBorders>
              <w:top w:val="single" w:sz="4" w:space="0" w:color="auto"/>
              <w:left w:val="single" w:sz="4" w:space="0" w:color="auto"/>
              <w:bottom w:val="single" w:sz="4" w:space="0" w:color="auto"/>
              <w:right w:val="single" w:sz="4" w:space="0" w:color="auto"/>
            </w:tcBorders>
            <w:vAlign w:val="center"/>
          </w:tcPr>
          <w:p w:rsidR="00041587" w:rsidRPr="001F320C" w:rsidP="00781E36" w14:paraId="064A3F5A" w14:textId="77777777">
            <w:pPr>
              <w:widowControl/>
              <w:overflowPunct/>
              <w:autoSpaceDE/>
              <w:autoSpaceDN/>
              <w:adjustRightInd/>
              <w:jc w:val="center"/>
              <w:rPr>
                <w:b/>
                <w:color w:val="000000"/>
                <w:kern w:val="0"/>
              </w:rPr>
            </w:pP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696D017C" w14:textId="1E806903">
            <w:pPr>
              <w:widowControl/>
              <w:overflowPunct/>
              <w:autoSpaceDE/>
              <w:autoSpaceDN/>
              <w:adjustRightInd/>
              <w:jc w:val="center"/>
              <w:rPr>
                <w:b/>
                <w:color w:val="000000"/>
                <w:kern w:val="0"/>
              </w:rPr>
            </w:pPr>
            <w:r>
              <w:rPr>
                <w:b/>
                <w:bCs/>
                <w:color w:val="000000"/>
                <w:kern w:val="0"/>
              </w:rPr>
              <w:t>134,191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15DEEF2E" w14:textId="77777777">
            <w:pPr>
              <w:widowControl/>
              <w:overflowPunct/>
              <w:autoSpaceDE/>
              <w:autoSpaceDN/>
              <w:adjustRightInd/>
              <w:jc w:val="center"/>
              <w:rPr>
                <w:b/>
                <w:color w:val="000000"/>
                <w:kern w:val="0"/>
              </w:rPr>
            </w:pPr>
            <w:r w:rsidRPr="001F320C">
              <w:rPr>
                <w:b/>
                <w:bCs/>
                <w:kern w:val="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587" w:rsidRPr="001F320C" w:rsidP="00781E36" w14:paraId="248A783A" w14:textId="218B99B1">
            <w:pPr>
              <w:widowControl/>
              <w:overflowPunct/>
              <w:autoSpaceDE/>
              <w:autoSpaceDN/>
              <w:adjustRightInd/>
              <w:jc w:val="center"/>
              <w:rPr>
                <w:b/>
                <w:color w:val="000000"/>
                <w:kern w:val="0"/>
              </w:rPr>
            </w:pPr>
            <w:r w:rsidRPr="001F320C">
              <w:rPr>
                <w:b/>
                <w:bCs/>
                <w:color w:val="000000"/>
                <w:kern w:val="0"/>
              </w:rPr>
              <w:t>$</w:t>
            </w:r>
            <w:r>
              <w:rPr>
                <w:b/>
                <w:bCs/>
                <w:color w:val="000000"/>
                <w:kern w:val="0"/>
              </w:rPr>
              <w:t xml:space="preserve"> </w:t>
            </w:r>
            <w:r>
              <w:rPr>
                <w:b/>
                <w:bCs/>
                <w:color w:val="000000"/>
                <w:kern w:val="0"/>
              </w:rPr>
              <w:t>8,209,799</w:t>
            </w:r>
          </w:p>
        </w:tc>
      </w:tr>
    </w:tbl>
    <w:p w:rsidR="001B081E" w:rsidP="00FF1F12" w14:paraId="14511E8A" w14:textId="77777777">
      <w:pPr>
        <w:pStyle w:val="Default"/>
        <w:rPr>
          <w:b/>
        </w:rPr>
      </w:pPr>
    </w:p>
    <w:p w:rsidR="004C5F94" w:rsidRPr="007056ED" w:rsidP="00FF1F12" w14:paraId="070D56E6" w14:textId="77777777">
      <w:pPr>
        <w:pStyle w:val="Default"/>
      </w:pPr>
    </w:p>
    <w:p w:rsidR="00296677" w:rsidRPr="00AB0B90" w:rsidP="007056ED" w14:paraId="25CB62F7" w14:textId="71B9CEAE">
      <w:pPr>
        <w:pStyle w:val="Default"/>
        <w:rPr>
          <w:b/>
        </w:rPr>
      </w:pPr>
      <w:r>
        <w:rPr>
          <w:b/>
        </w:rPr>
        <w:t>1</w:t>
      </w:r>
      <w:r w:rsidR="00FC39F2">
        <w:rPr>
          <w:b/>
        </w:rPr>
        <w:t>6</w:t>
      </w:r>
      <w:r w:rsidRPr="00AB0B90">
        <w:rPr>
          <w:b/>
        </w:rPr>
        <w:t>. Familiarization of HCS</w:t>
      </w:r>
    </w:p>
    <w:p w:rsidR="00296677" w:rsidRPr="00AB0B90" w:rsidP="00AB0B90" w14:paraId="06A0540F" w14:textId="77777777">
      <w:pPr>
        <w:rPr>
          <w:b/>
          <w:color w:val="000000"/>
          <w:kern w:val="0"/>
          <w:sz w:val="24"/>
          <w:szCs w:val="24"/>
        </w:rPr>
      </w:pPr>
    </w:p>
    <w:p w:rsidR="002E32F3" w:rsidP="00466B30" w14:paraId="4FC56B03" w14:textId="295960F1">
      <w:pPr>
        <w:pStyle w:val="Default"/>
        <w:rPr>
          <w:color w:val="auto"/>
        </w:rPr>
      </w:pPr>
      <w:r w:rsidRPr="00EE4AC0">
        <w:rPr>
          <w:color w:val="auto"/>
        </w:rPr>
        <w:t xml:space="preserve">The </w:t>
      </w:r>
      <w:r>
        <w:rPr>
          <w:color w:val="auto"/>
        </w:rPr>
        <w:t>a</w:t>
      </w:r>
      <w:r w:rsidRPr="00EE4AC0">
        <w:rPr>
          <w:color w:val="auto"/>
        </w:rPr>
        <w:t xml:space="preserve">gency expects that the employer will assign responsibility for investigating the details of the rule, and for determining how to implement it, to one or more supervisors.  OSHA assumes that the time supervisors will require for rule familiarization will be based on </w:t>
      </w:r>
      <w:r w:rsidRPr="00EE4AC0">
        <w:rPr>
          <w:color w:val="auto"/>
        </w:rPr>
        <w:t>a number of</w:t>
      </w:r>
      <w:r w:rsidRPr="00EE4AC0">
        <w:rPr>
          <w:color w:val="auto"/>
        </w:rPr>
        <w:t xml:space="preserve"> factors, including establishment size</w:t>
      </w:r>
      <w:r w:rsidR="00413BC4">
        <w:rPr>
          <w:color w:val="auto"/>
        </w:rPr>
        <w:t xml:space="preserve"> and whether they are affected by other provisions</w:t>
      </w:r>
      <w:r w:rsidRPr="00EE4AC0">
        <w:rPr>
          <w:color w:val="auto"/>
        </w:rPr>
        <w:t xml:space="preserve">. </w:t>
      </w:r>
      <w:r>
        <w:rPr>
          <w:color w:val="auto"/>
        </w:rPr>
        <w:t xml:space="preserve"> </w:t>
      </w:r>
      <w:r w:rsidRPr="00EE4AC0">
        <w:rPr>
          <w:color w:val="auto"/>
        </w:rPr>
        <w:t xml:space="preserve">The agency estimates that supervisors in small establishments will require </w:t>
      </w:r>
      <w:r w:rsidR="00847355">
        <w:rPr>
          <w:color w:val="auto"/>
        </w:rPr>
        <w:t>15</w:t>
      </w:r>
      <w:r w:rsidR="00C34E7C">
        <w:rPr>
          <w:color w:val="auto"/>
        </w:rPr>
        <w:t xml:space="preserve"> minutes</w:t>
      </w:r>
      <w:r w:rsidR="00847355">
        <w:rPr>
          <w:color w:val="auto"/>
        </w:rPr>
        <w:t xml:space="preserve"> to </w:t>
      </w:r>
      <w:r w:rsidR="00464B8F">
        <w:rPr>
          <w:color w:val="auto"/>
        </w:rPr>
        <w:t>1 hour</w:t>
      </w:r>
      <w:r w:rsidRPr="00EE4AC0">
        <w:rPr>
          <w:color w:val="auto"/>
        </w:rPr>
        <w:t xml:space="preserve"> to become familiar with the rule, while supervisors in medium establishment</w:t>
      </w:r>
      <w:r w:rsidR="00413BC4">
        <w:rPr>
          <w:color w:val="auto"/>
        </w:rPr>
        <w:t>s</w:t>
      </w:r>
      <w:r w:rsidRPr="00EE4AC0">
        <w:rPr>
          <w:color w:val="auto"/>
        </w:rPr>
        <w:t xml:space="preserve"> will require </w:t>
      </w:r>
      <w:r w:rsidR="00847355">
        <w:rPr>
          <w:color w:val="auto"/>
        </w:rPr>
        <w:t xml:space="preserve">1 to </w:t>
      </w:r>
      <w:r w:rsidR="00AF02F5">
        <w:rPr>
          <w:color w:val="auto"/>
        </w:rPr>
        <w:t>4</w:t>
      </w:r>
      <w:r w:rsidRPr="00EE4AC0">
        <w:rPr>
          <w:color w:val="auto"/>
        </w:rPr>
        <w:t xml:space="preserve"> hours and those in large establishment</w:t>
      </w:r>
      <w:r w:rsidR="00847355">
        <w:rPr>
          <w:color w:val="auto"/>
        </w:rPr>
        <w:t>s</w:t>
      </w:r>
      <w:r w:rsidRPr="00EE4AC0">
        <w:rPr>
          <w:color w:val="auto"/>
        </w:rPr>
        <w:t xml:space="preserve"> will require </w:t>
      </w:r>
      <w:r w:rsidR="00847355">
        <w:rPr>
          <w:color w:val="auto"/>
        </w:rPr>
        <w:t xml:space="preserve">4 to </w:t>
      </w:r>
      <w:r w:rsidR="0087263B">
        <w:rPr>
          <w:color w:val="auto"/>
        </w:rPr>
        <w:t>16</w:t>
      </w:r>
      <w:r w:rsidRPr="00EE4AC0">
        <w:rPr>
          <w:color w:val="auto"/>
        </w:rPr>
        <w:t xml:space="preserve"> hours. </w:t>
      </w:r>
      <w:r>
        <w:rPr>
          <w:color w:val="auto"/>
        </w:rPr>
        <w:t xml:space="preserve"> </w:t>
      </w:r>
      <w:r w:rsidRPr="00EE4AC0">
        <w:rPr>
          <w:color w:val="auto"/>
        </w:rPr>
        <w:t>OSHA’s estimate of</w:t>
      </w:r>
      <w:r w:rsidR="00466B30">
        <w:rPr>
          <w:color w:val="auto"/>
        </w:rPr>
        <w:t xml:space="preserve"> familiarization costs</w:t>
      </w:r>
      <w:r w:rsidRPr="00EE4AC0">
        <w:rPr>
          <w:color w:val="auto"/>
        </w:rPr>
        <w:t xml:space="preserve"> reflects the total </w:t>
      </w:r>
      <w:r w:rsidR="00D72B0C">
        <w:rPr>
          <w:color w:val="auto"/>
        </w:rPr>
        <w:t>health and safety specialist</w:t>
      </w:r>
      <w:r w:rsidRPr="00EE4AC0">
        <w:rPr>
          <w:color w:val="auto"/>
        </w:rPr>
        <w:t xml:space="preserve"> familiarization time for each covered employer, with the number of employees at each establishment also serving as a proxy to represent the diversity of </w:t>
      </w:r>
      <w:r w:rsidR="00413BC4">
        <w:rPr>
          <w:color w:val="auto"/>
        </w:rPr>
        <w:t>hazard communication</w:t>
      </w:r>
      <w:r w:rsidRPr="00EE4AC0">
        <w:rPr>
          <w:color w:val="auto"/>
        </w:rPr>
        <w:t xml:space="preserve"> activities.</w:t>
      </w:r>
      <w:r>
        <w:rPr>
          <w:color w:val="auto"/>
        </w:rPr>
        <w:t xml:space="preserve">  </w:t>
      </w:r>
      <w:r>
        <w:rPr>
          <w:color w:val="auto"/>
        </w:rPr>
        <w:t xml:space="preserve">The estimates of the different sizes of affected establishments and the numbers of affected employees are identified </w:t>
      </w:r>
      <w:r w:rsidRPr="00CA2FAE">
        <w:rPr>
          <w:color w:val="auto"/>
        </w:rPr>
        <w:t xml:space="preserve">in Table </w:t>
      </w:r>
      <w:r w:rsidR="00E124DB">
        <w:rPr>
          <w:color w:val="auto"/>
        </w:rPr>
        <w:t>VI</w:t>
      </w:r>
      <w:r w:rsidR="0067275E">
        <w:rPr>
          <w:color w:val="auto"/>
        </w:rPr>
        <w:t>-</w:t>
      </w:r>
      <w:r w:rsidR="00C048FC">
        <w:rPr>
          <w:color w:val="auto"/>
        </w:rPr>
        <w:t xml:space="preserve">15 </w:t>
      </w:r>
      <w:r w:rsidRPr="00CA2FAE">
        <w:rPr>
          <w:color w:val="auto"/>
        </w:rPr>
        <w:t>of the</w:t>
      </w:r>
      <w:r>
        <w:rPr>
          <w:color w:val="auto"/>
        </w:rPr>
        <w:t xml:space="preserve"> </w:t>
      </w:r>
      <w:r w:rsidR="00DB2AE3">
        <w:rPr>
          <w:color w:val="auto"/>
        </w:rPr>
        <w:t>F</w:t>
      </w:r>
      <w:r>
        <w:rPr>
          <w:color w:val="auto"/>
        </w:rPr>
        <w:t>EA.</w:t>
      </w:r>
    </w:p>
    <w:p w:rsidR="002B5259" w:rsidP="00360AE7" w14:paraId="63A72855" w14:textId="77777777">
      <w:pPr>
        <w:pStyle w:val="Default"/>
        <w:rPr>
          <w:color w:val="auto"/>
        </w:rPr>
      </w:pPr>
    </w:p>
    <w:p w:rsidR="002B5259" w:rsidRPr="007056ED" w:rsidP="007056ED" w14:paraId="1EC32158" w14:textId="77777777">
      <w:pPr>
        <w:pStyle w:val="Default"/>
        <w:numPr>
          <w:ilvl w:val="0"/>
          <w:numId w:val="10"/>
        </w:numPr>
        <w:rPr>
          <w:b/>
          <w:i/>
          <w:color w:val="auto"/>
        </w:rPr>
      </w:pPr>
      <w:r w:rsidRPr="007056ED">
        <w:rPr>
          <w:b/>
          <w:i/>
          <w:color w:val="auto"/>
        </w:rPr>
        <w:t>Establishments affected by other provisions:</w:t>
      </w:r>
    </w:p>
    <w:p w:rsidR="00360AE7" w:rsidP="00360AE7" w14:paraId="3EE2E5FD" w14:textId="77777777">
      <w:pPr>
        <w:pStyle w:val="Default"/>
        <w:rPr>
          <w:b/>
          <w:bCs/>
          <w:color w:val="auto"/>
        </w:rPr>
      </w:pPr>
    </w:p>
    <w:p w:rsidR="00360AE7" w:rsidRPr="007056ED" w:rsidP="007056ED" w14:paraId="219DFD85" w14:textId="77777777">
      <w:pPr>
        <w:pStyle w:val="Default"/>
        <w:ind w:firstLine="720"/>
        <w:rPr>
          <w:bCs/>
          <w:i/>
          <w:color w:val="auto"/>
        </w:rPr>
      </w:pPr>
      <w:r w:rsidRPr="007056ED">
        <w:rPr>
          <w:bCs/>
          <w:i/>
          <w:color w:val="auto"/>
        </w:rPr>
        <w:t>Small establishment (fewer than 20 employees)</w:t>
      </w:r>
    </w:p>
    <w:p w:rsidR="00360AE7" w:rsidRPr="00132696" w:rsidP="00360AE7" w14:paraId="45138C4A" w14:textId="77777777">
      <w:pPr>
        <w:pStyle w:val="Default"/>
        <w:rPr>
          <w:b/>
          <w:bCs/>
          <w:color w:val="auto"/>
        </w:rPr>
      </w:pPr>
    </w:p>
    <w:p w:rsidR="00360AE7" w:rsidRPr="007056ED" w:rsidP="00360AE7" w14:paraId="19F9DCD6" w14:textId="1AD7B9CA">
      <w:pPr>
        <w:widowControl/>
        <w:tabs>
          <w:tab w:val="left" w:pos="720"/>
          <w:tab w:val="left" w:pos="1440"/>
          <w:tab w:val="left" w:pos="2340"/>
          <w:tab w:val="left" w:pos="2880"/>
          <w:tab w:val="left" w:pos="3600"/>
        </w:tabs>
        <w:ind w:left="2250" w:hanging="1530"/>
        <w:rPr>
          <w:sz w:val="24"/>
          <w:szCs w:val="24"/>
        </w:rPr>
      </w:pPr>
      <w:r w:rsidRPr="007056ED">
        <w:rPr>
          <w:b/>
          <w:sz w:val="24"/>
          <w:szCs w:val="24"/>
        </w:rPr>
        <w:t>Burden hours</w:t>
      </w:r>
      <w:r w:rsidRPr="007056ED">
        <w:rPr>
          <w:sz w:val="24"/>
          <w:szCs w:val="24"/>
        </w:rPr>
        <w:t xml:space="preserve">: </w:t>
      </w:r>
      <w:r w:rsidR="009756FE">
        <w:rPr>
          <w:sz w:val="24"/>
          <w:szCs w:val="24"/>
        </w:rPr>
        <w:t>35</w:t>
      </w:r>
      <w:r w:rsidR="001A32E7">
        <w:rPr>
          <w:sz w:val="24"/>
          <w:szCs w:val="24"/>
        </w:rPr>
        <w:t>,114</w:t>
      </w:r>
      <w:r w:rsidRPr="007056ED">
        <w:rPr>
          <w:sz w:val="24"/>
          <w:szCs w:val="24"/>
        </w:rPr>
        <w:t xml:space="preserve"> affected small establishments</w:t>
      </w:r>
      <w:r w:rsidR="002B5259">
        <w:rPr>
          <w:sz w:val="24"/>
          <w:szCs w:val="24"/>
        </w:rPr>
        <w:t xml:space="preserve"> x 1.0 (compliance rate)</w:t>
      </w:r>
      <w:r w:rsidRPr="002B5259" w:rsidR="002B5259">
        <w:rPr>
          <w:sz w:val="24"/>
          <w:szCs w:val="24"/>
        </w:rPr>
        <w:t xml:space="preserve"> </w:t>
      </w:r>
      <w:r w:rsidRPr="007056ED">
        <w:rPr>
          <w:sz w:val="24"/>
          <w:szCs w:val="24"/>
        </w:rPr>
        <w:t>x</w:t>
      </w:r>
      <w:r w:rsidR="002B5259">
        <w:rPr>
          <w:sz w:val="24"/>
          <w:szCs w:val="24"/>
        </w:rPr>
        <w:t xml:space="preserve"> </w:t>
      </w:r>
      <w:r w:rsidR="00CA7B84">
        <w:rPr>
          <w:sz w:val="24"/>
          <w:szCs w:val="24"/>
        </w:rPr>
        <w:t>1.0</w:t>
      </w:r>
      <w:r w:rsidR="002B5259">
        <w:rPr>
          <w:sz w:val="24"/>
          <w:szCs w:val="24"/>
        </w:rPr>
        <w:t xml:space="preserve"> </w:t>
      </w:r>
      <w:r w:rsidRPr="007056ED">
        <w:rPr>
          <w:sz w:val="24"/>
          <w:szCs w:val="24"/>
        </w:rPr>
        <w:t xml:space="preserve">(hours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001A32E7">
        <w:rPr>
          <w:sz w:val="24"/>
          <w:szCs w:val="24"/>
        </w:rPr>
        <w:t>35,114</w:t>
      </w:r>
      <w:r w:rsidRPr="007056ED">
        <w:rPr>
          <w:sz w:val="24"/>
          <w:szCs w:val="24"/>
        </w:rPr>
        <w:t xml:space="preserve"> </w:t>
      </w:r>
      <w:r w:rsidRPr="00B4645A">
        <w:rPr>
          <w:b/>
          <w:bCs/>
          <w:sz w:val="24"/>
          <w:szCs w:val="24"/>
        </w:rPr>
        <w:t>hours</w:t>
      </w:r>
    </w:p>
    <w:p w:rsidR="00360AE7" w:rsidRPr="003A15DB" w:rsidP="00E124DB" w14:paraId="2199AB13" w14:textId="63966757">
      <w:pPr>
        <w:widowControl/>
        <w:tabs>
          <w:tab w:val="left" w:pos="720"/>
          <w:tab w:val="left" w:pos="1440"/>
          <w:tab w:val="left" w:pos="2160"/>
          <w:tab w:val="left" w:pos="2250"/>
          <w:tab w:val="left" w:pos="2880"/>
          <w:tab w:val="left" w:pos="3600"/>
        </w:tabs>
        <w:ind w:left="1710" w:hanging="450"/>
        <w:rPr>
          <w:sz w:val="24"/>
          <w:szCs w:val="24"/>
        </w:rPr>
      </w:pPr>
      <w:r w:rsidRPr="007056ED">
        <w:rPr>
          <w:b/>
          <w:sz w:val="24"/>
          <w:szCs w:val="24"/>
        </w:rPr>
        <w:tab/>
      </w:r>
      <w:r w:rsidRPr="007056ED">
        <w:rPr>
          <w:b/>
          <w:sz w:val="24"/>
          <w:szCs w:val="24"/>
        </w:rPr>
        <w:tab/>
        <w:t>Cost</w:t>
      </w:r>
      <w:r w:rsidRPr="007056ED">
        <w:rPr>
          <w:sz w:val="24"/>
          <w:szCs w:val="24"/>
        </w:rPr>
        <w:t xml:space="preserve">: </w:t>
      </w:r>
      <w:r w:rsidR="001A32E7">
        <w:rPr>
          <w:sz w:val="24"/>
          <w:szCs w:val="24"/>
        </w:rPr>
        <w:t>35,114</w:t>
      </w:r>
      <w:r w:rsidRPr="007056ED">
        <w:rPr>
          <w:sz w:val="24"/>
          <w:szCs w:val="24"/>
        </w:rPr>
        <w:t xml:space="preserve"> x $</w:t>
      </w:r>
      <w:r w:rsidR="00041950">
        <w:rPr>
          <w:sz w:val="24"/>
          <w:szCs w:val="24"/>
        </w:rPr>
        <w:t>61.18</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 </w:t>
      </w:r>
      <w:r w:rsidRPr="003A15DB">
        <w:rPr>
          <w:sz w:val="24"/>
          <w:szCs w:val="24"/>
        </w:rPr>
        <w:t>$</w:t>
      </w:r>
      <w:r w:rsidR="00E0724D">
        <w:rPr>
          <w:sz w:val="24"/>
          <w:szCs w:val="24"/>
        </w:rPr>
        <w:t>2,</w:t>
      </w:r>
      <w:r w:rsidR="008B5319">
        <w:rPr>
          <w:sz w:val="24"/>
          <w:szCs w:val="24"/>
        </w:rPr>
        <w:t>1</w:t>
      </w:r>
      <w:r w:rsidR="007517E0">
        <w:rPr>
          <w:sz w:val="24"/>
          <w:szCs w:val="24"/>
        </w:rPr>
        <w:t>48</w:t>
      </w:r>
      <w:r w:rsidR="00B11BB0">
        <w:rPr>
          <w:sz w:val="24"/>
          <w:szCs w:val="24"/>
        </w:rPr>
        <w:t>,275</w:t>
      </w:r>
    </w:p>
    <w:p w:rsidR="00693926" w:rsidRPr="007056ED" w:rsidP="00360AE7" w14:paraId="1F44CD9F" w14:textId="77777777">
      <w:pPr>
        <w:widowControl/>
        <w:tabs>
          <w:tab w:val="left" w:pos="720"/>
          <w:tab w:val="left" w:pos="1440"/>
          <w:tab w:val="left" w:pos="2160"/>
          <w:tab w:val="left" w:pos="2250"/>
          <w:tab w:val="left" w:pos="2880"/>
          <w:tab w:val="left" w:pos="3600"/>
        </w:tabs>
        <w:ind w:left="1710" w:hanging="450"/>
        <w:rPr>
          <w:b/>
          <w:i/>
          <w:sz w:val="24"/>
          <w:szCs w:val="24"/>
        </w:rPr>
      </w:pPr>
    </w:p>
    <w:p w:rsidR="00360AE7" w:rsidRPr="007056ED" w:rsidP="00360AE7" w14:paraId="2D911ECF" w14:textId="77777777">
      <w:pPr>
        <w:widowControl/>
        <w:tabs>
          <w:tab w:val="left" w:pos="720"/>
          <w:tab w:val="left" w:pos="1440"/>
          <w:tab w:val="left" w:pos="2160"/>
          <w:tab w:val="left" w:pos="2250"/>
          <w:tab w:val="left" w:pos="2880"/>
          <w:tab w:val="left" w:pos="3600"/>
        </w:tabs>
        <w:ind w:left="1710" w:hanging="1710"/>
        <w:rPr>
          <w:sz w:val="24"/>
          <w:szCs w:val="24"/>
        </w:rPr>
      </w:pPr>
      <w:r>
        <w:rPr>
          <w:i/>
          <w:sz w:val="24"/>
          <w:szCs w:val="24"/>
        </w:rPr>
        <w:tab/>
      </w:r>
      <w:r w:rsidRPr="007056ED">
        <w:rPr>
          <w:i/>
          <w:sz w:val="24"/>
          <w:szCs w:val="24"/>
        </w:rPr>
        <w:t>Medium establishment (20 to 499 employees</w:t>
      </w:r>
      <w:r w:rsidRPr="007056ED">
        <w:rPr>
          <w:sz w:val="24"/>
          <w:szCs w:val="24"/>
        </w:rPr>
        <w:t>)</w:t>
      </w:r>
    </w:p>
    <w:p w:rsidR="00360AE7" w:rsidRPr="007056ED" w:rsidP="00360AE7" w14:paraId="3357C111" w14:textId="77777777">
      <w:pPr>
        <w:widowControl/>
        <w:tabs>
          <w:tab w:val="left" w:pos="720"/>
          <w:tab w:val="left" w:pos="1440"/>
          <w:tab w:val="left" w:pos="2160"/>
          <w:tab w:val="left" w:pos="2250"/>
          <w:tab w:val="left" w:pos="2880"/>
          <w:tab w:val="left" w:pos="3600"/>
        </w:tabs>
        <w:ind w:left="1710" w:hanging="1710"/>
        <w:rPr>
          <w:b/>
          <w:sz w:val="24"/>
          <w:szCs w:val="24"/>
        </w:rPr>
      </w:pPr>
    </w:p>
    <w:p w:rsidR="00360AE7" w:rsidRPr="007056ED" w:rsidP="00360AE7" w14:paraId="48968929" w14:textId="248C0884">
      <w:pPr>
        <w:widowControl/>
        <w:tabs>
          <w:tab w:val="left" w:pos="720"/>
          <w:tab w:val="left" w:pos="1440"/>
          <w:tab w:val="left" w:pos="2160"/>
          <w:tab w:val="left" w:pos="2880"/>
          <w:tab w:val="left" w:pos="3600"/>
        </w:tabs>
        <w:ind w:left="2304" w:hanging="1584"/>
        <w:rPr>
          <w:sz w:val="24"/>
          <w:szCs w:val="24"/>
        </w:rPr>
      </w:pPr>
      <w:r w:rsidRPr="007056ED">
        <w:rPr>
          <w:b/>
          <w:sz w:val="24"/>
          <w:szCs w:val="24"/>
        </w:rPr>
        <w:t>Burden hours</w:t>
      </w:r>
      <w:r w:rsidRPr="007056ED">
        <w:rPr>
          <w:sz w:val="24"/>
          <w:szCs w:val="24"/>
        </w:rPr>
        <w:t>:</w:t>
      </w:r>
      <w:r w:rsidRPr="007056ED">
        <w:rPr>
          <w:b/>
          <w:sz w:val="24"/>
          <w:szCs w:val="24"/>
        </w:rPr>
        <w:t xml:space="preserve">  </w:t>
      </w:r>
      <w:r w:rsidR="004A6861">
        <w:rPr>
          <w:sz w:val="24"/>
          <w:szCs w:val="24"/>
        </w:rPr>
        <w:t>11,353</w:t>
      </w:r>
      <w:r w:rsidRPr="007056ED">
        <w:rPr>
          <w:sz w:val="24"/>
          <w:szCs w:val="24"/>
        </w:rPr>
        <w:t xml:space="preserve"> affected medium establishments x </w:t>
      </w:r>
      <w:r w:rsidR="00693926">
        <w:rPr>
          <w:sz w:val="24"/>
          <w:szCs w:val="24"/>
        </w:rPr>
        <w:t xml:space="preserve">1.0 (compliance rate) x </w:t>
      </w:r>
      <w:r w:rsidR="0011327D">
        <w:rPr>
          <w:sz w:val="24"/>
          <w:szCs w:val="24"/>
        </w:rPr>
        <w:t>4</w:t>
      </w:r>
      <w:r w:rsidR="00693926">
        <w:rPr>
          <w:sz w:val="24"/>
          <w:szCs w:val="24"/>
        </w:rPr>
        <w:t>.0</w:t>
      </w:r>
      <w:r w:rsidRPr="007056ED">
        <w:rPr>
          <w:sz w:val="24"/>
          <w:szCs w:val="24"/>
        </w:rPr>
        <w:t xml:space="preserve"> (hours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001238D3">
        <w:rPr>
          <w:sz w:val="24"/>
          <w:szCs w:val="24"/>
        </w:rPr>
        <w:t>45,412</w:t>
      </w:r>
      <w:r w:rsidRPr="007056ED">
        <w:rPr>
          <w:sz w:val="24"/>
          <w:szCs w:val="24"/>
        </w:rPr>
        <w:t xml:space="preserve"> </w:t>
      </w:r>
      <w:r w:rsidRPr="00B4645A">
        <w:rPr>
          <w:b/>
          <w:bCs/>
          <w:sz w:val="24"/>
          <w:szCs w:val="24"/>
        </w:rPr>
        <w:t>hours</w:t>
      </w:r>
    </w:p>
    <w:p w:rsidR="00360AE7" w:rsidRPr="00781E36" w:rsidP="00360AE7" w14:paraId="19454A0D" w14:textId="011B91D6">
      <w:pPr>
        <w:widowControl/>
        <w:tabs>
          <w:tab w:val="left" w:pos="720"/>
          <w:tab w:val="left" w:pos="1440"/>
          <w:tab w:val="left" w:pos="2250"/>
          <w:tab w:val="left" w:pos="2880"/>
          <w:tab w:val="left" w:pos="3600"/>
        </w:tabs>
        <w:ind w:left="2160" w:hanging="1440"/>
        <w:rPr>
          <w:bCs/>
          <w:sz w:val="24"/>
          <w:szCs w:val="24"/>
        </w:rPr>
      </w:pPr>
      <w:r w:rsidRPr="007056ED">
        <w:rPr>
          <w:b/>
          <w:sz w:val="24"/>
          <w:szCs w:val="24"/>
        </w:rPr>
        <w:tab/>
        <w:t xml:space="preserve">    Cost</w:t>
      </w:r>
      <w:r w:rsidRPr="00693926" w:rsidR="00693926">
        <w:rPr>
          <w:sz w:val="24"/>
          <w:szCs w:val="24"/>
        </w:rPr>
        <w:t xml:space="preserve">:  </w:t>
      </w:r>
      <w:r w:rsidR="008D0B8C">
        <w:rPr>
          <w:sz w:val="24"/>
          <w:szCs w:val="24"/>
        </w:rPr>
        <w:t>45,412</w:t>
      </w:r>
      <w:r w:rsidRPr="007056ED">
        <w:rPr>
          <w:sz w:val="24"/>
          <w:szCs w:val="24"/>
        </w:rPr>
        <w:t xml:space="preserve"> x $</w:t>
      </w:r>
      <w:r w:rsidR="00041950">
        <w:rPr>
          <w:sz w:val="24"/>
          <w:szCs w:val="24"/>
        </w:rPr>
        <w:t>61.18</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w:t>
      </w:r>
      <w:r w:rsidRPr="003A15DB">
        <w:rPr>
          <w:b/>
          <w:sz w:val="24"/>
          <w:szCs w:val="24"/>
        </w:rPr>
        <w:t xml:space="preserve">= </w:t>
      </w:r>
      <w:r w:rsidRPr="00781E36">
        <w:rPr>
          <w:bCs/>
          <w:sz w:val="24"/>
          <w:szCs w:val="24"/>
        </w:rPr>
        <w:t>$</w:t>
      </w:r>
      <w:r w:rsidRPr="00781E36" w:rsidR="00970CDE">
        <w:rPr>
          <w:bCs/>
          <w:sz w:val="24"/>
          <w:szCs w:val="24"/>
        </w:rPr>
        <w:t>2,</w:t>
      </w:r>
      <w:r w:rsidR="008C37FA">
        <w:rPr>
          <w:bCs/>
          <w:sz w:val="24"/>
          <w:szCs w:val="24"/>
        </w:rPr>
        <w:t>778,306</w:t>
      </w:r>
    </w:p>
    <w:p w:rsidR="00360AE7" w:rsidRPr="007056ED" w:rsidP="00360AE7" w14:paraId="12369B4F" w14:textId="77777777">
      <w:pPr>
        <w:widowControl/>
        <w:tabs>
          <w:tab w:val="left" w:pos="720"/>
          <w:tab w:val="left" w:pos="1440"/>
          <w:tab w:val="left" w:pos="2160"/>
          <w:tab w:val="left" w:pos="2880"/>
          <w:tab w:val="left" w:pos="3600"/>
        </w:tabs>
        <w:ind w:left="2304" w:hanging="2304"/>
        <w:rPr>
          <w:i/>
          <w:sz w:val="24"/>
          <w:szCs w:val="24"/>
        </w:rPr>
      </w:pPr>
      <w:r>
        <w:rPr>
          <w:b/>
          <w:i/>
          <w:sz w:val="24"/>
          <w:szCs w:val="24"/>
        </w:rPr>
        <w:tab/>
      </w:r>
      <w:r w:rsidRPr="007056ED">
        <w:rPr>
          <w:i/>
          <w:sz w:val="24"/>
          <w:szCs w:val="24"/>
        </w:rPr>
        <w:t>Large establishment (500 or more employees)</w:t>
      </w:r>
    </w:p>
    <w:p w:rsidR="00360AE7" w:rsidRPr="007056ED" w:rsidP="00360AE7" w14:paraId="53F0DD38" w14:textId="77777777">
      <w:pPr>
        <w:widowControl/>
        <w:tabs>
          <w:tab w:val="left" w:pos="720"/>
          <w:tab w:val="left" w:pos="1440"/>
          <w:tab w:val="left" w:pos="2160"/>
          <w:tab w:val="left" w:pos="2880"/>
          <w:tab w:val="left" w:pos="3600"/>
        </w:tabs>
        <w:ind w:left="2304" w:hanging="2304"/>
        <w:rPr>
          <w:b/>
          <w:i/>
          <w:sz w:val="24"/>
          <w:szCs w:val="24"/>
        </w:rPr>
      </w:pPr>
    </w:p>
    <w:p w:rsidR="00360AE7" w:rsidRPr="007056ED" w:rsidP="00360AE7" w14:paraId="5A639E09" w14:textId="1C1EB501">
      <w:pPr>
        <w:widowControl/>
        <w:tabs>
          <w:tab w:val="left" w:pos="720"/>
          <w:tab w:val="left" w:pos="1440"/>
          <w:tab w:val="left" w:pos="2160"/>
          <w:tab w:val="left" w:pos="2880"/>
          <w:tab w:val="left" w:pos="3600"/>
        </w:tabs>
        <w:ind w:left="2304" w:hanging="1584"/>
        <w:rPr>
          <w:sz w:val="24"/>
          <w:szCs w:val="24"/>
        </w:rPr>
      </w:pPr>
      <w:r w:rsidRPr="007056ED">
        <w:rPr>
          <w:b/>
          <w:sz w:val="24"/>
          <w:szCs w:val="24"/>
        </w:rPr>
        <w:t>Burden hours</w:t>
      </w:r>
      <w:r w:rsidRPr="007056ED">
        <w:rPr>
          <w:sz w:val="24"/>
          <w:szCs w:val="24"/>
        </w:rPr>
        <w:t>:</w:t>
      </w:r>
      <w:r w:rsidRPr="007056ED">
        <w:rPr>
          <w:b/>
          <w:sz w:val="24"/>
          <w:szCs w:val="24"/>
        </w:rPr>
        <w:t xml:space="preserve">  </w:t>
      </w:r>
      <w:r w:rsidR="008C37FA">
        <w:rPr>
          <w:sz w:val="24"/>
          <w:szCs w:val="24"/>
        </w:rPr>
        <w:t>404</w:t>
      </w:r>
      <w:r w:rsidRPr="007056ED" w:rsidR="008C37FA">
        <w:rPr>
          <w:sz w:val="24"/>
          <w:szCs w:val="24"/>
        </w:rPr>
        <w:t xml:space="preserve"> </w:t>
      </w:r>
      <w:r w:rsidRPr="007056ED">
        <w:rPr>
          <w:sz w:val="24"/>
          <w:szCs w:val="24"/>
        </w:rPr>
        <w:t xml:space="preserve">affected establishments in large establishments x </w:t>
      </w:r>
      <w:r w:rsidR="006206C7">
        <w:rPr>
          <w:sz w:val="24"/>
          <w:szCs w:val="24"/>
        </w:rPr>
        <w:t xml:space="preserve">1.0 (compliance rate) x </w:t>
      </w:r>
      <w:r w:rsidR="0011327D">
        <w:rPr>
          <w:sz w:val="24"/>
          <w:szCs w:val="24"/>
        </w:rPr>
        <w:t>16</w:t>
      </w:r>
      <w:r w:rsidR="006206C7">
        <w:rPr>
          <w:sz w:val="24"/>
          <w:szCs w:val="24"/>
        </w:rPr>
        <w:t>.0</w:t>
      </w:r>
      <w:r w:rsidRPr="007056ED">
        <w:rPr>
          <w:sz w:val="24"/>
          <w:szCs w:val="24"/>
        </w:rPr>
        <w:t xml:space="preserve"> (hours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00F645DA">
        <w:rPr>
          <w:sz w:val="24"/>
          <w:szCs w:val="24"/>
        </w:rPr>
        <w:t>6,464</w:t>
      </w:r>
      <w:r w:rsidRPr="007056ED">
        <w:rPr>
          <w:sz w:val="24"/>
          <w:szCs w:val="24"/>
        </w:rPr>
        <w:t xml:space="preserve"> </w:t>
      </w:r>
      <w:r w:rsidRPr="007056ED">
        <w:rPr>
          <w:b/>
          <w:sz w:val="24"/>
          <w:szCs w:val="24"/>
        </w:rPr>
        <w:t>hours</w:t>
      </w:r>
    </w:p>
    <w:p w:rsidR="00360AE7" w:rsidP="00360AE7" w14:paraId="3AB2A04D" w14:textId="57D14EEC">
      <w:pPr>
        <w:widowControl/>
        <w:tabs>
          <w:tab w:val="left" w:pos="720"/>
          <w:tab w:val="left" w:pos="1440"/>
          <w:tab w:val="left" w:pos="2160"/>
          <w:tab w:val="left" w:pos="2880"/>
          <w:tab w:val="left" w:pos="3600"/>
        </w:tabs>
        <w:rPr>
          <w:b/>
          <w:sz w:val="24"/>
          <w:szCs w:val="24"/>
        </w:rPr>
      </w:pPr>
      <w:r w:rsidRPr="007056ED">
        <w:rPr>
          <w:b/>
          <w:sz w:val="24"/>
          <w:szCs w:val="24"/>
        </w:rPr>
        <w:tab/>
      </w:r>
      <w:r w:rsidRPr="007056ED">
        <w:rPr>
          <w:b/>
          <w:sz w:val="24"/>
          <w:szCs w:val="24"/>
        </w:rPr>
        <w:tab/>
        <w:t xml:space="preserve">    Cost</w:t>
      </w:r>
      <w:r w:rsidRPr="007056ED">
        <w:rPr>
          <w:sz w:val="24"/>
          <w:szCs w:val="24"/>
        </w:rPr>
        <w:t xml:space="preserve">:  </w:t>
      </w:r>
      <w:r w:rsidR="00F645DA">
        <w:rPr>
          <w:sz w:val="24"/>
          <w:szCs w:val="24"/>
        </w:rPr>
        <w:t>6,464</w:t>
      </w:r>
      <w:r w:rsidR="006206C7">
        <w:rPr>
          <w:sz w:val="24"/>
          <w:szCs w:val="24"/>
        </w:rPr>
        <w:t xml:space="preserve"> </w:t>
      </w:r>
      <w:r w:rsidRPr="007056ED">
        <w:rPr>
          <w:sz w:val="24"/>
          <w:szCs w:val="24"/>
        </w:rPr>
        <w:t>x $</w:t>
      </w:r>
      <w:r w:rsidR="00041950">
        <w:rPr>
          <w:sz w:val="24"/>
          <w:szCs w:val="24"/>
        </w:rPr>
        <w:t>61.18</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 </w:t>
      </w:r>
      <w:r w:rsidRPr="00781E36">
        <w:rPr>
          <w:bCs/>
          <w:sz w:val="24"/>
          <w:szCs w:val="24"/>
        </w:rPr>
        <w:t>$</w:t>
      </w:r>
      <w:r w:rsidR="00D76D72">
        <w:rPr>
          <w:bCs/>
          <w:sz w:val="24"/>
          <w:szCs w:val="24"/>
        </w:rPr>
        <w:t>395,468</w:t>
      </w:r>
    </w:p>
    <w:p w:rsidR="006206C7" w:rsidP="00360AE7" w14:paraId="71BC8C6D" w14:textId="77777777">
      <w:pPr>
        <w:widowControl/>
        <w:tabs>
          <w:tab w:val="left" w:pos="720"/>
          <w:tab w:val="left" w:pos="1440"/>
          <w:tab w:val="left" w:pos="2160"/>
          <w:tab w:val="left" w:pos="2880"/>
          <w:tab w:val="left" w:pos="3600"/>
        </w:tabs>
        <w:rPr>
          <w:b/>
          <w:sz w:val="24"/>
          <w:szCs w:val="24"/>
        </w:rPr>
      </w:pPr>
    </w:p>
    <w:p w:rsidR="006206C7" w:rsidP="007056ED" w14:paraId="6964255C" w14:textId="77777777">
      <w:pPr>
        <w:widowControl/>
        <w:numPr>
          <w:ilvl w:val="0"/>
          <w:numId w:val="10"/>
        </w:numPr>
        <w:tabs>
          <w:tab w:val="left" w:pos="720"/>
          <w:tab w:val="left" w:pos="1440"/>
          <w:tab w:val="left" w:pos="2160"/>
          <w:tab w:val="left" w:pos="2880"/>
          <w:tab w:val="left" w:pos="3600"/>
        </w:tabs>
        <w:rPr>
          <w:b/>
          <w:i/>
          <w:sz w:val="24"/>
          <w:szCs w:val="24"/>
        </w:rPr>
      </w:pPr>
      <w:r>
        <w:rPr>
          <w:b/>
          <w:i/>
          <w:sz w:val="24"/>
          <w:szCs w:val="24"/>
        </w:rPr>
        <w:t>Establishments not Affected by other Provisions:</w:t>
      </w:r>
    </w:p>
    <w:p w:rsidR="006206C7" w:rsidP="00360AE7" w14:paraId="41FA2CB0" w14:textId="77777777">
      <w:pPr>
        <w:widowControl/>
        <w:tabs>
          <w:tab w:val="left" w:pos="720"/>
          <w:tab w:val="left" w:pos="1440"/>
          <w:tab w:val="left" w:pos="2160"/>
          <w:tab w:val="left" w:pos="2880"/>
          <w:tab w:val="left" w:pos="3600"/>
        </w:tabs>
        <w:rPr>
          <w:b/>
          <w:i/>
          <w:sz w:val="24"/>
          <w:szCs w:val="24"/>
        </w:rPr>
      </w:pPr>
    </w:p>
    <w:p w:rsidR="006206C7" w:rsidRPr="0073254C" w:rsidP="006206C7" w14:paraId="359135DA" w14:textId="77777777">
      <w:pPr>
        <w:pStyle w:val="Default"/>
        <w:ind w:firstLine="720"/>
        <w:rPr>
          <w:bCs/>
          <w:i/>
          <w:color w:val="auto"/>
        </w:rPr>
      </w:pPr>
      <w:r w:rsidRPr="0073254C">
        <w:rPr>
          <w:bCs/>
          <w:i/>
          <w:color w:val="auto"/>
        </w:rPr>
        <w:t>Small establishment (fewer than 20 employees)</w:t>
      </w:r>
    </w:p>
    <w:p w:rsidR="006206C7" w:rsidRPr="00132696" w:rsidP="006206C7" w14:paraId="1ECBC4D6" w14:textId="77777777">
      <w:pPr>
        <w:pStyle w:val="Default"/>
        <w:rPr>
          <w:b/>
          <w:bCs/>
          <w:color w:val="auto"/>
        </w:rPr>
      </w:pPr>
    </w:p>
    <w:p w:rsidR="006206C7" w:rsidRPr="0073254C" w:rsidP="006206C7" w14:paraId="0A4B1B04" w14:textId="7A35BCAB">
      <w:pPr>
        <w:widowControl/>
        <w:tabs>
          <w:tab w:val="left" w:pos="720"/>
          <w:tab w:val="left" w:pos="1440"/>
          <w:tab w:val="left" w:pos="2340"/>
          <w:tab w:val="left" w:pos="2880"/>
          <w:tab w:val="left" w:pos="3600"/>
        </w:tabs>
        <w:ind w:left="2250" w:hanging="1530"/>
        <w:rPr>
          <w:sz w:val="24"/>
          <w:szCs w:val="24"/>
        </w:rPr>
      </w:pPr>
      <w:r w:rsidRPr="0073254C">
        <w:rPr>
          <w:b/>
          <w:sz w:val="24"/>
          <w:szCs w:val="24"/>
        </w:rPr>
        <w:t>Burden hours</w:t>
      </w:r>
      <w:r w:rsidRPr="0073254C">
        <w:rPr>
          <w:sz w:val="24"/>
          <w:szCs w:val="24"/>
        </w:rPr>
        <w:t xml:space="preserve">: </w:t>
      </w:r>
      <w:r w:rsidR="004659E3">
        <w:rPr>
          <w:sz w:val="24"/>
          <w:szCs w:val="24"/>
        </w:rPr>
        <w:t>77,572</w:t>
      </w:r>
      <w:r w:rsidRPr="0073254C">
        <w:rPr>
          <w:sz w:val="24"/>
          <w:szCs w:val="24"/>
        </w:rPr>
        <w:t xml:space="preserve"> affected small establishments</w:t>
      </w:r>
      <w:r>
        <w:rPr>
          <w:sz w:val="24"/>
          <w:szCs w:val="24"/>
        </w:rPr>
        <w:t xml:space="preserve"> x 1.0 (compliance rate)</w:t>
      </w:r>
      <w:r w:rsidRPr="002B5259">
        <w:rPr>
          <w:sz w:val="24"/>
          <w:szCs w:val="24"/>
        </w:rPr>
        <w:t xml:space="preserve"> </w:t>
      </w:r>
      <w:r w:rsidRPr="0073254C">
        <w:rPr>
          <w:sz w:val="24"/>
          <w:szCs w:val="24"/>
        </w:rPr>
        <w:t>x</w:t>
      </w:r>
      <w:r>
        <w:rPr>
          <w:sz w:val="24"/>
          <w:szCs w:val="24"/>
        </w:rPr>
        <w:t xml:space="preserve"> 0.25 </w:t>
      </w:r>
      <w:r w:rsidRPr="0073254C">
        <w:rPr>
          <w:sz w:val="24"/>
          <w:szCs w:val="24"/>
        </w:rPr>
        <w:t xml:space="preserve">(hours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sidR="00D93822">
        <w:rPr>
          <w:sz w:val="24"/>
          <w:szCs w:val="24"/>
        </w:rPr>
        <w:t>19,</w:t>
      </w:r>
      <w:r w:rsidR="00780E6F">
        <w:rPr>
          <w:sz w:val="24"/>
          <w:szCs w:val="24"/>
        </w:rPr>
        <w:t>393</w:t>
      </w:r>
      <w:r w:rsidRPr="0073254C" w:rsidR="00780E6F">
        <w:rPr>
          <w:sz w:val="24"/>
          <w:szCs w:val="24"/>
        </w:rPr>
        <w:t xml:space="preserve"> </w:t>
      </w:r>
      <w:r w:rsidRPr="0073254C">
        <w:rPr>
          <w:b/>
          <w:sz w:val="24"/>
          <w:szCs w:val="24"/>
        </w:rPr>
        <w:t>hours</w:t>
      </w:r>
    </w:p>
    <w:p w:rsidR="006206C7" w:rsidP="006206C7" w14:paraId="7E5810B0" w14:textId="09AC34AE">
      <w:pPr>
        <w:widowControl/>
        <w:tabs>
          <w:tab w:val="left" w:pos="720"/>
          <w:tab w:val="left" w:pos="1440"/>
          <w:tab w:val="left" w:pos="2160"/>
          <w:tab w:val="left" w:pos="2250"/>
          <w:tab w:val="left" w:pos="2880"/>
          <w:tab w:val="left" w:pos="3600"/>
        </w:tabs>
        <w:ind w:left="1710" w:hanging="450"/>
        <w:rPr>
          <w:b/>
          <w:sz w:val="24"/>
          <w:szCs w:val="24"/>
        </w:rPr>
      </w:pPr>
      <w:r w:rsidRPr="0073254C">
        <w:rPr>
          <w:b/>
          <w:sz w:val="24"/>
          <w:szCs w:val="24"/>
        </w:rPr>
        <w:tab/>
      </w:r>
      <w:r w:rsidRPr="0073254C">
        <w:rPr>
          <w:b/>
          <w:sz w:val="24"/>
          <w:szCs w:val="24"/>
        </w:rPr>
        <w:tab/>
        <w:t>Cost</w:t>
      </w:r>
      <w:r w:rsidRPr="0073254C">
        <w:rPr>
          <w:sz w:val="24"/>
          <w:szCs w:val="24"/>
        </w:rPr>
        <w:t xml:space="preserve">: </w:t>
      </w:r>
      <w:r w:rsidR="00D93822">
        <w:rPr>
          <w:sz w:val="24"/>
          <w:szCs w:val="24"/>
        </w:rPr>
        <w:t>19,</w:t>
      </w:r>
      <w:r w:rsidR="00780E6F">
        <w:rPr>
          <w:sz w:val="24"/>
          <w:szCs w:val="24"/>
        </w:rPr>
        <w:t>393</w:t>
      </w:r>
      <w:r w:rsidRPr="0073254C" w:rsidR="00780E6F">
        <w:rPr>
          <w:sz w:val="24"/>
          <w:szCs w:val="24"/>
        </w:rPr>
        <w:t xml:space="preserve"> </w:t>
      </w:r>
      <w:r w:rsidRPr="0073254C">
        <w:rPr>
          <w:sz w:val="24"/>
          <w:szCs w:val="24"/>
        </w:rPr>
        <w:t>x $</w:t>
      </w:r>
      <w:r w:rsidR="00041950">
        <w:rPr>
          <w:sz w:val="24"/>
          <w:szCs w:val="24"/>
        </w:rPr>
        <w:t>61.18</w:t>
      </w:r>
      <w:r w:rsidRPr="0073254C">
        <w:rPr>
          <w:sz w:val="24"/>
          <w:szCs w:val="24"/>
        </w:rPr>
        <w:t xml:space="preserve">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81E36">
        <w:rPr>
          <w:bCs/>
          <w:sz w:val="24"/>
          <w:szCs w:val="24"/>
        </w:rPr>
        <w:t>$</w:t>
      </w:r>
      <w:r w:rsidR="004769FB">
        <w:rPr>
          <w:bCs/>
          <w:sz w:val="24"/>
          <w:szCs w:val="24"/>
        </w:rPr>
        <w:t>1,186,</w:t>
      </w:r>
      <w:r w:rsidR="001304D5">
        <w:rPr>
          <w:bCs/>
          <w:sz w:val="24"/>
          <w:szCs w:val="24"/>
        </w:rPr>
        <w:t>464</w:t>
      </w:r>
    </w:p>
    <w:p w:rsidR="006206C7" w:rsidRPr="0073254C" w:rsidP="006206C7" w14:paraId="13851E89" w14:textId="77777777">
      <w:pPr>
        <w:widowControl/>
        <w:tabs>
          <w:tab w:val="left" w:pos="720"/>
          <w:tab w:val="left" w:pos="1440"/>
          <w:tab w:val="left" w:pos="2160"/>
          <w:tab w:val="left" w:pos="2250"/>
          <w:tab w:val="left" w:pos="2880"/>
          <w:tab w:val="left" w:pos="3600"/>
        </w:tabs>
        <w:ind w:left="1710" w:hanging="450"/>
        <w:rPr>
          <w:b/>
          <w:i/>
          <w:sz w:val="24"/>
          <w:szCs w:val="24"/>
        </w:rPr>
      </w:pPr>
    </w:p>
    <w:p w:rsidR="006206C7" w:rsidRPr="0073254C" w:rsidP="006206C7" w14:paraId="74F12523" w14:textId="77777777">
      <w:pPr>
        <w:widowControl/>
        <w:tabs>
          <w:tab w:val="left" w:pos="720"/>
          <w:tab w:val="left" w:pos="1440"/>
          <w:tab w:val="left" w:pos="2160"/>
          <w:tab w:val="left" w:pos="2250"/>
          <w:tab w:val="left" w:pos="2880"/>
          <w:tab w:val="left" w:pos="3600"/>
        </w:tabs>
        <w:ind w:left="1710" w:hanging="1710"/>
        <w:rPr>
          <w:sz w:val="24"/>
          <w:szCs w:val="24"/>
        </w:rPr>
      </w:pPr>
      <w:r>
        <w:rPr>
          <w:i/>
          <w:sz w:val="24"/>
          <w:szCs w:val="24"/>
        </w:rPr>
        <w:tab/>
      </w:r>
      <w:r w:rsidRPr="0073254C">
        <w:rPr>
          <w:i/>
          <w:sz w:val="24"/>
          <w:szCs w:val="24"/>
        </w:rPr>
        <w:t>Medium establishment (20 to 499 employees</w:t>
      </w:r>
      <w:r w:rsidRPr="0073254C">
        <w:rPr>
          <w:sz w:val="24"/>
          <w:szCs w:val="24"/>
        </w:rPr>
        <w:t>)</w:t>
      </w:r>
    </w:p>
    <w:p w:rsidR="006206C7" w:rsidRPr="0073254C" w:rsidP="006206C7" w14:paraId="622AB8D5" w14:textId="77777777">
      <w:pPr>
        <w:widowControl/>
        <w:tabs>
          <w:tab w:val="left" w:pos="720"/>
          <w:tab w:val="left" w:pos="1440"/>
          <w:tab w:val="left" w:pos="2160"/>
          <w:tab w:val="left" w:pos="2250"/>
          <w:tab w:val="left" w:pos="2880"/>
          <w:tab w:val="left" w:pos="3600"/>
        </w:tabs>
        <w:ind w:left="1710" w:hanging="1710"/>
        <w:rPr>
          <w:b/>
          <w:sz w:val="24"/>
          <w:szCs w:val="24"/>
        </w:rPr>
      </w:pPr>
    </w:p>
    <w:p w:rsidR="006206C7" w:rsidRPr="0073254C" w:rsidP="006206C7" w14:paraId="1C01ACCE" w14:textId="4C035FA2">
      <w:pPr>
        <w:widowControl/>
        <w:tabs>
          <w:tab w:val="left" w:pos="720"/>
          <w:tab w:val="left" w:pos="1440"/>
          <w:tab w:val="left" w:pos="2160"/>
          <w:tab w:val="left" w:pos="2880"/>
          <w:tab w:val="left" w:pos="3600"/>
        </w:tabs>
        <w:ind w:left="2304" w:hanging="1584"/>
        <w:rPr>
          <w:sz w:val="24"/>
          <w:szCs w:val="24"/>
        </w:rPr>
      </w:pPr>
      <w:r w:rsidRPr="0073254C">
        <w:rPr>
          <w:b/>
          <w:sz w:val="24"/>
          <w:szCs w:val="24"/>
        </w:rPr>
        <w:t>Burden hours</w:t>
      </w:r>
      <w:r w:rsidRPr="0073254C">
        <w:rPr>
          <w:sz w:val="24"/>
          <w:szCs w:val="24"/>
        </w:rPr>
        <w:t>:</w:t>
      </w:r>
      <w:r w:rsidRPr="0073254C">
        <w:rPr>
          <w:b/>
          <w:sz w:val="24"/>
          <w:szCs w:val="24"/>
        </w:rPr>
        <w:t xml:space="preserve"> </w:t>
      </w:r>
      <w:r w:rsidRPr="0073254C">
        <w:rPr>
          <w:sz w:val="24"/>
          <w:szCs w:val="24"/>
        </w:rPr>
        <w:t xml:space="preserve"> </w:t>
      </w:r>
      <w:r w:rsidR="001304D5">
        <w:rPr>
          <w:sz w:val="24"/>
          <w:szCs w:val="24"/>
        </w:rPr>
        <w:t>22,891</w:t>
      </w:r>
      <w:r>
        <w:rPr>
          <w:sz w:val="24"/>
          <w:szCs w:val="24"/>
        </w:rPr>
        <w:t xml:space="preserve"> </w:t>
      </w:r>
      <w:r w:rsidRPr="0073254C">
        <w:rPr>
          <w:sz w:val="24"/>
          <w:szCs w:val="24"/>
        </w:rPr>
        <w:t xml:space="preserve">affected medium establishments x </w:t>
      </w:r>
      <w:r>
        <w:rPr>
          <w:sz w:val="24"/>
          <w:szCs w:val="24"/>
        </w:rPr>
        <w:t>1.0 (compliance rate) x 1.0</w:t>
      </w:r>
      <w:r w:rsidRPr="0073254C">
        <w:rPr>
          <w:sz w:val="24"/>
          <w:szCs w:val="24"/>
        </w:rPr>
        <w:t xml:space="preserve"> (hours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sidR="001304D5">
        <w:rPr>
          <w:sz w:val="24"/>
          <w:szCs w:val="24"/>
        </w:rPr>
        <w:t>22,891</w:t>
      </w:r>
      <w:r w:rsidRPr="0073254C">
        <w:rPr>
          <w:sz w:val="24"/>
          <w:szCs w:val="24"/>
        </w:rPr>
        <w:t xml:space="preserve"> </w:t>
      </w:r>
      <w:r w:rsidRPr="0073254C">
        <w:rPr>
          <w:b/>
          <w:sz w:val="24"/>
          <w:szCs w:val="24"/>
        </w:rPr>
        <w:t>hours</w:t>
      </w:r>
    </w:p>
    <w:p w:rsidR="006206C7" w:rsidRPr="0073254C" w:rsidP="006206C7" w14:paraId="074F241F" w14:textId="214AEBA4">
      <w:pPr>
        <w:widowControl/>
        <w:tabs>
          <w:tab w:val="left" w:pos="720"/>
          <w:tab w:val="left" w:pos="1440"/>
          <w:tab w:val="left" w:pos="2250"/>
          <w:tab w:val="left" w:pos="2880"/>
          <w:tab w:val="left" w:pos="3600"/>
        </w:tabs>
        <w:ind w:left="2160" w:hanging="1440"/>
        <w:rPr>
          <w:b/>
          <w:sz w:val="24"/>
          <w:szCs w:val="24"/>
        </w:rPr>
      </w:pPr>
      <w:r w:rsidRPr="0073254C">
        <w:rPr>
          <w:b/>
          <w:sz w:val="24"/>
          <w:szCs w:val="24"/>
        </w:rPr>
        <w:tab/>
        <w:t xml:space="preserve">    Cost</w:t>
      </w:r>
      <w:r w:rsidRPr="00693926">
        <w:rPr>
          <w:sz w:val="24"/>
          <w:szCs w:val="24"/>
        </w:rPr>
        <w:t xml:space="preserve">:  </w:t>
      </w:r>
      <w:r w:rsidR="00930069">
        <w:rPr>
          <w:sz w:val="24"/>
          <w:szCs w:val="24"/>
        </w:rPr>
        <w:t>22,</w:t>
      </w:r>
      <w:r w:rsidR="00B54835">
        <w:rPr>
          <w:sz w:val="24"/>
          <w:szCs w:val="24"/>
        </w:rPr>
        <w:t>891</w:t>
      </w:r>
      <w:r w:rsidRPr="0073254C" w:rsidR="00B54835">
        <w:rPr>
          <w:sz w:val="24"/>
          <w:szCs w:val="24"/>
        </w:rPr>
        <w:t xml:space="preserve"> </w:t>
      </w:r>
      <w:r w:rsidRPr="0073254C">
        <w:rPr>
          <w:sz w:val="24"/>
          <w:szCs w:val="24"/>
        </w:rPr>
        <w:t>x $</w:t>
      </w:r>
      <w:r w:rsidR="00041950">
        <w:rPr>
          <w:sz w:val="24"/>
          <w:szCs w:val="24"/>
        </w:rPr>
        <w:t>61.18</w:t>
      </w:r>
      <w:r w:rsidRPr="0073254C">
        <w:rPr>
          <w:sz w:val="24"/>
          <w:szCs w:val="24"/>
        </w:rPr>
        <w:t xml:space="preserve">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81E36">
        <w:rPr>
          <w:bCs/>
          <w:sz w:val="24"/>
          <w:szCs w:val="24"/>
        </w:rPr>
        <w:t>$</w:t>
      </w:r>
      <w:r w:rsidRPr="00781E36" w:rsidR="00D93822">
        <w:rPr>
          <w:bCs/>
          <w:sz w:val="24"/>
          <w:szCs w:val="24"/>
        </w:rPr>
        <w:t>1,</w:t>
      </w:r>
      <w:r w:rsidR="00B22FCA">
        <w:rPr>
          <w:bCs/>
          <w:sz w:val="24"/>
          <w:szCs w:val="24"/>
        </w:rPr>
        <w:t>400,471</w:t>
      </w:r>
    </w:p>
    <w:p w:rsidR="006206C7" w:rsidRPr="0073254C" w:rsidP="006206C7" w14:paraId="02295F1B" w14:textId="77777777">
      <w:pPr>
        <w:widowControl/>
        <w:tabs>
          <w:tab w:val="left" w:pos="720"/>
          <w:tab w:val="left" w:pos="1440"/>
          <w:tab w:val="left" w:pos="2250"/>
          <w:tab w:val="left" w:pos="2880"/>
          <w:tab w:val="left" w:pos="3600"/>
        </w:tabs>
        <w:ind w:left="2160" w:hanging="1440"/>
        <w:rPr>
          <w:b/>
          <w:sz w:val="24"/>
          <w:szCs w:val="24"/>
        </w:rPr>
      </w:pPr>
    </w:p>
    <w:p w:rsidR="006206C7" w:rsidRPr="0073254C" w:rsidP="006206C7" w14:paraId="083237DF" w14:textId="77777777">
      <w:pPr>
        <w:widowControl/>
        <w:tabs>
          <w:tab w:val="left" w:pos="720"/>
          <w:tab w:val="left" w:pos="1440"/>
          <w:tab w:val="left" w:pos="2160"/>
          <w:tab w:val="left" w:pos="2880"/>
          <w:tab w:val="left" w:pos="3600"/>
        </w:tabs>
        <w:ind w:left="2304" w:hanging="2304"/>
        <w:rPr>
          <w:i/>
          <w:sz w:val="24"/>
          <w:szCs w:val="24"/>
        </w:rPr>
      </w:pPr>
      <w:r>
        <w:rPr>
          <w:b/>
          <w:i/>
          <w:sz w:val="24"/>
          <w:szCs w:val="24"/>
        </w:rPr>
        <w:tab/>
      </w:r>
      <w:r w:rsidRPr="0073254C">
        <w:rPr>
          <w:i/>
          <w:sz w:val="24"/>
          <w:szCs w:val="24"/>
        </w:rPr>
        <w:t>Large establishment (500 or more employees)</w:t>
      </w:r>
    </w:p>
    <w:p w:rsidR="006206C7" w:rsidRPr="0073254C" w:rsidP="006206C7" w14:paraId="09962E2C" w14:textId="77777777">
      <w:pPr>
        <w:widowControl/>
        <w:tabs>
          <w:tab w:val="left" w:pos="720"/>
          <w:tab w:val="left" w:pos="1440"/>
          <w:tab w:val="left" w:pos="2160"/>
          <w:tab w:val="left" w:pos="2880"/>
          <w:tab w:val="left" w:pos="3600"/>
        </w:tabs>
        <w:ind w:left="2304" w:hanging="2304"/>
        <w:rPr>
          <w:b/>
          <w:i/>
          <w:sz w:val="24"/>
          <w:szCs w:val="24"/>
        </w:rPr>
      </w:pPr>
    </w:p>
    <w:p w:rsidR="006206C7" w:rsidRPr="0073254C" w:rsidP="006206C7" w14:paraId="61761561" w14:textId="3EA1BFF0">
      <w:pPr>
        <w:widowControl/>
        <w:tabs>
          <w:tab w:val="left" w:pos="720"/>
          <w:tab w:val="left" w:pos="1440"/>
          <w:tab w:val="left" w:pos="2160"/>
          <w:tab w:val="left" w:pos="2880"/>
          <w:tab w:val="left" w:pos="3600"/>
        </w:tabs>
        <w:ind w:left="2304" w:hanging="1584"/>
        <w:rPr>
          <w:sz w:val="24"/>
          <w:szCs w:val="24"/>
        </w:rPr>
      </w:pPr>
      <w:r w:rsidRPr="0073254C">
        <w:rPr>
          <w:b/>
          <w:sz w:val="24"/>
          <w:szCs w:val="24"/>
        </w:rPr>
        <w:t>Burden hours</w:t>
      </w:r>
      <w:r w:rsidRPr="0073254C">
        <w:rPr>
          <w:sz w:val="24"/>
          <w:szCs w:val="24"/>
        </w:rPr>
        <w:t>:</w:t>
      </w:r>
      <w:r w:rsidRPr="0073254C">
        <w:rPr>
          <w:b/>
          <w:sz w:val="24"/>
          <w:szCs w:val="24"/>
        </w:rPr>
        <w:t xml:space="preserve">  </w:t>
      </w:r>
      <w:r w:rsidR="00B22FCA">
        <w:rPr>
          <w:sz w:val="24"/>
          <w:szCs w:val="24"/>
        </w:rPr>
        <w:t xml:space="preserve">498 </w:t>
      </w:r>
      <w:r w:rsidRPr="0073254C">
        <w:rPr>
          <w:sz w:val="24"/>
          <w:szCs w:val="24"/>
        </w:rPr>
        <w:t xml:space="preserve">affected establishments in large establishments x </w:t>
      </w:r>
      <w:r>
        <w:rPr>
          <w:sz w:val="24"/>
          <w:szCs w:val="24"/>
        </w:rPr>
        <w:t>1.0 (compliance rate) x 4.0</w:t>
      </w:r>
      <w:r w:rsidRPr="0073254C">
        <w:rPr>
          <w:sz w:val="24"/>
          <w:szCs w:val="24"/>
        </w:rPr>
        <w:t xml:space="preserve"> (hours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sidR="00ED3458">
        <w:rPr>
          <w:sz w:val="24"/>
          <w:szCs w:val="24"/>
        </w:rPr>
        <w:t>1,992</w:t>
      </w:r>
      <w:r w:rsidRPr="0073254C">
        <w:rPr>
          <w:sz w:val="24"/>
          <w:szCs w:val="24"/>
        </w:rPr>
        <w:t xml:space="preserve"> </w:t>
      </w:r>
      <w:r w:rsidRPr="0073254C">
        <w:rPr>
          <w:b/>
          <w:sz w:val="24"/>
          <w:szCs w:val="24"/>
        </w:rPr>
        <w:t>hours</w:t>
      </w:r>
    </w:p>
    <w:p w:rsidR="006206C7" w:rsidP="006206C7" w14:paraId="0A1F1F28" w14:textId="016FA5A1">
      <w:pPr>
        <w:widowControl/>
        <w:tabs>
          <w:tab w:val="left" w:pos="720"/>
          <w:tab w:val="left" w:pos="1440"/>
          <w:tab w:val="left" w:pos="2160"/>
          <w:tab w:val="left" w:pos="2880"/>
          <w:tab w:val="left" w:pos="3600"/>
        </w:tabs>
        <w:rPr>
          <w:b/>
          <w:sz w:val="24"/>
          <w:szCs w:val="24"/>
        </w:rPr>
      </w:pPr>
      <w:r w:rsidRPr="0073254C">
        <w:rPr>
          <w:b/>
          <w:sz w:val="24"/>
          <w:szCs w:val="24"/>
        </w:rPr>
        <w:tab/>
      </w:r>
      <w:r w:rsidRPr="0073254C">
        <w:rPr>
          <w:b/>
          <w:sz w:val="24"/>
          <w:szCs w:val="24"/>
        </w:rPr>
        <w:tab/>
        <w:t xml:space="preserve">    Cost</w:t>
      </w:r>
      <w:r w:rsidRPr="0073254C">
        <w:rPr>
          <w:sz w:val="24"/>
          <w:szCs w:val="24"/>
        </w:rPr>
        <w:t xml:space="preserve">: </w:t>
      </w:r>
      <w:r w:rsidR="00BB52AE">
        <w:rPr>
          <w:sz w:val="24"/>
          <w:szCs w:val="24"/>
        </w:rPr>
        <w:t>1,</w:t>
      </w:r>
      <w:r w:rsidR="00ED3458">
        <w:rPr>
          <w:sz w:val="24"/>
          <w:szCs w:val="24"/>
        </w:rPr>
        <w:t xml:space="preserve">992 </w:t>
      </w:r>
      <w:r w:rsidRPr="0073254C">
        <w:rPr>
          <w:sz w:val="24"/>
          <w:szCs w:val="24"/>
        </w:rPr>
        <w:t>x $</w:t>
      </w:r>
      <w:r w:rsidR="00041950">
        <w:rPr>
          <w:sz w:val="24"/>
          <w:szCs w:val="24"/>
        </w:rPr>
        <w:t>61.18</w:t>
      </w:r>
      <w:r w:rsidRPr="0073254C">
        <w:rPr>
          <w:sz w:val="24"/>
          <w:szCs w:val="24"/>
        </w:rPr>
        <w:t xml:space="preserve"> </w:t>
      </w:r>
      <w:r w:rsidR="00845C05">
        <w:rPr>
          <w:sz w:val="24"/>
          <w:szCs w:val="24"/>
        </w:rPr>
        <w:t>(</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81E36">
        <w:rPr>
          <w:bCs/>
          <w:sz w:val="24"/>
          <w:szCs w:val="24"/>
        </w:rPr>
        <w:t>$</w:t>
      </w:r>
      <w:r w:rsidR="00ED3458">
        <w:rPr>
          <w:bCs/>
          <w:sz w:val="24"/>
          <w:szCs w:val="24"/>
        </w:rPr>
        <w:t>121,871</w:t>
      </w:r>
    </w:p>
    <w:p w:rsidR="006206C7" w:rsidP="006206C7" w14:paraId="66FB0A36" w14:textId="77777777">
      <w:pPr>
        <w:widowControl/>
        <w:tabs>
          <w:tab w:val="left" w:pos="720"/>
          <w:tab w:val="left" w:pos="1440"/>
          <w:tab w:val="left" w:pos="2160"/>
          <w:tab w:val="left" w:pos="2880"/>
          <w:tab w:val="left" w:pos="3600"/>
        </w:tabs>
        <w:rPr>
          <w:b/>
          <w:sz w:val="24"/>
          <w:szCs w:val="24"/>
        </w:rPr>
      </w:pPr>
    </w:p>
    <w:p w:rsidR="006206C7" w:rsidRPr="007056ED" w:rsidP="00360AE7" w14:paraId="47C39ACD" w14:textId="77777777">
      <w:pPr>
        <w:widowControl/>
        <w:tabs>
          <w:tab w:val="left" w:pos="720"/>
          <w:tab w:val="left" w:pos="1440"/>
          <w:tab w:val="left" w:pos="2160"/>
          <w:tab w:val="left" w:pos="2880"/>
          <w:tab w:val="left" w:pos="3600"/>
        </w:tabs>
        <w:rPr>
          <w:b/>
          <w:i/>
          <w:sz w:val="24"/>
          <w:szCs w:val="24"/>
        </w:rPr>
      </w:pPr>
    </w:p>
    <w:p w:rsidR="00C74A0A" w:rsidP="009965D1" w14:paraId="36167481" w14:textId="77777777">
      <w:pPr>
        <w:jc w:val="center"/>
        <w:rPr>
          <w:b/>
          <w:bCs/>
          <w:color w:val="000000"/>
          <w:sz w:val="24"/>
          <w:szCs w:val="24"/>
        </w:rPr>
      </w:pPr>
    </w:p>
    <w:p w:rsidR="00C74A0A" w:rsidP="009965D1" w14:paraId="16803E06" w14:textId="77777777">
      <w:pPr>
        <w:jc w:val="center"/>
        <w:rPr>
          <w:b/>
          <w:bCs/>
          <w:color w:val="000000"/>
          <w:sz w:val="24"/>
          <w:szCs w:val="24"/>
        </w:rPr>
      </w:pPr>
    </w:p>
    <w:p w:rsidR="00EA2AF5" w:rsidP="009965D1" w14:paraId="3D923EA8" w14:textId="77777777">
      <w:pPr>
        <w:jc w:val="center"/>
        <w:rPr>
          <w:b/>
          <w:bCs/>
          <w:color w:val="000000"/>
          <w:sz w:val="24"/>
          <w:szCs w:val="24"/>
        </w:rPr>
        <w:sectPr w:rsidSect="00CD5D64">
          <w:headerReference w:type="default" r:id="rId10"/>
          <w:footerReference w:type="even" r:id="rId11"/>
          <w:footerReference w:type="default" r:id="rId12"/>
          <w:pgSz w:w="12240" w:h="15840"/>
          <w:pgMar w:top="1440" w:right="1800" w:bottom="1440" w:left="1800" w:header="720" w:footer="720" w:gutter="0"/>
          <w:cols w:space="720"/>
          <w:docGrid w:linePitch="360"/>
        </w:sectPr>
      </w:pPr>
    </w:p>
    <w:p w:rsidR="00C74A0A" w:rsidP="009965D1" w14:paraId="13610128" w14:textId="77777777">
      <w:pPr>
        <w:jc w:val="center"/>
        <w:rPr>
          <w:b/>
          <w:bCs/>
          <w:color w:val="000000"/>
          <w:sz w:val="24"/>
          <w:szCs w:val="24"/>
        </w:rPr>
      </w:pPr>
    </w:p>
    <w:p w:rsidR="00296677" w:rsidRPr="002A453F" w:rsidP="009965D1" w14:paraId="0B760DD0" w14:textId="3A4F4B4E">
      <w:pPr>
        <w:jc w:val="center"/>
        <w:rPr>
          <w:b/>
          <w:bCs/>
          <w:color w:val="000000"/>
          <w:sz w:val="24"/>
          <w:szCs w:val="24"/>
        </w:rPr>
      </w:pPr>
      <w:r w:rsidRPr="00CB5054">
        <w:rPr>
          <w:b/>
          <w:bCs/>
          <w:color w:val="000000"/>
          <w:sz w:val="24"/>
          <w:szCs w:val="24"/>
        </w:rPr>
        <w:t xml:space="preserve">Table </w:t>
      </w:r>
      <w:r w:rsidR="00527A80">
        <w:rPr>
          <w:b/>
          <w:bCs/>
          <w:color w:val="000000"/>
          <w:sz w:val="24"/>
          <w:szCs w:val="24"/>
        </w:rPr>
        <w:t>3</w:t>
      </w:r>
      <w:r w:rsidR="00785AF6">
        <w:rPr>
          <w:b/>
          <w:bCs/>
          <w:color w:val="000000"/>
          <w:sz w:val="24"/>
          <w:szCs w:val="24"/>
        </w:rPr>
        <w:t xml:space="preserve"> -- </w:t>
      </w:r>
      <w:r w:rsidRPr="00FE6D92" w:rsidR="00785AF6">
        <w:rPr>
          <w:b/>
          <w:bCs/>
          <w:sz w:val="24"/>
          <w:szCs w:val="24"/>
        </w:rPr>
        <w:t>Summary of Burden Hours and Burden-Hour Cost Under Item 12</w:t>
      </w:r>
      <w:r w:rsidR="00AF720D">
        <w:rPr>
          <w:b/>
          <w:bCs/>
          <w:sz w:val="24"/>
          <w:szCs w:val="24"/>
        </w:rPr>
        <w:t>*</w:t>
      </w:r>
      <w:r w:rsidRPr="00FE6D92" w:rsidR="00785AF6">
        <w:rPr>
          <w:b/>
          <w:bCs/>
          <w:sz w:val="24"/>
          <w:szCs w:val="24"/>
        </w:rPr>
        <w:t xml:space="preserve"> </w:t>
      </w:r>
    </w:p>
    <w:tbl>
      <w:tblPr>
        <w:tblW w:w="13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3"/>
        <w:gridCol w:w="1350"/>
        <w:gridCol w:w="1260"/>
        <w:gridCol w:w="1170"/>
        <w:gridCol w:w="1440"/>
        <w:gridCol w:w="1260"/>
        <w:gridCol w:w="1620"/>
        <w:gridCol w:w="1350"/>
        <w:gridCol w:w="1602"/>
      </w:tblGrid>
      <w:tr w14:paraId="0448C890" w14:textId="77777777" w:rsidTr="00781E36">
        <w:tblPrEx>
          <w:tblW w:w="13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11"/>
          <w:tblHeader/>
          <w:jc w:val="center"/>
        </w:trPr>
        <w:tc>
          <w:tcPr>
            <w:tcW w:w="2633" w:type="dxa"/>
            <w:tcBorders>
              <w:bottom w:val="thinThickMediumGap" w:sz="24" w:space="0" w:color="auto"/>
            </w:tcBorders>
            <w:shd w:val="clear" w:color="auto" w:fill="CCECFF"/>
            <w:vAlign w:val="center"/>
          </w:tcPr>
          <w:p w:rsidR="00C74A0A" w:rsidRPr="00327942" w:rsidP="001F320C" w14:paraId="4AFC9378" w14:textId="77777777">
            <w:pPr>
              <w:jc w:val="center"/>
              <w:rPr>
                <w:b/>
                <w:color w:val="000000"/>
              </w:rPr>
            </w:pPr>
            <w:r w:rsidRPr="00327942">
              <w:rPr>
                <w:b/>
                <w:color w:val="000000"/>
              </w:rPr>
              <w:t>Information Collection Requirement</w:t>
            </w:r>
          </w:p>
        </w:tc>
        <w:tc>
          <w:tcPr>
            <w:tcW w:w="1350" w:type="dxa"/>
            <w:tcBorders>
              <w:bottom w:val="thinThickMediumGap" w:sz="24" w:space="0" w:color="auto"/>
            </w:tcBorders>
            <w:shd w:val="clear" w:color="auto" w:fill="CCECFF"/>
            <w:vAlign w:val="center"/>
          </w:tcPr>
          <w:p w:rsidR="00C74A0A" w:rsidRPr="00327942" w:rsidP="001F320C" w14:paraId="56B23131" w14:textId="6FDCF89D">
            <w:pPr>
              <w:jc w:val="center"/>
              <w:rPr>
                <w:b/>
                <w:color w:val="000000"/>
              </w:rPr>
            </w:pPr>
            <w:r>
              <w:rPr>
                <w:b/>
                <w:color w:val="000000"/>
              </w:rPr>
              <w:t>B</w:t>
            </w:r>
            <w:r w:rsidR="000C140C">
              <w:rPr>
                <w:b/>
                <w:color w:val="000000"/>
              </w:rPr>
              <w:t xml:space="preserve">ase </w:t>
            </w:r>
            <w:r>
              <w:rPr>
                <w:b/>
                <w:color w:val="000000"/>
              </w:rPr>
              <w:t>Respon</w:t>
            </w:r>
            <w:r w:rsidR="000C140C">
              <w:rPr>
                <w:b/>
                <w:color w:val="000000"/>
              </w:rPr>
              <w:t>se</w:t>
            </w:r>
          </w:p>
        </w:tc>
        <w:tc>
          <w:tcPr>
            <w:tcW w:w="1260" w:type="dxa"/>
            <w:tcBorders>
              <w:bottom w:val="thinThickMediumGap" w:sz="24" w:space="0" w:color="auto"/>
            </w:tcBorders>
            <w:shd w:val="clear" w:color="auto" w:fill="CCECFF"/>
            <w:vAlign w:val="center"/>
          </w:tcPr>
          <w:p w:rsidR="00C74A0A" w:rsidRPr="00AB0B90" w:rsidP="001F320C" w14:paraId="0D161366" w14:textId="77777777">
            <w:pPr>
              <w:jc w:val="center"/>
              <w:rPr>
                <w:b/>
                <w:color w:val="000000"/>
              </w:rPr>
            </w:pPr>
            <w:r w:rsidRPr="00AB0B90">
              <w:rPr>
                <w:b/>
                <w:color w:val="000000"/>
                <w:kern w:val="0"/>
              </w:rPr>
              <w:t>% Not in Compliance</w:t>
            </w:r>
          </w:p>
        </w:tc>
        <w:tc>
          <w:tcPr>
            <w:tcW w:w="1170" w:type="dxa"/>
            <w:tcBorders>
              <w:bottom w:val="thinThickMediumGap" w:sz="24" w:space="0" w:color="auto"/>
            </w:tcBorders>
            <w:shd w:val="clear" w:color="auto" w:fill="CCECFF"/>
            <w:vAlign w:val="center"/>
          </w:tcPr>
          <w:p w:rsidR="00C74A0A" w:rsidP="001F320C" w14:paraId="22F2E76E" w14:textId="77777777">
            <w:pPr>
              <w:jc w:val="center"/>
              <w:rPr>
                <w:b/>
                <w:color w:val="000000"/>
                <w:kern w:val="0"/>
              </w:rPr>
            </w:pPr>
            <w:r>
              <w:rPr>
                <w:b/>
                <w:color w:val="000000"/>
                <w:kern w:val="0"/>
              </w:rPr>
              <w:t>Frequency per response</w:t>
            </w:r>
          </w:p>
        </w:tc>
        <w:tc>
          <w:tcPr>
            <w:tcW w:w="1440" w:type="dxa"/>
            <w:tcBorders>
              <w:bottom w:val="thinThickMediumGap" w:sz="24" w:space="0" w:color="auto"/>
            </w:tcBorders>
            <w:shd w:val="clear" w:color="auto" w:fill="CCECFF"/>
            <w:vAlign w:val="center"/>
          </w:tcPr>
          <w:p w:rsidR="00C74A0A" w:rsidRPr="00327942" w:rsidP="001F320C" w14:paraId="5BA5235A" w14:textId="77777777">
            <w:pPr>
              <w:jc w:val="center"/>
              <w:rPr>
                <w:b/>
                <w:color w:val="000000"/>
              </w:rPr>
            </w:pPr>
            <w:r>
              <w:rPr>
                <w:b/>
                <w:color w:val="000000"/>
                <w:kern w:val="0"/>
              </w:rPr>
              <w:t>Total Responses</w:t>
            </w:r>
          </w:p>
        </w:tc>
        <w:tc>
          <w:tcPr>
            <w:tcW w:w="1260" w:type="dxa"/>
            <w:tcBorders>
              <w:bottom w:val="thinThickMediumGap" w:sz="24" w:space="0" w:color="auto"/>
            </w:tcBorders>
            <w:shd w:val="clear" w:color="auto" w:fill="CCECFF"/>
            <w:vAlign w:val="center"/>
          </w:tcPr>
          <w:p w:rsidR="00C74A0A" w:rsidRPr="00327942" w:rsidP="001F320C" w14:paraId="694A1CF8" w14:textId="77777777">
            <w:pPr>
              <w:jc w:val="center"/>
              <w:rPr>
                <w:b/>
                <w:color w:val="000000"/>
              </w:rPr>
            </w:pPr>
            <w:r>
              <w:rPr>
                <w:b/>
                <w:color w:val="000000"/>
                <w:kern w:val="0"/>
              </w:rPr>
              <w:t>Time per Response</w:t>
            </w:r>
          </w:p>
        </w:tc>
        <w:tc>
          <w:tcPr>
            <w:tcW w:w="1620" w:type="dxa"/>
            <w:tcBorders>
              <w:bottom w:val="thinThickMediumGap" w:sz="24" w:space="0" w:color="auto"/>
            </w:tcBorders>
            <w:shd w:val="clear" w:color="auto" w:fill="CCECFF"/>
            <w:vAlign w:val="center"/>
          </w:tcPr>
          <w:p w:rsidR="00C74A0A" w:rsidRPr="00327942" w:rsidP="001F320C" w14:paraId="5B4637CD" w14:textId="77777777">
            <w:pPr>
              <w:jc w:val="center"/>
              <w:rPr>
                <w:b/>
                <w:color w:val="000000"/>
              </w:rPr>
            </w:pPr>
            <w:r w:rsidRPr="00AB0B90">
              <w:rPr>
                <w:b/>
                <w:color w:val="000000"/>
                <w:kern w:val="0"/>
              </w:rPr>
              <w:t>Total Burden Hours</w:t>
            </w:r>
          </w:p>
        </w:tc>
        <w:tc>
          <w:tcPr>
            <w:tcW w:w="1350" w:type="dxa"/>
            <w:tcBorders>
              <w:bottom w:val="thinThickMediumGap" w:sz="24" w:space="0" w:color="auto"/>
            </w:tcBorders>
            <w:shd w:val="clear" w:color="auto" w:fill="CCECFF"/>
            <w:vAlign w:val="center"/>
          </w:tcPr>
          <w:p w:rsidR="00C74A0A" w:rsidRPr="00327942" w:rsidP="001F320C" w14:paraId="2FD787EB" w14:textId="6C4D6DC5">
            <w:pPr>
              <w:jc w:val="center"/>
              <w:rPr>
                <w:b/>
                <w:color w:val="000000"/>
              </w:rPr>
            </w:pPr>
            <w:r>
              <w:rPr>
                <w:b/>
                <w:color w:val="000000"/>
                <w:kern w:val="0"/>
              </w:rPr>
              <w:t xml:space="preserve">Loaded </w:t>
            </w:r>
            <w:r w:rsidRPr="00AB0B90">
              <w:rPr>
                <w:b/>
                <w:color w:val="000000"/>
                <w:kern w:val="0"/>
              </w:rPr>
              <w:t>Hourly Wage</w:t>
            </w:r>
          </w:p>
        </w:tc>
        <w:tc>
          <w:tcPr>
            <w:tcW w:w="1602" w:type="dxa"/>
            <w:tcBorders>
              <w:bottom w:val="thinThickMediumGap" w:sz="24" w:space="0" w:color="auto"/>
            </w:tcBorders>
            <w:shd w:val="clear" w:color="auto" w:fill="CCECFF"/>
            <w:vAlign w:val="center"/>
          </w:tcPr>
          <w:p w:rsidR="00C74A0A" w:rsidRPr="00327942" w:rsidP="001F320C" w14:paraId="7A86110B" w14:textId="77777777">
            <w:pPr>
              <w:jc w:val="center"/>
              <w:rPr>
                <w:b/>
                <w:color w:val="000000"/>
              </w:rPr>
            </w:pPr>
            <w:r w:rsidRPr="00AB0B90">
              <w:rPr>
                <w:b/>
                <w:color w:val="000000"/>
                <w:kern w:val="0"/>
              </w:rPr>
              <w:t>Total Burden Cost</w:t>
            </w:r>
          </w:p>
        </w:tc>
      </w:tr>
      <w:tr w14:paraId="7FA3C16E" w14:textId="77777777" w:rsidTr="00781E36">
        <w:tblPrEx>
          <w:tblW w:w="13685" w:type="dxa"/>
          <w:jc w:val="center"/>
          <w:tblLayout w:type="fixed"/>
          <w:tblLook w:val="01E0"/>
        </w:tblPrEx>
        <w:trPr>
          <w:trHeight w:val="339"/>
          <w:jc w:val="center"/>
        </w:trPr>
        <w:tc>
          <w:tcPr>
            <w:tcW w:w="13685" w:type="dxa"/>
            <w:gridSpan w:val="9"/>
            <w:tcBorders>
              <w:top w:val="thinThickMediumGap" w:sz="24" w:space="0" w:color="auto"/>
            </w:tcBorders>
            <w:shd w:val="clear" w:color="auto" w:fill="EDEDED"/>
            <w:vAlign w:val="center"/>
          </w:tcPr>
          <w:p w:rsidR="00C30034" w:rsidRPr="00F14192" w:rsidP="00781E36" w14:paraId="0BF636DF" w14:textId="650D8868">
            <w:r w:rsidRPr="00327942">
              <w:rPr>
                <w:color w:val="000000"/>
              </w:rPr>
              <w:t>1.Written Hazard Communication Program (New Establishments)</w:t>
            </w:r>
          </w:p>
        </w:tc>
      </w:tr>
      <w:tr w14:paraId="0699426F" w14:textId="77777777" w:rsidTr="00B4645A">
        <w:tblPrEx>
          <w:tblW w:w="13685" w:type="dxa"/>
          <w:jc w:val="center"/>
          <w:tblLayout w:type="fixed"/>
          <w:tblLook w:val="01E0"/>
        </w:tblPrEx>
        <w:trPr>
          <w:jc w:val="center"/>
        </w:trPr>
        <w:tc>
          <w:tcPr>
            <w:tcW w:w="2633" w:type="dxa"/>
            <w:shd w:val="clear" w:color="auto" w:fill="auto"/>
          </w:tcPr>
          <w:p w:rsidR="00B056BD" w:rsidRPr="00327942" w:rsidP="001F320C" w14:paraId="4840908C" w14:textId="77777777">
            <w:pPr>
              <w:rPr>
                <w:color w:val="000000"/>
              </w:rPr>
            </w:pPr>
            <w:r>
              <w:rPr>
                <w:color w:val="000000"/>
              </w:rPr>
              <w:t>Manufacturing</w:t>
            </w:r>
          </w:p>
        </w:tc>
        <w:tc>
          <w:tcPr>
            <w:tcW w:w="1350" w:type="dxa"/>
            <w:shd w:val="clear" w:color="auto" w:fill="auto"/>
            <w:vAlign w:val="center"/>
          </w:tcPr>
          <w:p w:rsidR="00B056BD" w:rsidRPr="002C0B15" w:rsidP="00B4645A" w14:paraId="6FF620CD" w14:textId="0B3A901B">
            <w:pPr>
              <w:jc w:val="center"/>
            </w:pPr>
            <w:r>
              <w:t>77,144</w:t>
            </w:r>
          </w:p>
        </w:tc>
        <w:tc>
          <w:tcPr>
            <w:tcW w:w="1260" w:type="dxa"/>
            <w:shd w:val="clear" w:color="auto" w:fill="auto"/>
            <w:vAlign w:val="center"/>
          </w:tcPr>
          <w:p w:rsidR="00B056BD" w:rsidRPr="00AB0B90" w:rsidP="00B4645A" w14:paraId="50553F6C" w14:textId="77777777">
            <w:pPr>
              <w:jc w:val="center"/>
            </w:pPr>
            <w:r>
              <w:t>40%</w:t>
            </w:r>
          </w:p>
        </w:tc>
        <w:tc>
          <w:tcPr>
            <w:tcW w:w="1170" w:type="dxa"/>
            <w:vAlign w:val="center"/>
          </w:tcPr>
          <w:p w:rsidR="00B056BD" w:rsidRPr="00F14192" w:rsidP="00B4645A" w14:paraId="716F0240" w14:textId="77777777">
            <w:pPr>
              <w:jc w:val="center"/>
            </w:pPr>
            <w:r>
              <w:t>0.072</w:t>
            </w:r>
          </w:p>
        </w:tc>
        <w:tc>
          <w:tcPr>
            <w:tcW w:w="1440" w:type="dxa"/>
            <w:shd w:val="clear" w:color="auto" w:fill="auto"/>
            <w:vAlign w:val="center"/>
          </w:tcPr>
          <w:p w:rsidR="00B056BD" w:rsidRPr="00F14192" w:rsidP="00B4645A" w14:paraId="4AB6404B" w14:textId="6A61EEB9">
            <w:pPr>
              <w:jc w:val="center"/>
            </w:pPr>
            <w:r>
              <w:t>2,222</w:t>
            </w:r>
          </w:p>
        </w:tc>
        <w:tc>
          <w:tcPr>
            <w:tcW w:w="1260" w:type="dxa"/>
            <w:shd w:val="clear" w:color="auto" w:fill="auto"/>
            <w:vAlign w:val="center"/>
          </w:tcPr>
          <w:p w:rsidR="00B056BD" w:rsidRPr="00401AC9" w:rsidP="00B4645A" w14:paraId="4CCD5E94" w14:textId="77777777">
            <w:pPr>
              <w:jc w:val="center"/>
            </w:pPr>
            <w:r>
              <w:t>4</w:t>
            </w:r>
            <w:r w:rsidR="0042087C">
              <w:t xml:space="preserve"> hour</w:t>
            </w:r>
            <w:r>
              <w:t>s</w:t>
            </w:r>
          </w:p>
        </w:tc>
        <w:tc>
          <w:tcPr>
            <w:tcW w:w="1620" w:type="dxa"/>
            <w:shd w:val="clear" w:color="auto" w:fill="auto"/>
            <w:vAlign w:val="center"/>
          </w:tcPr>
          <w:p w:rsidR="00B056BD" w:rsidRPr="00F14192" w:rsidP="00B4645A" w14:paraId="7DB22BBA" w14:textId="67C43A2A">
            <w:pPr>
              <w:jc w:val="center"/>
            </w:pPr>
            <w:r>
              <w:t>8,888</w:t>
            </w:r>
          </w:p>
        </w:tc>
        <w:tc>
          <w:tcPr>
            <w:tcW w:w="1350" w:type="dxa"/>
            <w:vAlign w:val="center"/>
          </w:tcPr>
          <w:p w:rsidR="00B056BD" w:rsidRPr="00F14192" w:rsidP="00B4645A" w14:paraId="37448837" w14:textId="5923CBE1">
            <w:pPr>
              <w:tabs>
                <w:tab w:val="center" w:pos="567"/>
                <w:tab w:val="right" w:pos="1134"/>
              </w:tabs>
              <w:jc w:val="center"/>
            </w:pPr>
            <w:r>
              <w:t>$</w:t>
            </w:r>
            <w:r w:rsidR="00E95AD9">
              <w:t>83.62</w:t>
            </w:r>
          </w:p>
        </w:tc>
        <w:tc>
          <w:tcPr>
            <w:tcW w:w="1602" w:type="dxa"/>
            <w:vAlign w:val="center"/>
          </w:tcPr>
          <w:p w:rsidR="00B056BD" w:rsidRPr="00F14192" w:rsidP="00B4645A" w14:paraId="5B2A7361" w14:textId="1F96DB3B">
            <w:pPr>
              <w:jc w:val="center"/>
            </w:pPr>
            <w:r>
              <w:t>$</w:t>
            </w:r>
            <w:r w:rsidR="00D930BE">
              <w:t>743,215</w:t>
            </w:r>
          </w:p>
        </w:tc>
      </w:tr>
      <w:tr w14:paraId="0076880A" w14:textId="77777777" w:rsidTr="00B4645A">
        <w:tblPrEx>
          <w:tblW w:w="13685" w:type="dxa"/>
          <w:jc w:val="center"/>
          <w:tblLayout w:type="fixed"/>
          <w:tblLook w:val="01E0"/>
        </w:tblPrEx>
        <w:trPr>
          <w:jc w:val="center"/>
        </w:trPr>
        <w:tc>
          <w:tcPr>
            <w:tcW w:w="2633" w:type="dxa"/>
            <w:shd w:val="clear" w:color="auto" w:fill="auto"/>
          </w:tcPr>
          <w:p w:rsidR="00B056BD" w:rsidRPr="00327942" w:rsidP="001F320C" w14:paraId="409648E8" w14:textId="77777777">
            <w:pPr>
              <w:rPr>
                <w:color w:val="000000"/>
              </w:rPr>
            </w:pPr>
          </w:p>
        </w:tc>
        <w:tc>
          <w:tcPr>
            <w:tcW w:w="1350" w:type="dxa"/>
            <w:shd w:val="clear" w:color="auto" w:fill="auto"/>
            <w:vAlign w:val="center"/>
          </w:tcPr>
          <w:p w:rsidR="00B056BD" w:rsidRPr="002C0B15" w:rsidP="00B4645A" w14:paraId="6077C90A" w14:textId="79651E8D">
            <w:pPr>
              <w:jc w:val="center"/>
            </w:pPr>
            <w:r>
              <w:t>77,144</w:t>
            </w:r>
          </w:p>
        </w:tc>
        <w:tc>
          <w:tcPr>
            <w:tcW w:w="1260" w:type="dxa"/>
            <w:shd w:val="clear" w:color="auto" w:fill="auto"/>
            <w:vAlign w:val="center"/>
          </w:tcPr>
          <w:p w:rsidR="00B056BD" w:rsidRPr="00AB0B90" w:rsidP="00B4645A" w14:paraId="6E687FE3" w14:textId="77777777">
            <w:pPr>
              <w:jc w:val="center"/>
            </w:pPr>
            <w:r>
              <w:t>40%</w:t>
            </w:r>
          </w:p>
        </w:tc>
        <w:tc>
          <w:tcPr>
            <w:tcW w:w="1170" w:type="dxa"/>
            <w:vAlign w:val="center"/>
          </w:tcPr>
          <w:p w:rsidR="00B056BD" w:rsidRPr="00F14192" w:rsidP="00B4645A" w14:paraId="39FF1FF3" w14:textId="77777777">
            <w:pPr>
              <w:jc w:val="center"/>
            </w:pPr>
            <w:r>
              <w:t>0.072</w:t>
            </w:r>
          </w:p>
        </w:tc>
        <w:tc>
          <w:tcPr>
            <w:tcW w:w="1440" w:type="dxa"/>
            <w:shd w:val="clear" w:color="auto" w:fill="auto"/>
            <w:vAlign w:val="center"/>
          </w:tcPr>
          <w:p w:rsidR="00B056BD" w:rsidRPr="00F14192" w:rsidP="00B4645A" w14:paraId="0B798A1E" w14:textId="613B8F09">
            <w:pPr>
              <w:jc w:val="center"/>
            </w:pPr>
            <w:r>
              <w:t>2,222</w:t>
            </w:r>
          </w:p>
        </w:tc>
        <w:tc>
          <w:tcPr>
            <w:tcW w:w="1260" w:type="dxa"/>
            <w:shd w:val="clear" w:color="auto" w:fill="auto"/>
            <w:vAlign w:val="center"/>
          </w:tcPr>
          <w:p w:rsidR="00B056BD" w:rsidRPr="00401AC9" w:rsidP="00B4645A" w14:paraId="50B45666" w14:textId="77777777">
            <w:pPr>
              <w:jc w:val="center"/>
            </w:pPr>
            <w:r>
              <w:t>1 hour</w:t>
            </w:r>
          </w:p>
        </w:tc>
        <w:tc>
          <w:tcPr>
            <w:tcW w:w="1620" w:type="dxa"/>
            <w:shd w:val="clear" w:color="auto" w:fill="auto"/>
            <w:vAlign w:val="center"/>
          </w:tcPr>
          <w:p w:rsidR="00B056BD" w:rsidRPr="00F14192" w:rsidP="00B4645A" w14:paraId="3163550E" w14:textId="0DDF5DCD">
            <w:pPr>
              <w:jc w:val="center"/>
            </w:pPr>
            <w:r>
              <w:t>2,222</w:t>
            </w:r>
          </w:p>
        </w:tc>
        <w:tc>
          <w:tcPr>
            <w:tcW w:w="1350" w:type="dxa"/>
            <w:vAlign w:val="center"/>
          </w:tcPr>
          <w:p w:rsidR="00B056BD" w:rsidRPr="00F14192" w:rsidP="00B4645A" w14:paraId="4AC2D74C" w14:textId="4D1E41E9">
            <w:pPr>
              <w:jc w:val="center"/>
            </w:pPr>
            <w:r>
              <w:t>$</w:t>
            </w:r>
            <w:r w:rsidR="00041950">
              <w:t>31.93</w:t>
            </w:r>
          </w:p>
        </w:tc>
        <w:tc>
          <w:tcPr>
            <w:tcW w:w="1602" w:type="dxa"/>
            <w:vAlign w:val="center"/>
          </w:tcPr>
          <w:p w:rsidR="00B056BD" w:rsidRPr="00F14192" w:rsidP="00B4645A" w14:paraId="2FCA56F3" w14:textId="33FD4F6D">
            <w:pPr>
              <w:jc w:val="center"/>
            </w:pPr>
            <w:r>
              <w:t>$</w:t>
            </w:r>
            <w:r w:rsidR="00D930BE">
              <w:t>70,948</w:t>
            </w:r>
          </w:p>
        </w:tc>
      </w:tr>
      <w:tr w14:paraId="33CAD3BC" w14:textId="77777777" w:rsidTr="00B4645A">
        <w:tblPrEx>
          <w:tblW w:w="13685" w:type="dxa"/>
          <w:jc w:val="center"/>
          <w:tblLayout w:type="fixed"/>
          <w:tblLook w:val="01E0"/>
        </w:tblPrEx>
        <w:trPr>
          <w:jc w:val="center"/>
        </w:trPr>
        <w:tc>
          <w:tcPr>
            <w:tcW w:w="2633" w:type="dxa"/>
            <w:shd w:val="clear" w:color="auto" w:fill="auto"/>
          </w:tcPr>
          <w:p w:rsidR="00C21653" w:rsidRPr="00327942" w:rsidP="001F320C" w14:paraId="5E4DA05A" w14:textId="77777777">
            <w:pPr>
              <w:rPr>
                <w:color w:val="000000"/>
              </w:rPr>
            </w:pPr>
            <w:r>
              <w:rPr>
                <w:color w:val="000000"/>
              </w:rPr>
              <w:t>Non-Manufacturing</w:t>
            </w:r>
          </w:p>
        </w:tc>
        <w:tc>
          <w:tcPr>
            <w:tcW w:w="1350" w:type="dxa"/>
            <w:shd w:val="clear" w:color="auto" w:fill="auto"/>
            <w:vAlign w:val="center"/>
          </w:tcPr>
          <w:p w:rsidR="00C21653" w:rsidRPr="002C0B15" w:rsidP="00B4645A" w14:paraId="630D89CA" w14:textId="17DCD900">
            <w:pPr>
              <w:jc w:val="center"/>
            </w:pPr>
            <w:r>
              <w:t>5,503,762</w:t>
            </w:r>
          </w:p>
        </w:tc>
        <w:tc>
          <w:tcPr>
            <w:tcW w:w="1260" w:type="dxa"/>
            <w:shd w:val="clear" w:color="auto" w:fill="auto"/>
            <w:vAlign w:val="center"/>
          </w:tcPr>
          <w:p w:rsidR="00C21653" w:rsidRPr="00AB0B90" w:rsidP="00B4645A" w14:paraId="196C01AC" w14:textId="77777777">
            <w:pPr>
              <w:jc w:val="center"/>
            </w:pPr>
            <w:r>
              <w:t>40%</w:t>
            </w:r>
          </w:p>
        </w:tc>
        <w:tc>
          <w:tcPr>
            <w:tcW w:w="1170" w:type="dxa"/>
            <w:vAlign w:val="center"/>
          </w:tcPr>
          <w:p w:rsidR="00C21653" w:rsidRPr="00F14192" w:rsidP="00B4645A" w14:paraId="5F88DD8D" w14:textId="77777777">
            <w:pPr>
              <w:jc w:val="center"/>
            </w:pPr>
            <w:r>
              <w:t>0.127</w:t>
            </w:r>
          </w:p>
        </w:tc>
        <w:tc>
          <w:tcPr>
            <w:tcW w:w="1440" w:type="dxa"/>
            <w:shd w:val="clear" w:color="auto" w:fill="auto"/>
            <w:vAlign w:val="center"/>
          </w:tcPr>
          <w:p w:rsidR="00C21653" w:rsidRPr="00F14192" w:rsidP="00B4645A" w14:paraId="20A861A9" w14:textId="0056E898">
            <w:pPr>
              <w:jc w:val="center"/>
            </w:pPr>
            <w:r>
              <w:t>279,591</w:t>
            </w:r>
          </w:p>
        </w:tc>
        <w:tc>
          <w:tcPr>
            <w:tcW w:w="1260" w:type="dxa"/>
            <w:shd w:val="clear" w:color="auto" w:fill="auto"/>
            <w:vAlign w:val="center"/>
          </w:tcPr>
          <w:p w:rsidR="00C21653" w:rsidRPr="00401AC9" w:rsidP="00B4645A" w14:paraId="76B75866" w14:textId="77777777">
            <w:pPr>
              <w:jc w:val="center"/>
            </w:pPr>
            <w:r>
              <w:t>2 hours</w:t>
            </w:r>
          </w:p>
        </w:tc>
        <w:tc>
          <w:tcPr>
            <w:tcW w:w="1620" w:type="dxa"/>
            <w:shd w:val="clear" w:color="auto" w:fill="auto"/>
            <w:vAlign w:val="center"/>
          </w:tcPr>
          <w:p w:rsidR="00C21653" w:rsidRPr="00F14192" w:rsidP="00B4645A" w14:paraId="72C7303F" w14:textId="60EEF6DD">
            <w:pPr>
              <w:jc w:val="center"/>
            </w:pPr>
            <w:r>
              <w:t>559,182</w:t>
            </w:r>
          </w:p>
        </w:tc>
        <w:tc>
          <w:tcPr>
            <w:tcW w:w="1350" w:type="dxa"/>
            <w:vAlign w:val="center"/>
          </w:tcPr>
          <w:p w:rsidR="00C21653" w:rsidRPr="00F14192" w:rsidP="00B4645A" w14:paraId="5E92D001" w14:textId="64079F4A">
            <w:pPr>
              <w:jc w:val="center"/>
            </w:pPr>
            <w:r>
              <w:t>$</w:t>
            </w:r>
            <w:r w:rsidR="00E95AD9">
              <w:t>83.62</w:t>
            </w:r>
          </w:p>
        </w:tc>
        <w:tc>
          <w:tcPr>
            <w:tcW w:w="1602" w:type="dxa"/>
            <w:vAlign w:val="center"/>
          </w:tcPr>
          <w:p w:rsidR="00C21653" w:rsidRPr="00F14192" w:rsidP="00B4645A" w14:paraId="41429E97" w14:textId="5518DA09">
            <w:pPr>
              <w:jc w:val="center"/>
            </w:pPr>
            <w:r>
              <w:t>$</w:t>
            </w:r>
            <w:r w:rsidR="00D930BE">
              <w:t>46,758,799</w:t>
            </w:r>
          </w:p>
        </w:tc>
      </w:tr>
      <w:tr w14:paraId="4665ADAC" w14:textId="77777777" w:rsidTr="00B4645A">
        <w:tblPrEx>
          <w:tblW w:w="13685" w:type="dxa"/>
          <w:jc w:val="center"/>
          <w:tblLayout w:type="fixed"/>
          <w:tblLook w:val="01E0"/>
        </w:tblPrEx>
        <w:trPr>
          <w:jc w:val="center"/>
        </w:trPr>
        <w:tc>
          <w:tcPr>
            <w:tcW w:w="2633" w:type="dxa"/>
            <w:shd w:val="clear" w:color="auto" w:fill="auto"/>
          </w:tcPr>
          <w:p w:rsidR="00C21653" w:rsidRPr="00327942" w:rsidP="001F320C" w14:paraId="072994B7" w14:textId="77777777">
            <w:pPr>
              <w:rPr>
                <w:color w:val="000000"/>
              </w:rPr>
            </w:pPr>
          </w:p>
        </w:tc>
        <w:tc>
          <w:tcPr>
            <w:tcW w:w="1350" w:type="dxa"/>
            <w:shd w:val="clear" w:color="auto" w:fill="auto"/>
            <w:vAlign w:val="center"/>
          </w:tcPr>
          <w:p w:rsidR="00C21653" w:rsidRPr="002C0B15" w:rsidP="00B4645A" w14:paraId="613AD38C" w14:textId="35717538">
            <w:pPr>
              <w:jc w:val="center"/>
            </w:pPr>
            <w:r>
              <w:t>5,503,762</w:t>
            </w:r>
          </w:p>
        </w:tc>
        <w:tc>
          <w:tcPr>
            <w:tcW w:w="1260" w:type="dxa"/>
            <w:shd w:val="clear" w:color="auto" w:fill="auto"/>
            <w:vAlign w:val="center"/>
          </w:tcPr>
          <w:p w:rsidR="00C21653" w:rsidRPr="00AB0B90" w:rsidP="00B4645A" w14:paraId="28D27C00" w14:textId="77777777">
            <w:pPr>
              <w:jc w:val="center"/>
            </w:pPr>
            <w:r>
              <w:t>40%</w:t>
            </w:r>
          </w:p>
        </w:tc>
        <w:tc>
          <w:tcPr>
            <w:tcW w:w="1170" w:type="dxa"/>
            <w:vAlign w:val="center"/>
          </w:tcPr>
          <w:p w:rsidR="00C21653" w:rsidRPr="00F14192" w:rsidP="00B4645A" w14:paraId="2DEBD32F" w14:textId="77777777">
            <w:pPr>
              <w:jc w:val="center"/>
            </w:pPr>
            <w:r>
              <w:t>0.127</w:t>
            </w:r>
          </w:p>
        </w:tc>
        <w:tc>
          <w:tcPr>
            <w:tcW w:w="1440" w:type="dxa"/>
            <w:shd w:val="clear" w:color="auto" w:fill="auto"/>
            <w:vAlign w:val="center"/>
          </w:tcPr>
          <w:p w:rsidR="00C21653" w:rsidRPr="00F14192" w:rsidP="00B4645A" w14:paraId="4B117AFB" w14:textId="1C898A5A">
            <w:pPr>
              <w:jc w:val="center"/>
            </w:pPr>
            <w:r>
              <w:t>279,591</w:t>
            </w:r>
          </w:p>
        </w:tc>
        <w:tc>
          <w:tcPr>
            <w:tcW w:w="1260" w:type="dxa"/>
            <w:shd w:val="clear" w:color="auto" w:fill="auto"/>
            <w:vAlign w:val="center"/>
          </w:tcPr>
          <w:p w:rsidR="00C21653" w:rsidRPr="00401AC9" w:rsidP="00B4645A" w14:paraId="78A7BEE7" w14:textId="77777777">
            <w:pPr>
              <w:jc w:val="center"/>
            </w:pPr>
            <w:r>
              <w:t>0.5 hour</w:t>
            </w:r>
          </w:p>
        </w:tc>
        <w:tc>
          <w:tcPr>
            <w:tcW w:w="1620" w:type="dxa"/>
            <w:shd w:val="clear" w:color="auto" w:fill="auto"/>
            <w:vAlign w:val="center"/>
          </w:tcPr>
          <w:p w:rsidR="00C21653" w:rsidRPr="00F14192" w:rsidP="00B4645A" w14:paraId="5653AE4F" w14:textId="442AFEE4">
            <w:pPr>
              <w:jc w:val="center"/>
            </w:pPr>
            <w:r>
              <w:t>139,796</w:t>
            </w:r>
          </w:p>
        </w:tc>
        <w:tc>
          <w:tcPr>
            <w:tcW w:w="1350" w:type="dxa"/>
            <w:vAlign w:val="center"/>
          </w:tcPr>
          <w:p w:rsidR="00C21653" w:rsidRPr="00F14192" w:rsidP="00B4645A" w14:paraId="6352F96B" w14:textId="408150D0">
            <w:pPr>
              <w:jc w:val="center"/>
            </w:pPr>
            <w:r>
              <w:t>$</w:t>
            </w:r>
            <w:r w:rsidR="00041950">
              <w:t>31.93</w:t>
            </w:r>
          </w:p>
        </w:tc>
        <w:tc>
          <w:tcPr>
            <w:tcW w:w="1602" w:type="dxa"/>
            <w:vAlign w:val="center"/>
          </w:tcPr>
          <w:p w:rsidR="00C21653" w:rsidRPr="00F14192" w:rsidP="00B4645A" w14:paraId="01376D38" w14:textId="4E9B572B">
            <w:pPr>
              <w:jc w:val="center"/>
            </w:pPr>
            <w:r>
              <w:t>$</w:t>
            </w:r>
            <w:r w:rsidR="00D930BE">
              <w:t>4,463,686</w:t>
            </w:r>
          </w:p>
        </w:tc>
      </w:tr>
      <w:tr w14:paraId="7EF8EF64" w14:textId="77777777" w:rsidTr="00B4645A">
        <w:tblPrEx>
          <w:tblW w:w="13685" w:type="dxa"/>
          <w:jc w:val="center"/>
          <w:tblLayout w:type="fixed"/>
          <w:tblLook w:val="01E0"/>
        </w:tblPrEx>
        <w:trPr>
          <w:jc w:val="center"/>
        </w:trPr>
        <w:tc>
          <w:tcPr>
            <w:tcW w:w="2633" w:type="dxa"/>
            <w:shd w:val="clear" w:color="auto" w:fill="DEEBF6" w:themeFill="accent1" w:themeFillTint="33"/>
          </w:tcPr>
          <w:p w:rsidR="00B056BD" w:rsidRPr="007056ED" w:rsidP="001F320C" w14:paraId="45C47F65" w14:textId="77777777">
            <w:pPr>
              <w:rPr>
                <w:b/>
                <w:color w:val="000000"/>
              </w:rPr>
            </w:pPr>
            <w:r w:rsidRPr="007056ED">
              <w:rPr>
                <w:b/>
                <w:color w:val="000000"/>
              </w:rPr>
              <w:t>Subtotal</w:t>
            </w:r>
          </w:p>
        </w:tc>
        <w:tc>
          <w:tcPr>
            <w:tcW w:w="1350" w:type="dxa"/>
            <w:shd w:val="clear" w:color="auto" w:fill="DEEBF6" w:themeFill="accent1" w:themeFillTint="33"/>
            <w:vAlign w:val="center"/>
          </w:tcPr>
          <w:p w:rsidR="00B056BD" w:rsidRPr="002C0B15" w:rsidP="00B4645A" w14:paraId="1E5817D1" w14:textId="77777777">
            <w:pPr>
              <w:jc w:val="center"/>
            </w:pPr>
          </w:p>
        </w:tc>
        <w:tc>
          <w:tcPr>
            <w:tcW w:w="1260" w:type="dxa"/>
            <w:shd w:val="clear" w:color="auto" w:fill="DEEBF6" w:themeFill="accent1" w:themeFillTint="33"/>
            <w:vAlign w:val="center"/>
          </w:tcPr>
          <w:p w:rsidR="00B056BD" w:rsidRPr="00AB0B90" w:rsidP="00B4645A" w14:paraId="34966366" w14:textId="77777777">
            <w:pPr>
              <w:jc w:val="center"/>
            </w:pPr>
          </w:p>
        </w:tc>
        <w:tc>
          <w:tcPr>
            <w:tcW w:w="1170" w:type="dxa"/>
            <w:shd w:val="clear" w:color="auto" w:fill="DEEBF6" w:themeFill="accent1" w:themeFillTint="33"/>
            <w:vAlign w:val="center"/>
          </w:tcPr>
          <w:p w:rsidR="00B056BD" w:rsidRPr="00F14192" w:rsidP="00B4645A" w14:paraId="08701BEC" w14:textId="77777777">
            <w:pPr>
              <w:jc w:val="center"/>
            </w:pPr>
          </w:p>
        </w:tc>
        <w:tc>
          <w:tcPr>
            <w:tcW w:w="1440" w:type="dxa"/>
            <w:shd w:val="clear" w:color="auto" w:fill="DEEBF6" w:themeFill="accent1" w:themeFillTint="33"/>
            <w:vAlign w:val="center"/>
          </w:tcPr>
          <w:p w:rsidR="00B056BD" w:rsidRPr="007056ED" w:rsidP="00B4645A" w14:paraId="4FEBD45F" w14:textId="21520D90">
            <w:pPr>
              <w:jc w:val="center"/>
              <w:rPr>
                <w:b/>
              </w:rPr>
            </w:pPr>
            <w:r>
              <w:rPr>
                <w:b/>
              </w:rPr>
              <w:t>563,</w:t>
            </w:r>
            <w:r w:rsidR="009F3CEA">
              <w:rPr>
                <w:b/>
              </w:rPr>
              <w:t>626</w:t>
            </w:r>
          </w:p>
        </w:tc>
        <w:tc>
          <w:tcPr>
            <w:tcW w:w="1260" w:type="dxa"/>
            <w:shd w:val="clear" w:color="auto" w:fill="DEEBF6" w:themeFill="accent1" w:themeFillTint="33"/>
            <w:vAlign w:val="center"/>
          </w:tcPr>
          <w:p w:rsidR="00B056BD" w:rsidRPr="00401AC9" w:rsidP="00B4645A" w14:paraId="253F1DB9" w14:textId="77777777">
            <w:pPr>
              <w:jc w:val="center"/>
            </w:pPr>
          </w:p>
        </w:tc>
        <w:tc>
          <w:tcPr>
            <w:tcW w:w="1620" w:type="dxa"/>
            <w:shd w:val="clear" w:color="auto" w:fill="DEEBF6" w:themeFill="accent1" w:themeFillTint="33"/>
            <w:vAlign w:val="center"/>
          </w:tcPr>
          <w:p w:rsidR="00B056BD" w:rsidRPr="007056ED" w:rsidP="00B4645A" w14:paraId="01641A8D" w14:textId="63DF17A4">
            <w:pPr>
              <w:jc w:val="center"/>
              <w:rPr>
                <w:b/>
              </w:rPr>
            </w:pPr>
            <w:r>
              <w:rPr>
                <w:b/>
              </w:rPr>
              <w:t>710,088</w:t>
            </w:r>
          </w:p>
        </w:tc>
        <w:tc>
          <w:tcPr>
            <w:tcW w:w="1350" w:type="dxa"/>
            <w:shd w:val="clear" w:color="auto" w:fill="DEEBF6" w:themeFill="accent1" w:themeFillTint="33"/>
            <w:vAlign w:val="center"/>
          </w:tcPr>
          <w:p w:rsidR="00B056BD" w:rsidRPr="00F14192" w:rsidP="00B4645A" w14:paraId="785B4C9D" w14:textId="77777777">
            <w:pPr>
              <w:jc w:val="center"/>
            </w:pPr>
          </w:p>
        </w:tc>
        <w:tc>
          <w:tcPr>
            <w:tcW w:w="1602" w:type="dxa"/>
            <w:shd w:val="clear" w:color="auto" w:fill="DEEBF6" w:themeFill="accent1" w:themeFillTint="33"/>
            <w:vAlign w:val="center"/>
          </w:tcPr>
          <w:p w:rsidR="00B056BD" w:rsidRPr="007056ED" w:rsidP="00B4645A" w14:paraId="6197287B" w14:textId="0E8F9D65">
            <w:pPr>
              <w:jc w:val="center"/>
              <w:rPr>
                <w:b/>
              </w:rPr>
            </w:pPr>
            <w:r w:rsidRPr="007056ED">
              <w:rPr>
                <w:b/>
              </w:rPr>
              <w:t>$</w:t>
            </w:r>
            <w:r w:rsidR="00BC252D">
              <w:rPr>
                <w:b/>
              </w:rPr>
              <w:t>52,036,648</w:t>
            </w:r>
          </w:p>
        </w:tc>
      </w:tr>
      <w:tr w14:paraId="711FC804" w14:textId="77777777" w:rsidTr="00781E36">
        <w:tblPrEx>
          <w:tblW w:w="13685" w:type="dxa"/>
          <w:jc w:val="center"/>
          <w:tblLayout w:type="fixed"/>
          <w:tblLook w:val="01E0"/>
        </w:tblPrEx>
        <w:trPr>
          <w:trHeight w:val="323"/>
          <w:jc w:val="center"/>
        </w:trPr>
        <w:tc>
          <w:tcPr>
            <w:tcW w:w="13685" w:type="dxa"/>
            <w:gridSpan w:val="9"/>
            <w:shd w:val="clear" w:color="auto" w:fill="EDEDED"/>
            <w:vAlign w:val="center"/>
          </w:tcPr>
          <w:p w:rsidR="00CC7000" w:rsidRPr="00F14192" w:rsidP="00781E36" w14:paraId="53D36D95" w14:textId="72E07FC2">
            <w:r w:rsidRPr="00327942">
              <w:rPr>
                <w:color w:val="000000"/>
              </w:rPr>
              <w:t>2. Written Hazard Communication Program (Existing Establishments)</w:t>
            </w:r>
          </w:p>
        </w:tc>
      </w:tr>
      <w:tr w14:paraId="42BC99B8" w14:textId="77777777" w:rsidTr="00B4645A">
        <w:tblPrEx>
          <w:tblW w:w="13685" w:type="dxa"/>
          <w:jc w:val="center"/>
          <w:tblLayout w:type="fixed"/>
          <w:tblLook w:val="01E0"/>
        </w:tblPrEx>
        <w:trPr>
          <w:jc w:val="center"/>
        </w:trPr>
        <w:tc>
          <w:tcPr>
            <w:tcW w:w="2633" w:type="dxa"/>
            <w:shd w:val="clear" w:color="auto" w:fill="auto"/>
          </w:tcPr>
          <w:p w:rsidR="00081C0A" w:rsidRPr="00327942" w:rsidP="00081C0A" w14:paraId="6B4927F4" w14:textId="77777777">
            <w:pPr>
              <w:rPr>
                <w:color w:val="000000"/>
              </w:rPr>
            </w:pPr>
            <w:r>
              <w:rPr>
                <w:color w:val="000000"/>
              </w:rPr>
              <w:t>Manufacturing</w:t>
            </w:r>
          </w:p>
        </w:tc>
        <w:tc>
          <w:tcPr>
            <w:tcW w:w="1350" w:type="dxa"/>
            <w:shd w:val="clear" w:color="auto" w:fill="auto"/>
            <w:vAlign w:val="center"/>
          </w:tcPr>
          <w:p w:rsidR="00081C0A" w:rsidRPr="002C0B15" w:rsidP="00B4645A" w14:paraId="708EA80F" w14:textId="2E3D8AB1">
            <w:pPr>
              <w:jc w:val="center"/>
            </w:pPr>
            <w:r>
              <w:t>71,590</w:t>
            </w:r>
          </w:p>
        </w:tc>
        <w:tc>
          <w:tcPr>
            <w:tcW w:w="1260" w:type="dxa"/>
            <w:shd w:val="clear" w:color="auto" w:fill="auto"/>
            <w:vAlign w:val="center"/>
          </w:tcPr>
          <w:p w:rsidR="00081C0A" w:rsidRPr="00AB0B90" w:rsidP="00B4645A" w14:paraId="2BD2415C" w14:textId="77777777">
            <w:pPr>
              <w:jc w:val="center"/>
            </w:pPr>
            <w:r>
              <w:t>40%</w:t>
            </w:r>
          </w:p>
        </w:tc>
        <w:tc>
          <w:tcPr>
            <w:tcW w:w="1170" w:type="dxa"/>
            <w:vAlign w:val="center"/>
          </w:tcPr>
          <w:p w:rsidR="00081C0A" w:rsidRPr="00F14192" w:rsidP="00B4645A" w14:paraId="3C222E47" w14:textId="77777777">
            <w:pPr>
              <w:jc w:val="center"/>
            </w:pPr>
            <w:r>
              <w:t>1</w:t>
            </w:r>
          </w:p>
        </w:tc>
        <w:tc>
          <w:tcPr>
            <w:tcW w:w="1440" w:type="dxa"/>
            <w:shd w:val="clear" w:color="auto" w:fill="auto"/>
            <w:vAlign w:val="center"/>
          </w:tcPr>
          <w:p w:rsidR="00081C0A" w:rsidRPr="00F14192" w:rsidP="00B4645A" w14:paraId="06563B0E" w14:textId="09FE745B">
            <w:pPr>
              <w:jc w:val="center"/>
            </w:pPr>
            <w:r>
              <w:t>28,636</w:t>
            </w:r>
          </w:p>
        </w:tc>
        <w:tc>
          <w:tcPr>
            <w:tcW w:w="1260" w:type="dxa"/>
            <w:shd w:val="clear" w:color="auto" w:fill="auto"/>
            <w:vAlign w:val="center"/>
          </w:tcPr>
          <w:p w:rsidR="00081C0A" w:rsidRPr="00401AC9" w:rsidP="00B4645A" w14:paraId="352432B9" w14:textId="77777777">
            <w:pPr>
              <w:jc w:val="center"/>
            </w:pPr>
            <w:r>
              <w:t>1 hour</w:t>
            </w:r>
          </w:p>
        </w:tc>
        <w:tc>
          <w:tcPr>
            <w:tcW w:w="1620" w:type="dxa"/>
            <w:shd w:val="clear" w:color="auto" w:fill="auto"/>
            <w:vAlign w:val="center"/>
          </w:tcPr>
          <w:p w:rsidR="00081C0A" w:rsidRPr="00F14192" w:rsidP="00B4645A" w14:paraId="48BAA43F" w14:textId="01C2888D">
            <w:pPr>
              <w:jc w:val="center"/>
            </w:pPr>
            <w:r>
              <w:t>28,636</w:t>
            </w:r>
          </w:p>
        </w:tc>
        <w:tc>
          <w:tcPr>
            <w:tcW w:w="1350" w:type="dxa"/>
            <w:vAlign w:val="center"/>
          </w:tcPr>
          <w:p w:rsidR="00081C0A" w:rsidRPr="00F14192" w:rsidP="00B4645A" w14:paraId="3B3BD1D7" w14:textId="72A440FE">
            <w:pPr>
              <w:jc w:val="center"/>
            </w:pPr>
            <w:r>
              <w:t>$</w:t>
            </w:r>
            <w:r w:rsidR="00E95AD9">
              <w:t>83.62</w:t>
            </w:r>
          </w:p>
        </w:tc>
        <w:tc>
          <w:tcPr>
            <w:tcW w:w="1602" w:type="dxa"/>
            <w:vAlign w:val="center"/>
          </w:tcPr>
          <w:p w:rsidR="00081C0A" w:rsidRPr="00F14192" w:rsidP="00B4645A" w14:paraId="00EDED7E" w14:textId="03AB9D85">
            <w:pPr>
              <w:jc w:val="center"/>
            </w:pPr>
            <w:r>
              <w:t>$</w:t>
            </w:r>
            <w:r w:rsidR="000F4BC5">
              <w:t>2,394,542</w:t>
            </w:r>
          </w:p>
        </w:tc>
      </w:tr>
      <w:tr w14:paraId="25FD9679" w14:textId="77777777" w:rsidTr="00B4645A">
        <w:tblPrEx>
          <w:tblW w:w="13685" w:type="dxa"/>
          <w:jc w:val="center"/>
          <w:tblLayout w:type="fixed"/>
          <w:tblLook w:val="01E0"/>
        </w:tblPrEx>
        <w:trPr>
          <w:jc w:val="center"/>
        </w:trPr>
        <w:tc>
          <w:tcPr>
            <w:tcW w:w="2633" w:type="dxa"/>
            <w:shd w:val="clear" w:color="auto" w:fill="auto"/>
          </w:tcPr>
          <w:p w:rsidR="00081C0A" w:rsidRPr="00327942" w:rsidP="00081C0A" w14:paraId="5862025B" w14:textId="77777777">
            <w:pPr>
              <w:rPr>
                <w:color w:val="000000"/>
              </w:rPr>
            </w:pPr>
            <w:r>
              <w:rPr>
                <w:color w:val="000000"/>
              </w:rPr>
              <w:t>Non-Manufacturing</w:t>
            </w:r>
          </w:p>
        </w:tc>
        <w:tc>
          <w:tcPr>
            <w:tcW w:w="1350" w:type="dxa"/>
            <w:shd w:val="clear" w:color="auto" w:fill="auto"/>
            <w:vAlign w:val="center"/>
          </w:tcPr>
          <w:p w:rsidR="00081C0A" w:rsidRPr="002C0B15" w:rsidP="00B4645A" w14:paraId="4301528C" w14:textId="0622B8F5">
            <w:pPr>
              <w:jc w:val="center"/>
            </w:pPr>
            <w:r>
              <w:t>4,804,784</w:t>
            </w:r>
          </w:p>
        </w:tc>
        <w:tc>
          <w:tcPr>
            <w:tcW w:w="1260" w:type="dxa"/>
            <w:shd w:val="clear" w:color="auto" w:fill="auto"/>
            <w:vAlign w:val="center"/>
          </w:tcPr>
          <w:p w:rsidR="00081C0A" w:rsidRPr="00AB0B90" w:rsidP="00B4645A" w14:paraId="24C89782" w14:textId="77777777">
            <w:pPr>
              <w:jc w:val="center"/>
            </w:pPr>
            <w:r>
              <w:t>40%</w:t>
            </w:r>
          </w:p>
        </w:tc>
        <w:tc>
          <w:tcPr>
            <w:tcW w:w="1170" w:type="dxa"/>
            <w:vAlign w:val="center"/>
          </w:tcPr>
          <w:p w:rsidR="00081C0A" w:rsidRPr="00F14192" w:rsidP="00B4645A" w14:paraId="3E69171D" w14:textId="77777777">
            <w:pPr>
              <w:jc w:val="center"/>
            </w:pPr>
            <w:r>
              <w:t>1</w:t>
            </w:r>
          </w:p>
        </w:tc>
        <w:tc>
          <w:tcPr>
            <w:tcW w:w="1440" w:type="dxa"/>
            <w:shd w:val="clear" w:color="auto" w:fill="auto"/>
            <w:vAlign w:val="center"/>
          </w:tcPr>
          <w:p w:rsidR="00081C0A" w:rsidRPr="00F14192" w:rsidP="00B4645A" w14:paraId="60A898E9" w14:textId="0AB5D3B5">
            <w:pPr>
              <w:jc w:val="center"/>
            </w:pPr>
            <w:r>
              <w:t>1,921,914</w:t>
            </w:r>
          </w:p>
        </w:tc>
        <w:tc>
          <w:tcPr>
            <w:tcW w:w="1260" w:type="dxa"/>
            <w:shd w:val="clear" w:color="auto" w:fill="auto"/>
            <w:vAlign w:val="center"/>
          </w:tcPr>
          <w:p w:rsidR="00081C0A" w:rsidRPr="00401AC9" w:rsidP="00B4645A" w14:paraId="3EFF19A2" w14:textId="77777777">
            <w:pPr>
              <w:jc w:val="center"/>
            </w:pPr>
            <w:r>
              <w:t>0.5 hour</w:t>
            </w:r>
          </w:p>
        </w:tc>
        <w:tc>
          <w:tcPr>
            <w:tcW w:w="1620" w:type="dxa"/>
            <w:shd w:val="clear" w:color="auto" w:fill="auto"/>
            <w:vAlign w:val="center"/>
          </w:tcPr>
          <w:p w:rsidR="00081C0A" w:rsidRPr="00F14192" w:rsidP="00B4645A" w14:paraId="5B872069" w14:textId="7C877C06">
            <w:pPr>
              <w:jc w:val="center"/>
            </w:pPr>
            <w:r>
              <w:t>960,957</w:t>
            </w:r>
          </w:p>
        </w:tc>
        <w:tc>
          <w:tcPr>
            <w:tcW w:w="1350" w:type="dxa"/>
            <w:vAlign w:val="center"/>
          </w:tcPr>
          <w:p w:rsidR="00081C0A" w:rsidRPr="00F14192" w:rsidP="00B4645A" w14:paraId="69F33DB3" w14:textId="511001B9">
            <w:pPr>
              <w:jc w:val="center"/>
            </w:pPr>
            <w:r>
              <w:t>$</w:t>
            </w:r>
            <w:r w:rsidR="00E95AD9">
              <w:t>83.62</w:t>
            </w:r>
          </w:p>
        </w:tc>
        <w:tc>
          <w:tcPr>
            <w:tcW w:w="1602" w:type="dxa"/>
            <w:vAlign w:val="center"/>
          </w:tcPr>
          <w:p w:rsidR="00081C0A" w:rsidRPr="00F14192" w:rsidP="00B4645A" w14:paraId="3392E8E6" w14:textId="35A0BA60">
            <w:pPr>
              <w:jc w:val="center"/>
            </w:pPr>
            <w:r>
              <w:t>$</w:t>
            </w:r>
            <w:r w:rsidR="0061253C">
              <w:t>80,</w:t>
            </w:r>
            <w:r w:rsidR="006C2A59">
              <w:t>355,224</w:t>
            </w:r>
          </w:p>
        </w:tc>
      </w:tr>
      <w:tr w14:paraId="3F8DEF8D" w14:textId="77777777" w:rsidTr="00B4645A">
        <w:tblPrEx>
          <w:tblW w:w="13685" w:type="dxa"/>
          <w:jc w:val="center"/>
          <w:tblLayout w:type="fixed"/>
          <w:tblLook w:val="01E0"/>
        </w:tblPrEx>
        <w:trPr>
          <w:jc w:val="center"/>
        </w:trPr>
        <w:tc>
          <w:tcPr>
            <w:tcW w:w="2633" w:type="dxa"/>
            <w:shd w:val="clear" w:color="auto" w:fill="DEEBF6" w:themeFill="accent1" w:themeFillTint="33"/>
          </w:tcPr>
          <w:p w:rsidR="00D2189A" w:rsidRPr="007056ED" w:rsidP="001F320C" w14:paraId="0C826E69" w14:textId="77777777">
            <w:pPr>
              <w:rPr>
                <w:b/>
                <w:color w:val="000000"/>
              </w:rPr>
            </w:pPr>
            <w:r w:rsidRPr="007056ED">
              <w:rPr>
                <w:b/>
                <w:color w:val="000000"/>
              </w:rPr>
              <w:t>Subtotal</w:t>
            </w:r>
          </w:p>
        </w:tc>
        <w:tc>
          <w:tcPr>
            <w:tcW w:w="1350" w:type="dxa"/>
            <w:shd w:val="clear" w:color="auto" w:fill="DEEBF6" w:themeFill="accent1" w:themeFillTint="33"/>
            <w:vAlign w:val="center"/>
          </w:tcPr>
          <w:p w:rsidR="00D2189A" w:rsidRPr="007056ED" w:rsidP="00B4645A" w14:paraId="02D26C71" w14:textId="77777777">
            <w:pPr>
              <w:jc w:val="center"/>
              <w:rPr>
                <w:b/>
              </w:rPr>
            </w:pPr>
          </w:p>
        </w:tc>
        <w:tc>
          <w:tcPr>
            <w:tcW w:w="1260" w:type="dxa"/>
            <w:shd w:val="clear" w:color="auto" w:fill="DEEBF6" w:themeFill="accent1" w:themeFillTint="33"/>
            <w:vAlign w:val="center"/>
          </w:tcPr>
          <w:p w:rsidR="00D2189A" w:rsidRPr="007056ED" w:rsidP="00B4645A" w14:paraId="5D96EAAA" w14:textId="77777777">
            <w:pPr>
              <w:jc w:val="center"/>
              <w:rPr>
                <w:b/>
              </w:rPr>
            </w:pPr>
          </w:p>
        </w:tc>
        <w:tc>
          <w:tcPr>
            <w:tcW w:w="1170" w:type="dxa"/>
            <w:shd w:val="clear" w:color="auto" w:fill="DEEBF6" w:themeFill="accent1" w:themeFillTint="33"/>
            <w:vAlign w:val="center"/>
          </w:tcPr>
          <w:p w:rsidR="00D2189A" w:rsidRPr="007056ED" w:rsidP="00B4645A" w14:paraId="01B55DC5" w14:textId="77777777">
            <w:pPr>
              <w:jc w:val="center"/>
              <w:rPr>
                <w:b/>
              </w:rPr>
            </w:pPr>
          </w:p>
        </w:tc>
        <w:tc>
          <w:tcPr>
            <w:tcW w:w="1440" w:type="dxa"/>
            <w:shd w:val="clear" w:color="auto" w:fill="DEEBF6" w:themeFill="accent1" w:themeFillTint="33"/>
            <w:vAlign w:val="center"/>
          </w:tcPr>
          <w:p w:rsidR="00D2189A" w:rsidRPr="007056ED" w:rsidP="00B4645A" w14:paraId="25DB092A" w14:textId="078AAA66">
            <w:pPr>
              <w:jc w:val="center"/>
              <w:rPr>
                <w:b/>
              </w:rPr>
            </w:pPr>
            <w:r>
              <w:rPr>
                <w:b/>
              </w:rPr>
              <w:t>1,950,550</w:t>
            </w:r>
          </w:p>
        </w:tc>
        <w:tc>
          <w:tcPr>
            <w:tcW w:w="1260" w:type="dxa"/>
            <w:shd w:val="clear" w:color="auto" w:fill="DEEBF6" w:themeFill="accent1" w:themeFillTint="33"/>
            <w:vAlign w:val="center"/>
          </w:tcPr>
          <w:p w:rsidR="00D2189A" w:rsidRPr="007056ED" w:rsidP="00B4645A" w14:paraId="5EFB4562" w14:textId="77777777">
            <w:pPr>
              <w:jc w:val="center"/>
              <w:rPr>
                <w:b/>
              </w:rPr>
            </w:pPr>
          </w:p>
        </w:tc>
        <w:tc>
          <w:tcPr>
            <w:tcW w:w="1620" w:type="dxa"/>
            <w:shd w:val="clear" w:color="auto" w:fill="DEEBF6" w:themeFill="accent1" w:themeFillTint="33"/>
            <w:vAlign w:val="center"/>
          </w:tcPr>
          <w:p w:rsidR="00D2189A" w:rsidRPr="007056ED" w:rsidP="00B4645A" w14:paraId="68A1A920" w14:textId="6DB7D083">
            <w:pPr>
              <w:jc w:val="center"/>
              <w:rPr>
                <w:b/>
              </w:rPr>
            </w:pPr>
            <w:r>
              <w:rPr>
                <w:b/>
              </w:rPr>
              <w:t>989,593</w:t>
            </w:r>
          </w:p>
        </w:tc>
        <w:tc>
          <w:tcPr>
            <w:tcW w:w="1350" w:type="dxa"/>
            <w:shd w:val="clear" w:color="auto" w:fill="DEEBF6" w:themeFill="accent1" w:themeFillTint="33"/>
            <w:vAlign w:val="center"/>
          </w:tcPr>
          <w:p w:rsidR="00D2189A" w:rsidRPr="007056ED" w:rsidP="00B4645A" w14:paraId="1CE21961" w14:textId="77777777">
            <w:pPr>
              <w:jc w:val="center"/>
              <w:rPr>
                <w:b/>
              </w:rPr>
            </w:pPr>
          </w:p>
        </w:tc>
        <w:tc>
          <w:tcPr>
            <w:tcW w:w="1602" w:type="dxa"/>
            <w:shd w:val="clear" w:color="auto" w:fill="DEEBF6" w:themeFill="accent1" w:themeFillTint="33"/>
            <w:vAlign w:val="center"/>
          </w:tcPr>
          <w:p w:rsidR="00D2189A" w:rsidRPr="007056ED" w:rsidP="00B4645A" w14:paraId="28F44F2B" w14:textId="094724AA">
            <w:pPr>
              <w:jc w:val="center"/>
              <w:rPr>
                <w:b/>
              </w:rPr>
            </w:pPr>
            <w:r>
              <w:rPr>
                <w:b/>
              </w:rPr>
              <w:t>$</w:t>
            </w:r>
            <w:r w:rsidR="006C2A59">
              <w:rPr>
                <w:b/>
              </w:rPr>
              <w:t>82,</w:t>
            </w:r>
            <w:r w:rsidR="009509A9">
              <w:rPr>
                <w:b/>
              </w:rPr>
              <w:t>749,767</w:t>
            </w:r>
          </w:p>
        </w:tc>
      </w:tr>
      <w:tr w14:paraId="72AE77B2" w14:textId="77777777" w:rsidTr="00781E36">
        <w:tblPrEx>
          <w:tblW w:w="13685" w:type="dxa"/>
          <w:jc w:val="center"/>
          <w:tblLayout w:type="fixed"/>
          <w:tblLook w:val="01E0"/>
        </w:tblPrEx>
        <w:trPr>
          <w:trHeight w:val="347"/>
          <w:jc w:val="center"/>
        </w:trPr>
        <w:tc>
          <w:tcPr>
            <w:tcW w:w="2633" w:type="dxa"/>
            <w:shd w:val="clear" w:color="auto" w:fill="EDEDED"/>
            <w:vAlign w:val="center"/>
          </w:tcPr>
          <w:p w:rsidR="00C74A0A" w:rsidRPr="00327942" w:rsidP="00715B3A" w14:paraId="432BC046" w14:textId="77777777">
            <w:pPr>
              <w:rPr>
                <w:color w:val="000000"/>
              </w:rPr>
            </w:pPr>
            <w:r w:rsidRPr="00327942">
              <w:rPr>
                <w:color w:val="000000"/>
              </w:rPr>
              <w:t>3.Hazard Classification</w:t>
            </w:r>
          </w:p>
        </w:tc>
        <w:tc>
          <w:tcPr>
            <w:tcW w:w="1350" w:type="dxa"/>
            <w:shd w:val="clear" w:color="auto" w:fill="EDEDED"/>
          </w:tcPr>
          <w:p w:rsidR="00C74A0A" w:rsidRPr="00FF1F12" w:rsidP="001F320C" w14:paraId="007C2549" w14:textId="77777777">
            <w:pPr>
              <w:jc w:val="right"/>
            </w:pPr>
          </w:p>
        </w:tc>
        <w:tc>
          <w:tcPr>
            <w:tcW w:w="1260" w:type="dxa"/>
            <w:shd w:val="clear" w:color="auto" w:fill="EDEDED"/>
          </w:tcPr>
          <w:p w:rsidR="00C74A0A" w:rsidRPr="00AB0B90" w:rsidP="001F320C" w14:paraId="35AF0B8E" w14:textId="77777777">
            <w:pPr>
              <w:jc w:val="right"/>
            </w:pPr>
          </w:p>
        </w:tc>
        <w:tc>
          <w:tcPr>
            <w:tcW w:w="1170" w:type="dxa"/>
            <w:shd w:val="clear" w:color="auto" w:fill="EDEDED"/>
          </w:tcPr>
          <w:p w:rsidR="00C74A0A" w:rsidRPr="00F14192" w:rsidP="001F320C" w14:paraId="175B1C9C" w14:textId="77777777">
            <w:pPr>
              <w:jc w:val="right"/>
            </w:pPr>
          </w:p>
        </w:tc>
        <w:tc>
          <w:tcPr>
            <w:tcW w:w="1440" w:type="dxa"/>
            <w:shd w:val="clear" w:color="auto" w:fill="EDEDED"/>
          </w:tcPr>
          <w:p w:rsidR="00C74A0A" w:rsidRPr="00F14192" w:rsidP="001F320C" w14:paraId="1D653955" w14:textId="77777777">
            <w:pPr>
              <w:jc w:val="right"/>
            </w:pPr>
          </w:p>
        </w:tc>
        <w:tc>
          <w:tcPr>
            <w:tcW w:w="1260" w:type="dxa"/>
            <w:shd w:val="clear" w:color="auto" w:fill="EDEDED"/>
          </w:tcPr>
          <w:p w:rsidR="00C74A0A" w:rsidRPr="00401AC9" w:rsidP="001F320C" w14:paraId="4F552F3F" w14:textId="77777777">
            <w:pPr>
              <w:jc w:val="right"/>
            </w:pPr>
          </w:p>
        </w:tc>
        <w:tc>
          <w:tcPr>
            <w:tcW w:w="1620" w:type="dxa"/>
            <w:shd w:val="clear" w:color="auto" w:fill="EDEDED"/>
          </w:tcPr>
          <w:p w:rsidR="00C74A0A" w:rsidRPr="00F14192" w:rsidP="001F320C" w14:paraId="120254AA" w14:textId="77777777">
            <w:pPr>
              <w:jc w:val="right"/>
            </w:pPr>
          </w:p>
        </w:tc>
        <w:tc>
          <w:tcPr>
            <w:tcW w:w="1350" w:type="dxa"/>
            <w:shd w:val="clear" w:color="auto" w:fill="EDEDED"/>
          </w:tcPr>
          <w:p w:rsidR="00C74A0A" w:rsidRPr="00F14192" w:rsidP="001F320C" w14:paraId="7E76A9E3" w14:textId="77777777">
            <w:pPr>
              <w:jc w:val="right"/>
            </w:pPr>
          </w:p>
        </w:tc>
        <w:tc>
          <w:tcPr>
            <w:tcW w:w="1602" w:type="dxa"/>
            <w:shd w:val="clear" w:color="auto" w:fill="EDEDED"/>
          </w:tcPr>
          <w:p w:rsidR="00C74A0A" w:rsidRPr="00F14192" w:rsidP="001F320C" w14:paraId="29606925" w14:textId="77777777">
            <w:pPr>
              <w:jc w:val="right"/>
            </w:pPr>
          </w:p>
        </w:tc>
      </w:tr>
      <w:tr w14:paraId="53616CC0" w14:textId="77777777" w:rsidTr="00B4645A">
        <w:tblPrEx>
          <w:tblW w:w="13685" w:type="dxa"/>
          <w:jc w:val="center"/>
          <w:tblLayout w:type="fixed"/>
          <w:tblLook w:val="01E0"/>
        </w:tblPrEx>
        <w:trPr>
          <w:trHeight w:val="347"/>
          <w:jc w:val="center"/>
        </w:trPr>
        <w:tc>
          <w:tcPr>
            <w:tcW w:w="2633" w:type="dxa"/>
            <w:shd w:val="clear" w:color="auto" w:fill="auto"/>
          </w:tcPr>
          <w:p w:rsidR="005C2632" w:rsidRPr="00327942" w:rsidP="001F320C" w14:paraId="2A32DDE7" w14:textId="77777777">
            <w:pPr>
              <w:rPr>
                <w:color w:val="000000"/>
              </w:rPr>
            </w:pPr>
          </w:p>
        </w:tc>
        <w:tc>
          <w:tcPr>
            <w:tcW w:w="1350" w:type="dxa"/>
            <w:shd w:val="clear" w:color="auto" w:fill="auto"/>
            <w:vAlign w:val="center"/>
          </w:tcPr>
          <w:p w:rsidR="005C2632" w:rsidP="00B4645A" w14:paraId="7C77B2AB" w14:textId="0ABDA10C">
            <w:pPr>
              <w:jc w:val="center"/>
            </w:pPr>
            <w:r>
              <w:t>1,453,774</w:t>
            </w:r>
          </w:p>
        </w:tc>
        <w:tc>
          <w:tcPr>
            <w:tcW w:w="1260" w:type="dxa"/>
            <w:shd w:val="clear" w:color="auto" w:fill="auto"/>
            <w:vAlign w:val="center"/>
          </w:tcPr>
          <w:p w:rsidR="005C2632" w:rsidP="00B4645A" w14:paraId="170E3C77" w14:textId="77777777">
            <w:pPr>
              <w:jc w:val="center"/>
            </w:pPr>
            <w:r>
              <w:t>40%</w:t>
            </w:r>
          </w:p>
        </w:tc>
        <w:tc>
          <w:tcPr>
            <w:tcW w:w="1170" w:type="dxa"/>
            <w:vAlign w:val="center"/>
          </w:tcPr>
          <w:p w:rsidR="005C2632" w:rsidP="00B4645A" w14:paraId="18325BE7" w14:textId="77777777">
            <w:pPr>
              <w:jc w:val="center"/>
            </w:pPr>
            <w:r>
              <w:t>0.08</w:t>
            </w:r>
          </w:p>
        </w:tc>
        <w:tc>
          <w:tcPr>
            <w:tcW w:w="1440" w:type="dxa"/>
            <w:shd w:val="clear" w:color="auto" w:fill="auto"/>
            <w:vAlign w:val="center"/>
          </w:tcPr>
          <w:p w:rsidR="005C2632" w:rsidP="00B4645A" w14:paraId="5EFC6902" w14:textId="094D69EC">
            <w:pPr>
              <w:jc w:val="center"/>
            </w:pPr>
            <w:r>
              <w:t>46,521</w:t>
            </w:r>
          </w:p>
        </w:tc>
        <w:tc>
          <w:tcPr>
            <w:tcW w:w="1260" w:type="dxa"/>
            <w:shd w:val="clear" w:color="auto" w:fill="auto"/>
            <w:vAlign w:val="center"/>
          </w:tcPr>
          <w:p w:rsidR="005C2632" w:rsidP="00B4645A" w14:paraId="1455657E" w14:textId="77777777">
            <w:pPr>
              <w:jc w:val="center"/>
              <w:rPr>
                <w:bCs/>
              </w:rPr>
            </w:pPr>
            <w:r>
              <w:rPr>
                <w:bCs/>
              </w:rPr>
              <w:t>8 hours</w:t>
            </w:r>
          </w:p>
        </w:tc>
        <w:tc>
          <w:tcPr>
            <w:tcW w:w="1620" w:type="dxa"/>
            <w:shd w:val="clear" w:color="auto" w:fill="auto"/>
            <w:vAlign w:val="center"/>
          </w:tcPr>
          <w:p w:rsidR="005C2632" w:rsidP="00B4645A" w14:paraId="2B235E9A" w14:textId="6C03E8C4">
            <w:pPr>
              <w:jc w:val="center"/>
            </w:pPr>
            <w:r>
              <w:t>372,168</w:t>
            </w:r>
          </w:p>
        </w:tc>
        <w:tc>
          <w:tcPr>
            <w:tcW w:w="1350" w:type="dxa"/>
            <w:vAlign w:val="center"/>
          </w:tcPr>
          <w:p w:rsidR="005C2632" w:rsidP="00B4645A" w14:paraId="06F10CE5" w14:textId="0AE32A54">
            <w:pPr>
              <w:jc w:val="center"/>
            </w:pPr>
            <w:r>
              <w:t>$</w:t>
            </w:r>
            <w:r w:rsidR="00E95AD9">
              <w:t>83.62</w:t>
            </w:r>
          </w:p>
        </w:tc>
        <w:tc>
          <w:tcPr>
            <w:tcW w:w="1602" w:type="dxa"/>
            <w:vAlign w:val="center"/>
          </w:tcPr>
          <w:p w:rsidR="005C2632" w:rsidRPr="00F14192" w:rsidP="00B4645A" w14:paraId="68886396" w14:textId="4C3A6515">
            <w:pPr>
              <w:jc w:val="center"/>
            </w:pPr>
            <w:r>
              <w:t>$</w:t>
            </w:r>
            <w:r w:rsidR="00840A5F">
              <w:t>31,120,688</w:t>
            </w:r>
          </w:p>
        </w:tc>
      </w:tr>
      <w:tr w14:paraId="364640A5" w14:textId="77777777" w:rsidTr="00B4645A">
        <w:tblPrEx>
          <w:tblW w:w="13685" w:type="dxa"/>
          <w:jc w:val="center"/>
          <w:tblLayout w:type="fixed"/>
          <w:tblLook w:val="01E0"/>
        </w:tblPrEx>
        <w:trPr>
          <w:trHeight w:val="283"/>
          <w:jc w:val="center"/>
        </w:trPr>
        <w:tc>
          <w:tcPr>
            <w:tcW w:w="2633" w:type="dxa"/>
            <w:shd w:val="clear" w:color="auto" w:fill="DEEBF6" w:themeFill="accent1" w:themeFillTint="33"/>
          </w:tcPr>
          <w:p w:rsidR="005C2632" w:rsidRPr="00327942" w:rsidP="001F320C" w14:paraId="5B95D3DF" w14:textId="77777777">
            <w:pPr>
              <w:rPr>
                <w:color w:val="000000"/>
              </w:rPr>
            </w:pPr>
            <w:r w:rsidRPr="00DC4D15">
              <w:rPr>
                <w:b/>
                <w:color w:val="000000"/>
              </w:rPr>
              <w:t>Subtotal</w:t>
            </w:r>
          </w:p>
        </w:tc>
        <w:tc>
          <w:tcPr>
            <w:tcW w:w="1350" w:type="dxa"/>
            <w:shd w:val="clear" w:color="auto" w:fill="DEEBF6" w:themeFill="accent1" w:themeFillTint="33"/>
            <w:vAlign w:val="center"/>
          </w:tcPr>
          <w:p w:rsidR="005C2632" w:rsidP="00B4645A" w14:paraId="1DEDEEDA" w14:textId="77777777">
            <w:pPr>
              <w:jc w:val="center"/>
            </w:pPr>
          </w:p>
        </w:tc>
        <w:tc>
          <w:tcPr>
            <w:tcW w:w="1260" w:type="dxa"/>
            <w:shd w:val="clear" w:color="auto" w:fill="DEEBF6" w:themeFill="accent1" w:themeFillTint="33"/>
            <w:vAlign w:val="center"/>
          </w:tcPr>
          <w:p w:rsidR="005C2632" w:rsidP="00B4645A" w14:paraId="4BF0D6B2" w14:textId="77777777">
            <w:pPr>
              <w:jc w:val="center"/>
            </w:pPr>
          </w:p>
        </w:tc>
        <w:tc>
          <w:tcPr>
            <w:tcW w:w="1170" w:type="dxa"/>
            <w:shd w:val="clear" w:color="auto" w:fill="DEEBF6" w:themeFill="accent1" w:themeFillTint="33"/>
            <w:vAlign w:val="center"/>
          </w:tcPr>
          <w:p w:rsidR="005C2632" w:rsidP="00B4645A" w14:paraId="716938A9" w14:textId="77777777">
            <w:pPr>
              <w:jc w:val="center"/>
            </w:pPr>
          </w:p>
        </w:tc>
        <w:tc>
          <w:tcPr>
            <w:tcW w:w="1440" w:type="dxa"/>
            <w:shd w:val="clear" w:color="auto" w:fill="DEEBF6" w:themeFill="accent1" w:themeFillTint="33"/>
            <w:vAlign w:val="center"/>
          </w:tcPr>
          <w:p w:rsidR="005C2632" w:rsidRPr="007056ED" w:rsidP="00B4645A" w14:paraId="6CAFAEF7" w14:textId="23A56113">
            <w:pPr>
              <w:jc w:val="center"/>
              <w:rPr>
                <w:b/>
              </w:rPr>
            </w:pPr>
            <w:r>
              <w:rPr>
                <w:b/>
              </w:rPr>
              <w:t>46,521</w:t>
            </w:r>
          </w:p>
        </w:tc>
        <w:tc>
          <w:tcPr>
            <w:tcW w:w="1260" w:type="dxa"/>
            <w:shd w:val="clear" w:color="auto" w:fill="DEEBF6" w:themeFill="accent1" w:themeFillTint="33"/>
            <w:vAlign w:val="center"/>
          </w:tcPr>
          <w:p w:rsidR="005C2632" w:rsidRPr="007056ED" w:rsidP="00B4645A" w14:paraId="2AD83870" w14:textId="77777777">
            <w:pPr>
              <w:jc w:val="center"/>
              <w:rPr>
                <w:b/>
                <w:bCs/>
              </w:rPr>
            </w:pPr>
          </w:p>
        </w:tc>
        <w:tc>
          <w:tcPr>
            <w:tcW w:w="1620" w:type="dxa"/>
            <w:shd w:val="clear" w:color="auto" w:fill="DEEBF6" w:themeFill="accent1" w:themeFillTint="33"/>
            <w:vAlign w:val="center"/>
          </w:tcPr>
          <w:p w:rsidR="005C2632" w:rsidRPr="007056ED" w:rsidP="00B4645A" w14:paraId="43F9DA28" w14:textId="3646BA26">
            <w:pPr>
              <w:jc w:val="center"/>
              <w:rPr>
                <w:b/>
              </w:rPr>
            </w:pPr>
            <w:r>
              <w:rPr>
                <w:b/>
              </w:rPr>
              <w:t>372,168</w:t>
            </w:r>
          </w:p>
        </w:tc>
        <w:tc>
          <w:tcPr>
            <w:tcW w:w="1350" w:type="dxa"/>
            <w:shd w:val="clear" w:color="auto" w:fill="DEEBF6" w:themeFill="accent1" w:themeFillTint="33"/>
            <w:vAlign w:val="center"/>
          </w:tcPr>
          <w:p w:rsidR="005C2632" w:rsidRPr="007056ED" w:rsidP="00B4645A" w14:paraId="63331695" w14:textId="77777777">
            <w:pPr>
              <w:jc w:val="center"/>
              <w:rPr>
                <w:b/>
              </w:rPr>
            </w:pPr>
          </w:p>
        </w:tc>
        <w:tc>
          <w:tcPr>
            <w:tcW w:w="1602" w:type="dxa"/>
            <w:shd w:val="clear" w:color="auto" w:fill="DEEBF6" w:themeFill="accent1" w:themeFillTint="33"/>
            <w:vAlign w:val="center"/>
          </w:tcPr>
          <w:p w:rsidR="005C2632" w:rsidRPr="007056ED" w:rsidP="00B4645A" w14:paraId="39F63B1B" w14:textId="4A306DB4">
            <w:pPr>
              <w:jc w:val="center"/>
              <w:rPr>
                <w:b/>
              </w:rPr>
            </w:pPr>
            <w:r w:rsidRPr="007056ED">
              <w:rPr>
                <w:b/>
              </w:rPr>
              <w:t>$</w:t>
            </w:r>
            <w:r w:rsidR="00840A5F">
              <w:rPr>
                <w:b/>
              </w:rPr>
              <w:t>31,120,688</w:t>
            </w:r>
          </w:p>
        </w:tc>
      </w:tr>
      <w:tr w14:paraId="2752E8CC" w14:textId="77777777" w:rsidTr="00781E36">
        <w:tblPrEx>
          <w:tblW w:w="13685" w:type="dxa"/>
          <w:jc w:val="center"/>
          <w:tblLayout w:type="fixed"/>
          <w:tblLook w:val="01E0"/>
        </w:tblPrEx>
        <w:trPr>
          <w:trHeight w:val="332"/>
          <w:jc w:val="center"/>
        </w:trPr>
        <w:tc>
          <w:tcPr>
            <w:tcW w:w="13685" w:type="dxa"/>
            <w:gridSpan w:val="9"/>
            <w:shd w:val="clear" w:color="auto" w:fill="EDEDED"/>
            <w:vAlign w:val="center"/>
          </w:tcPr>
          <w:p w:rsidR="00CC7000" w:rsidRPr="009E6EC3" w:rsidP="00781E36" w14:paraId="26F886AA" w14:textId="3409F71A">
            <w:r>
              <w:t>4. Revision to SDSs and Labels</w:t>
            </w:r>
          </w:p>
        </w:tc>
      </w:tr>
      <w:tr w14:paraId="6EC8BD19" w14:textId="77777777" w:rsidTr="00B4645A">
        <w:tblPrEx>
          <w:tblW w:w="13685" w:type="dxa"/>
          <w:jc w:val="center"/>
          <w:tblLayout w:type="fixed"/>
          <w:tblLook w:val="01E0"/>
        </w:tblPrEx>
        <w:trPr>
          <w:jc w:val="center"/>
        </w:trPr>
        <w:tc>
          <w:tcPr>
            <w:tcW w:w="2633" w:type="dxa"/>
            <w:shd w:val="clear" w:color="auto" w:fill="FFFFFF" w:themeFill="background1"/>
            <w:vAlign w:val="bottom"/>
          </w:tcPr>
          <w:p w:rsidR="00BA431B" w:rsidRPr="002A453F" w:rsidP="00BA431B" w14:paraId="37C977C7" w14:textId="00431C6F">
            <w:r w:rsidRPr="00AB0B90">
              <w:rPr>
                <w:color w:val="000000"/>
                <w:kern w:val="0"/>
              </w:rPr>
              <w:t>1-19</w:t>
            </w:r>
          </w:p>
        </w:tc>
        <w:tc>
          <w:tcPr>
            <w:tcW w:w="1350" w:type="dxa"/>
            <w:shd w:val="clear" w:color="auto" w:fill="FFFFFF" w:themeFill="background1"/>
            <w:vAlign w:val="center"/>
          </w:tcPr>
          <w:p w:rsidR="00BA431B" w:rsidRPr="002C0B15" w:rsidP="00B4645A" w14:paraId="4704EFF9" w14:textId="5B0EC22C">
            <w:pPr>
              <w:jc w:val="center"/>
            </w:pPr>
            <w:r>
              <w:rPr>
                <w:color w:val="000000"/>
                <w:kern w:val="0"/>
              </w:rPr>
              <w:t>97,861</w:t>
            </w:r>
          </w:p>
        </w:tc>
        <w:tc>
          <w:tcPr>
            <w:tcW w:w="1260" w:type="dxa"/>
            <w:shd w:val="clear" w:color="auto" w:fill="FFFFFF" w:themeFill="background1"/>
            <w:vAlign w:val="center"/>
          </w:tcPr>
          <w:p w:rsidR="00BA431B" w:rsidRPr="00AB0B90" w:rsidP="00B4645A" w14:paraId="237705C4" w14:textId="095A62EC">
            <w:pPr>
              <w:jc w:val="center"/>
              <w:rPr>
                <w:rStyle w:val="CommentReference"/>
              </w:rPr>
            </w:pPr>
            <w:r w:rsidRPr="00AB0B90">
              <w:rPr>
                <w:color w:val="000000"/>
                <w:kern w:val="0"/>
              </w:rPr>
              <w:t>99%</w:t>
            </w:r>
          </w:p>
        </w:tc>
        <w:tc>
          <w:tcPr>
            <w:tcW w:w="1170" w:type="dxa"/>
            <w:shd w:val="clear" w:color="auto" w:fill="FFFFFF" w:themeFill="background1"/>
            <w:vAlign w:val="center"/>
          </w:tcPr>
          <w:p w:rsidR="00BA431B" w:rsidP="00B4645A" w14:paraId="2824EFAB" w14:textId="2DD557A5">
            <w:pPr>
              <w:jc w:val="center"/>
            </w:pPr>
            <w:r>
              <w:t>1</w:t>
            </w:r>
          </w:p>
        </w:tc>
        <w:tc>
          <w:tcPr>
            <w:tcW w:w="1440" w:type="dxa"/>
            <w:shd w:val="clear" w:color="auto" w:fill="FFFFFF" w:themeFill="background1"/>
            <w:vAlign w:val="center"/>
          </w:tcPr>
          <w:p w:rsidR="00BA431B" w:rsidRPr="00F14192" w:rsidP="00B4645A" w14:paraId="2C0B4731" w14:textId="1F115C9F">
            <w:pPr>
              <w:jc w:val="center"/>
            </w:pPr>
            <w:r>
              <w:rPr>
                <w:color w:val="000000"/>
                <w:kern w:val="0"/>
              </w:rPr>
              <w:t>96,882</w:t>
            </w:r>
          </w:p>
        </w:tc>
        <w:tc>
          <w:tcPr>
            <w:tcW w:w="1260" w:type="dxa"/>
            <w:shd w:val="clear" w:color="auto" w:fill="FFFFFF" w:themeFill="background1"/>
            <w:vAlign w:val="center"/>
          </w:tcPr>
          <w:p w:rsidR="00BA431B" w:rsidRPr="00401AC9" w:rsidP="00B4645A" w14:paraId="47B6F4FF" w14:textId="781AFD6D">
            <w:pPr>
              <w:jc w:val="center"/>
              <w:rPr>
                <w:bCs/>
              </w:rPr>
            </w:pPr>
            <w:r w:rsidRPr="00AC4CC8">
              <w:t>0.70</w:t>
            </w:r>
          </w:p>
        </w:tc>
        <w:tc>
          <w:tcPr>
            <w:tcW w:w="1620" w:type="dxa"/>
            <w:shd w:val="clear" w:color="auto" w:fill="FFFFFF" w:themeFill="background1"/>
            <w:vAlign w:val="center"/>
          </w:tcPr>
          <w:p w:rsidR="00BA431B" w:rsidRPr="00F14192" w:rsidP="00B4645A" w14:paraId="50E1BE71" w14:textId="3E792B3E">
            <w:pPr>
              <w:jc w:val="center"/>
            </w:pPr>
            <w:r w:rsidRPr="00AC4CC8">
              <w:rPr>
                <w:color w:val="000000"/>
              </w:rPr>
              <w:t>67,818</w:t>
            </w:r>
          </w:p>
        </w:tc>
        <w:tc>
          <w:tcPr>
            <w:tcW w:w="1350" w:type="dxa"/>
            <w:shd w:val="clear" w:color="auto" w:fill="FFFFFF" w:themeFill="background1"/>
            <w:vAlign w:val="center"/>
          </w:tcPr>
          <w:p w:rsidR="00BA431B" w:rsidRPr="009E6EC3" w:rsidP="00B4645A" w14:paraId="7F53CCCA" w14:textId="497CD20C">
            <w:pPr>
              <w:jc w:val="center"/>
            </w:pPr>
            <w:r w:rsidRPr="00626829">
              <w:t>$61.18</w:t>
            </w:r>
          </w:p>
        </w:tc>
        <w:tc>
          <w:tcPr>
            <w:tcW w:w="1602" w:type="dxa"/>
            <w:shd w:val="clear" w:color="auto" w:fill="FFFFFF" w:themeFill="background1"/>
            <w:vAlign w:val="center"/>
          </w:tcPr>
          <w:p w:rsidR="00BA431B" w:rsidRPr="009E6EC3" w:rsidP="00B4645A" w14:paraId="4CE4561F" w14:textId="21D6496F">
            <w:pPr>
              <w:jc w:val="center"/>
            </w:pPr>
            <w:r w:rsidRPr="00AC4CC8">
              <w:rPr>
                <w:color w:val="000000"/>
              </w:rPr>
              <w:t>$4,</w:t>
            </w:r>
            <w:r w:rsidR="00D23C20">
              <w:rPr>
                <w:color w:val="000000"/>
              </w:rPr>
              <w:t>149</w:t>
            </w:r>
            <w:r w:rsidR="00B8331B">
              <w:rPr>
                <w:color w:val="000000"/>
              </w:rPr>
              <w:t>,105</w:t>
            </w:r>
          </w:p>
        </w:tc>
      </w:tr>
      <w:tr w14:paraId="6B98B495" w14:textId="77777777" w:rsidTr="00B4645A">
        <w:tblPrEx>
          <w:tblW w:w="13685" w:type="dxa"/>
          <w:jc w:val="center"/>
          <w:tblLayout w:type="fixed"/>
          <w:tblLook w:val="01E0"/>
        </w:tblPrEx>
        <w:trPr>
          <w:jc w:val="center"/>
        </w:trPr>
        <w:tc>
          <w:tcPr>
            <w:tcW w:w="2633" w:type="dxa"/>
            <w:shd w:val="clear" w:color="auto" w:fill="FFFFFF" w:themeFill="background1"/>
            <w:vAlign w:val="bottom"/>
          </w:tcPr>
          <w:p w:rsidR="00BA431B" w:rsidRPr="002A453F" w:rsidP="00BA431B" w14:paraId="655CE096" w14:textId="29A68BFE">
            <w:r w:rsidRPr="00AB0B90">
              <w:rPr>
                <w:color w:val="000000"/>
                <w:kern w:val="0"/>
              </w:rPr>
              <w:t>20-99</w:t>
            </w:r>
          </w:p>
        </w:tc>
        <w:tc>
          <w:tcPr>
            <w:tcW w:w="1350" w:type="dxa"/>
            <w:shd w:val="clear" w:color="auto" w:fill="FFFFFF" w:themeFill="background1"/>
            <w:vAlign w:val="center"/>
          </w:tcPr>
          <w:p w:rsidR="00BA431B" w:rsidRPr="002C0B15" w:rsidP="00B4645A" w14:paraId="3720C92A" w14:textId="6B91A13E">
            <w:pPr>
              <w:jc w:val="center"/>
            </w:pPr>
            <w:r>
              <w:rPr>
                <w:color w:val="000000"/>
                <w:kern w:val="0"/>
              </w:rPr>
              <w:t>118,360</w:t>
            </w:r>
          </w:p>
        </w:tc>
        <w:tc>
          <w:tcPr>
            <w:tcW w:w="1260" w:type="dxa"/>
            <w:shd w:val="clear" w:color="auto" w:fill="FFFFFF" w:themeFill="background1"/>
            <w:vAlign w:val="center"/>
          </w:tcPr>
          <w:p w:rsidR="00BA431B" w:rsidRPr="00AB0B90" w:rsidP="00B4645A" w14:paraId="7FD20E98" w14:textId="4CE3B97D">
            <w:pPr>
              <w:jc w:val="center"/>
              <w:rPr>
                <w:rStyle w:val="CommentReference"/>
              </w:rPr>
            </w:pPr>
            <w:r w:rsidRPr="00AB0B90">
              <w:rPr>
                <w:color w:val="000000"/>
                <w:kern w:val="0"/>
              </w:rPr>
              <w:t>95%</w:t>
            </w:r>
          </w:p>
        </w:tc>
        <w:tc>
          <w:tcPr>
            <w:tcW w:w="1170" w:type="dxa"/>
            <w:shd w:val="clear" w:color="auto" w:fill="FFFFFF" w:themeFill="background1"/>
            <w:vAlign w:val="center"/>
          </w:tcPr>
          <w:p w:rsidR="00BA431B" w:rsidP="00B4645A" w14:paraId="3886E238" w14:textId="27FADDD4">
            <w:pPr>
              <w:jc w:val="center"/>
            </w:pPr>
            <w:r>
              <w:t>1</w:t>
            </w:r>
          </w:p>
        </w:tc>
        <w:tc>
          <w:tcPr>
            <w:tcW w:w="1440" w:type="dxa"/>
            <w:shd w:val="clear" w:color="auto" w:fill="FFFFFF" w:themeFill="background1"/>
            <w:vAlign w:val="center"/>
          </w:tcPr>
          <w:p w:rsidR="00BA431B" w:rsidRPr="00F14192" w:rsidP="00B4645A" w14:paraId="29A141B5" w14:textId="2651AC77">
            <w:pPr>
              <w:jc w:val="center"/>
            </w:pPr>
            <w:r>
              <w:rPr>
                <w:color w:val="000000"/>
                <w:kern w:val="0"/>
              </w:rPr>
              <w:t>112,442</w:t>
            </w:r>
          </w:p>
        </w:tc>
        <w:tc>
          <w:tcPr>
            <w:tcW w:w="1260" w:type="dxa"/>
            <w:shd w:val="clear" w:color="auto" w:fill="FFFFFF" w:themeFill="background1"/>
            <w:vAlign w:val="center"/>
          </w:tcPr>
          <w:p w:rsidR="00BA431B" w:rsidRPr="00401AC9" w:rsidP="00B4645A" w14:paraId="2A627B8C" w14:textId="26521C29">
            <w:pPr>
              <w:jc w:val="center"/>
              <w:rPr>
                <w:bCs/>
              </w:rPr>
            </w:pPr>
            <w:r w:rsidRPr="00AC4CC8">
              <w:t>0.70</w:t>
            </w:r>
          </w:p>
        </w:tc>
        <w:tc>
          <w:tcPr>
            <w:tcW w:w="1620" w:type="dxa"/>
            <w:shd w:val="clear" w:color="auto" w:fill="FFFFFF" w:themeFill="background1"/>
            <w:vAlign w:val="center"/>
          </w:tcPr>
          <w:p w:rsidR="00BA431B" w:rsidRPr="00F14192" w:rsidP="00B4645A" w14:paraId="1F2A6594" w14:textId="370F1CF3">
            <w:pPr>
              <w:jc w:val="center"/>
            </w:pPr>
            <w:r w:rsidRPr="00626829">
              <w:rPr>
                <w:color w:val="000000"/>
                <w:kern w:val="0"/>
              </w:rPr>
              <w:t>78,709</w:t>
            </w:r>
          </w:p>
        </w:tc>
        <w:tc>
          <w:tcPr>
            <w:tcW w:w="1350" w:type="dxa"/>
            <w:shd w:val="clear" w:color="auto" w:fill="FFFFFF" w:themeFill="background1"/>
            <w:vAlign w:val="center"/>
          </w:tcPr>
          <w:p w:rsidR="00BA431B" w:rsidRPr="009E6EC3" w:rsidP="00B4645A" w14:paraId="3887AFB0" w14:textId="59D657C3">
            <w:pPr>
              <w:jc w:val="center"/>
            </w:pPr>
            <w:r w:rsidRPr="00626829">
              <w:t>$61.18</w:t>
            </w:r>
          </w:p>
        </w:tc>
        <w:tc>
          <w:tcPr>
            <w:tcW w:w="1602" w:type="dxa"/>
            <w:shd w:val="clear" w:color="auto" w:fill="FFFFFF" w:themeFill="background1"/>
            <w:vAlign w:val="center"/>
          </w:tcPr>
          <w:p w:rsidR="00BA431B" w:rsidRPr="009E6EC3" w:rsidP="00B4645A" w14:paraId="486BD35F" w14:textId="7B4209ED">
            <w:pPr>
              <w:jc w:val="center"/>
            </w:pPr>
            <w:r w:rsidRPr="00AC4CC8">
              <w:rPr>
                <w:color w:val="000000"/>
              </w:rPr>
              <w:t>$4,</w:t>
            </w:r>
            <w:r w:rsidR="00E47363">
              <w:rPr>
                <w:color w:val="000000"/>
              </w:rPr>
              <w:t>8</w:t>
            </w:r>
            <w:r w:rsidR="006959EF">
              <w:rPr>
                <w:color w:val="000000"/>
              </w:rPr>
              <w:t>15,417</w:t>
            </w:r>
          </w:p>
        </w:tc>
      </w:tr>
      <w:tr w14:paraId="47DDBA18" w14:textId="77777777" w:rsidTr="00B4645A">
        <w:tblPrEx>
          <w:tblW w:w="13685" w:type="dxa"/>
          <w:jc w:val="center"/>
          <w:tblLayout w:type="fixed"/>
          <w:tblLook w:val="01E0"/>
        </w:tblPrEx>
        <w:trPr>
          <w:jc w:val="center"/>
        </w:trPr>
        <w:tc>
          <w:tcPr>
            <w:tcW w:w="2633" w:type="dxa"/>
            <w:shd w:val="clear" w:color="auto" w:fill="FFFFFF" w:themeFill="background1"/>
            <w:vAlign w:val="bottom"/>
          </w:tcPr>
          <w:p w:rsidR="00BA431B" w:rsidRPr="002A453F" w:rsidP="00BA431B" w14:paraId="5AB6CF32" w14:textId="7555558E">
            <w:r w:rsidRPr="00AB0B90">
              <w:rPr>
                <w:color w:val="000000"/>
                <w:kern w:val="0"/>
              </w:rPr>
              <w:t>100-499</w:t>
            </w:r>
          </w:p>
        </w:tc>
        <w:tc>
          <w:tcPr>
            <w:tcW w:w="1350" w:type="dxa"/>
            <w:shd w:val="clear" w:color="auto" w:fill="FFFFFF" w:themeFill="background1"/>
            <w:vAlign w:val="center"/>
          </w:tcPr>
          <w:p w:rsidR="00BA431B" w:rsidRPr="002C0B15" w:rsidP="00B4645A" w14:paraId="32379E43" w14:textId="574FD4E3">
            <w:pPr>
              <w:jc w:val="center"/>
            </w:pPr>
            <w:r>
              <w:rPr>
                <w:color w:val="000000"/>
                <w:kern w:val="0"/>
              </w:rPr>
              <w:t>232,674</w:t>
            </w:r>
          </w:p>
        </w:tc>
        <w:tc>
          <w:tcPr>
            <w:tcW w:w="1260" w:type="dxa"/>
            <w:shd w:val="clear" w:color="auto" w:fill="FFFFFF" w:themeFill="background1"/>
            <w:vAlign w:val="center"/>
          </w:tcPr>
          <w:p w:rsidR="00BA431B" w:rsidRPr="00AB0B90" w:rsidP="00B4645A" w14:paraId="1ABF35CD" w14:textId="2CA6F88F">
            <w:pPr>
              <w:jc w:val="center"/>
              <w:rPr>
                <w:rStyle w:val="CommentReference"/>
              </w:rPr>
            </w:pPr>
            <w:r w:rsidRPr="00AB0B90">
              <w:rPr>
                <w:color w:val="000000"/>
                <w:kern w:val="0"/>
              </w:rPr>
              <w:t>75%</w:t>
            </w:r>
          </w:p>
        </w:tc>
        <w:tc>
          <w:tcPr>
            <w:tcW w:w="1170" w:type="dxa"/>
            <w:shd w:val="clear" w:color="auto" w:fill="FFFFFF" w:themeFill="background1"/>
            <w:vAlign w:val="center"/>
          </w:tcPr>
          <w:p w:rsidR="00BA431B" w:rsidP="00B4645A" w14:paraId="347FBB8F" w14:textId="3B447050">
            <w:pPr>
              <w:jc w:val="center"/>
            </w:pPr>
            <w:r>
              <w:t>1</w:t>
            </w:r>
          </w:p>
        </w:tc>
        <w:tc>
          <w:tcPr>
            <w:tcW w:w="1440" w:type="dxa"/>
            <w:shd w:val="clear" w:color="auto" w:fill="FFFFFF" w:themeFill="background1"/>
            <w:vAlign w:val="center"/>
          </w:tcPr>
          <w:p w:rsidR="00BA431B" w:rsidRPr="00F14192" w:rsidP="00B4645A" w14:paraId="234B3EBC" w14:textId="6CF64BF6">
            <w:pPr>
              <w:jc w:val="center"/>
            </w:pPr>
            <w:r>
              <w:rPr>
                <w:color w:val="000000"/>
                <w:kern w:val="0"/>
              </w:rPr>
              <w:t>174,506</w:t>
            </w:r>
          </w:p>
        </w:tc>
        <w:tc>
          <w:tcPr>
            <w:tcW w:w="1260" w:type="dxa"/>
            <w:shd w:val="clear" w:color="auto" w:fill="FFFFFF" w:themeFill="background1"/>
            <w:vAlign w:val="center"/>
          </w:tcPr>
          <w:p w:rsidR="00BA431B" w:rsidRPr="00401AC9" w:rsidP="00B4645A" w14:paraId="18B26759" w14:textId="3FCD0A4A">
            <w:pPr>
              <w:jc w:val="center"/>
              <w:rPr>
                <w:bCs/>
              </w:rPr>
            </w:pPr>
            <w:r w:rsidRPr="00AC4CC8">
              <w:t>0.50</w:t>
            </w:r>
          </w:p>
        </w:tc>
        <w:tc>
          <w:tcPr>
            <w:tcW w:w="1620" w:type="dxa"/>
            <w:shd w:val="clear" w:color="auto" w:fill="FFFFFF" w:themeFill="background1"/>
            <w:vAlign w:val="center"/>
          </w:tcPr>
          <w:p w:rsidR="00BA431B" w:rsidRPr="00F14192" w:rsidP="00B4645A" w14:paraId="0F338BE4" w14:textId="38107E58">
            <w:pPr>
              <w:jc w:val="center"/>
            </w:pPr>
            <w:r w:rsidRPr="00AC4CC8">
              <w:rPr>
                <w:color w:val="000000"/>
              </w:rPr>
              <w:t>87,253</w:t>
            </w:r>
          </w:p>
        </w:tc>
        <w:tc>
          <w:tcPr>
            <w:tcW w:w="1350" w:type="dxa"/>
            <w:shd w:val="clear" w:color="auto" w:fill="FFFFFF" w:themeFill="background1"/>
            <w:vAlign w:val="center"/>
          </w:tcPr>
          <w:p w:rsidR="00BA431B" w:rsidRPr="009E6EC3" w:rsidP="00B4645A" w14:paraId="478A530A" w14:textId="6BCBB80E">
            <w:pPr>
              <w:jc w:val="center"/>
            </w:pPr>
            <w:r w:rsidRPr="00626829">
              <w:t>$61.18</w:t>
            </w:r>
          </w:p>
        </w:tc>
        <w:tc>
          <w:tcPr>
            <w:tcW w:w="1602" w:type="dxa"/>
            <w:shd w:val="clear" w:color="auto" w:fill="FFFFFF" w:themeFill="background1"/>
            <w:vAlign w:val="center"/>
          </w:tcPr>
          <w:p w:rsidR="00BA431B" w:rsidRPr="009E6EC3" w:rsidP="00B4645A" w14:paraId="20A07CBA" w14:textId="0BE27FD9">
            <w:pPr>
              <w:jc w:val="center"/>
            </w:pPr>
            <w:r w:rsidRPr="00AC4CC8">
              <w:rPr>
                <w:color w:val="000000"/>
              </w:rPr>
              <w:t>$5,</w:t>
            </w:r>
            <w:r w:rsidR="006959EF">
              <w:rPr>
                <w:color w:val="000000"/>
              </w:rPr>
              <w:t>338</w:t>
            </w:r>
            <w:r w:rsidR="009B428C">
              <w:rPr>
                <w:color w:val="000000"/>
              </w:rPr>
              <w:t>,1</w:t>
            </w:r>
            <w:r w:rsidR="0036208B">
              <w:rPr>
                <w:color w:val="000000"/>
              </w:rPr>
              <w:t>3</w:t>
            </w:r>
            <w:r w:rsidR="009B428C">
              <w:rPr>
                <w:color w:val="000000"/>
              </w:rPr>
              <w:t>9</w:t>
            </w:r>
          </w:p>
        </w:tc>
      </w:tr>
      <w:tr w14:paraId="7E6FD7BD" w14:textId="77777777" w:rsidTr="00B4645A">
        <w:tblPrEx>
          <w:tblW w:w="13685" w:type="dxa"/>
          <w:jc w:val="center"/>
          <w:tblLayout w:type="fixed"/>
          <w:tblLook w:val="01E0"/>
        </w:tblPrEx>
        <w:trPr>
          <w:jc w:val="center"/>
        </w:trPr>
        <w:tc>
          <w:tcPr>
            <w:tcW w:w="2633" w:type="dxa"/>
            <w:shd w:val="clear" w:color="auto" w:fill="FFFFFF" w:themeFill="background1"/>
            <w:vAlign w:val="bottom"/>
          </w:tcPr>
          <w:p w:rsidR="00BA431B" w:rsidRPr="002A453F" w:rsidP="00BA431B" w14:paraId="7D2B6B3F" w14:textId="65C01F58">
            <w:r w:rsidRPr="00AB0B90">
              <w:rPr>
                <w:color w:val="000000"/>
                <w:kern w:val="0"/>
              </w:rPr>
              <w:t>500+</w:t>
            </w:r>
          </w:p>
        </w:tc>
        <w:tc>
          <w:tcPr>
            <w:tcW w:w="1350" w:type="dxa"/>
            <w:shd w:val="clear" w:color="auto" w:fill="FFFFFF" w:themeFill="background1"/>
            <w:vAlign w:val="center"/>
          </w:tcPr>
          <w:p w:rsidR="00BA431B" w:rsidRPr="002C0B15" w:rsidP="00B4645A" w14:paraId="05BE40E2" w14:textId="1C9A559A">
            <w:pPr>
              <w:jc w:val="center"/>
            </w:pPr>
            <w:r>
              <w:rPr>
                <w:color w:val="000000"/>
                <w:kern w:val="0"/>
              </w:rPr>
              <w:t>1,004,879</w:t>
            </w:r>
          </w:p>
        </w:tc>
        <w:tc>
          <w:tcPr>
            <w:tcW w:w="1260" w:type="dxa"/>
            <w:shd w:val="clear" w:color="auto" w:fill="FFFFFF" w:themeFill="background1"/>
            <w:vAlign w:val="center"/>
          </w:tcPr>
          <w:p w:rsidR="00BA431B" w:rsidRPr="00AB0B90" w:rsidP="00B4645A" w14:paraId="6ECBCE47" w14:textId="67D2ABA4">
            <w:pPr>
              <w:jc w:val="center"/>
              <w:rPr>
                <w:rStyle w:val="CommentReference"/>
              </w:rPr>
            </w:pPr>
            <w:r w:rsidRPr="00AB0B90">
              <w:rPr>
                <w:color w:val="000000"/>
                <w:kern w:val="0"/>
              </w:rPr>
              <w:t>25%</w:t>
            </w:r>
          </w:p>
        </w:tc>
        <w:tc>
          <w:tcPr>
            <w:tcW w:w="1170" w:type="dxa"/>
            <w:shd w:val="clear" w:color="auto" w:fill="FFFFFF" w:themeFill="background1"/>
            <w:vAlign w:val="center"/>
          </w:tcPr>
          <w:p w:rsidR="00BA431B" w:rsidP="00B4645A" w14:paraId="1BB57221" w14:textId="573F1747">
            <w:pPr>
              <w:jc w:val="center"/>
            </w:pPr>
            <w:r>
              <w:t>1</w:t>
            </w:r>
          </w:p>
        </w:tc>
        <w:tc>
          <w:tcPr>
            <w:tcW w:w="1440" w:type="dxa"/>
            <w:shd w:val="clear" w:color="auto" w:fill="FFFFFF" w:themeFill="background1"/>
            <w:vAlign w:val="center"/>
          </w:tcPr>
          <w:p w:rsidR="00BA431B" w:rsidRPr="00F14192" w:rsidP="00B4645A" w14:paraId="1AE82B0A" w14:textId="7A866A22">
            <w:pPr>
              <w:jc w:val="center"/>
            </w:pPr>
            <w:r>
              <w:rPr>
                <w:color w:val="000000"/>
                <w:kern w:val="0"/>
              </w:rPr>
              <w:t>251,220</w:t>
            </w:r>
          </w:p>
        </w:tc>
        <w:tc>
          <w:tcPr>
            <w:tcW w:w="1260" w:type="dxa"/>
            <w:shd w:val="clear" w:color="auto" w:fill="FFFFFF" w:themeFill="background1"/>
            <w:vAlign w:val="center"/>
          </w:tcPr>
          <w:p w:rsidR="00BA431B" w:rsidRPr="00401AC9" w:rsidP="00B4645A" w14:paraId="57C7EA4F" w14:textId="11A2923E">
            <w:pPr>
              <w:jc w:val="center"/>
              <w:rPr>
                <w:bCs/>
              </w:rPr>
            </w:pPr>
            <w:r w:rsidRPr="00AC4CC8">
              <w:t>0.30</w:t>
            </w:r>
          </w:p>
        </w:tc>
        <w:tc>
          <w:tcPr>
            <w:tcW w:w="1620" w:type="dxa"/>
            <w:shd w:val="clear" w:color="auto" w:fill="FFFFFF" w:themeFill="background1"/>
            <w:vAlign w:val="center"/>
          </w:tcPr>
          <w:p w:rsidR="00BA431B" w:rsidRPr="00F14192" w:rsidP="00B4645A" w14:paraId="2B74C413" w14:textId="24D10527">
            <w:pPr>
              <w:jc w:val="center"/>
            </w:pPr>
            <w:r w:rsidRPr="00AC4CC8">
              <w:rPr>
                <w:color w:val="000000"/>
              </w:rPr>
              <w:t>75,366</w:t>
            </w:r>
          </w:p>
        </w:tc>
        <w:tc>
          <w:tcPr>
            <w:tcW w:w="1350" w:type="dxa"/>
            <w:shd w:val="clear" w:color="auto" w:fill="FFFFFF" w:themeFill="background1"/>
            <w:vAlign w:val="center"/>
          </w:tcPr>
          <w:p w:rsidR="00BA431B" w:rsidRPr="009E6EC3" w:rsidP="00B4645A" w14:paraId="3992CB8B" w14:textId="01BF7E97">
            <w:pPr>
              <w:jc w:val="center"/>
            </w:pPr>
            <w:r w:rsidRPr="00626829">
              <w:t>$61.18</w:t>
            </w:r>
          </w:p>
        </w:tc>
        <w:tc>
          <w:tcPr>
            <w:tcW w:w="1602" w:type="dxa"/>
            <w:shd w:val="clear" w:color="auto" w:fill="FFFFFF" w:themeFill="background1"/>
            <w:vAlign w:val="center"/>
          </w:tcPr>
          <w:p w:rsidR="00BA431B" w:rsidRPr="009E6EC3" w:rsidP="00B4645A" w14:paraId="4F9767A4" w14:textId="2E1372DF">
            <w:pPr>
              <w:jc w:val="center"/>
            </w:pPr>
            <w:r w:rsidRPr="00AC4CC8">
              <w:rPr>
                <w:color w:val="000000"/>
              </w:rPr>
              <w:t>$4,</w:t>
            </w:r>
            <w:r w:rsidR="008041CD">
              <w:rPr>
                <w:color w:val="000000"/>
              </w:rPr>
              <w:t>610,892</w:t>
            </w:r>
          </w:p>
        </w:tc>
      </w:tr>
      <w:tr w14:paraId="5F3A26D3" w14:textId="77777777" w:rsidTr="00B4645A">
        <w:tblPrEx>
          <w:tblW w:w="13685" w:type="dxa"/>
          <w:jc w:val="center"/>
          <w:tblLayout w:type="fixed"/>
          <w:tblLook w:val="01E0"/>
        </w:tblPrEx>
        <w:trPr>
          <w:jc w:val="center"/>
        </w:trPr>
        <w:tc>
          <w:tcPr>
            <w:tcW w:w="2633" w:type="dxa"/>
            <w:shd w:val="clear" w:color="auto" w:fill="DEEBF6" w:themeFill="accent1" w:themeFillTint="33"/>
          </w:tcPr>
          <w:p w:rsidR="00C71DAB" w:rsidRPr="00781E36" w:rsidP="00C71DAB" w14:paraId="7C0E591F" w14:textId="2E2AB454">
            <w:pPr>
              <w:rPr>
                <w:b/>
                <w:bCs/>
              </w:rPr>
            </w:pPr>
            <w:r w:rsidRPr="00DC4D15">
              <w:rPr>
                <w:b/>
                <w:color w:val="000000"/>
              </w:rPr>
              <w:t>Subtotal</w:t>
            </w:r>
          </w:p>
        </w:tc>
        <w:tc>
          <w:tcPr>
            <w:tcW w:w="1350" w:type="dxa"/>
            <w:shd w:val="clear" w:color="auto" w:fill="DEEBF6" w:themeFill="accent1" w:themeFillTint="33"/>
            <w:vAlign w:val="center"/>
          </w:tcPr>
          <w:p w:rsidR="00C71DAB" w:rsidRPr="002C0B15" w:rsidP="00B4645A" w14:paraId="4D7DF36C" w14:textId="77777777">
            <w:pPr>
              <w:jc w:val="center"/>
            </w:pPr>
          </w:p>
        </w:tc>
        <w:tc>
          <w:tcPr>
            <w:tcW w:w="1260" w:type="dxa"/>
            <w:shd w:val="clear" w:color="auto" w:fill="DEEBF6" w:themeFill="accent1" w:themeFillTint="33"/>
            <w:vAlign w:val="center"/>
          </w:tcPr>
          <w:p w:rsidR="00C71DAB" w:rsidRPr="00AB0B90" w:rsidP="00B4645A" w14:paraId="73F04522" w14:textId="77777777">
            <w:pPr>
              <w:jc w:val="center"/>
              <w:rPr>
                <w:rStyle w:val="CommentReference"/>
              </w:rPr>
            </w:pPr>
          </w:p>
        </w:tc>
        <w:tc>
          <w:tcPr>
            <w:tcW w:w="1170" w:type="dxa"/>
            <w:shd w:val="clear" w:color="auto" w:fill="DEEBF6" w:themeFill="accent1" w:themeFillTint="33"/>
            <w:vAlign w:val="center"/>
          </w:tcPr>
          <w:p w:rsidR="00C71DAB" w:rsidP="00B4645A" w14:paraId="63990D74" w14:textId="77777777">
            <w:pPr>
              <w:jc w:val="center"/>
            </w:pPr>
          </w:p>
        </w:tc>
        <w:tc>
          <w:tcPr>
            <w:tcW w:w="1440" w:type="dxa"/>
            <w:shd w:val="clear" w:color="auto" w:fill="DEEBF6" w:themeFill="accent1" w:themeFillTint="33"/>
            <w:vAlign w:val="center"/>
          </w:tcPr>
          <w:p w:rsidR="00C71DAB" w:rsidRPr="00F14192" w:rsidP="00B4645A" w14:paraId="01A60EC2" w14:textId="4ADBBD0E">
            <w:pPr>
              <w:jc w:val="center"/>
            </w:pPr>
            <w:r>
              <w:rPr>
                <w:b/>
                <w:color w:val="000000"/>
                <w:kern w:val="0"/>
              </w:rPr>
              <w:t>635,050</w:t>
            </w:r>
          </w:p>
        </w:tc>
        <w:tc>
          <w:tcPr>
            <w:tcW w:w="1260" w:type="dxa"/>
            <w:shd w:val="clear" w:color="auto" w:fill="DEEBF6" w:themeFill="accent1" w:themeFillTint="33"/>
            <w:vAlign w:val="center"/>
          </w:tcPr>
          <w:p w:rsidR="00C71DAB" w:rsidRPr="00401AC9" w:rsidP="00B4645A" w14:paraId="5A90E65E" w14:textId="77777777">
            <w:pPr>
              <w:jc w:val="center"/>
              <w:rPr>
                <w:bCs/>
              </w:rPr>
            </w:pPr>
          </w:p>
        </w:tc>
        <w:tc>
          <w:tcPr>
            <w:tcW w:w="1620" w:type="dxa"/>
            <w:shd w:val="clear" w:color="auto" w:fill="DEEBF6" w:themeFill="accent1" w:themeFillTint="33"/>
            <w:vAlign w:val="center"/>
          </w:tcPr>
          <w:p w:rsidR="00C71DAB" w:rsidRPr="00F14192" w:rsidP="00B4645A" w14:paraId="03E27F57" w14:textId="6AF0927B">
            <w:pPr>
              <w:jc w:val="center"/>
            </w:pPr>
            <w:r>
              <w:rPr>
                <w:b/>
                <w:color w:val="000000"/>
                <w:kern w:val="0"/>
              </w:rPr>
              <w:t>309,146</w:t>
            </w:r>
          </w:p>
        </w:tc>
        <w:tc>
          <w:tcPr>
            <w:tcW w:w="1350" w:type="dxa"/>
            <w:shd w:val="clear" w:color="auto" w:fill="DEEBF6" w:themeFill="accent1" w:themeFillTint="33"/>
            <w:vAlign w:val="center"/>
          </w:tcPr>
          <w:p w:rsidR="00C71DAB" w:rsidRPr="009E6EC3" w:rsidP="00B4645A" w14:paraId="233BEDB8" w14:textId="77777777">
            <w:pPr>
              <w:jc w:val="center"/>
            </w:pPr>
          </w:p>
        </w:tc>
        <w:tc>
          <w:tcPr>
            <w:tcW w:w="1602" w:type="dxa"/>
            <w:shd w:val="clear" w:color="auto" w:fill="DEEBF6" w:themeFill="accent1" w:themeFillTint="33"/>
            <w:vAlign w:val="center"/>
          </w:tcPr>
          <w:p w:rsidR="00C71DAB" w:rsidRPr="009E6EC3" w:rsidP="00B4645A" w14:paraId="4D1B7FC3" w14:textId="4E7712C1">
            <w:pPr>
              <w:jc w:val="center"/>
            </w:pPr>
            <w:r w:rsidRPr="00AB0B90">
              <w:rPr>
                <w:b/>
                <w:color w:val="000000"/>
                <w:kern w:val="0"/>
              </w:rPr>
              <w:t>$</w:t>
            </w:r>
            <w:r>
              <w:rPr>
                <w:b/>
                <w:color w:val="000000"/>
                <w:kern w:val="0"/>
              </w:rPr>
              <w:t>18,</w:t>
            </w:r>
            <w:r w:rsidR="00F7022D">
              <w:rPr>
                <w:b/>
                <w:color w:val="000000"/>
                <w:kern w:val="0"/>
              </w:rPr>
              <w:t>913,553</w:t>
            </w:r>
          </w:p>
        </w:tc>
      </w:tr>
      <w:tr w14:paraId="74299CD5" w14:textId="77777777" w:rsidTr="00781E36">
        <w:tblPrEx>
          <w:tblW w:w="13685" w:type="dxa"/>
          <w:jc w:val="center"/>
          <w:tblLayout w:type="fixed"/>
          <w:tblLook w:val="01E0"/>
        </w:tblPrEx>
        <w:trPr>
          <w:jc w:val="center"/>
        </w:trPr>
        <w:tc>
          <w:tcPr>
            <w:tcW w:w="13685" w:type="dxa"/>
            <w:gridSpan w:val="9"/>
            <w:shd w:val="clear" w:color="auto" w:fill="EDEDED"/>
          </w:tcPr>
          <w:p w:rsidR="00D1407A" w:rsidRPr="009E6EC3" w:rsidP="00781E36" w14:paraId="7CA8D613" w14:textId="3EED65A3">
            <w:r>
              <w:t>5</w:t>
            </w:r>
            <w:r w:rsidRPr="002A453F">
              <w:t>. Sending SDSs for new hazardous chemicals existing establishments</w:t>
            </w:r>
          </w:p>
        </w:tc>
      </w:tr>
      <w:tr w14:paraId="687037FE" w14:textId="77777777" w:rsidTr="00B4645A">
        <w:tblPrEx>
          <w:tblW w:w="13685" w:type="dxa"/>
          <w:jc w:val="center"/>
          <w:tblLayout w:type="fixed"/>
          <w:tblLook w:val="01E0"/>
        </w:tblPrEx>
        <w:trPr>
          <w:jc w:val="center"/>
        </w:trPr>
        <w:tc>
          <w:tcPr>
            <w:tcW w:w="2633" w:type="dxa"/>
            <w:shd w:val="clear" w:color="auto" w:fill="auto"/>
          </w:tcPr>
          <w:p w:rsidR="00BA6391" w:rsidRPr="009E6EC3" w:rsidP="001F320C" w14:paraId="7B729E9F" w14:textId="77777777">
            <w:r>
              <w:rPr>
                <w:color w:val="000000"/>
              </w:rPr>
              <w:t>Manufacturing</w:t>
            </w:r>
          </w:p>
        </w:tc>
        <w:tc>
          <w:tcPr>
            <w:tcW w:w="1350" w:type="dxa"/>
            <w:shd w:val="clear" w:color="auto" w:fill="auto"/>
            <w:vAlign w:val="center"/>
          </w:tcPr>
          <w:p w:rsidR="00BA6391" w:rsidRPr="00FF1F12" w:rsidP="00B4645A" w14:paraId="773C34B7" w14:textId="3460F07D">
            <w:pPr>
              <w:jc w:val="center"/>
            </w:pPr>
            <w:r>
              <w:t>28,636</w:t>
            </w:r>
          </w:p>
        </w:tc>
        <w:tc>
          <w:tcPr>
            <w:tcW w:w="1260" w:type="dxa"/>
            <w:shd w:val="clear" w:color="auto" w:fill="auto"/>
            <w:vAlign w:val="center"/>
          </w:tcPr>
          <w:p w:rsidR="00BA6391" w:rsidRPr="00AB0B90" w:rsidP="00B4645A" w14:paraId="5BBF5387" w14:textId="77777777">
            <w:pPr>
              <w:jc w:val="center"/>
            </w:pPr>
            <w:r>
              <w:t>40%</w:t>
            </w:r>
          </w:p>
        </w:tc>
        <w:tc>
          <w:tcPr>
            <w:tcW w:w="1170" w:type="dxa"/>
            <w:vAlign w:val="center"/>
          </w:tcPr>
          <w:p w:rsidR="00BA6391" w:rsidP="00B4645A" w14:paraId="55F45668" w14:textId="77777777">
            <w:pPr>
              <w:jc w:val="center"/>
            </w:pPr>
            <w:r>
              <w:t>1.76</w:t>
            </w:r>
          </w:p>
        </w:tc>
        <w:tc>
          <w:tcPr>
            <w:tcW w:w="1440" w:type="dxa"/>
            <w:shd w:val="clear" w:color="auto" w:fill="auto"/>
            <w:vAlign w:val="center"/>
          </w:tcPr>
          <w:p w:rsidR="00BA6391" w:rsidP="00B4645A" w14:paraId="19A3B0FF" w14:textId="63C3DEE8">
            <w:pPr>
              <w:jc w:val="center"/>
            </w:pPr>
            <w:r>
              <w:t>50,399</w:t>
            </w:r>
          </w:p>
        </w:tc>
        <w:tc>
          <w:tcPr>
            <w:tcW w:w="1260" w:type="dxa"/>
            <w:shd w:val="clear" w:color="auto" w:fill="auto"/>
            <w:vAlign w:val="center"/>
          </w:tcPr>
          <w:p w:rsidR="00BA6391" w:rsidRPr="009E6EC3" w:rsidP="00B4645A" w14:paraId="37C9D89D" w14:textId="77777777">
            <w:pPr>
              <w:jc w:val="center"/>
            </w:pPr>
            <w:r>
              <w:t>0.14 hour</w:t>
            </w:r>
          </w:p>
        </w:tc>
        <w:tc>
          <w:tcPr>
            <w:tcW w:w="1620" w:type="dxa"/>
            <w:shd w:val="clear" w:color="auto" w:fill="auto"/>
            <w:vAlign w:val="center"/>
          </w:tcPr>
          <w:p w:rsidR="00BA6391" w:rsidRPr="009E6EC3" w:rsidP="00B4645A" w14:paraId="5587DECB" w14:textId="22977BDC">
            <w:pPr>
              <w:jc w:val="center"/>
            </w:pPr>
            <w:r>
              <w:t>7,056</w:t>
            </w:r>
          </w:p>
        </w:tc>
        <w:tc>
          <w:tcPr>
            <w:tcW w:w="1350" w:type="dxa"/>
            <w:vAlign w:val="center"/>
          </w:tcPr>
          <w:p w:rsidR="00BA6391" w:rsidRPr="009E6EC3" w:rsidP="00B4645A" w14:paraId="587AF0D4" w14:textId="28777C91">
            <w:pPr>
              <w:jc w:val="center"/>
            </w:pPr>
            <w:r>
              <w:t>$</w:t>
            </w:r>
            <w:r w:rsidR="00041950">
              <w:t>31.93</w:t>
            </w:r>
          </w:p>
        </w:tc>
        <w:tc>
          <w:tcPr>
            <w:tcW w:w="1602" w:type="dxa"/>
            <w:vAlign w:val="center"/>
          </w:tcPr>
          <w:p w:rsidR="00BA6391" w:rsidRPr="009E6EC3" w:rsidP="00B4645A" w14:paraId="7F75E21C" w14:textId="09228C0F">
            <w:pPr>
              <w:jc w:val="center"/>
            </w:pPr>
            <w:r>
              <w:t>$</w:t>
            </w:r>
            <w:r w:rsidR="00722DED">
              <w:t>225,</w:t>
            </w:r>
            <w:r w:rsidR="00226733">
              <w:t>298</w:t>
            </w:r>
          </w:p>
        </w:tc>
      </w:tr>
      <w:tr w14:paraId="04F9FC28" w14:textId="77777777" w:rsidTr="00B4645A">
        <w:tblPrEx>
          <w:tblW w:w="13685" w:type="dxa"/>
          <w:jc w:val="center"/>
          <w:tblLayout w:type="fixed"/>
          <w:tblLook w:val="01E0"/>
        </w:tblPrEx>
        <w:trPr>
          <w:jc w:val="center"/>
        </w:trPr>
        <w:tc>
          <w:tcPr>
            <w:tcW w:w="2633" w:type="dxa"/>
            <w:shd w:val="clear" w:color="auto" w:fill="auto"/>
          </w:tcPr>
          <w:p w:rsidR="00BA6391" w:rsidRPr="009E6EC3" w:rsidP="001F320C" w14:paraId="3420F3CD" w14:textId="77777777">
            <w:r>
              <w:rPr>
                <w:color w:val="000000"/>
              </w:rPr>
              <w:t>Non-Manufacturing</w:t>
            </w:r>
          </w:p>
        </w:tc>
        <w:tc>
          <w:tcPr>
            <w:tcW w:w="1350" w:type="dxa"/>
            <w:shd w:val="clear" w:color="auto" w:fill="auto"/>
            <w:vAlign w:val="center"/>
          </w:tcPr>
          <w:p w:rsidR="00BA6391" w:rsidRPr="00FF1F12" w:rsidP="00B4645A" w14:paraId="6F35C1DB" w14:textId="47B8BAC5">
            <w:pPr>
              <w:jc w:val="center"/>
            </w:pPr>
            <w:r>
              <w:t>1,921,914</w:t>
            </w:r>
          </w:p>
        </w:tc>
        <w:tc>
          <w:tcPr>
            <w:tcW w:w="1260" w:type="dxa"/>
            <w:shd w:val="clear" w:color="auto" w:fill="auto"/>
            <w:vAlign w:val="center"/>
          </w:tcPr>
          <w:p w:rsidR="00BA6391" w:rsidRPr="00AB0B90" w:rsidP="00B4645A" w14:paraId="7C5AEC36" w14:textId="77777777">
            <w:pPr>
              <w:jc w:val="center"/>
            </w:pPr>
            <w:r>
              <w:t>40%</w:t>
            </w:r>
          </w:p>
        </w:tc>
        <w:tc>
          <w:tcPr>
            <w:tcW w:w="1170" w:type="dxa"/>
            <w:vAlign w:val="center"/>
          </w:tcPr>
          <w:p w:rsidR="00BA6391" w:rsidP="00B4645A" w14:paraId="4724C4FC" w14:textId="77777777">
            <w:pPr>
              <w:jc w:val="center"/>
            </w:pPr>
            <w:r>
              <w:t>1.2</w:t>
            </w:r>
          </w:p>
        </w:tc>
        <w:tc>
          <w:tcPr>
            <w:tcW w:w="1440" w:type="dxa"/>
            <w:shd w:val="clear" w:color="auto" w:fill="auto"/>
            <w:vAlign w:val="center"/>
          </w:tcPr>
          <w:p w:rsidR="00BA6391" w:rsidP="00B4645A" w14:paraId="68A5CAA4" w14:textId="3D8C16B5">
            <w:pPr>
              <w:jc w:val="center"/>
            </w:pPr>
            <w:r>
              <w:t>2,306,296</w:t>
            </w:r>
          </w:p>
        </w:tc>
        <w:tc>
          <w:tcPr>
            <w:tcW w:w="1260" w:type="dxa"/>
            <w:shd w:val="clear" w:color="auto" w:fill="auto"/>
            <w:vAlign w:val="center"/>
          </w:tcPr>
          <w:p w:rsidR="00BA6391" w:rsidRPr="009E6EC3" w:rsidP="00B4645A" w14:paraId="3B5BE047" w14:textId="77777777">
            <w:pPr>
              <w:jc w:val="center"/>
            </w:pPr>
            <w:r>
              <w:t>0.14 hour</w:t>
            </w:r>
          </w:p>
        </w:tc>
        <w:tc>
          <w:tcPr>
            <w:tcW w:w="1620" w:type="dxa"/>
            <w:shd w:val="clear" w:color="auto" w:fill="auto"/>
            <w:vAlign w:val="center"/>
          </w:tcPr>
          <w:p w:rsidR="00BA6391" w:rsidRPr="009E6EC3" w:rsidP="00B4645A" w14:paraId="4EB7D072" w14:textId="42500262">
            <w:pPr>
              <w:jc w:val="center"/>
            </w:pPr>
            <w:r>
              <w:t>322,882</w:t>
            </w:r>
          </w:p>
        </w:tc>
        <w:tc>
          <w:tcPr>
            <w:tcW w:w="1350" w:type="dxa"/>
            <w:vAlign w:val="center"/>
          </w:tcPr>
          <w:p w:rsidR="00BA6391" w:rsidRPr="009E6EC3" w:rsidP="00B4645A" w14:paraId="7CC47848" w14:textId="12784145">
            <w:pPr>
              <w:jc w:val="center"/>
            </w:pPr>
            <w:r>
              <w:t>$</w:t>
            </w:r>
            <w:r w:rsidR="00041950">
              <w:t>31.93</w:t>
            </w:r>
          </w:p>
        </w:tc>
        <w:tc>
          <w:tcPr>
            <w:tcW w:w="1602" w:type="dxa"/>
            <w:vAlign w:val="center"/>
          </w:tcPr>
          <w:p w:rsidR="00BA6391" w:rsidRPr="009E6EC3" w:rsidP="00B4645A" w14:paraId="18475E51" w14:textId="2860EEC5">
            <w:pPr>
              <w:jc w:val="center"/>
            </w:pPr>
            <w:r>
              <w:t>$</w:t>
            </w:r>
            <w:r w:rsidR="003A1614">
              <w:t>10,</w:t>
            </w:r>
            <w:r w:rsidR="007E7B73">
              <w:t>309,622</w:t>
            </w:r>
          </w:p>
        </w:tc>
      </w:tr>
      <w:tr w14:paraId="50F1843F" w14:textId="77777777" w:rsidTr="00B4645A">
        <w:tblPrEx>
          <w:tblW w:w="13685" w:type="dxa"/>
          <w:jc w:val="center"/>
          <w:tblLayout w:type="fixed"/>
          <w:tblLook w:val="01E0"/>
        </w:tblPrEx>
        <w:trPr>
          <w:jc w:val="center"/>
        </w:trPr>
        <w:tc>
          <w:tcPr>
            <w:tcW w:w="2633" w:type="dxa"/>
            <w:shd w:val="clear" w:color="auto" w:fill="DEEBF6" w:themeFill="accent1" w:themeFillTint="33"/>
          </w:tcPr>
          <w:p w:rsidR="006F287D" w:rsidRPr="007056ED" w:rsidP="001F320C" w14:paraId="054B3CE3" w14:textId="77777777">
            <w:pPr>
              <w:rPr>
                <w:b/>
              </w:rPr>
            </w:pPr>
            <w:r w:rsidRPr="004C5F83">
              <w:rPr>
                <w:b/>
                <w:color w:val="000000"/>
              </w:rPr>
              <w:t>Subtotal</w:t>
            </w:r>
          </w:p>
        </w:tc>
        <w:tc>
          <w:tcPr>
            <w:tcW w:w="1350" w:type="dxa"/>
            <w:shd w:val="clear" w:color="auto" w:fill="DEEBF6" w:themeFill="accent1" w:themeFillTint="33"/>
            <w:vAlign w:val="center"/>
          </w:tcPr>
          <w:p w:rsidR="006F287D" w:rsidRPr="007056ED" w:rsidP="00B4645A" w14:paraId="326B8657" w14:textId="77777777">
            <w:pPr>
              <w:jc w:val="center"/>
              <w:rPr>
                <w:b/>
              </w:rPr>
            </w:pPr>
          </w:p>
        </w:tc>
        <w:tc>
          <w:tcPr>
            <w:tcW w:w="1260" w:type="dxa"/>
            <w:shd w:val="clear" w:color="auto" w:fill="DEEBF6" w:themeFill="accent1" w:themeFillTint="33"/>
            <w:vAlign w:val="center"/>
          </w:tcPr>
          <w:p w:rsidR="006F287D" w:rsidRPr="007056ED" w:rsidP="00B4645A" w14:paraId="620D8215" w14:textId="77777777">
            <w:pPr>
              <w:jc w:val="center"/>
              <w:rPr>
                <w:b/>
              </w:rPr>
            </w:pPr>
          </w:p>
        </w:tc>
        <w:tc>
          <w:tcPr>
            <w:tcW w:w="1170" w:type="dxa"/>
            <w:shd w:val="clear" w:color="auto" w:fill="DEEBF6" w:themeFill="accent1" w:themeFillTint="33"/>
            <w:vAlign w:val="center"/>
          </w:tcPr>
          <w:p w:rsidR="006F287D" w:rsidRPr="007056ED" w:rsidP="00B4645A" w14:paraId="3B444E99" w14:textId="77777777">
            <w:pPr>
              <w:jc w:val="center"/>
              <w:rPr>
                <w:b/>
              </w:rPr>
            </w:pPr>
          </w:p>
        </w:tc>
        <w:tc>
          <w:tcPr>
            <w:tcW w:w="1440" w:type="dxa"/>
            <w:shd w:val="clear" w:color="auto" w:fill="DEEBF6" w:themeFill="accent1" w:themeFillTint="33"/>
            <w:vAlign w:val="center"/>
          </w:tcPr>
          <w:p w:rsidR="006F287D" w:rsidRPr="007056ED" w:rsidP="00B4645A" w14:paraId="46881DCC" w14:textId="160D6F41">
            <w:pPr>
              <w:jc w:val="center"/>
              <w:rPr>
                <w:b/>
              </w:rPr>
            </w:pPr>
            <w:r>
              <w:rPr>
                <w:b/>
              </w:rPr>
              <w:t>2,356,695</w:t>
            </w:r>
          </w:p>
        </w:tc>
        <w:tc>
          <w:tcPr>
            <w:tcW w:w="1260" w:type="dxa"/>
            <w:shd w:val="clear" w:color="auto" w:fill="DEEBF6" w:themeFill="accent1" w:themeFillTint="33"/>
            <w:vAlign w:val="center"/>
          </w:tcPr>
          <w:p w:rsidR="006F287D" w:rsidRPr="007056ED" w:rsidP="00B4645A" w14:paraId="6EEBE942" w14:textId="77777777">
            <w:pPr>
              <w:jc w:val="center"/>
              <w:rPr>
                <w:b/>
              </w:rPr>
            </w:pPr>
          </w:p>
        </w:tc>
        <w:tc>
          <w:tcPr>
            <w:tcW w:w="1620" w:type="dxa"/>
            <w:shd w:val="clear" w:color="auto" w:fill="DEEBF6" w:themeFill="accent1" w:themeFillTint="33"/>
            <w:vAlign w:val="center"/>
          </w:tcPr>
          <w:p w:rsidR="006F287D" w:rsidRPr="007056ED" w:rsidP="00B4645A" w14:paraId="6B60741F" w14:textId="1C71CC55">
            <w:pPr>
              <w:jc w:val="center"/>
              <w:rPr>
                <w:b/>
              </w:rPr>
            </w:pPr>
            <w:r>
              <w:rPr>
                <w:b/>
              </w:rPr>
              <w:t>329,938</w:t>
            </w:r>
          </w:p>
        </w:tc>
        <w:tc>
          <w:tcPr>
            <w:tcW w:w="1350" w:type="dxa"/>
            <w:shd w:val="clear" w:color="auto" w:fill="DEEBF6" w:themeFill="accent1" w:themeFillTint="33"/>
            <w:vAlign w:val="center"/>
          </w:tcPr>
          <w:p w:rsidR="006F287D" w:rsidRPr="007056ED" w:rsidP="00B4645A" w14:paraId="6E53BFDF" w14:textId="77777777">
            <w:pPr>
              <w:jc w:val="center"/>
              <w:rPr>
                <w:b/>
              </w:rPr>
            </w:pPr>
          </w:p>
        </w:tc>
        <w:tc>
          <w:tcPr>
            <w:tcW w:w="1602" w:type="dxa"/>
            <w:shd w:val="clear" w:color="auto" w:fill="DEEBF6" w:themeFill="accent1" w:themeFillTint="33"/>
            <w:vAlign w:val="center"/>
          </w:tcPr>
          <w:p w:rsidR="006F287D" w:rsidRPr="007056ED" w:rsidP="00B4645A" w14:paraId="1DF4BC89" w14:textId="4B56FDE8">
            <w:pPr>
              <w:jc w:val="center"/>
              <w:rPr>
                <w:b/>
              </w:rPr>
            </w:pPr>
            <w:r>
              <w:rPr>
                <w:b/>
              </w:rPr>
              <w:t>$</w:t>
            </w:r>
            <w:r w:rsidR="007E7B73">
              <w:rPr>
                <w:b/>
              </w:rPr>
              <w:t>10,534,</w:t>
            </w:r>
            <w:r w:rsidRPr="00A47A53" w:rsidR="00D62CFD">
              <w:rPr>
                <w:b/>
              </w:rPr>
              <w:t>920</w:t>
            </w:r>
          </w:p>
        </w:tc>
      </w:tr>
      <w:tr w14:paraId="0976BF83" w14:textId="77777777" w:rsidTr="00781E36">
        <w:tblPrEx>
          <w:tblW w:w="13685" w:type="dxa"/>
          <w:jc w:val="center"/>
          <w:tblLayout w:type="fixed"/>
          <w:tblLook w:val="01E0"/>
        </w:tblPrEx>
        <w:trPr>
          <w:trHeight w:val="359"/>
          <w:jc w:val="center"/>
        </w:trPr>
        <w:tc>
          <w:tcPr>
            <w:tcW w:w="13685" w:type="dxa"/>
            <w:gridSpan w:val="9"/>
            <w:shd w:val="clear" w:color="auto" w:fill="EDEDED"/>
            <w:vAlign w:val="center"/>
          </w:tcPr>
          <w:p w:rsidR="002247FE" w:rsidP="00781E36" w14:paraId="47F7D36C" w14:textId="63577E5A">
            <w:r>
              <w:rPr>
                <w:color w:val="000000"/>
              </w:rPr>
              <w:t>6</w:t>
            </w:r>
            <w:r w:rsidRPr="00F374E4">
              <w:rPr>
                <w:color w:val="000000"/>
              </w:rPr>
              <w:t>. Sending SDSs (</w:t>
            </w:r>
            <w:r w:rsidRPr="00F5356F">
              <w:rPr>
                <w:color w:val="000000"/>
              </w:rPr>
              <w:t xml:space="preserve">New </w:t>
            </w:r>
            <w:r w:rsidRPr="003D01B0">
              <w:rPr>
                <w:color w:val="000000"/>
              </w:rPr>
              <w:t>Establishments)</w:t>
            </w:r>
          </w:p>
        </w:tc>
      </w:tr>
      <w:tr w14:paraId="130D2AE6" w14:textId="77777777" w:rsidTr="00B4645A">
        <w:tblPrEx>
          <w:tblW w:w="13685" w:type="dxa"/>
          <w:jc w:val="center"/>
          <w:tblLayout w:type="fixed"/>
          <w:tblLook w:val="01E0"/>
        </w:tblPrEx>
        <w:trPr>
          <w:jc w:val="center"/>
        </w:trPr>
        <w:tc>
          <w:tcPr>
            <w:tcW w:w="2633" w:type="dxa"/>
            <w:shd w:val="clear" w:color="auto" w:fill="auto"/>
          </w:tcPr>
          <w:p w:rsidR="00B166CC" w:rsidRPr="00F374E4" w:rsidP="001F320C" w14:paraId="2B9DBFEF" w14:textId="77777777">
            <w:pPr>
              <w:rPr>
                <w:color w:val="000000"/>
              </w:rPr>
            </w:pPr>
            <w:r>
              <w:rPr>
                <w:color w:val="000000"/>
              </w:rPr>
              <w:t>Manufacturing</w:t>
            </w:r>
          </w:p>
        </w:tc>
        <w:tc>
          <w:tcPr>
            <w:tcW w:w="1350" w:type="dxa"/>
            <w:shd w:val="clear" w:color="auto" w:fill="auto"/>
            <w:vAlign w:val="center"/>
          </w:tcPr>
          <w:p w:rsidR="00B166CC" w:rsidRPr="00FF1F12" w:rsidP="00B4645A" w14:paraId="5DD90844" w14:textId="2E973111">
            <w:pPr>
              <w:jc w:val="center"/>
            </w:pPr>
            <w:r>
              <w:t>5,554</w:t>
            </w:r>
          </w:p>
        </w:tc>
        <w:tc>
          <w:tcPr>
            <w:tcW w:w="1260" w:type="dxa"/>
            <w:shd w:val="clear" w:color="auto" w:fill="auto"/>
            <w:vAlign w:val="center"/>
          </w:tcPr>
          <w:p w:rsidR="00B166CC" w:rsidRPr="00AB0B90" w:rsidP="00B4645A" w14:paraId="6A1F0DBD" w14:textId="77777777">
            <w:pPr>
              <w:jc w:val="center"/>
            </w:pPr>
            <w:r>
              <w:t>40%</w:t>
            </w:r>
          </w:p>
        </w:tc>
        <w:tc>
          <w:tcPr>
            <w:tcW w:w="1170" w:type="dxa"/>
            <w:vAlign w:val="center"/>
          </w:tcPr>
          <w:p w:rsidR="00B166CC" w:rsidRPr="00F14192" w:rsidP="00B4645A" w14:paraId="445F0139" w14:textId="77777777">
            <w:pPr>
              <w:jc w:val="center"/>
            </w:pPr>
            <w:r>
              <w:t>23.76</w:t>
            </w:r>
          </w:p>
        </w:tc>
        <w:tc>
          <w:tcPr>
            <w:tcW w:w="1440" w:type="dxa"/>
            <w:shd w:val="clear" w:color="auto" w:fill="auto"/>
            <w:vAlign w:val="center"/>
          </w:tcPr>
          <w:p w:rsidR="00B166CC" w:rsidRPr="00F14192" w:rsidP="00B4645A" w14:paraId="0BBEC153" w14:textId="79422201">
            <w:pPr>
              <w:jc w:val="center"/>
            </w:pPr>
            <w:r>
              <w:t>52,</w:t>
            </w:r>
            <w:r w:rsidR="00ED3402">
              <w:t>785</w:t>
            </w:r>
          </w:p>
        </w:tc>
        <w:tc>
          <w:tcPr>
            <w:tcW w:w="1260" w:type="dxa"/>
            <w:shd w:val="clear" w:color="auto" w:fill="auto"/>
            <w:vAlign w:val="center"/>
          </w:tcPr>
          <w:p w:rsidR="00B166CC" w:rsidRPr="00401AC9" w:rsidP="00B4645A" w14:paraId="300B49EC" w14:textId="77777777">
            <w:pPr>
              <w:jc w:val="center"/>
              <w:rPr>
                <w:bCs/>
              </w:rPr>
            </w:pPr>
            <w:r>
              <w:rPr>
                <w:bCs/>
              </w:rPr>
              <w:t>0.14 hour</w:t>
            </w:r>
          </w:p>
        </w:tc>
        <w:tc>
          <w:tcPr>
            <w:tcW w:w="1620" w:type="dxa"/>
            <w:shd w:val="clear" w:color="auto" w:fill="auto"/>
            <w:vAlign w:val="center"/>
          </w:tcPr>
          <w:p w:rsidR="00B166CC" w:rsidP="00B4645A" w14:paraId="3C1FA220" w14:textId="791F6F7B">
            <w:pPr>
              <w:jc w:val="center"/>
            </w:pPr>
            <w:r>
              <w:t>7,391</w:t>
            </w:r>
          </w:p>
        </w:tc>
        <w:tc>
          <w:tcPr>
            <w:tcW w:w="1350" w:type="dxa"/>
            <w:vAlign w:val="center"/>
          </w:tcPr>
          <w:p w:rsidR="00B166CC" w:rsidP="00B4645A" w14:paraId="249B72BA" w14:textId="4604A9E9">
            <w:pPr>
              <w:jc w:val="center"/>
            </w:pPr>
            <w:r>
              <w:t>$</w:t>
            </w:r>
            <w:r w:rsidR="00041950">
              <w:t>31.93</w:t>
            </w:r>
          </w:p>
        </w:tc>
        <w:tc>
          <w:tcPr>
            <w:tcW w:w="1602" w:type="dxa"/>
            <w:vAlign w:val="center"/>
          </w:tcPr>
          <w:p w:rsidR="00B166CC" w:rsidP="00B4645A" w14:paraId="7A8D1FE2" w14:textId="2CB9860A">
            <w:pPr>
              <w:jc w:val="center"/>
            </w:pPr>
            <w:r>
              <w:t>$</w:t>
            </w:r>
            <w:r w:rsidR="00D62CFD">
              <w:t>235,995</w:t>
            </w:r>
          </w:p>
        </w:tc>
      </w:tr>
      <w:tr w14:paraId="647DE7C2" w14:textId="77777777" w:rsidTr="00B4645A">
        <w:tblPrEx>
          <w:tblW w:w="13685" w:type="dxa"/>
          <w:jc w:val="center"/>
          <w:tblLayout w:type="fixed"/>
          <w:tblLook w:val="01E0"/>
        </w:tblPrEx>
        <w:trPr>
          <w:jc w:val="center"/>
        </w:trPr>
        <w:tc>
          <w:tcPr>
            <w:tcW w:w="2633" w:type="dxa"/>
            <w:shd w:val="clear" w:color="auto" w:fill="auto"/>
          </w:tcPr>
          <w:p w:rsidR="00B166CC" w:rsidRPr="00F374E4" w:rsidP="001F320C" w14:paraId="7B336E87" w14:textId="77777777">
            <w:pPr>
              <w:rPr>
                <w:color w:val="000000"/>
              </w:rPr>
            </w:pPr>
            <w:r>
              <w:rPr>
                <w:color w:val="000000"/>
              </w:rPr>
              <w:t>Non-Manufacturing</w:t>
            </w:r>
          </w:p>
        </w:tc>
        <w:tc>
          <w:tcPr>
            <w:tcW w:w="1350" w:type="dxa"/>
            <w:shd w:val="clear" w:color="auto" w:fill="auto"/>
            <w:vAlign w:val="center"/>
          </w:tcPr>
          <w:p w:rsidR="00B166CC" w:rsidRPr="00FF1F12" w:rsidP="00B4645A" w14:paraId="7F241AFD" w14:textId="64580825">
            <w:pPr>
              <w:jc w:val="center"/>
            </w:pPr>
            <w:r>
              <w:t>698,978</w:t>
            </w:r>
          </w:p>
        </w:tc>
        <w:tc>
          <w:tcPr>
            <w:tcW w:w="1260" w:type="dxa"/>
            <w:shd w:val="clear" w:color="auto" w:fill="auto"/>
            <w:vAlign w:val="center"/>
          </w:tcPr>
          <w:p w:rsidR="00B166CC" w:rsidRPr="00AB0B90" w:rsidP="00B4645A" w14:paraId="272C561F" w14:textId="77777777">
            <w:pPr>
              <w:jc w:val="center"/>
            </w:pPr>
            <w:r>
              <w:t>40%</w:t>
            </w:r>
          </w:p>
        </w:tc>
        <w:tc>
          <w:tcPr>
            <w:tcW w:w="1170" w:type="dxa"/>
            <w:vAlign w:val="center"/>
          </w:tcPr>
          <w:p w:rsidR="00B166CC" w:rsidRPr="00F14192" w:rsidP="00B4645A" w14:paraId="6AF0A0A0" w14:textId="77777777">
            <w:pPr>
              <w:jc w:val="center"/>
            </w:pPr>
            <w:r>
              <w:t>16.2</w:t>
            </w:r>
          </w:p>
        </w:tc>
        <w:tc>
          <w:tcPr>
            <w:tcW w:w="1440" w:type="dxa"/>
            <w:shd w:val="clear" w:color="auto" w:fill="auto"/>
            <w:vAlign w:val="center"/>
          </w:tcPr>
          <w:p w:rsidR="00B166CC" w:rsidRPr="00F14192" w:rsidP="00B4645A" w14:paraId="2C4F1143" w14:textId="6D3778E4">
            <w:pPr>
              <w:jc w:val="center"/>
            </w:pPr>
            <w:r>
              <w:t>4,529,377</w:t>
            </w:r>
          </w:p>
        </w:tc>
        <w:tc>
          <w:tcPr>
            <w:tcW w:w="1260" w:type="dxa"/>
            <w:shd w:val="clear" w:color="auto" w:fill="auto"/>
            <w:vAlign w:val="center"/>
          </w:tcPr>
          <w:p w:rsidR="00B166CC" w:rsidRPr="00401AC9" w:rsidP="00B4645A" w14:paraId="705609FC" w14:textId="77777777">
            <w:pPr>
              <w:jc w:val="center"/>
              <w:rPr>
                <w:bCs/>
              </w:rPr>
            </w:pPr>
            <w:r>
              <w:rPr>
                <w:bCs/>
              </w:rPr>
              <w:t>0.14 hour</w:t>
            </w:r>
          </w:p>
        </w:tc>
        <w:tc>
          <w:tcPr>
            <w:tcW w:w="1620" w:type="dxa"/>
            <w:shd w:val="clear" w:color="auto" w:fill="auto"/>
            <w:vAlign w:val="center"/>
          </w:tcPr>
          <w:p w:rsidR="00B166CC" w:rsidP="00B4645A" w14:paraId="2FC9EFCD" w14:textId="0425BACB">
            <w:pPr>
              <w:jc w:val="center"/>
            </w:pPr>
            <w:r>
              <w:t>634,112</w:t>
            </w:r>
          </w:p>
        </w:tc>
        <w:tc>
          <w:tcPr>
            <w:tcW w:w="1350" w:type="dxa"/>
            <w:vAlign w:val="center"/>
          </w:tcPr>
          <w:p w:rsidR="00B166CC" w:rsidP="00B4645A" w14:paraId="71014AA2" w14:textId="367BA9E1">
            <w:pPr>
              <w:jc w:val="center"/>
            </w:pPr>
            <w:r>
              <w:t>$</w:t>
            </w:r>
            <w:r w:rsidR="00041950">
              <w:t>31.93</w:t>
            </w:r>
          </w:p>
        </w:tc>
        <w:tc>
          <w:tcPr>
            <w:tcW w:w="1602" w:type="dxa"/>
            <w:vAlign w:val="center"/>
          </w:tcPr>
          <w:p w:rsidR="00B166CC" w:rsidP="00B4645A" w14:paraId="59992DC6" w14:textId="03D085D9">
            <w:pPr>
              <w:jc w:val="center"/>
            </w:pPr>
            <w:r>
              <w:t>$</w:t>
            </w:r>
            <w:r w:rsidR="0067410D">
              <w:t>20,247,196</w:t>
            </w:r>
          </w:p>
        </w:tc>
      </w:tr>
      <w:tr w14:paraId="06C26161" w14:textId="77777777" w:rsidTr="00B4645A">
        <w:tblPrEx>
          <w:tblW w:w="13685" w:type="dxa"/>
          <w:jc w:val="center"/>
          <w:tblLayout w:type="fixed"/>
          <w:tblLook w:val="01E0"/>
        </w:tblPrEx>
        <w:trPr>
          <w:jc w:val="center"/>
        </w:trPr>
        <w:tc>
          <w:tcPr>
            <w:tcW w:w="2633" w:type="dxa"/>
            <w:shd w:val="clear" w:color="auto" w:fill="DEEBF6" w:themeFill="accent1" w:themeFillTint="33"/>
          </w:tcPr>
          <w:p w:rsidR="00DC756E" w:rsidRPr="007056ED" w:rsidP="001F320C" w14:paraId="4D30EDB8" w14:textId="77777777">
            <w:pPr>
              <w:rPr>
                <w:b/>
                <w:color w:val="000000"/>
              </w:rPr>
            </w:pPr>
            <w:r w:rsidRPr="004C5F83">
              <w:rPr>
                <w:b/>
                <w:color w:val="000000"/>
              </w:rPr>
              <w:t>Subtotal</w:t>
            </w:r>
          </w:p>
        </w:tc>
        <w:tc>
          <w:tcPr>
            <w:tcW w:w="1350" w:type="dxa"/>
            <w:shd w:val="clear" w:color="auto" w:fill="DEEBF6" w:themeFill="accent1" w:themeFillTint="33"/>
            <w:vAlign w:val="center"/>
          </w:tcPr>
          <w:p w:rsidR="00DC756E" w:rsidRPr="007056ED" w:rsidP="00B4645A" w14:paraId="691C896D" w14:textId="77777777">
            <w:pPr>
              <w:jc w:val="center"/>
              <w:rPr>
                <w:b/>
              </w:rPr>
            </w:pPr>
          </w:p>
        </w:tc>
        <w:tc>
          <w:tcPr>
            <w:tcW w:w="1260" w:type="dxa"/>
            <w:shd w:val="clear" w:color="auto" w:fill="DEEBF6" w:themeFill="accent1" w:themeFillTint="33"/>
            <w:vAlign w:val="center"/>
          </w:tcPr>
          <w:p w:rsidR="00DC756E" w:rsidRPr="007056ED" w:rsidP="00B4645A" w14:paraId="06D115C9" w14:textId="77777777">
            <w:pPr>
              <w:jc w:val="center"/>
              <w:rPr>
                <w:b/>
              </w:rPr>
            </w:pPr>
          </w:p>
        </w:tc>
        <w:tc>
          <w:tcPr>
            <w:tcW w:w="1170" w:type="dxa"/>
            <w:shd w:val="clear" w:color="auto" w:fill="DEEBF6" w:themeFill="accent1" w:themeFillTint="33"/>
            <w:vAlign w:val="center"/>
          </w:tcPr>
          <w:p w:rsidR="00DC756E" w:rsidRPr="007056ED" w:rsidP="00B4645A" w14:paraId="1E3D64D0" w14:textId="77777777">
            <w:pPr>
              <w:jc w:val="center"/>
              <w:rPr>
                <w:b/>
              </w:rPr>
            </w:pPr>
          </w:p>
        </w:tc>
        <w:tc>
          <w:tcPr>
            <w:tcW w:w="1440" w:type="dxa"/>
            <w:shd w:val="clear" w:color="auto" w:fill="DEEBF6" w:themeFill="accent1" w:themeFillTint="33"/>
            <w:vAlign w:val="center"/>
          </w:tcPr>
          <w:p w:rsidR="00DC756E" w:rsidRPr="007056ED" w:rsidP="00B4645A" w14:paraId="34513A28" w14:textId="5A9D45F1">
            <w:pPr>
              <w:jc w:val="center"/>
              <w:rPr>
                <w:b/>
              </w:rPr>
            </w:pPr>
            <w:r>
              <w:rPr>
                <w:b/>
              </w:rPr>
              <w:t>4,582,</w:t>
            </w:r>
            <w:r w:rsidR="00E82371">
              <w:rPr>
                <w:b/>
              </w:rPr>
              <w:t>162</w:t>
            </w:r>
          </w:p>
        </w:tc>
        <w:tc>
          <w:tcPr>
            <w:tcW w:w="1260" w:type="dxa"/>
            <w:shd w:val="clear" w:color="auto" w:fill="DEEBF6" w:themeFill="accent1" w:themeFillTint="33"/>
            <w:vAlign w:val="center"/>
          </w:tcPr>
          <w:p w:rsidR="00DC756E" w:rsidRPr="007056ED" w:rsidP="00B4645A" w14:paraId="2B30EC05" w14:textId="77777777">
            <w:pPr>
              <w:jc w:val="center"/>
              <w:rPr>
                <w:b/>
                <w:bCs/>
              </w:rPr>
            </w:pPr>
          </w:p>
        </w:tc>
        <w:tc>
          <w:tcPr>
            <w:tcW w:w="1620" w:type="dxa"/>
            <w:shd w:val="clear" w:color="auto" w:fill="DEEBF6" w:themeFill="accent1" w:themeFillTint="33"/>
            <w:vAlign w:val="center"/>
          </w:tcPr>
          <w:p w:rsidR="00DC756E" w:rsidRPr="007056ED" w:rsidP="00B4645A" w14:paraId="0EDB4D57" w14:textId="5E9117AC">
            <w:pPr>
              <w:jc w:val="center"/>
              <w:rPr>
                <w:b/>
              </w:rPr>
            </w:pPr>
            <w:r>
              <w:rPr>
                <w:b/>
              </w:rPr>
              <w:t>641,503</w:t>
            </w:r>
          </w:p>
        </w:tc>
        <w:tc>
          <w:tcPr>
            <w:tcW w:w="1350" w:type="dxa"/>
            <w:shd w:val="clear" w:color="auto" w:fill="DEEBF6" w:themeFill="accent1" w:themeFillTint="33"/>
            <w:vAlign w:val="center"/>
          </w:tcPr>
          <w:p w:rsidR="00DC756E" w:rsidRPr="007056ED" w:rsidP="00B4645A" w14:paraId="0E32CE10" w14:textId="77777777">
            <w:pPr>
              <w:jc w:val="center"/>
              <w:rPr>
                <w:b/>
              </w:rPr>
            </w:pPr>
          </w:p>
        </w:tc>
        <w:tc>
          <w:tcPr>
            <w:tcW w:w="1602" w:type="dxa"/>
            <w:shd w:val="clear" w:color="auto" w:fill="DEEBF6" w:themeFill="accent1" w:themeFillTint="33"/>
            <w:vAlign w:val="center"/>
          </w:tcPr>
          <w:p w:rsidR="00DC756E" w:rsidRPr="007056ED" w:rsidP="00B4645A" w14:paraId="4E17EBEA" w14:textId="38CC6EFE">
            <w:pPr>
              <w:jc w:val="center"/>
              <w:rPr>
                <w:b/>
              </w:rPr>
            </w:pPr>
            <w:r>
              <w:rPr>
                <w:b/>
              </w:rPr>
              <w:t>$</w:t>
            </w:r>
            <w:r w:rsidR="0067410D">
              <w:rPr>
                <w:b/>
              </w:rPr>
              <w:t>20,483,191</w:t>
            </w:r>
          </w:p>
        </w:tc>
      </w:tr>
      <w:tr w14:paraId="77CC8FB2" w14:textId="77777777" w:rsidTr="00781E36">
        <w:tblPrEx>
          <w:tblW w:w="13685" w:type="dxa"/>
          <w:jc w:val="center"/>
          <w:tblLayout w:type="fixed"/>
          <w:tblLook w:val="01E0"/>
        </w:tblPrEx>
        <w:trPr>
          <w:trHeight w:val="458"/>
          <w:jc w:val="center"/>
        </w:trPr>
        <w:tc>
          <w:tcPr>
            <w:tcW w:w="13685" w:type="dxa"/>
            <w:gridSpan w:val="9"/>
            <w:shd w:val="clear" w:color="auto" w:fill="EDEDED"/>
            <w:vAlign w:val="center"/>
          </w:tcPr>
          <w:p w:rsidR="00AD0165" w:rsidP="00781E36" w14:paraId="3286C8A7" w14:textId="6A8B5D4A">
            <w:pPr>
              <w:rPr>
                <w:color w:val="000000"/>
              </w:rPr>
            </w:pPr>
            <w:r>
              <w:rPr>
                <w:color w:val="000000"/>
              </w:rPr>
              <w:t>7.</w:t>
            </w:r>
            <w:r w:rsidRPr="00F374E4">
              <w:rPr>
                <w:color w:val="000000"/>
              </w:rPr>
              <w:t xml:space="preserve"> </w:t>
            </w:r>
            <w:r w:rsidRPr="003D01B0">
              <w:rPr>
                <w:color w:val="000000"/>
              </w:rPr>
              <w:t>Sending SDS (Existing Establishments)</w:t>
            </w:r>
          </w:p>
        </w:tc>
      </w:tr>
      <w:tr w14:paraId="4F558757" w14:textId="77777777" w:rsidTr="00B4645A">
        <w:tblPrEx>
          <w:tblW w:w="13685" w:type="dxa"/>
          <w:jc w:val="center"/>
          <w:tblLayout w:type="fixed"/>
          <w:tblLook w:val="01E0"/>
        </w:tblPrEx>
        <w:trPr>
          <w:trHeight w:val="287"/>
          <w:jc w:val="center"/>
        </w:trPr>
        <w:tc>
          <w:tcPr>
            <w:tcW w:w="2633" w:type="dxa"/>
            <w:shd w:val="clear" w:color="auto" w:fill="auto"/>
          </w:tcPr>
          <w:p w:rsidR="00220966" w:rsidRPr="00F374E4" w:rsidP="00220966" w14:paraId="7DB1A87B" w14:textId="77777777">
            <w:pPr>
              <w:rPr>
                <w:color w:val="000000"/>
              </w:rPr>
            </w:pPr>
            <w:r>
              <w:rPr>
                <w:color w:val="000000"/>
              </w:rPr>
              <w:t>Manufacturing</w:t>
            </w:r>
          </w:p>
        </w:tc>
        <w:tc>
          <w:tcPr>
            <w:tcW w:w="1350" w:type="dxa"/>
            <w:shd w:val="clear" w:color="auto" w:fill="auto"/>
            <w:vAlign w:val="center"/>
          </w:tcPr>
          <w:p w:rsidR="00220966" w:rsidRPr="00FF1F12" w:rsidP="00B4645A" w14:paraId="23996A9A" w14:textId="71727EA4">
            <w:pPr>
              <w:jc w:val="center"/>
              <w:rPr>
                <w:color w:val="000000"/>
              </w:rPr>
            </w:pPr>
            <w:r>
              <w:t>71,590</w:t>
            </w:r>
          </w:p>
        </w:tc>
        <w:tc>
          <w:tcPr>
            <w:tcW w:w="1260" w:type="dxa"/>
            <w:shd w:val="clear" w:color="auto" w:fill="auto"/>
            <w:vAlign w:val="center"/>
          </w:tcPr>
          <w:p w:rsidR="00220966" w:rsidRPr="00AB0B90" w:rsidP="00B4645A" w14:paraId="4F9B496C" w14:textId="77777777">
            <w:pPr>
              <w:jc w:val="center"/>
              <w:rPr>
                <w:color w:val="000000"/>
              </w:rPr>
            </w:pPr>
            <w:r>
              <w:rPr>
                <w:color w:val="000000"/>
              </w:rPr>
              <w:t>40%</w:t>
            </w:r>
          </w:p>
        </w:tc>
        <w:tc>
          <w:tcPr>
            <w:tcW w:w="1170" w:type="dxa"/>
            <w:vAlign w:val="center"/>
          </w:tcPr>
          <w:p w:rsidR="00220966" w:rsidP="00B4645A" w14:paraId="135C85E9" w14:textId="77777777">
            <w:pPr>
              <w:jc w:val="center"/>
            </w:pPr>
            <w:r>
              <w:t>0.5</w:t>
            </w:r>
          </w:p>
        </w:tc>
        <w:tc>
          <w:tcPr>
            <w:tcW w:w="1440" w:type="dxa"/>
            <w:shd w:val="clear" w:color="auto" w:fill="auto"/>
            <w:vAlign w:val="center"/>
          </w:tcPr>
          <w:p w:rsidR="00220966" w:rsidP="00B4645A" w14:paraId="5F89EEAB" w14:textId="2401C846">
            <w:pPr>
              <w:jc w:val="center"/>
            </w:pPr>
            <w:r>
              <w:t>14,318</w:t>
            </w:r>
          </w:p>
        </w:tc>
        <w:tc>
          <w:tcPr>
            <w:tcW w:w="1260" w:type="dxa"/>
            <w:shd w:val="clear" w:color="auto" w:fill="auto"/>
            <w:vAlign w:val="center"/>
          </w:tcPr>
          <w:p w:rsidR="00220966" w:rsidP="00B4645A" w14:paraId="49960AB6" w14:textId="77777777">
            <w:pPr>
              <w:jc w:val="center"/>
              <w:rPr>
                <w:bCs/>
              </w:rPr>
            </w:pPr>
            <w:r>
              <w:rPr>
                <w:bCs/>
              </w:rPr>
              <w:t>0.14 hour</w:t>
            </w:r>
          </w:p>
        </w:tc>
        <w:tc>
          <w:tcPr>
            <w:tcW w:w="1620" w:type="dxa"/>
            <w:shd w:val="clear" w:color="auto" w:fill="auto"/>
            <w:vAlign w:val="center"/>
          </w:tcPr>
          <w:p w:rsidR="00220966" w:rsidP="004C4533" w14:paraId="1C25B3DF" w14:textId="3273A653">
            <w:pPr>
              <w:jc w:val="center"/>
              <w:rPr>
                <w:color w:val="000000"/>
              </w:rPr>
            </w:pPr>
            <w:r>
              <w:rPr>
                <w:color w:val="000000"/>
              </w:rPr>
              <w:t>2,005</w:t>
            </w:r>
          </w:p>
        </w:tc>
        <w:tc>
          <w:tcPr>
            <w:tcW w:w="1350" w:type="dxa"/>
            <w:vAlign w:val="center"/>
          </w:tcPr>
          <w:p w:rsidR="00220966" w:rsidP="004C4533" w14:paraId="6D723DFD" w14:textId="19C08AA8">
            <w:pPr>
              <w:jc w:val="center"/>
              <w:rPr>
                <w:color w:val="000000"/>
              </w:rPr>
            </w:pPr>
            <w:r>
              <w:t>$</w:t>
            </w:r>
            <w:r w:rsidR="00041950">
              <w:t>31.93</w:t>
            </w:r>
          </w:p>
        </w:tc>
        <w:tc>
          <w:tcPr>
            <w:tcW w:w="1602" w:type="dxa"/>
            <w:vAlign w:val="center"/>
          </w:tcPr>
          <w:p w:rsidR="00220966" w:rsidP="004C4533" w14:paraId="52C0F3CB" w14:textId="30F8DF78">
            <w:pPr>
              <w:jc w:val="center"/>
              <w:rPr>
                <w:color w:val="000000"/>
              </w:rPr>
            </w:pPr>
            <w:r>
              <w:rPr>
                <w:color w:val="000000"/>
              </w:rPr>
              <w:t>$</w:t>
            </w:r>
            <w:r w:rsidR="00E9200D">
              <w:rPr>
                <w:color w:val="000000"/>
              </w:rPr>
              <w:t>64,020</w:t>
            </w:r>
          </w:p>
        </w:tc>
      </w:tr>
      <w:tr w14:paraId="1CE97F2F" w14:textId="77777777" w:rsidTr="00B4645A">
        <w:tblPrEx>
          <w:tblW w:w="13685" w:type="dxa"/>
          <w:jc w:val="center"/>
          <w:tblLayout w:type="fixed"/>
          <w:tblLook w:val="01E0"/>
        </w:tblPrEx>
        <w:trPr>
          <w:trHeight w:val="269"/>
          <w:jc w:val="center"/>
        </w:trPr>
        <w:tc>
          <w:tcPr>
            <w:tcW w:w="2633" w:type="dxa"/>
            <w:shd w:val="clear" w:color="auto" w:fill="auto"/>
          </w:tcPr>
          <w:p w:rsidR="00220966" w:rsidRPr="00F374E4" w:rsidP="00220966" w14:paraId="1F35F138" w14:textId="77777777">
            <w:pPr>
              <w:rPr>
                <w:color w:val="000000"/>
              </w:rPr>
            </w:pPr>
            <w:r>
              <w:rPr>
                <w:color w:val="000000"/>
              </w:rPr>
              <w:t>Non-Manufacturing</w:t>
            </w:r>
          </w:p>
        </w:tc>
        <w:tc>
          <w:tcPr>
            <w:tcW w:w="1350" w:type="dxa"/>
            <w:shd w:val="clear" w:color="auto" w:fill="auto"/>
            <w:vAlign w:val="center"/>
          </w:tcPr>
          <w:p w:rsidR="00220966" w:rsidRPr="00FF1F12" w:rsidP="00B4645A" w14:paraId="7373B84C" w14:textId="19D66D8D">
            <w:pPr>
              <w:jc w:val="center"/>
              <w:rPr>
                <w:color w:val="000000"/>
              </w:rPr>
            </w:pPr>
            <w:r>
              <w:t>4,804,784</w:t>
            </w:r>
          </w:p>
        </w:tc>
        <w:tc>
          <w:tcPr>
            <w:tcW w:w="1260" w:type="dxa"/>
            <w:shd w:val="clear" w:color="auto" w:fill="auto"/>
            <w:vAlign w:val="center"/>
          </w:tcPr>
          <w:p w:rsidR="00220966" w:rsidRPr="00AB0B90" w:rsidP="00B4645A" w14:paraId="39723C56" w14:textId="77777777">
            <w:pPr>
              <w:jc w:val="center"/>
              <w:rPr>
                <w:color w:val="000000"/>
              </w:rPr>
            </w:pPr>
            <w:r>
              <w:rPr>
                <w:color w:val="000000"/>
              </w:rPr>
              <w:t>40%</w:t>
            </w:r>
          </w:p>
        </w:tc>
        <w:tc>
          <w:tcPr>
            <w:tcW w:w="1170" w:type="dxa"/>
            <w:vAlign w:val="center"/>
          </w:tcPr>
          <w:p w:rsidR="00220966" w:rsidP="00B4645A" w14:paraId="6E818B7A" w14:textId="77777777">
            <w:pPr>
              <w:jc w:val="center"/>
            </w:pPr>
            <w:r>
              <w:t>0.5</w:t>
            </w:r>
          </w:p>
        </w:tc>
        <w:tc>
          <w:tcPr>
            <w:tcW w:w="1440" w:type="dxa"/>
            <w:shd w:val="clear" w:color="auto" w:fill="auto"/>
            <w:vAlign w:val="center"/>
          </w:tcPr>
          <w:p w:rsidR="00220966" w:rsidP="00B4645A" w14:paraId="7AD0B829" w14:textId="52357856">
            <w:pPr>
              <w:jc w:val="center"/>
            </w:pPr>
            <w:r>
              <w:t>960,957</w:t>
            </w:r>
          </w:p>
        </w:tc>
        <w:tc>
          <w:tcPr>
            <w:tcW w:w="1260" w:type="dxa"/>
            <w:shd w:val="clear" w:color="auto" w:fill="auto"/>
            <w:vAlign w:val="center"/>
          </w:tcPr>
          <w:p w:rsidR="00220966" w:rsidP="00B4645A" w14:paraId="3435EC04" w14:textId="77777777">
            <w:pPr>
              <w:jc w:val="center"/>
              <w:rPr>
                <w:bCs/>
              </w:rPr>
            </w:pPr>
            <w:r>
              <w:rPr>
                <w:bCs/>
              </w:rPr>
              <w:t>0.14 hour</w:t>
            </w:r>
          </w:p>
        </w:tc>
        <w:tc>
          <w:tcPr>
            <w:tcW w:w="1620" w:type="dxa"/>
            <w:shd w:val="clear" w:color="auto" w:fill="auto"/>
            <w:vAlign w:val="center"/>
          </w:tcPr>
          <w:p w:rsidR="00220966" w:rsidP="004C4533" w14:paraId="13AC1751" w14:textId="566091E4">
            <w:pPr>
              <w:jc w:val="center"/>
              <w:rPr>
                <w:color w:val="000000"/>
              </w:rPr>
            </w:pPr>
            <w:r>
              <w:rPr>
                <w:color w:val="000000"/>
              </w:rPr>
              <w:t>134,534</w:t>
            </w:r>
          </w:p>
        </w:tc>
        <w:tc>
          <w:tcPr>
            <w:tcW w:w="1350" w:type="dxa"/>
            <w:vAlign w:val="center"/>
          </w:tcPr>
          <w:p w:rsidR="00220966" w:rsidP="004C4533" w14:paraId="4C074B4D" w14:textId="51C9B4E3">
            <w:pPr>
              <w:jc w:val="center"/>
              <w:rPr>
                <w:color w:val="000000"/>
              </w:rPr>
            </w:pPr>
            <w:r>
              <w:t>$</w:t>
            </w:r>
            <w:r w:rsidR="00041950">
              <w:t>31.93</w:t>
            </w:r>
          </w:p>
        </w:tc>
        <w:tc>
          <w:tcPr>
            <w:tcW w:w="1602" w:type="dxa"/>
            <w:vAlign w:val="center"/>
          </w:tcPr>
          <w:p w:rsidR="00220966" w:rsidP="004C4533" w14:paraId="4EE0B0BF" w14:textId="60C5146F">
            <w:pPr>
              <w:jc w:val="center"/>
              <w:rPr>
                <w:color w:val="000000"/>
              </w:rPr>
            </w:pPr>
            <w:r>
              <w:rPr>
                <w:color w:val="000000"/>
              </w:rPr>
              <w:t>$4,</w:t>
            </w:r>
            <w:r w:rsidR="001D7A2B">
              <w:rPr>
                <w:color w:val="000000"/>
              </w:rPr>
              <w:t>295,</w:t>
            </w:r>
            <w:r w:rsidR="00D9604E">
              <w:rPr>
                <w:color w:val="000000"/>
              </w:rPr>
              <w:t>671</w:t>
            </w:r>
          </w:p>
        </w:tc>
      </w:tr>
      <w:tr w14:paraId="1C1737CC" w14:textId="77777777" w:rsidTr="00B4645A">
        <w:tblPrEx>
          <w:tblW w:w="13685" w:type="dxa"/>
          <w:jc w:val="center"/>
          <w:tblLayout w:type="fixed"/>
          <w:tblLook w:val="01E0"/>
        </w:tblPrEx>
        <w:trPr>
          <w:trHeight w:val="260"/>
          <w:jc w:val="center"/>
        </w:trPr>
        <w:tc>
          <w:tcPr>
            <w:tcW w:w="2633" w:type="dxa"/>
            <w:shd w:val="clear" w:color="auto" w:fill="DEEBF6" w:themeFill="accent1" w:themeFillTint="33"/>
          </w:tcPr>
          <w:p w:rsidR="005E7298" w:rsidRPr="007056ED" w:rsidP="001F320C" w14:paraId="44C0E1DA" w14:textId="77777777">
            <w:pPr>
              <w:rPr>
                <w:b/>
                <w:color w:val="000000"/>
              </w:rPr>
            </w:pPr>
            <w:r w:rsidRPr="004C5F83">
              <w:rPr>
                <w:b/>
                <w:color w:val="000000"/>
              </w:rPr>
              <w:t>Subtotal</w:t>
            </w:r>
          </w:p>
        </w:tc>
        <w:tc>
          <w:tcPr>
            <w:tcW w:w="1350" w:type="dxa"/>
            <w:shd w:val="clear" w:color="auto" w:fill="DEEBF6" w:themeFill="accent1" w:themeFillTint="33"/>
            <w:vAlign w:val="center"/>
          </w:tcPr>
          <w:p w:rsidR="005E7298" w:rsidRPr="007056ED" w:rsidP="00B4645A" w14:paraId="36A52F61" w14:textId="77777777">
            <w:pPr>
              <w:jc w:val="center"/>
              <w:rPr>
                <w:b/>
                <w:color w:val="000000"/>
              </w:rPr>
            </w:pPr>
          </w:p>
        </w:tc>
        <w:tc>
          <w:tcPr>
            <w:tcW w:w="1260" w:type="dxa"/>
            <w:shd w:val="clear" w:color="auto" w:fill="DEEBF6" w:themeFill="accent1" w:themeFillTint="33"/>
            <w:vAlign w:val="center"/>
          </w:tcPr>
          <w:p w:rsidR="005E7298" w:rsidRPr="007056ED" w:rsidP="00B4645A" w14:paraId="7A176524" w14:textId="77777777">
            <w:pPr>
              <w:jc w:val="center"/>
              <w:rPr>
                <w:b/>
                <w:color w:val="000000"/>
              </w:rPr>
            </w:pPr>
          </w:p>
        </w:tc>
        <w:tc>
          <w:tcPr>
            <w:tcW w:w="1170" w:type="dxa"/>
            <w:shd w:val="clear" w:color="auto" w:fill="DEEBF6" w:themeFill="accent1" w:themeFillTint="33"/>
            <w:vAlign w:val="center"/>
          </w:tcPr>
          <w:p w:rsidR="005E7298" w:rsidRPr="007056ED" w:rsidP="00B4645A" w14:paraId="6E900C2A" w14:textId="77777777">
            <w:pPr>
              <w:jc w:val="center"/>
              <w:rPr>
                <w:b/>
              </w:rPr>
            </w:pPr>
          </w:p>
        </w:tc>
        <w:tc>
          <w:tcPr>
            <w:tcW w:w="1440" w:type="dxa"/>
            <w:shd w:val="clear" w:color="auto" w:fill="DEEBF6" w:themeFill="accent1" w:themeFillTint="33"/>
            <w:vAlign w:val="center"/>
          </w:tcPr>
          <w:p w:rsidR="005E7298" w:rsidRPr="007056ED" w:rsidP="00B4645A" w14:paraId="272F8B4A" w14:textId="03ADC4AA">
            <w:pPr>
              <w:jc w:val="center"/>
              <w:rPr>
                <w:b/>
              </w:rPr>
            </w:pPr>
            <w:r>
              <w:rPr>
                <w:b/>
              </w:rPr>
              <w:t>975,275</w:t>
            </w:r>
          </w:p>
        </w:tc>
        <w:tc>
          <w:tcPr>
            <w:tcW w:w="1260" w:type="dxa"/>
            <w:shd w:val="clear" w:color="auto" w:fill="DEEBF6" w:themeFill="accent1" w:themeFillTint="33"/>
            <w:vAlign w:val="center"/>
          </w:tcPr>
          <w:p w:rsidR="005E7298" w:rsidRPr="007056ED" w:rsidP="00B4645A" w14:paraId="65FF5C3D" w14:textId="77777777">
            <w:pPr>
              <w:jc w:val="center"/>
              <w:rPr>
                <w:b/>
                <w:bCs/>
              </w:rPr>
            </w:pPr>
          </w:p>
        </w:tc>
        <w:tc>
          <w:tcPr>
            <w:tcW w:w="1620" w:type="dxa"/>
            <w:shd w:val="clear" w:color="auto" w:fill="DEEBF6" w:themeFill="accent1" w:themeFillTint="33"/>
            <w:vAlign w:val="center"/>
          </w:tcPr>
          <w:p w:rsidR="005E7298" w:rsidRPr="007056ED" w:rsidP="004C4533" w14:paraId="10827F82" w14:textId="09F6414B">
            <w:pPr>
              <w:jc w:val="center"/>
              <w:rPr>
                <w:b/>
                <w:color w:val="000000"/>
              </w:rPr>
            </w:pPr>
            <w:r>
              <w:rPr>
                <w:b/>
                <w:color w:val="000000"/>
              </w:rPr>
              <w:t>136,539</w:t>
            </w:r>
          </w:p>
        </w:tc>
        <w:tc>
          <w:tcPr>
            <w:tcW w:w="1350" w:type="dxa"/>
            <w:shd w:val="clear" w:color="auto" w:fill="DEEBF6" w:themeFill="accent1" w:themeFillTint="33"/>
            <w:vAlign w:val="center"/>
          </w:tcPr>
          <w:p w:rsidR="005E7298" w:rsidRPr="007056ED" w:rsidP="004C4533" w14:paraId="79624E8D" w14:textId="77777777">
            <w:pPr>
              <w:jc w:val="center"/>
              <w:rPr>
                <w:b/>
                <w:color w:val="000000"/>
              </w:rPr>
            </w:pPr>
          </w:p>
        </w:tc>
        <w:tc>
          <w:tcPr>
            <w:tcW w:w="1602" w:type="dxa"/>
            <w:shd w:val="clear" w:color="auto" w:fill="DEEBF6" w:themeFill="accent1" w:themeFillTint="33"/>
            <w:vAlign w:val="center"/>
          </w:tcPr>
          <w:p w:rsidR="005E7298" w:rsidRPr="007056ED" w:rsidP="004C4533" w14:paraId="4B6C7D7E" w14:textId="41FBB78D">
            <w:pPr>
              <w:jc w:val="center"/>
              <w:rPr>
                <w:b/>
                <w:color w:val="000000"/>
              </w:rPr>
            </w:pPr>
            <w:r>
              <w:rPr>
                <w:b/>
                <w:color w:val="000000"/>
              </w:rPr>
              <w:t>$</w:t>
            </w:r>
            <w:r w:rsidR="003B2967">
              <w:rPr>
                <w:b/>
                <w:color w:val="000000"/>
              </w:rPr>
              <w:t>4,</w:t>
            </w:r>
            <w:r w:rsidR="00D9604E">
              <w:rPr>
                <w:b/>
                <w:color w:val="000000"/>
              </w:rPr>
              <w:t>359,69</w:t>
            </w:r>
            <w:r w:rsidR="00D82424">
              <w:rPr>
                <w:b/>
                <w:color w:val="000000"/>
              </w:rPr>
              <w:t>1</w:t>
            </w:r>
          </w:p>
        </w:tc>
      </w:tr>
      <w:tr w14:paraId="6F457185" w14:textId="77777777" w:rsidTr="00781E36">
        <w:tblPrEx>
          <w:tblW w:w="13685" w:type="dxa"/>
          <w:jc w:val="center"/>
          <w:tblLayout w:type="fixed"/>
          <w:tblLook w:val="01E0"/>
        </w:tblPrEx>
        <w:trPr>
          <w:trHeight w:val="404"/>
          <w:jc w:val="center"/>
        </w:trPr>
        <w:tc>
          <w:tcPr>
            <w:tcW w:w="13685" w:type="dxa"/>
            <w:gridSpan w:val="9"/>
            <w:shd w:val="clear" w:color="auto" w:fill="EDEDED"/>
            <w:vAlign w:val="center"/>
          </w:tcPr>
          <w:p w:rsidR="004B0540" w:rsidP="00781E36" w14:paraId="7516303C" w14:textId="44427FD5">
            <w:pPr>
              <w:rPr>
                <w:color w:val="000000"/>
              </w:rPr>
            </w:pPr>
            <w:r>
              <w:rPr>
                <w:color w:val="000000"/>
              </w:rPr>
              <w:t>8</w:t>
            </w:r>
            <w:r w:rsidRPr="006B0E06">
              <w:rPr>
                <w:color w:val="000000"/>
              </w:rPr>
              <w:t>. Obtaining and Maintaining SDSs (Existing Establishments)</w:t>
            </w:r>
          </w:p>
        </w:tc>
      </w:tr>
      <w:tr w14:paraId="4D5B4ED1" w14:textId="77777777" w:rsidTr="00B4645A">
        <w:tblPrEx>
          <w:tblW w:w="13685" w:type="dxa"/>
          <w:jc w:val="center"/>
          <w:tblLayout w:type="fixed"/>
          <w:tblLook w:val="01E0"/>
        </w:tblPrEx>
        <w:trPr>
          <w:trHeight w:val="260"/>
          <w:jc w:val="center"/>
        </w:trPr>
        <w:tc>
          <w:tcPr>
            <w:tcW w:w="2633" w:type="dxa"/>
            <w:shd w:val="clear" w:color="auto" w:fill="auto"/>
          </w:tcPr>
          <w:p w:rsidR="00220966" w:rsidP="00220966" w14:paraId="5620E1BE" w14:textId="77777777">
            <w:pPr>
              <w:rPr>
                <w:color w:val="000000"/>
              </w:rPr>
            </w:pPr>
            <w:r>
              <w:rPr>
                <w:color w:val="000000"/>
              </w:rPr>
              <w:t>Manufacturing</w:t>
            </w:r>
          </w:p>
        </w:tc>
        <w:tc>
          <w:tcPr>
            <w:tcW w:w="1350" w:type="dxa"/>
            <w:shd w:val="clear" w:color="auto" w:fill="auto"/>
            <w:vAlign w:val="center"/>
          </w:tcPr>
          <w:p w:rsidR="00220966" w:rsidRPr="00FF1F12" w:rsidP="00B4645A" w14:paraId="46811B8D" w14:textId="4252170C">
            <w:pPr>
              <w:jc w:val="center"/>
              <w:rPr>
                <w:color w:val="000000"/>
              </w:rPr>
            </w:pPr>
            <w:r>
              <w:t>71,590</w:t>
            </w:r>
          </w:p>
        </w:tc>
        <w:tc>
          <w:tcPr>
            <w:tcW w:w="1260" w:type="dxa"/>
            <w:shd w:val="clear" w:color="auto" w:fill="auto"/>
            <w:vAlign w:val="center"/>
          </w:tcPr>
          <w:p w:rsidR="00220966" w:rsidRPr="00AB0B90" w:rsidP="00B4645A" w14:paraId="620ACEC8" w14:textId="77777777">
            <w:pPr>
              <w:jc w:val="center"/>
              <w:rPr>
                <w:color w:val="000000"/>
              </w:rPr>
            </w:pPr>
            <w:r>
              <w:t>40%</w:t>
            </w:r>
          </w:p>
        </w:tc>
        <w:tc>
          <w:tcPr>
            <w:tcW w:w="1170" w:type="dxa"/>
            <w:vAlign w:val="center"/>
          </w:tcPr>
          <w:p w:rsidR="00220966" w:rsidP="00B4645A" w14:paraId="53ABB156" w14:textId="77777777">
            <w:pPr>
              <w:jc w:val="center"/>
            </w:pPr>
            <w:r>
              <w:t>1</w:t>
            </w:r>
          </w:p>
        </w:tc>
        <w:tc>
          <w:tcPr>
            <w:tcW w:w="1440" w:type="dxa"/>
            <w:shd w:val="clear" w:color="auto" w:fill="auto"/>
            <w:vAlign w:val="center"/>
          </w:tcPr>
          <w:p w:rsidR="00220966" w:rsidP="00B4645A" w14:paraId="7CBF128B" w14:textId="624B0C10">
            <w:pPr>
              <w:jc w:val="center"/>
            </w:pPr>
            <w:r>
              <w:t>28,636</w:t>
            </w:r>
          </w:p>
        </w:tc>
        <w:tc>
          <w:tcPr>
            <w:tcW w:w="1260" w:type="dxa"/>
            <w:shd w:val="clear" w:color="auto" w:fill="auto"/>
            <w:vAlign w:val="center"/>
          </w:tcPr>
          <w:p w:rsidR="00220966" w:rsidP="00B4645A" w14:paraId="49376AB0" w14:textId="77777777">
            <w:pPr>
              <w:jc w:val="center"/>
              <w:rPr>
                <w:bCs/>
              </w:rPr>
            </w:pPr>
            <w:r>
              <w:rPr>
                <w:bCs/>
              </w:rPr>
              <w:t>1 hour</w:t>
            </w:r>
          </w:p>
        </w:tc>
        <w:tc>
          <w:tcPr>
            <w:tcW w:w="1620" w:type="dxa"/>
            <w:shd w:val="clear" w:color="auto" w:fill="auto"/>
            <w:vAlign w:val="center"/>
          </w:tcPr>
          <w:p w:rsidR="00220966" w:rsidP="004C4533" w14:paraId="6E04B614" w14:textId="741AA072">
            <w:pPr>
              <w:jc w:val="center"/>
              <w:rPr>
                <w:color w:val="000000"/>
              </w:rPr>
            </w:pPr>
            <w:r>
              <w:t>28,636</w:t>
            </w:r>
          </w:p>
        </w:tc>
        <w:tc>
          <w:tcPr>
            <w:tcW w:w="1350" w:type="dxa"/>
            <w:vAlign w:val="center"/>
          </w:tcPr>
          <w:p w:rsidR="00220966" w:rsidP="004C4533" w14:paraId="45CA1CCB" w14:textId="3C8A1F10">
            <w:pPr>
              <w:jc w:val="center"/>
              <w:rPr>
                <w:color w:val="000000"/>
              </w:rPr>
            </w:pPr>
            <w:r>
              <w:t>$</w:t>
            </w:r>
            <w:r w:rsidR="00041950">
              <w:t>31.93</w:t>
            </w:r>
          </w:p>
        </w:tc>
        <w:tc>
          <w:tcPr>
            <w:tcW w:w="1602" w:type="dxa"/>
            <w:vAlign w:val="center"/>
          </w:tcPr>
          <w:p w:rsidR="00220966" w:rsidP="004C4533" w14:paraId="75BF7794" w14:textId="13D03E70">
            <w:pPr>
              <w:jc w:val="center"/>
              <w:rPr>
                <w:color w:val="000000"/>
              </w:rPr>
            </w:pPr>
            <w:r>
              <w:rPr>
                <w:color w:val="000000"/>
              </w:rPr>
              <w:t>$</w:t>
            </w:r>
            <w:r w:rsidR="00633FC2">
              <w:rPr>
                <w:color w:val="000000"/>
              </w:rPr>
              <w:t>914,347</w:t>
            </w:r>
          </w:p>
        </w:tc>
      </w:tr>
      <w:tr w14:paraId="3C026C41" w14:textId="77777777" w:rsidTr="00B4645A">
        <w:tblPrEx>
          <w:tblW w:w="13685" w:type="dxa"/>
          <w:jc w:val="center"/>
          <w:tblLayout w:type="fixed"/>
          <w:tblLook w:val="01E0"/>
        </w:tblPrEx>
        <w:trPr>
          <w:trHeight w:val="260"/>
          <w:jc w:val="center"/>
        </w:trPr>
        <w:tc>
          <w:tcPr>
            <w:tcW w:w="2633" w:type="dxa"/>
            <w:shd w:val="clear" w:color="auto" w:fill="auto"/>
          </w:tcPr>
          <w:p w:rsidR="00220966" w:rsidP="00220966" w14:paraId="42EB910D" w14:textId="77777777">
            <w:pPr>
              <w:rPr>
                <w:color w:val="000000"/>
              </w:rPr>
            </w:pPr>
            <w:r>
              <w:rPr>
                <w:color w:val="000000"/>
              </w:rPr>
              <w:t>Non-Manufacturing</w:t>
            </w:r>
          </w:p>
        </w:tc>
        <w:tc>
          <w:tcPr>
            <w:tcW w:w="1350" w:type="dxa"/>
            <w:shd w:val="clear" w:color="auto" w:fill="auto"/>
            <w:vAlign w:val="center"/>
          </w:tcPr>
          <w:p w:rsidR="00220966" w:rsidRPr="00FF1F12" w:rsidP="00B4645A" w14:paraId="6228737E" w14:textId="6518A42D">
            <w:pPr>
              <w:jc w:val="center"/>
              <w:rPr>
                <w:color w:val="000000"/>
              </w:rPr>
            </w:pPr>
            <w:r>
              <w:t>4,804,784</w:t>
            </w:r>
          </w:p>
        </w:tc>
        <w:tc>
          <w:tcPr>
            <w:tcW w:w="1260" w:type="dxa"/>
            <w:shd w:val="clear" w:color="auto" w:fill="auto"/>
            <w:vAlign w:val="center"/>
          </w:tcPr>
          <w:p w:rsidR="00220966" w:rsidRPr="00AB0B90" w:rsidP="00B4645A" w14:paraId="44E38576" w14:textId="77777777">
            <w:pPr>
              <w:jc w:val="center"/>
              <w:rPr>
                <w:color w:val="000000"/>
              </w:rPr>
            </w:pPr>
            <w:r>
              <w:t>40%</w:t>
            </w:r>
          </w:p>
        </w:tc>
        <w:tc>
          <w:tcPr>
            <w:tcW w:w="1170" w:type="dxa"/>
            <w:vAlign w:val="center"/>
          </w:tcPr>
          <w:p w:rsidR="00220966" w:rsidP="00B4645A" w14:paraId="6783CDCA" w14:textId="77777777">
            <w:pPr>
              <w:jc w:val="center"/>
            </w:pPr>
            <w:r>
              <w:t>1</w:t>
            </w:r>
          </w:p>
        </w:tc>
        <w:tc>
          <w:tcPr>
            <w:tcW w:w="1440" w:type="dxa"/>
            <w:shd w:val="clear" w:color="auto" w:fill="auto"/>
            <w:vAlign w:val="center"/>
          </w:tcPr>
          <w:p w:rsidR="00220966" w:rsidP="00B4645A" w14:paraId="467ABAFD" w14:textId="498D83D2">
            <w:pPr>
              <w:jc w:val="center"/>
            </w:pPr>
            <w:r>
              <w:t>1,921,914</w:t>
            </w:r>
          </w:p>
        </w:tc>
        <w:tc>
          <w:tcPr>
            <w:tcW w:w="1260" w:type="dxa"/>
            <w:shd w:val="clear" w:color="auto" w:fill="auto"/>
            <w:vAlign w:val="center"/>
          </w:tcPr>
          <w:p w:rsidR="00220966" w:rsidP="00B4645A" w14:paraId="6D64585F" w14:textId="77777777">
            <w:pPr>
              <w:jc w:val="center"/>
              <w:rPr>
                <w:bCs/>
              </w:rPr>
            </w:pPr>
            <w:r>
              <w:rPr>
                <w:bCs/>
              </w:rPr>
              <w:t>1 hour</w:t>
            </w:r>
          </w:p>
        </w:tc>
        <w:tc>
          <w:tcPr>
            <w:tcW w:w="1620" w:type="dxa"/>
            <w:shd w:val="clear" w:color="auto" w:fill="auto"/>
            <w:vAlign w:val="center"/>
          </w:tcPr>
          <w:p w:rsidR="00220966" w:rsidP="004C4533" w14:paraId="3D9F13E5" w14:textId="07079332">
            <w:pPr>
              <w:jc w:val="center"/>
              <w:rPr>
                <w:color w:val="000000"/>
              </w:rPr>
            </w:pPr>
            <w:r>
              <w:t>1,921,914</w:t>
            </w:r>
          </w:p>
        </w:tc>
        <w:tc>
          <w:tcPr>
            <w:tcW w:w="1350" w:type="dxa"/>
            <w:vAlign w:val="center"/>
          </w:tcPr>
          <w:p w:rsidR="00220966" w:rsidP="004C4533" w14:paraId="1ACB1AE0" w14:textId="48A69EA2">
            <w:pPr>
              <w:jc w:val="center"/>
              <w:rPr>
                <w:color w:val="000000"/>
              </w:rPr>
            </w:pPr>
            <w:r>
              <w:t>$</w:t>
            </w:r>
            <w:r w:rsidR="00041950">
              <w:t>31.93</w:t>
            </w:r>
          </w:p>
        </w:tc>
        <w:tc>
          <w:tcPr>
            <w:tcW w:w="1602" w:type="dxa"/>
            <w:vAlign w:val="center"/>
          </w:tcPr>
          <w:p w:rsidR="00220966" w:rsidP="004C4533" w14:paraId="7CD2BF50" w14:textId="6BB090E4">
            <w:pPr>
              <w:jc w:val="center"/>
              <w:rPr>
                <w:color w:val="000000"/>
              </w:rPr>
            </w:pPr>
            <w:r>
              <w:rPr>
                <w:color w:val="000000"/>
              </w:rPr>
              <w:t>$</w:t>
            </w:r>
            <w:r w:rsidR="00AC6FA9">
              <w:rPr>
                <w:color w:val="000000"/>
              </w:rPr>
              <w:t>61,366,714</w:t>
            </w:r>
          </w:p>
        </w:tc>
      </w:tr>
      <w:tr w14:paraId="2350C030" w14:textId="77777777" w:rsidTr="00B4645A">
        <w:tblPrEx>
          <w:tblW w:w="13685" w:type="dxa"/>
          <w:jc w:val="center"/>
          <w:tblLayout w:type="fixed"/>
          <w:tblLook w:val="01E0"/>
        </w:tblPrEx>
        <w:trPr>
          <w:trHeight w:val="260"/>
          <w:jc w:val="center"/>
        </w:trPr>
        <w:tc>
          <w:tcPr>
            <w:tcW w:w="2633" w:type="dxa"/>
            <w:shd w:val="clear" w:color="auto" w:fill="DEEBF6" w:themeFill="accent1" w:themeFillTint="33"/>
          </w:tcPr>
          <w:p w:rsidR="00DA7E17" w:rsidRPr="007056ED" w:rsidP="001F320C" w14:paraId="43FFCDC2" w14:textId="77777777">
            <w:pPr>
              <w:rPr>
                <w:b/>
                <w:color w:val="000000"/>
              </w:rPr>
            </w:pPr>
            <w:r w:rsidRPr="004C5F83">
              <w:rPr>
                <w:b/>
                <w:color w:val="000000"/>
              </w:rPr>
              <w:t>Subtotal</w:t>
            </w:r>
          </w:p>
        </w:tc>
        <w:tc>
          <w:tcPr>
            <w:tcW w:w="1350" w:type="dxa"/>
            <w:shd w:val="clear" w:color="auto" w:fill="DEEBF6" w:themeFill="accent1" w:themeFillTint="33"/>
            <w:vAlign w:val="center"/>
          </w:tcPr>
          <w:p w:rsidR="00DA7E17" w:rsidRPr="007056ED" w:rsidP="00B4645A" w14:paraId="478564A4" w14:textId="77777777">
            <w:pPr>
              <w:jc w:val="center"/>
              <w:rPr>
                <w:b/>
                <w:color w:val="000000"/>
              </w:rPr>
            </w:pPr>
          </w:p>
        </w:tc>
        <w:tc>
          <w:tcPr>
            <w:tcW w:w="1260" w:type="dxa"/>
            <w:shd w:val="clear" w:color="auto" w:fill="DEEBF6" w:themeFill="accent1" w:themeFillTint="33"/>
            <w:vAlign w:val="center"/>
          </w:tcPr>
          <w:p w:rsidR="00DA7E17" w:rsidRPr="007056ED" w:rsidP="00B4645A" w14:paraId="6372C742" w14:textId="77777777">
            <w:pPr>
              <w:jc w:val="center"/>
              <w:rPr>
                <w:b/>
                <w:color w:val="000000"/>
              </w:rPr>
            </w:pPr>
          </w:p>
        </w:tc>
        <w:tc>
          <w:tcPr>
            <w:tcW w:w="1170" w:type="dxa"/>
            <w:shd w:val="clear" w:color="auto" w:fill="DEEBF6" w:themeFill="accent1" w:themeFillTint="33"/>
            <w:vAlign w:val="center"/>
          </w:tcPr>
          <w:p w:rsidR="00DA7E17" w:rsidRPr="007056ED" w:rsidP="00B4645A" w14:paraId="45532D75" w14:textId="77777777">
            <w:pPr>
              <w:jc w:val="center"/>
              <w:rPr>
                <w:b/>
              </w:rPr>
            </w:pPr>
          </w:p>
        </w:tc>
        <w:tc>
          <w:tcPr>
            <w:tcW w:w="1440" w:type="dxa"/>
            <w:shd w:val="clear" w:color="auto" w:fill="DEEBF6" w:themeFill="accent1" w:themeFillTint="33"/>
            <w:vAlign w:val="center"/>
          </w:tcPr>
          <w:p w:rsidR="00DA7E17" w:rsidRPr="007056ED" w:rsidP="00B4645A" w14:paraId="2303AC5C" w14:textId="5084361B">
            <w:pPr>
              <w:jc w:val="center"/>
              <w:rPr>
                <w:b/>
              </w:rPr>
            </w:pPr>
            <w:r>
              <w:rPr>
                <w:b/>
                <w:color w:val="000000"/>
              </w:rPr>
              <w:t>1,950,550</w:t>
            </w:r>
          </w:p>
        </w:tc>
        <w:tc>
          <w:tcPr>
            <w:tcW w:w="1260" w:type="dxa"/>
            <w:shd w:val="clear" w:color="auto" w:fill="DEEBF6" w:themeFill="accent1" w:themeFillTint="33"/>
            <w:vAlign w:val="center"/>
          </w:tcPr>
          <w:p w:rsidR="00DA7E17" w:rsidRPr="007056ED" w:rsidP="00B4645A" w14:paraId="5EF80A81" w14:textId="77777777">
            <w:pPr>
              <w:jc w:val="center"/>
              <w:rPr>
                <w:b/>
                <w:bCs/>
              </w:rPr>
            </w:pPr>
          </w:p>
        </w:tc>
        <w:tc>
          <w:tcPr>
            <w:tcW w:w="1620" w:type="dxa"/>
            <w:shd w:val="clear" w:color="auto" w:fill="DEEBF6" w:themeFill="accent1" w:themeFillTint="33"/>
            <w:vAlign w:val="center"/>
          </w:tcPr>
          <w:p w:rsidR="00DA7E17" w:rsidRPr="007056ED" w:rsidP="004C4533" w14:paraId="6CB7E2D5" w14:textId="31E1C2C0">
            <w:pPr>
              <w:jc w:val="center"/>
              <w:rPr>
                <w:b/>
                <w:color w:val="000000"/>
              </w:rPr>
            </w:pPr>
            <w:r>
              <w:rPr>
                <w:b/>
                <w:color w:val="000000"/>
              </w:rPr>
              <w:t>1,9</w:t>
            </w:r>
            <w:r w:rsidR="0036533E">
              <w:rPr>
                <w:b/>
                <w:color w:val="000000"/>
              </w:rPr>
              <w:t>50</w:t>
            </w:r>
            <w:r w:rsidR="00577DB3">
              <w:rPr>
                <w:b/>
                <w:color w:val="000000"/>
              </w:rPr>
              <w:t>,550</w:t>
            </w:r>
          </w:p>
        </w:tc>
        <w:tc>
          <w:tcPr>
            <w:tcW w:w="1350" w:type="dxa"/>
            <w:shd w:val="clear" w:color="auto" w:fill="DEEBF6" w:themeFill="accent1" w:themeFillTint="33"/>
            <w:vAlign w:val="center"/>
          </w:tcPr>
          <w:p w:rsidR="00DA7E17" w:rsidRPr="007056ED" w:rsidP="004C4533" w14:paraId="6585FBC3" w14:textId="77777777">
            <w:pPr>
              <w:jc w:val="center"/>
              <w:rPr>
                <w:b/>
                <w:color w:val="000000"/>
              </w:rPr>
            </w:pPr>
          </w:p>
        </w:tc>
        <w:tc>
          <w:tcPr>
            <w:tcW w:w="1602" w:type="dxa"/>
            <w:shd w:val="clear" w:color="auto" w:fill="DEEBF6" w:themeFill="accent1" w:themeFillTint="33"/>
            <w:vAlign w:val="center"/>
          </w:tcPr>
          <w:p w:rsidR="00DA7E17" w:rsidRPr="007056ED" w:rsidP="004C4533" w14:paraId="601867BE" w14:textId="3801CDF0">
            <w:pPr>
              <w:jc w:val="center"/>
              <w:rPr>
                <w:b/>
                <w:color w:val="000000"/>
              </w:rPr>
            </w:pPr>
            <w:r>
              <w:rPr>
                <w:b/>
                <w:color w:val="000000"/>
              </w:rPr>
              <w:t>$</w:t>
            </w:r>
            <w:r w:rsidR="00032744">
              <w:rPr>
                <w:b/>
                <w:color w:val="000000"/>
              </w:rPr>
              <w:t>62,281,062</w:t>
            </w:r>
          </w:p>
        </w:tc>
      </w:tr>
      <w:tr w14:paraId="6D7E78D3" w14:textId="77777777" w:rsidTr="00781E36">
        <w:tblPrEx>
          <w:tblW w:w="13685" w:type="dxa"/>
          <w:jc w:val="center"/>
          <w:tblLayout w:type="fixed"/>
          <w:tblLook w:val="01E0"/>
        </w:tblPrEx>
        <w:trPr>
          <w:trHeight w:val="350"/>
          <w:jc w:val="center"/>
        </w:trPr>
        <w:tc>
          <w:tcPr>
            <w:tcW w:w="13685" w:type="dxa"/>
            <w:gridSpan w:val="9"/>
            <w:shd w:val="clear" w:color="auto" w:fill="EDEDED"/>
            <w:vAlign w:val="center"/>
          </w:tcPr>
          <w:p w:rsidR="00DC6418" w:rsidRPr="00327942" w:rsidP="00781E36" w14:paraId="4089473B" w14:textId="4A7B8464">
            <w:pPr>
              <w:rPr>
                <w:color w:val="000000"/>
              </w:rPr>
            </w:pPr>
            <w:r>
              <w:rPr>
                <w:color w:val="000000"/>
              </w:rPr>
              <w:t>9</w:t>
            </w:r>
            <w:r w:rsidRPr="00327942">
              <w:rPr>
                <w:color w:val="000000"/>
              </w:rPr>
              <w:t xml:space="preserve">. </w:t>
            </w:r>
            <w:r>
              <w:t xml:space="preserve"> </w:t>
            </w:r>
            <w:r w:rsidRPr="006B0E06">
              <w:rPr>
                <w:color w:val="000000"/>
              </w:rPr>
              <w:t>Obtaining and Maintaining (New Establishments)</w:t>
            </w:r>
          </w:p>
        </w:tc>
      </w:tr>
      <w:tr w14:paraId="2CED5353" w14:textId="77777777" w:rsidTr="00B4645A">
        <w:tblPrEx>
          <w:tblW w:w="13685" w:type="dxa"/>
          <w:jc w:val="center"/>
          <w:tblLayout w:type="fixed"/>
          <w:tblLook w:val="01E0"/>
        </w:tblPrEx>
        <w:trPr>
          <w:jc w:val="center"/>
        </w:trPr>
        <w:tc>
          <w:tcPr>
            <w:tcW w:w="2633" w:type="dxa"/>
            <w:shd w:val="clear" w:color="auto" w:fill="auto"/>
          </w:tcPr>
          <w:p w:rsidR="004E156D" w:rsidP="001F320C" w14:paraId="27EE380E" w14:textId="77777777">
            <w:pPr>
              <w:rPr>
                <w:color w:val="000000"/>
              </w:rPr>
            </w:pPr>
            <w:r>
              <w:rPr>
                <w:color w:val="000000"/>
              </w:rPr>
              <w:t>Manufacturing</w:t>
            </w:r>
          </w:p>
        </w:tc>
        <w:tc>
          <w:tcPr>
            <w:tcW w:w="1350" w:type="dxa"/>
            <w:shd w:val="clear" w:color="auto" w:fill="auto"/>
            <w:vAlign w:val="center"/>
          </w:tcPr>
          <w:p w:rsidR="004E156D" w:rsidRPr="00FF1F12" w:rsidP="00B4645A" w14:paraId="78E93F3C" w14:textId="384645E8">
            <w:pPr>
              <w:jc w:val="center"/>
              <w:rPr>
                <w:color w:val="000000"/>
              </w:rPr>
            </w:pPr>
            <w:r>
              <w:t>5,554</w:t>
            </w:r>
          </w:p>
        </w:tc>
        <w:tc>
          <w:tcPr>
            <w:tcW w:w="1260" w:type="dxa"/>
            <w:shd w:val="clear" w:color="auto" w:fill="auto"/>
            <w:vAlign w:val="center"/>
          </w:tcPr>
          <w:p w:rsidR="004E156D" w:rsidRPr="00AB0B90" w:rsidP="00B4645A" w14:paraId="272BCBF2" w14:textId="77777777">
            <w:pPr>
              <w:jc w:val="center"/>
              <w:rPr>
                <w:color w:val="000000"/>
              </w:rPr>
            </w:pPr>
            <w:r>
              <w:t>40%</w:t>
            </w:r>
          </w:p>
        </w:tc>
        <w:tc>
          <w:tcPr>
            <w:tcW w:w="1170" w:type="dxa"/>
            <w:vAlign w:val="center"/>
          </w:tcPr>
          <w:p w:rsidR="004E156D" w:rsidP="00B4645A" w14:paraId="563BD329" w14:textId="77777777">
            <w:pPr>
              <w:jc w:val="center"/>
            </w:pPr>
            <w:r>
              <w:t>23.76</w:t>
            </w:r>
          </w:p>
        </w:tc>
        <w:tc>
          <w:tcPr>
            <w:tcW w:w="1440" w:type="dxa"/>
            <w:shd w:val="clear" w:color="auto" w:fill="auto"/>
            <w:vAlign w:val="center"/>
          </w:tcPr>
          <w:p w:rsidR="004E156D" w:rsidP="00B4645A" w14:paraId="5020BA57" w14:textId="16C41763">
            <w:pPr>
              <w:jc w:val="center"/>
            </w:pPr>
            <w:r>
              <w:t>52,785</w:t>
            </w:r>
          </w:p>
        </w:tc>
        <w:tc>
          <w:tcPr>
            <w:tcW w:w="1260" w:type="dxa"/>
            <w:shd w:val="clear" w:color="auto" w:fill="auto"/>
            <w:vAlign w:val="center"/>
          </w:tcPr>
          <w:p w:rsidR="004E156D" w:rsidRPr="00401AC9" w:rsidP="00B4645A" w14:paraId="12996B68" w14:textId="77777777">
            <w:pPr>
              <w:jc w:val="center"/>
              <w:rPr>
                <w:bCs/>
              </w:rPr>
            </w:pPr>
            <w:r>
              <w:rPr>
                <w:bCs/>
              </w:rPr>
              <w:t>0.14 hour</w:t>
            </w:r>
          </w:p>
        </w:tc>
        <w:tc>
          <w:tcPr>
            <w:tcW w:w="1620" w:type="dxa"/>
            <w:shd w:val="clear" w:color="auto" w:fill="auto"/>
            <w:vAlign w:val="center"/>
          </w:tcPr>
          <w:p w:rsidR="004E156D" w:rsidRPr="00327942" w:rsidP="00B4645A" w14:paraId="22BA396B" w14:textId="7BC1EABB">
            <w:pPr>
              <w:jc w:val="center"/>
              <w:rPr>
                <w:color w:val="000000"/>
              </w:rPr>
            </w:pPr>
            <w:r>
              <w:rPr>
                <w:color w:val="000000"/>
              </w:rPr>
              <w:t>7,391</w:t>
            </w:r>
          </w:p>
        </w:tc>
        <w:tc>
          <w:tcPr>
            <w:tcW w:w="1350" w:type="dxa"/>
            <w:vAlign w:val="center"/>
          </w:tcPr>
          <w:p w:rsidR="004E156D" w:rsidRPr="00327942" w:rsidP="00B4645A" w14:paraId="5D398008" w14:textId="595709DC">
            <w:pPr>
              <w:jc w:val="center"/>
              <w:rPr>
                <w:color w:val="000000"/>
              </w:rPr>
            </w:pPr>
            <w:r>
              <w:rPr>
                <w:color w:val="000000"/>
              </w:rPr>
              <w:t>$</w:t>
            </w:r>
            <w:r w:rsidR="00041950">
              <w:rPr>
                <w:color w:val="000000"/>
              </w:rPr>
              <w:t>31.93</w:t>
            </w:r>
          </w:p>
        </w:tc>
        <w:tc>
          <w:tcPr>
            <w:tcW w:w="1602" w:type="dxa"/>
            <w:vAlign w:val="center"/>
          </w:tcPr>
          <w:p w:rsidR="004E156D" w:rsidRPr="00327942" w:rsidP="00B4645A" w14:paraId="01F19BA9" w14:textId="147CC4E2">
            <w:pPr>
              <w:jc w:val="center"/>
              <w:rPr>
                <w:color w:val="000000"/>
              </w:rPr>
            </w:pPr>
            <w:r>
              <w:rPr>
                <w:color w:val="000000"/>
              </w:rPr>
              <w:t>$</w:t>
            </w:r>
            <w:r w:rsidR="00382E68">
              <w:rPr>
                <w:color w:val="000000"/>
              </w:rPr>
              <w:t>235,995</w:t>
            </w:r>
          </w:p>
        </w:tc>
      </w:tr>
      <w:tr w14:paraId="7A7BF206" w14:textId="77777777" w:rsidTr="00B4645A">
        <w:tblPrEx>
          <w:tblW w:w="13685" w:type="dxa"/>
          <w:jc w:val="center"/>
          <w:tblLayout w:type="fixed"/>
          <w:tblLook w:val="01E0"/>
        </w:tblPrEx>
        <w:trPr>
          <w:jc w:val="center"/>
        </w:trPr>
        <w:tc>
          <w:tcPr>
            <w:tcW w:w="2633" w:type="dxa"/>
            <w:shd w:val="clear" w:color="auto" w:fill="auto"/>
          </w:tcPr>
          <w:p w:rsidR="00FD292F" w:rsidP="00FD292F" w14:paraId="27A26216" w14:textId="77777777">
            <w:pPr>
              <w:rPr>
                <w:color w:val="000000"/>
              </w:rPr>
            </w:pPr>
            <w:r>
              <w:rPr>
                <w:color w:val="000000"/>
              </w:rPr>
              <w:t>Non-Manufacturing</w:t>
            </w:r>
          </w:p>
        </w:tc>
        <w:tc>
          <w:tcPr>
            <w:tcW w:w="1350" w:type="dxa"/>
            <w:shd w:val="clear" w:color="auto" w:fill="auto"/>
            <w:vAlign w:val="center"/>
          </w:tcPr>
          <w:p w:rsidR="00FD292F" w:rsidRPr="00FF1F12" w:rsidP="00B4645A" w14:paraId="1B99A2B0" w14:textId="1199C1E9">
            <w:pPr>
              <w:jc w:val="center"/>
              <w:rPr>
                <w:color w:val="000000"/>
              </w:rPr>
            </w:pPr>
            <w:r>
              <w:t>698,978</w:t>
            </w:r>
          </w:p>
        </w:tc>
        <w:tc>
          <w:tcPr>
            <w:tcW w:w="1260" w:type="dxa"/>
            <w:shd w:val="clear" w:color="auto" w:fill="auto"/>
            <w:vAlign w:val="center"/>
          </w:tcPr>
          <w:p w:rsidR="00FD292F" w:rsidRPr="00AB0B90" w:rsidP="00B4645A" w14:paraId="7002F25B" w14:textId="77777777">
            <w:pPr>
              <w:jc w:val="center"/>
              <w:rPr>
                <w:color w:val="000000"/>
              </w:rPr>
            </w:pPr>
            <w:r>
              <w:t>40%</w:t>
            </w:r>
          </w:p>
        </w:tc>
        <w:tc>
          <w:tcPr>
            <w:tcW w:w="1170" w:type="dxa"/>
            <w:vAlign w:val="center"/>
          </w:tcPr>
          <w:p w:rsidR="00FD292F" w:rsidP="00B4645A" w14:paraId="3C1884A5" w14:textId="77777777">
            <w:pPr>
              <w:jc w:val="center"/>
            </w:pPr>
            <w:r>
              <w:t>16.2</w:t>
            </w:r>
          </w:p>
        </w:tc>
        <w:tc>
          <w:tcPr>
            <w:tcW w:w="1440" w:type="dxa"/>
            <w:shd w:val="clear" w:color="auto" w:fill="auto"/>
            <w:vAlign w:val="center"/>
          </w:tcPr>
          <w:p w:rsidR="00FD292F" w:rsidP="00B4645A" w14:paraId="13A583E3" w14:textId="6060AD6F">
            <w:pPr>
              <w:jc w:val="center"/>
            </w:pPr>
            <w:r>
              <w:t>4,529,376</w:t>
            </w:r>
          </w:p>
        </w:tc>
        <w:tc>
          <w:tcPr>
            <w:tcW w:w="1260" w:type="dxa"/>
            <w:shd w:val="clear" w:color="auto" w:fill="auto"/>
            <w:vAlign w:val="center"/>
          </w:tcPr>
          <w:p w:rsidR="00FD292F" w:rsidRPr="00401AC9" w:rsidP="00B4645A" w14:paraId="4FC15C0D" w14:textId="77777777">
            <w:pPr>
              <w:jc w:val="center"/>
              <w:rPr>
                <w:bCs/>
              </w:rPr>
            </w:pPr>
            <w:r>
              <w:rPr>
                <w:bCs/>
              </w:rPr>
              <w:t>0.14 hour</w:t>
            </w:r>
          </w:p>
        </w:tc>
        <w:tc>
          <w:tcPr>
            <w:tcW w:w="1620" w:type="dxa"/>
            <w:shd w:val="clear" w:color="auto" w:fill="auto"/>
            <w:vAlign w:val="center"/>
          </w:tcPr>
          <w:p w:rsidR="00FD292F" w:rsidRPr="00327942" w:rsidP="00B4645A" w14:paraId="47F54E97" w14:textId="77EA5D8D">
            <w:pPr>
              <w:jc w:val="center"/>
              <w:rPr>
                <w:color w:val="000000"/>
              </w:rPr>
            </w:pPr>
            <w:r>
              <w:t>634,112</w:t>
            </w:r>
          </w:p>
        </w:tc>
        <w:tc>
          <w:tcPr>
            <w:tcW w:w="1350" w:type="dxa"/>
            <w:vAlign w:val="center"/>
          </w:tcPr>
          <w:p w:rsidR="00FD292F" w:rsidRPr="00327942" w:rsidP="00B4645A" w14:paraId="28D4D7F7" w14:textId="7513EF71">
            <w:pPr>
              <w:jc w:val="center"/>
              <w:rPr>
                <w:color w:val="000000"/>
              </w:rPr>
            </w:pPr>
            <w:r>
              <w:rPr>
                <w:color w:val="000000"/>
              </w:rPr>
              <w:t>$</w:t>
            </w:r>
            <w:r w:rsidR="00041950">
              <w:rPr>
                <w:color w:val="000000"/>
              </w:rPr>
              <w:t>31.93</w:t>
            </w:r>
          </w:p>
        </w:tc>
        <w:tc>
          <w:tcPr>
            <w:tcW w:w="1602" w:type="dxa"/>
            <w:vAlign w:val="center"/>
          </w:tcPr>
          <w:p w:rsidR="00FD292F" w:rsidRPr="00327942" w:rsidP="00B4645A" w14:paraId="086DE1CC" w14:textId="3C15A8F8">
            <w:pPr>
              <w:jc w:val="center"/>
              <w:rPr>
                <w:color w:val="000000"/>
              </w:rPr>
            </w:pPr>
            <w:r>
              <w:rPr>
                <w:color w:val="000000"/>
              </w:rPr>
              <w:t>$</w:t>
            </w:r>
            <w:r w:rsidR="00382E68">
              <w:rPr>
                <w:color w:val="000000"/>
              </w:rPr>
              <w:t>20,</w:t>
            </w:r>
            <w:r w:rsidR="002174E1">
              <w:rPr>
                <w:color w:val="000000"/>
              </w:rPr>
              <w:t>247,196</w:t>
            </w:r>
          </w:p>
        </w:tc>
      </w:tr>
      <w:tr w14:paraId="135E2B21" w14:textId="77777777" w:rsidTr="00B4645A">
        <w:tblPrEx>
          <w:tblW w:w="13685" w:type="dxa"/>
          <w:jc w:val="center"/>
          <w:tblLayout w:type="fixed"/>
          <w:tblLook w:val="01E0"/>
        </w:tblPrEx>
        <w:trPr>
          <w:jc w:val="center"/>
        </w:trPr>
        <w:tc>
          <w:tcPr>
            <w:tcW w:w="2633" w:type="dxa"/>
            <w:shd w:val="clear" w:color="auto" w:fill="DEEBF6" w:themeFill="accent1" w:themeFillTint="33"/>
          </w:tcPr>
          <w:p w:rsidR="00FD292F" w:rsidP="00FD292F" w14:paraId="0000C2C0" w14:textId="77777777">
            <w:pPr>
              <w:rPr>
                <w:color w:val="000000"/>
              </w:rPr>
            </w:pPr>
            <w:r w:rsidRPr="00DC4D15">
              <w:rPr>
                <w:b/>
                <w:color w:val="000000"/>
              </w:rPr>
              <w:t>Subtotal</w:t>
            </w:r>
          </w:p>
        </w:tc>
        <w:tc>
          <w:tcPr>
            <w:tcW w:w="1350" w:type="dxa"/>
            <w:shd w:val="clear" w:color="auto" w:fill="DEEBF6" w:themeFill="accent1" w:themeFillTint="33"/>
            <w:vAlign w:val="center"/>
          </w:tcPr>
          <w:p w:rsidR="00FD292F" w:rsidRPr="00FF1F12" w:rsidP="00B4645A" w14:paraId="383BE8E3" w14:textId="77777777">
            <w:pPr>
              <w:jc w:val="center"/>
              <w:rPr>
                <w:color w:val="000000"/>
              </w:rPr>
            </w:pPr>
          </w:p>
        </w:tc>
        <w:tc>
          <w:tcPr>
            <w:tcW w:w="1260" w:type="dxa"/>
            <w:shd w:val="clear" w:color="auto" w:fill="DEEBF6" w:themeFill="accent1" w:themeFillTint="33"/>
            <w:vAlign w:val="center"/>
          </w:tcPr>
          <w:p w:rsidR="00FD292F" w:rsidRPr="00AB0B90" w:rsidP="00B4645A" w14:paraId="6D621B97" w14:textId="77777777">
            <w:pPr>
              <w:jc w:val="center"/>
              <w:rPr>
                <w:color w:val="000000"/>
              </w:rPr>
            </w:pPr>
          </w:p>
        </w:tc>
        <w:tc>
          <w:tcPr>
            <w:tcW w:w="1170" w:type="dxa"/>
            <w:shd w:val="clear" w:color="auto" w:fill="DEEBF6" w:themeFill="accent1" w:themeFillTint="33"/>
            <w:vAlign w:val="center"/>
          </w:tcPr>
          <w:p w:rsidR="00FD292F" w:rsidP="00B4645A" w14:paraId="67C95049" w14:textId="77777777">
            <w:pPr>
              <w:jc w:val="center"/>
            </w:pPr>
          </w:p>
        </w:tc>
        <w:tc>
          <w:tcPr>
            <w:tcW w:w="1440" w:type="dxa"/>
            <w:shd w:val="clear" w:color="auto" w:fill="DEEBF6" w:themeFill="accent1" w:themeFillTint="33"/>
            <w:vAlign w:val="center"/>
          </w:tcPr>
          <w:p w:rsidR="00FD292F" w:rsidP="00B4645A" w14:paraId="3119F808" w14:textId="675B8996">
            <w:pPr>
              <w:jc w:val="center"/>
            </w:pPr>
            <w:r>
              <w:rPr>
                <w:b/>
              </w:rPr>
              <w:t>4,582,</w:t>
            </w:r>
            <w:r w:rsidR="006E3292">
              <w:rPr>
                <w:b/>
              </w:rPr>
              <w:t>161</w:t>
            </w:r>
          </w:p>
        </w:tc>
        <w:tc>
          <w:tcPr>
            <w:tcW w:w="1260" w:type="dxa"/>
            <w:shd w:val="clear" w:color="auto" w:fill="DEEBF6" w:themeFill="accent1" w:themeFillTint="33"/>
            <w:vAlign w:val="center"/>
          </w:tcPr>
          <w:p w:rsidR="00FD292F" w:rsidRPr="00401AC9" w:rsidP="00B4645A" w14:paraId="4C4D19E1" w14:textId="77777777">
            <w:pPr>
              <w:jc w:val="center"/>
              <w:rPr>
                <w:bCs/>
              </w:rPr>
            </w:pPr>
          </w:p>
        </w:tc>
        <w:tc>
          <w:tcPr>
            <w:tcW w:w="1620" w:type="dxa"/>
            <w:shd w:val="clear" w:color="auto" w:fill="DEEBF6" w:themeFill="accent1" w:themeFillTint="33"/>
            <w:vAlign w:val="center"/>
          </w:tcPr>
          <w:p w:rsidR="00FD292F" w:rsidRPr="00327942" w:rsidP="00B4645A" w14:paraId="44E6B7D0" w14:textId="3DBA246C">
            <w:pPr>
              <w:jc w:val="center"/>
              <w:rPr>
                <w:color w:val="000000"/>
              </w:rPr>
            </w:pPr>
            <w:r>
              <w:rPr>
                <w:b/>
              </w:rPr>
              <w:t>641,503</w:t>
            </w:r>
          </w:p>
        </w:tc>
        <w:tc>
          <w:tcPr>
            <w:tcW w:w="1350" w:type="dxa"/>
            <w:shd w:val="clear" w:color="auto" w:fill="DEEBF6" w:themeFill="accent1" w:themeFillTint="33"/>
            <w:vAlign w:val="center"/>
          </w:tcPr>
          <w:p w:rsidR="00FD292F" w:rsidRPr="00327942" w:rsidP="00B4645A" w14:paraId="62266FB1" w14:textId="77777777">
            <w:pPr>
              <w:jc w:val="center"/>
              <w:rPr>
                <w:color w:val="000000"/>
              </w:rPr>
            </w:pPr>
          </w:p>
        </w:tc>
        <w:tc>
          <w:tcPr>
            <w:tcW w:w="1602" w:type="dxa"/>
            <w:shd w:val="clear" w:color="auto" w:fill="DEEBF6" w:themeFill="accent1" w:themeFillTint="33"/>
            <w:vAlign w:val="center"/>
          </w:tcPr>
          <w:p w:rsidR="00FD292F" w:rsidRPr="00FE6D92" w:rsidP="00B4645A" w14:paraId="7797BDED" w14:textId="33C78045">
            <w:pPr>
              <w:jc w:val="center"/>
              <w:rPr>
                <w:b/>
                <w:color w:val="000000"/>
              </w:rPr>
            </w:pPr>
            <w:r w:rsidRPr="00FE6D92">
              <w:rPr>
                <w:b/>
                <w:color w:val="000000"/>
              </w:rPr>
              <w:t>$</w:t>
            </w:r>
            <w:r w:rsidR="002174E1">
              <w:rPr>
                <w:b/>
                <w:color w:val="000000"/>
              </w:rPr>
              <w:t>20,483,191</w:t>
            </w:r>
          </w:p>
        </w:tc>
      </w:tr>
      <w:tr w14:paraId="7AE27A43" w14:textId="77777777" w:rsidTr="00B4645A">
        <w:tblPrEx>
          <w:tblW w:w="13685" w:type="dxa"/>
          <w:jc w:val="center"/>
          <w:tblLayout w:type="fixed"/>
          <w:tblLook w:val="01E0"/>
        </w:tblPrEx>
        <w:trPr>
          <w:jc w:val="center"/>
        </w:trPr>
        <w:tc>
          <w:tcPr>
            <w:tcW w:w="2633" w:type="dxa"/>
            <w:shd w:val="clear" w:color="auto" w:fill="auto"/>
          </w:tcPr>
          <w:p w:rsidR="00DA7E17" w:rsidRPr="00327942" w:rsidP="001F320C" w14:paraId="1EA9588C" w14:textId="77777777">
            <w:pPr>
              <w:rPr>
                <w:color w:val="000000"/>
              </w:rPr>
            </w:pPr>
            <w:r>
              <w:rPr>
                <w:color w:val="000000"/>
              </w:rPr>
              <w:t>10</w:t>
            </w:r>
            <w:r w:rsidRPr="00327942">
              <w:rPr>
                <w:color w:val="000000"/>
              </w:rPr>
              <w:t xml:space="preserve">. </w:t>
            </w:r>
            <w:r w:rsidRPr="00CA0652">
              <w:rPr>
                <w:color w:val="000000"/>
              </w:rPr>
              <w:t xml:space="preserve"> Labeling Shipped Containers</w:t>
            </w:r>
            <w:r w:rsidRPr="00CA0652">
              <w:rPr>
                <w:color w:val="000000"/>
              </w:rPr>
              <w:t xml:space="preserve"> </w:t>
            </w:r>
          </w:p>
        </w:tc>
        <w:tc>
          <w:tcPr>
            <w:tcW w:w="1350" w:type="dxa"/>
            <w:shd w:val="clear" w:color="auto" w:fill="auto"/>
            <w:vAlign w:val="center"/>
          </w:tcPr>
          <w:p w:rsidR="00DA7E17" w:rsidRPr="00FF1F12" w:rsidP="00B4645A" w14:paraId="61B6B83E" w14:textId="77777777">
            <w:pPr>
              <w:jc w:val="center"/>
              <w:rPr>
                <w:color w:val="000000"/>
              </w:rPr>
            </w:pPr>
            <w:r>
              <w:rPr>
                <w:color w:val="000000"/>
              </w:rPr>
              <w:t>0</w:t>
            </w:r>
          </w:p>
        </w:tc>
        <w:tc>
          <w:tcPr>
            <w:tcW w:w="1260" w:type="dxa"/>
            <w:shd w:val="clear" w:color="auto" w:fill="auto"/>
            <w:vAlign w:val="center"/>
          </w:tcPr>
          <w:p w:rsidR="00DA7E17" w:rsidRPr="00AB0B90" w:rsidP="00B4645A" w14:paraId="39C70401" w14:textId="77777777">
            <w:pPr>
              <w:jc w:val="center"/>
              <w:rPr>
                <w:color w:val="000000"/>
              </w:rPr>
            </w:pPr>
            <w:r>
              <w:rPr>
                <w:color w:val="000000"/>
              </w:rPr>
              <w:t>0</w:t>
            </w:r>
          </w:p>
        </w:tc>
        <w:tc>
          <w:tcPr>
            <w:tcW w:w="1170" w:type="dxa"/>
            <w:vAlign w:val="center"/>
          </w:tcPr>
          <w:p w:rsidR="00DA7E17" w:rsidP="00B4645A" w14:paraId="22F18045" w14:textId="77777777">
            <w:pPr>
              <w:jc w:val="center"/>
              <w:rPr>
                <w:color w:val="000000"/>
              </w:rPr>
            </w:pPr>
            <w:r>
              <w:rPr>
                <w:color w:val="000000"/>
              </w:rPr>
              <w:t>0</w:t>
            </w:r>
          </w:p>
        </w:tc>
        <w:tc>
          <w:tcPr>
            <w:tcW w:w="1440" w:type="dxa"/>
            <w:shd w:val="clear" w:color="auto" w:fill="auto"/>
            <w:vAlign w:val="center"/>
          </w:tcPr>
          <w:p w:rsidR="00DA7E17" w:rsidRPr="00327942" w:rsidP="00B4645A" w14:paraId="25D28BBE" w14:textId="77777777">
            <w:pPr>
              <w:jc w:val="center"/>
              <w:rPr>
                <w:color w:val="000000"/>
              </w:rPr>
            </w:pPr>
            <w:r>
              <w:rPr>
                <w:color w:val="000000"/>
              </w:rPr>
              <w:t>0</w:t>
            </w:r>
          </w:p>
        </w:tc>
        <w:tc>
          <w:tcPr>
            <w:tcW w:w="1260" w:type="dxa"/>
            <w:shd w:val="clear" w:color="auto" w:fill="auto"/>
            <w:vAlign w:val="center"/>
          </w:tcPr>
          <w:p w:rsidR="00DA7E17" w:rsidRPr="00401AC9" w:rsidP="00B4645A" w14:paraId="1947C61A" w14:textId="77777777">
            <w:pPr>
              <w:jc w:val="center"/>
              <w:rPr>
                <w:color w:val="000000"/>
              </w:rPr>
            </w:pPr>
            <w:r>
              <w:rPr>
                <w:bCs/>
              </w:rPr>
              <w:t>0</w:t>
            </w:r>
          </w:p>
        </w:tc>
        <w:tc>
          <w:tcPr>
            <w:tcW w:w="1620" w:type="dxa"/>
            <w:shd w:val="clear" w:color="auto" w:fill="auto"/>
            <w:vAlign w:val="center"/>
          </w:tcPr>
          <w:p w:rsidR="00DA7E17" w:rsidRPr="00327942" w:rsidP="00B4645A" w14:paraId="71879142" w14:textId="77777777">
            <w:pPr>
              <w:jc w:val="center"/>
              <w:rPr>
                <w:color w:val="000000"/>
              </w:rPr>
            </w:pPr>
            <w:r>
              <w:rPr>
                <w:color w:val="000000"/>
              </w:rPr>
              <w:t>0</w:t>
            </w:r>
          </w:p>
        </w:tc>
        <w:tc>
          <w:tcPr>
            <w:tcW w:w="1350" w:type="dxa"/>
            <w:vAlign w:val="center"/>
          </w:tcPr>
          <w:p w:rsidR="00DA7E17" w:rsidP="00B4645A" w14:paraId="78DC8B8E" w14:textId="77777777">
            <w:pPr>
              <w:jc w:val="center"/>
              <w:rPr>
                <w:color w:val="000000"/>
              </w:rPr>
            </w:pPr>
            <w:r>
              <w:rPr>
                <w:color w:val="000000"/>
              </w:rPr>
              <w:t>0</w:t>
            </w:r>
          </w:p>
        </w:tc>
        <w:tc>
          <w:tcPr>
            <w:tcW w:w="1602" w:type="dxa"/>
            <w:vAlign w:val="center"/>
          </w:tcPr>
          <w:p w:rsidR="00DA7E17" w:rsidP="00B4645A" w14:paraId="3FE2CD15" w14:textId="77777777">
            <w:pPr>
              <w:jc w:val="center"/>
              <w:rPr>
                <w:color w:val="000000"/>
              </w:rPr>
            </w:pPr>
            <w:r>
              <w:rPr>
                <w:color w:val="000000"/>
              </w:rPr>
              <w:t>0</w:t>
            </w:r>
          </w:p>
        </w:tc>
      </w:tr>
      <w:tr w14:paraId="453793BB" w14:textId="77777777" w:rsidTr="00781E36">
        <w:tblPrEx>
          <w:tblW w:w="13685" w:type="dxa"/>
          <w:jc w:val="center"/>
          <w:tblLayout w:type="fixed"/>
          <w:tblLook w:val="01E0"/>
        </w:tblPrEx>
        <w:trPr>
          <w:trHeight w:val="323"/>
          <w:jc w:val="center"/>
        </w:trPr>
        <w:tc>
          <w:tcPr>
            <w:tcW w:w="13685" w:type="dxa"/>
            <w:gridSpan w:val="9"/>
            <w:shd w:val="clear" w:color="auto" w:fill="EDEDED"/>
            <w:vAlign w:val="center"/>
          </w:tcPr>
          <w:p w:rsidR="00C3064F" w:rsidP="00781E36" w14:paraId="5822AC44" w14:textId="0B6C659B">
            <w:pPr>
              <w:rPr>
                <w:color w:val="000000"/>
              </w:rPr>
            </w:pPr>
            <w:r>
              <w:rPr>
                <w:color w:val="000000"/>
              </w:rPr>
              <w:t>11</w:t>
            </w:r>
            <w:r w:rsidRPr="00327942">
              <w:rPr>
                <w:color w:val="000000"/>
              </w:rPr>
              <w:t xml:space="preserve">. </w:t>
            </w:r>
            <w:r>
              <w:t xml:space="preserve"> </w:t>
            </w:r>
            <w:r w:rsidRPr="00CA0652">
              <w:rPr>
                <w:color w:val="000000"/>
              </w:rPr>
              <w:t>Labeling of In-Plant Containers</w:t>
            </w:r>
            <w:r w:rsidRPr="00CA0652">
              <w:rPr>
                <w:color w:val="000000"/>
              </w:rPr>
              <w:t xml:space="preserve"> </w:t>
            </w:r>
          </w:p>
        </w:tc>
      </w:tr>
      <w:tr w14:paraId="191F842B" w14:textId="77777777" w:rsidTr="00B4645A">
        <w:tblPrEx>
          <w:tblW w:w="13685" w:type="dxa"/>
          <w:jc w:val="center"/>
          <w:tblLayout w:type="fixed"/>
          <w:tblLook w:val="01E0"/>
        </w:tblPrEx>
        <w:trPr>
          <w:trHeight w:val="242"/>
          <w:jc w:val="center"/>
        </w:trPr>
        <w:tc>
          <w:tcPr>
            <w:tcW w:w="2633" w:type="dxa"/>
            <w:shd w:val="clear" w:color="auto" w:fill="auto"/>
          </w:tcPr>
          <w:p w:rsidR="009F3979" w:rsidP="001F320C" w14:paraId="002B3D69" w14:textId="77777777">
            <w:pPr>
              <w:rPr>
                <w:color w:val="000000"/>
              </w:rPr>
            </w:pPr>
          </w:p>
        </w:tc>
        <w:tc>
          <w:tcPr>
            <w:tcW w:w="1350" w:type="dxa"/>
            <w:shd w:val="clear" w:color="auto" w:fill="auto"/>
            <w:vAlign w:val="center"/>
          </w:tcPr>
          <w:p w:rsidR="009F3979" w:rsidRPr="00FF1F12" w:rsidP="00B4645A" w14:paraId="15DF9BC5" w14:textId="0790B2B6">
            <w:pPr>
              <w:jc w:val="center"/>
              <w:rPr>
                <w:color w:val="000000"/>
              </w:rPr>
            </w:pPr>
            <w:r>
              <w:rPr>
                <w:color w:val="000000"/>
              </w:rPr>
              <w:t>195,001,503</w:t>
            </w:r>
          </w:p>
        </w:tc>
        <w:tc>
          <w:tcPr>
            <w:tcW w:w="1260" w:type="dxa"/>
            <w:shd w:val="clear" w:color="auto" w:fill="auto"/>
            <w:vAlign w:val="center"/>
          </w:tcPr>
          <w:p w:rsidR="009F3979" w:rsidRPr="00AB0B90" w:rsidP="00B4645A" w14:paraId="3E679801" w14:textId="77777777">
            <w:pPr>
              <w:jc w:val="center"/>
              <w:rPr>
                <w:color w:val="000000"/>
              </w:rPr>
            </w:pPr>
            <w:r>
              <w:t>40%</w:t>
            </w:r>
          </w:p>
        </w:tc>
        <w:tc>
          <w:tcPr>
            <w:tcW w:w="1170" w:type="dxa"/>
            <w:vAlign w:val="center"/>
          </w:tcPr>
          <w:p w:rsidR="009F3979" w:rsidP="00B4645A" w14:paraId="273F327E" w14:textId="4A9E2467">
            <w:pPr>
              <w:tabs>
                <w:tab w:val="center" w:pos="477"/>
                <w:tab w:val="right" w:pos="954"/>
              </w:tabs>
              <w:jc w:val="center"/>
              <w:rPr>
                <w:color w:val="000000"/>
              </w:rPr>
            </w:pPr>
            <w:r>
              <w:rPr>
                <w:color w:val="000000"/>
              </w:rPr>
              <w:t>1</w:t>
            </w:r>
          </w:p>
        </w:tc>
        <w:tc>
          <w:tcPr>
            <w:tcW w:w="1440" w:type="dxa"/>
            <w:shd w:val="clear" w:color="auto" w:fill="auto"/>
            <w:vAlign w:val="center"/>
          </w:tcPr>
          <w:p w:rsidR="009F3979" w:rsidP="00B4645A" w14:paraId="3E80C671" w14:textId="552499DA">
            <w:pPr>
              <w:jc w:val="center"/>
              <w:rPr>
                <w:color w:val="000000"/>
              </w:rPr>
            </w:pPr>
            <w:r>
              <w:rPr>
                <w:color w:val="000000"/>
              </w:rPr>
              <w:t>78,000,</w:t>
            </w:r>
            <w:r w:rsidR="004622CC">
              <w:rPr>
                <w:color w:val="000000"/>
              </w:rPr>
              <w:t>601</w:t>
            </w:r>
          </w:p>
        </w:tc>
        <w:tc>
          <w:tcPr>
            <w:tcW w:w="1260" w:type="dxa"/>
            <w:shd w:val="clear" w:color="auto" w:fill="auto"/>
            <w:vAlign w:val="center"/>
          </w:tcPr>
          <w:p w:rsidR="009F3979" w:rsidRPr="00401AC9" w:rsidP="00B4645A" w14:paraId="6D49BF81" w14:textId="77777777">
            <w:pPr>
              <w:jc w:val="center"/>
              <w:rPr>
                <w:bCs/>
              </w:rPr>
            </w:pPr>
            <w:r>
              <w:rPr>
                <w:bCs/>
              </w:rPr>
              <w:t>0.0033 hour</w:t>
            </w:r>
          </w:p>
        </w:tc>
        <w:tc>
          <w:tcPr>
            <w:tcW w:w="1620" w:type="dxa"/>
            <w:shd w:val="clear" w:color="auto" w:fill="auto"/>
            <w:vAlign w:val="center"/>
          </w:tcPr>
          <w:p w:rsidR="009F3979" w:rsidP="00B4645A" w14:paraId="4144ABA1" w14:textId="782F20B3">
            <w:pPr>
              <w:jc w:val="center"/>
              <w:rPr>
                <w:color w:val="000000"/>
              </w:rPr>
            </w:pPr>
            <w:r>
              <w:rPr>
                <w:color w:val="000000"/>
              </w:rPr>
              <w:t>257,402</w:t>
            </w:r>
          </w:p>
        </w:tc>
        <w:tc>
          <w:tcPr>
            <w:tcW w:w="1350" w:type="dxa"/>
            <w:vAlign w:val="center"/>
          </w:tcPr>
          <w:p w:rsidR="009F3979" w:rsidP="00B4645A" w14:paraId="02790B65" w14:textId="693A7348">
            <w:pPr>
              <w:jc w:val="center"/>
              <w:rPr>
                <w:color w:val="000000"/>
              </w:rPr>
            </w:pPr>
            <w:r>
              <w:rPr>
                <w:color w:val="000000"/>
              </w:rPr>
              <w:t>$</w:t>
            </w:r>
            <w:r w:rsidR="00E95AD9">
              <w:rPr>
                <w:color w:val="000000"/>
              </w:rPr>
              <w:t>60.37</w:t>
            </w:r>
          </w:p>
        </w:tc>
        <w:tc>
          <w:tcPr>
            <w:tcW w:w="1602" w:type="dxa"/>
            <w:vAlign w:val="center"/>
          </w:tcPr>
          <w:p w:rsidR="009F3979" w:rsidP="00B4645A" w14:paraId="78B6D53D" w14:textId="620D3E37">
            <w:pPr>
              <w:jc w:val="center"/>
              <w:rPr>
                <w:color w:val="000000"/>
              </w:rPr>
            </w:pPr>
            <w:r>
              <w:rPr>
                <w:color w:val="000000"/>
              </w:rPr>
              <w:t>$</w:t>
            </w:r>
            <w:r w:rsidR="00A23186">
              <w:rPr>
                <w:color w:val="000000"/>
              </w:rPr>
              <w:t>15,</w:t>
            </w:r>
            <w:r w:rsidR="00432A12">
              <w:rPr>
                <w:color w:val="000000"/>
              </w:rPr>
              <w:t>5</w:t>
            </w:r>
            <w:r w:rsidR="005B522C">
              <w:rPr>
                <w:color w:val="000000"/>
              </w:rPr>
              <w:t>39359</w:t>
            </w:r>
          </w:p>
        </w:tc>
      </w:tr>
      <w:tr w14:paraId="57AE1268" w14:textId="77777777" w:rsidTr="00B4645A">
        <w:tblPrEx>
          <w:tblW w:w="13685" w:type="dxa"/>
          <w:jc w:val="center"/>
          <w:tblLayout w:type="fixed"/>
          <w:tblLook w:val="01E0"/>
        </w:tblPrEx>
        <w:trPr>
          <w:trHeight w:val="233"/>
          <w:jc w:val="center"/>
        </w:trPr>
        <w:tc>
          <w:tcPr>
            <w:tcW w:w="2633" w:type="dxa"/>
            <w:shd w:val="clear" w:color="auto" w:fill="DEEBF6" w:themeFill="accent1" w:themeFillTint="33"/>
          </w:tcPr>
          <w:p w:rsidR="009F3979" w:rsidRPr="007056ED" w:rsidP="001F320C" w14:paraId="691E2B87" w14:textId="77777777">
            <w:pPr>
              <w:rPr>
                <w:b/>
                <w:color w:val="000000"/>
              </w:rPr>
            </w:pPr>
            <w:r w:rsidRPr="004C5F83">
              <w:rPr>
                <w:b/>
                <w:color w:val="000000"/>
              </w:rPr>
              <w:t>Subtotal</w:t>
            </w:r>
          </w:p>
        </w:tc>
        <w:tc>
          <w:tcPr>
            <w:tcW w:w="1350" w:type="dxa"/>
            <w:shd w:val="clear" w:color="auto" w:fill="DEEBF6" w:themeFill="accent1" w:themeFillTint="33"/>
            <w:vAlign w:val="center"/>
          </w:tcPr>
          <w:p w:rsidR="009F3979" w:rsidRPr="007056ED" w:rsidP="00B4645A" w14:paraId="4578C5F1" w14:textId="77777777">
            <w:pPr>
              <w:jc w:val="center"/>
              <w:rPr>
                <w:b/>
                <w:color w:val="000000"/>
              </w:rPr>
            </w:pPr>
          </w:p>
        </w:tc>
        <w:tc>
          <w:tcPr>
            <w:tcW w:w="1260" w:type="dxa"/>
            <w:shd w:val="clear" w:color="auto" w:fill="DEEBF6" w:themeFill="accent1" w:themeFillTint="33"/>
            <w:vAlign w:val="center"/>
          </w:tcPr>
          <w:p w:rsidR="009F3979" w:rsidRPr="007056ED" w:rsidP="00B4645A" w14:paraId="454E779B" w14:textId="77777777">
            <w:pPr>
              <w:jc w:val="center"/>
              <w:rPr>
                <w:b/>
                <w:color w:val="000000"/>
              </w:rPr>
            </w:pPr>
          </w:p>
        </w:tc>
        <w:tc>
          <w:tcPr>
            <w:tcW w:w="1170" w:type="dxa"/>
            <w:shd w:val="clear" w:color="auto" w:fill="DEEBF6" w:themeFill="accent1" w:themeFillTint="33"/>
            <w:vAlign w:val="center"/>
          </w:tcPr>
          <w:p w:rsidR="009F3979" w:rsidRPr="007056ED" w:rsidP="00B4645A" w14:paraId="6E4F52F7" w14:textId="77777777">
            <w:pPr>
              <w:jc w:val="center"/>
              <w:rPr>
                <w:b/>
                <w:color w:val="000000"/>
              </w:rPr>
            </w:pPr>
          </w:p>
        </w:tc>
        <w:tc>
          <w:tcPr>
            <w:tcW w:w="1440" w:type="dxa"/>
            <w:shd w:val="clear" w:color="auto" w:fill="DEEBF6" w:themeFill="accent1" w:themeFillTint="33"/>
            <w:vAlign w:val="center"/>
          </w:tcPr>
          <w:p w:rsidR="009F3979" w:rsidRPr="007056ED" w:rsidP="00B4645A" w14:paraId="742ECFE1" w14:textId="31189F3C">
            <w:pPr>
              <w:jc w:val="center"/>
              <w:rPr>
                <w:b/>
                <w:color w:val="000000"/>
              </w:rPr>
            </w:pPr>
            <w:r>
              <w:rPr>
                <w:b/>
                <w:color w:val="000000"/>
              </w:rPr>
              <w:t>78,000,601</w:t>
            </w:r>
          </w:p>
        </w:tc>
        <w:tc>
          <w:tcPr>
            <w:tcW w:w="1260" w:type="dxa"/>
            <w:shd w:val="clear" w:color="auto" w:fill="DEEBF6" w:themeFill="accent1" w:themeFillTint="33"/>
            <w:vAlign w:val="center"/>
          </w:tcPr>
          <w:p w:rsidR="009F3979" w:rsidRPr="007056ED" w:rsidP="00B4645A" w14:paraId="42E9D835" w14:textId="77777777">
            <w:pPr>
              <w:jc w:val="center"/>
              <w:rPr>
                <w:b/>
                <w:bCs/>
              </w:rPr>
            </w:pPr>
          </w:p>
        </w:tc>
        <w:tc>
          <w:tcPr>
            <w:tcW w:w="1620" w:type="dxa"/>
            <w:shd w:val="clear" w:color="auto" w:fill="DEEBF6" w:themeFill="accent1" w:themeFillTint="33"/>
            <w:vAlign w:val="center"/>
          </w:tcPr>
          <w:p w:rsidR="009F3979" w:rsidRPr="007056ED" w:rsidP="00B4645A" w14:paraId="201851A2" w14:textId="18A1947F">
            <w:pPr>
              <w:jc w:val="center"/>
              <w:rPr>
                <w:b/>
                <w:color w:val="000000"/>
              </w:rPr>
            </w:pPr>
            <w:r>
              <w:rPr>
                <w:b/>
                <w:color w:val="000000"/>
              </w:rPr>
              <w:t>257,402</w:t>
            </w:r>
          </w:p>
        </w:tc>
        <w:tc>
          <w:tcPr>
            <w:tcW w:w="1350" w:type="dxa"/>
            <w:shd w:val="clear" w:color="auto" w:fill="DEEBF6" w:themeFill="accent1" w:themeFillTint="33"/>
            <w:vAlign w:val="center"/>
          </w:tcPr>
          <w:p w:rsidR="009F3979" w:rsidRPr="007056ED" w:rsidP="00B4645A" w14:paraId="6000684D" w14:textId="77777777">
            <w:pPr>
              <w:jc w:val="center"/>
              <w:rPr>
                <w:b/>
                <w:color w:val="000000"/>
              </w:rPr>
            </w:pPr>
          </w:p>
        </w:tc>
        <w:tc>
          <w:tcPr>
            <w:tcW w:w="1602" w:type="dxa"/>
            <w:shd w:val="clear" w:color="auto" w:fill="DEEBF6" w:themeFill="accent1" w:themeFillTint="33"/>
            <w:vAlign w:val="center"/>
          </w:tcPr>
          <w:p w:rsidR="009F3979" w:rsidRPr="007056ED" w:rsidP="00B4645A" w14:paraId="0AAE3183" w14:textId="0FD62685">
            <w:pPr>
              <w:jc w:val="center"/>
              <w:rPr>
                <w:b/>
                <w:color w:val="000000"/>
              </w:rPr>
            </w:pPr>
            <w:r w:rsidRPr="007056ED">
              <w:rPr>
                <w:b/>
                <w:color w:val="000000"/>
              </w:rPr>
              <w:t>$</w:t>
            </w:r>
            <w:r w:rsidR="00A23186">
              <w:rPr>
                <w:b/>
                <w:color w:val="000000"/>
              </w:rPr>
              <w:t>15,</w:t>
            </w:r>
            <w:r w:rsidR="005B522C">
              <w:rPr>
                <w:b/>
                <w:color w:val="000000"/>
              </w:rPr>
              <w:t>539,359</w:t>
            </w:r>
          </w:p>
        </w:tc>
      </w:tr>
      <w:tr w14:paraId="78A67CAD" w14:textId="77777777" w:rsidTr="00781E36">
        <w:tblPrEx>
          <w:tblW w:w="13685" w:type="dxa"/>
          <w:jc w:val="center"/>
          <w:tblLayout w:type="fixed"/>
          <w:tblLook w:val="01E0"/>
        </w:tblPrEx>
        <w:trPr>
          <w:jc w:val="center"/>
        </w:trPr>
        <w:tc>
          <w:tcPr>
            <w:tcW w:w="2633" w:type="dxa"/>
            <w:shd w:val="clear" w:color="auto" w:fill="EDEDED"/>
          </w:tcPr>
          <w:p w:rsidR="009F3979" w:rsidRPr="00327942" w:rsidP="00316285" w14:paraId="4C04F2E0" w14:textId="77777777">
            <w:pPr>
              <w:rPr>
                <w:color w:val="000000"/>
              </w:rPr>
            </w:pPr>
            <w:r>
              <w:rPr>
                <w:color w:val="000000"/>
              </w:rPr>
              <w:t>1</w:t>
            </w:r>
            <w:r w:rsidR="00316285">
              <w:rPr>
                <w:color w:val="000000"/>
              </w:rPr>
              <w:t>2</w:t>
            </w:r>
            <w:r w:rsidRPr="00CA0652">
              <w:rPr>
                <w:color w:val="000000"/>
              </w:rPr>
              <w:t>. Access to Trade Secrets</w:t>
            </w:r>
            <w:r w:rsidRPr="00CA0652">
              <w:rPr>
                <w:color w:val="000000"/>
              </w:rPr>
              <w:t xml:space="preserve"> </w:t>
            </w:r>
          </w:p>
        </w:tc>
        <w:tc>
          <w:tcPr>
            <w:tcW w:w="1350" w:type="dxa"/>
            <w:shd w:val="clear" w:color="auto" w:fill="EDEDED"/>
          </w:tcPr>
          <w:p w:rsidR="009F3979" w:rsidRPr="00FF1F12" w:rsidP="001F320C" w14:paraId="74E66612" w14:textId="77777777">
            <w:pPr>
              <w:jc w:val="right"/>
              <w:rPr>
                <w:color w:val="000000"/>
              </w:rPr>
            </w:pPr>
          </w:p>
        </w:tc>
        <w:tc>
          <w:tcPr>
            <w:tcW w:w="1260" w:type="dxa"/>
            <w:shd w:val="clear" w:color="auto" w:fill="EDEDED"/>
          </w:tcPr>
          <w:p w:rsidR="009F3979" w:rsidRPr="00AB0B90" w:rsidP="001F320C" w14:paraId="45E6B38E" w14:textId="77777777">
            <w:pPr>
              <w:jc w:val="right"/>
              <w:rPr>
                <w:color w:val="000000"/>
              </w:rPr>
            </w:pPr>
          </w:p>
        </w:tc>
        <w:tc>
          <w:tcPr>
            <w:tcW w:w="1170" w:type="dxa"/>
            <w:shd w:val="clear" w:color="auto" w:fill="EDEDED"/>
          </w:tcPr>
          <w:p w:rsidR="009F3979" w:rsidRPr="00327942" w:rsidP="001F320C" w14:paraId="3E832188" w14:textId="77777777">
            <w:pPr>
              <w:jc w:val="right"/>
              <w:rPr>
                <w:color w:val="000000"/>
              </w:rPr>
            </w:pPr>
          </w:p>
        </w:tc>
        <w:tc>
          <w:tcPr>
            <w:tcW w:w="1440" w:type="dxa"/>
            <w:shd w:val="clear" w:color="auto" w:fill="EDEDED"/>
          </w:tcPr>
          <w:p w:rsidR="009F3979" w:rsidRPr="00327942" w:rsidP="001F320C" w14:paraId="47AA3B2B" w14:textId="77777777">
            <w:pPr>
              <w:jc w:val="right"/>
              <w:rPr>
                <w:color w:val="000000"/>
              </w:rPr>
            </w:pPr>
          </w:p>
        </w:tc>
        <w:tc>
          <w:tcPr>
            <w:tcW w:w="1260" w:type="dxa"/>
            <w:shd w:val="clear" w:color="auto" w:fill="EDEDED"/>
          </w:tcPr>
          <w:p w:rsidR="009F3979" w:rsidRPr="00401AC9" w:rsidP="001F320C" w14:paraId="68ACB583" w14:textId="77777777">
            <w:pPr>
              <w:jc w:val="right"/>
              <w:rPr>
                <w:color w:val="000000"/>
              </w:rPr>
            </w:pPr>
          </w:p>
        </w:tc>
        <w:tc>
          <w:tcPr>
            <w:tcW w:w="1620" w:type="dxa"/>
            <w:shd w:val="clear" w:color="auto" w:fill="EDEDED"/>
          </w:tcPr>
          <w:p w:rsidR="009F3979" w:rsidRPr="00327942" w:rsidP="001F320C" w14:paraId="44BC5B13" w14:textId="77777777">
            <w:pPr>
              <w:jc w:val="right"/>
              <w:rPr>
                <w:color w:val="000000"/>
              </w:rPr>
            </w:pPr>
          </w:p>
        </w:tc>
        <w:tc>
          <w:tcPr>
            <w:tcW w:w="1350" w:type="dxa"/>
            <w:shd w:val="clear" w:color="auto" w:fill="EDEDED"/>
          </w:tcPr>
          <w:p w:rsidR="009F3979" w:rsidP="001F320C" w14:paraId="08FEC4BE" w14:textId="77777777">
            <w:pPr>
              <w:jc w:val="right"/>
              <w:rPr>
                <w:color w:val="000000"/>
              </w:rPr>
            </w:pPr>
          </w:p>
        </w:tc>
        <w:tc>
          <w:tcPr>
            <w:tcW w:w="1602" w:type="dxa"/>
            <w:shd w:val="clear" w:color="auto" w:fill="EDEDED"/>
          </w:tcPr>
          <w:p w:rsidR="009F3979" w:rsidP="001F320C" w14:paraId="30CE6286" w14:textId="77777777">
            <w:pPr>
              <w:jc w:val="right"/>
              <w:rPr>
                <w:color w:val="000000"/>
              </w:rPr>
            </w:pPr>
          </w:p>
        </w:tc>
      </w:tr>
      <w:tr w14:paraId="5CCE996A" w14:textId="77777777" w:rsidTr="00B4645A">
        <w:tblPrEx>
          <w:tblW w:w="13685" w:type="dxa"/>
          <w:jc w:val="center"/>
          <w:tblLayout w:type="fixed"/>
          <w:tblLook w:val="01E0"/>
        </w:tblPrEx>
        <w:trPr>
          <w:jc w:val="center"/>
        </w:trPr>
        <w:tc>
          <w:tcPr>
            <w:tcW w:w="2633" w:type="dxa"/>
            <w:shd w:val="clear" w:color="auto" w:fill="auto"/>
          </w:tcPr>
          <w:p w:rsidR="009F3979" w:rsidP="001F320C" w14:paraId="2609FC6C" w14:textId="77777777">
            <w:pPr>
              <w:rPr>
                <w:color w:val="000000"/>
              </w:rPr>
            </w:pPr>
          </w:p>
        </w:tc>
        <w:tc>
          <w:tcPr>
            <w:tcW w:w="1350" w:type="dxa"/>
            <w:shd w:val="clear" w:color="auto" w:fill="auto"/>
            <w:vAlign w:val="center"/>
          </w:tcPr>
          <w:p w:rsidR="009F3979" w:rsidRPr="00FF1F12" w:rsidP="00B4645A" w14:paraId="68259393" w14:textId="3DEF3648">
            <w:pPr>
              <w:jc w:val="center"/>
              <w:rPr>
                <w:color w:val="000000"/>
              </w:rPr>
            </w:pPr>
            <w:r>
              <w:rPr>
                <w:bCs/>
              </w:rPr>
              <w:t>1</w:t>
            </w:r>
            <w:r w:rsidR="004F6A66">
              <w:rPr>
                <w:bCs/>
              </w:rPr>
              <w:t>4,800</w:t>
            </w:r>
          </w:p>
        </w:tc>
        <w:tc>
          <w:tcPr>
            <w:tcW w:w="1260" w:type="dxa"/>
            <w:shd w:val="clear" w:color="auto" w:fill="auto"/>
            <w:vAlign w:val="center"/>
          </w:tcPr>
          <w:p w:rsidR="009F3979" w:rsidRPr="00AB0B90" w:rsidP="00B4645A" w14:paraId="049B4E2A" w14:textId="77777777">
            <w:pPr>
              <w:jc w:val="center"/>
              <w:rPr>
                <w:color w:val="000000"/>
              </w:rPr>
            </w:pPr>
            <w:r>
              <w:t>100</w:t>
            </w:r>
            <w:r>
              <w:t>%</w:t>
            </w:r>
          </w:p>
        </w:tc>
        <w:tc>
          <w:tcPr>
            <w:tcW w:w="1170" w:type="dxa"/>
            <w:vAlign w:val="center"/>
          </w:tcPr>
          <w:p w:rsidR="009F3979" w:rsidRPr="00327942" w:rsidP="00B4645A" w14:paraId="551259FA" w14:textId="77777777">
            <w:pPr>
              <w:jc w:val="center"/>
              <w:rPr>
                <w:color w:val="000000"/>
              </w:rPr>
            </w:pPr>
            <w:r>
              <w:rPr>
                <w:color w:val="000000"/>
              </w:rPr>
              <w:t>7</w:t>
            </w:r>
          </w:p>
        </w:tc>
        <w:tc>
          <w:tcPr>
            <w:tcW w:w="1440" w:type="dxa"/>
            <w:shd w:val="clear" w:color="auto" w:fill="auto"/>
            <w:vAlign w:val="center"/>
          </w:tcPr>
          <w:p w:rsidR="009F3979" w:rsidRPr="00327942" w:rsidP="00B4645A" w14:paraId="3C12B8EB" w14:textId="25906395">
            <w:pPr>
              <w:jc w:val="center"/>
              <w:rPr>
                <w:color w:val="000000"/>
              </w:rPr>
            </w:pPr>
            <w:r>
              <w:rPr>
                <w:color w:val="000000"/>
              </w:rPr>
              <w:t>106,636</w:t>
            </w:r>
          </w:p>
        </w:tc>
        <w:tc>
          <w:tcPr>
            <w:tcW w:w="1260" w:type="dxa"/>
            <w:shd w:val="clear" w:color="auto" w:fill="auto"/>
            <w:vAlign w:val="center"/>
          </w:tcPr>
          <w:p w:rsidR="009F3979" w:rsidRPr="00401AC9" w:rsidP="00B4645A" w14:paraId="354CD4D5" w14:textId="77777777">
            <w:pPr>
              <w:jc w:val="center"/>
              <w:rPr>
                <w:color w:val="000000"/>
              </w:rPr>
            </w:pPr>
            <w:r>
              <w:rPr>
                <w:color w:val="000000"/>
              </w:rPr>
              <w:t>4 hours</w:t>
            </w:r>
          </w:p>
        </w:tc>
        <w:tc>
          <w:tcPr>
            <w:tcW w:w="1620" w:type="dxa"/>
            <w:shd w:val="clear" w:color="auto" w:fill="auto"/>
            <w:vAlign w:val="center"/>
          </w:tcPr>
          <w:p w:rsidR="009F3979" w:rsidP="00B4645A" w14:paraId="5F8DB177" w14:textId="2F490580">
            <w:pPr>
              <w:jc w:val="center"/>
              <w:rPr>
                <w:color w:val="000000"/>
              </w:rPr>
            </w:pPr>
            <w:r>
              <w:rPr>
                <w:color w:val="000000"/>
              </w:rPr>
              <w:t>426,544</w:t>
            </w:r>
          </w:p>
        </w:tc>
        <w:tc>
          <w:tcPr>
            <w:tcW w:w="1350" w:type="dxa"/>
            <w:vAlign w:val="center"/>
          </w:tcPr>
          <w:p w:rsidR="009F3979" w:rsidP="00B4645A" w14:paraId="59DE0403" w14:textId="780FF183">
            <w:pPr>
              <w:jc w:val="center"/>
              <w:rPr>
                <w:color w:val="000000"/>
              </w:rPr>
            </w:pPr>
            <w:r>
              <w:rPr>
                <w:color w:val="000000"/>
              </w:rPr>
              <w:t>$</w:t>
            </w:r>
            <w:r w:rsidR="00E95AD9">
              <w:rPr>
                <w:color w:val="000000"/>
              </w:rPr>
              <w:t>83.62</w:t>
            </w:r>
          </w:p>
        </w:tc>
        <w:tc>
          <w:tcPr>
            <w:tcW w:w="1602" w:type="dxa"/>
            <w:vAlign w:val="center"/>
          </w:tcPr>
          <w:p w:rsidR="009F3979" w:rsidP="00B4645A" w14:paraId="354CC281" w14:textId="2409EE31">
            <w:pPr>
              <w:jc w:val="center"/>
              <w:rPr>
                <w:color w:val="000000"/>
              </w:rPr>
            </w:pPr>
            <w:r>
              <w:rPr>
                <w:color w:val="000000"/>
              </w:rPr>
              <w:t>$</w:t>
            </w:r>
            <w:r w:rsidR="00B6300D">
              <w:rPr>
                <w:color w:val="000000"/>
              </w:rPr>
              <w:t>35,</w:t>
            </w:r>
            <w:r w:rsidR="003B08A7">
              <w:rPr>
                <w:color w:val="000000"/>
              </w:rPr>
              <w:t>667,609</w:t>
            </w:r>
          </w:p>
        </w:tc>
      </w:tr>
      <w:tr w14:paraId="7C8E1868" w14:textId="77777777" w:rsidTr="00B4645A">
        <w:tblPrEx>
          <w:tblW w:w="13685" w:type="dxa"/>
          <w:jc w:val="center"/>
          <w:tblLayout w:type="fixed"/>
          <w:tblLook w:val="01E0"/>
        </w:tblPrEx>
        <w:trPr>
          <w:jc w:val="center"/>
        </w:trPr>
        <w:tc>
          <w:tcPr>
            <w:tcW w:w="2633" w:type="dxa"/>
            <w:shd w:val="clear" w:color="auto" w:fill="DEEBF6" w:themeFill="accent1" w:themeFillTint="33"/>
          </w:tcPr>
          <w:p w:rsidR="009F3979" w:rsidRPr="007056ED" w:rsidP="001F320C" w14:paraId="7CE06D71" w14:textId="77777777">
            <w:pPr>
              <w:rPr>
                <w:b/>
                <w:color w:val="000000"/>
              </w:rPr>
            </w:pPr>
            <w:r w:rsidRPr="004C5F83">
              <w:rPr>
                <w:b/>
                <w:color w:val="000000"/>
              </w:rPr>
              <w:t>Subtotal</w:t>
            </w:r>
          </w:p>
        </w:tc>
        <w:tc>
          <w:tcPr>
            <w:tcW w:w="1350" w:type="dxa"/>
            <w:shd w:val="clear" w:color="auto" w:fill="DEEBF6" w:themeFill="accent1" w:themeFillTint="33"/>
            <w:vAlign w:val="center"/>
          </w:tcPr>
          <w:p w:rsidR="009F3979" w:rsidRPr="007056ED" w:rsidP="00B4645A" w14:paraId="48D38482" w14:textId="77777777">
            <w:pPr>
              <w:jc w:val="center"/>
              <w:rPr>
                <w:b/>
                <w:color w:val="000000"/>
              </w:rPr>
            </w:pPr>
          </w:p>
        </w:tc>
        <w:tc>
          <w:tcPr>
            <w:tcW w:w="1260" w:type="dxa"/>
            <w:shd w:val="clear" w:color="auto" w:fill="DEEBF6" w:themeFill="accent1" w:themeFillTint="33"/>
            <w:vAlign w:val="center"/>
          </w:tcPr>
          <w:p w:rsidR="009F3979" w:rsidRPr="007056ED" w:rsidP="00B4645A" w14:paraId="758F3DD3" w14:textId="77777777">
            <w:pPr>
              <w:jc w:val="center"/>
              <w:rPr>
                <w:b/>
                <w:color w:val="000000"/>
              </w:rPr>
            </w:pPr>
          </w:p>
        </w:tc>
        <w:tc>
          <w:tcPr>
            <w:tcW w:w="1170" w:type="dxa"/>
            <w:shd w:val="clear" w:color="auto" w:fill="DEEBF6" w:themeFill="accent1" w:themeFillTint="33"/>
            <w:vAlign w:val="center"/>
          </w:tcPr>
          <w:p w:rsidR="009F3979" w:rsidRPr="007056ED" w:rsidP="00B4645A" w14:paraId="1343B640" w14:textId="77777777">
            <w:pPr>
              <w:jc w:val="center"/>
              <w:rPr>
                <w:b/>
                <w:color w:val="000000"/>
              </w:rPr>
            </w:pPr>
          </w:p>
        </w:tc>
        <w:tc>
          <w:tcPr>
            <w:tcW w:w="1440" w:type="dxa"/>
            <w:shd w:val="clear" w:color="auto" w:fill="DEEBF6" w:themeFill="accent1" w:themeFillTint="33"/>
            <w:vAlign w:val="center"/>
          </w:tcPr>
          <w:p w:rsidR="009F3979" w:rsidRPr="007056ED" w:rsidP="00B4645A" w14:paraId="27B36CA0" w14:textId="2C0389E5">
            <w:pPr>
              <w:jc w:val="center"/>
              <w:rPr>
                <w:b/>
                <w:color w:val="000000"/>
              </w:rPr>
            </w:pPr>
            <w:r>
              <w:rPr>
                <w:b/>
                <w:color w:val="000000"/>
              </w:rPr>
              <w:t>106,636</w:t>
            </w:r>
          </w:p>
        </w:tc>
        <w:tc>
          <w:tcPr>
            <w:tcW w:w="1260" w:type="dxa"/>
            <w:shd w:val="clear" w:color="auto" w:fill="DEEBF6" w:themeFill="accent1" w:themeFillTint="33"/>
            <w:vAlign w:val="center"/>
          </w:tcPr>
          <w:p w:rsidR="009F3979" w:rsidRPr="007056ED" w:rsidP="00B4645A" w14:paraId="295AF285" w14:textId="77777777">
            <w:pPr>
              <w:jc w:val="center"/>
              <w:rPr>
                <w:b/>
                <w:color w:val="000000"/>
              </w:rPr>
            </w:pPr>
          </w:p>
        </w:tc>
        <w:tc>
          <w:tcPr>
            <w:tcW w:w="1620" w:type="dxa"/>
            <w:shd w:val="clear" w:color="auto" w:fill="DEEBF6" w:themeFill="accent1" w:themeFillTint="33"/>
            <w:vAlign w:val="center"/>
          </w:tcPr>
          <w:p w:rsidR="009F3979" w:rsidRPr="007056ED" w:rsidP="00B4645A" w14:paraId="21169B3B" w14:textId="1ECDE398">
            <w:pPr>
              <w:jc w:val="center"/>
              <w:rPr>
                <w:b/>
                <w:color w:val="000000"/>
              </w:rPr>
            </w:pPr>
            <w:r>
              <w:rPr>
                <w:b/>
                <w:color w:val="000000"/>
              </w:rPr>
              <w:t>426,544</w:t>
            </w:r>
          </w:p>
        </w:tc>
        <w:tc>
          <w:tcPr>
            <w:tcW w:w="1350" w:type="dxa"/>
            <w:shd w:val="clear" w:color="auto" w:fill="DEEBF6" w:themeFill="accent1" w:themeFillTint="33"/>
            <w:vAlign w:val="center"/>
          </w:tcPr>
          <w:p w:rsidR="009F3979" w:rsidRPr="007056ED" w:rsidP="00B4645A" w14:paraId="7B4DE1C6" w14:textId="77777777">
            <w:pPr>
              <w:jc w:val="center"/>
              <w:rPr>
                <w:b/>
                <w:color w:val="000000"/>
              </w:rPr>
            </w:pPr>
          </w:p>
        </w:tc>
        <w:tc>
          <w:tcPr>
            <w:tcW w:w="1602" w:type="dxa"/>
            <w:shd w:val="clear" w:color="auto" w:fill="DEEBF6" w:themeFill="accent1" w:themeFillTint="33"/>
            <w:vAlign w:val="center"/>
          </w:tcPr>
          <w:p w:rsidR="009F3979" w:rsidRPr="007056ED" w:rsidP="00B4645A" w14:paraId="75DB63BC" w14:textId="4C0B414E">
            <w:pPr>
              <w:jc w:val="center"/>
              <w:rPr>
                <w:b/>
                <w:color w:val="000000"/>
              </w:rPr>
            </w:pPr>
            <w:r>
              <w:rPr>
                <w:b/>
                <w:color w:val="000000"/>
              </w:rPr>
              <w:t>$</w:t>
            </w:r>
            <w:r w:rsidR="003B08A7">
              <w:rPr>
                <w:b/>
                <w:color w:val="000000"/>
              </w:rPr>
              <w:t>35,667,609</w:t>
            </w:r>
          </w:p>
        </w:tc>
      </w:tr>
      <w:tr w14:paraId="3E81AE84" w14:textId="77777777" w:rsidTr="00781E36">
        <w:tblPrEx>
          <w:tblW w:w="13685" w:type="dxa"/>
          <w:jc w:val="center"/>
          <w:tblLayout w:type="fixed"/>
          <w:tblLook w:val="01E0"/>
        </w:tblPrEx>
        <w:trPr>
          <w:trHeight w:val="296"/>
          <w:jc w:val="center"/>
        </w:trPr>
        <w:tc>
          <w:tcPr>
            <w:tcW w:w="13685" w:type="dxa"/>
            <w:gridSpan w:val="9"/>
            <w:shd w:val="clear" w:color="auto" w:fill="EDEDED"/>
            <w:vAlign w:val="center"/>
          </w:tcPr>
          <w:p w:rsidR="00C3064F" w:rsidP="00781E36" w14:paraId="2E8BA690" w14:textId="45A95F63">
            <w:pPr>
              <w:rPr>
                <w:color w:val="000000"/>
              </w:rPr>
            </w:pPr>
            <w:r>
              <w:rPr>
                <w:color w:val="000000"/>
              </w:rPr>
              <w:t>13.</w:t>
            </w:r>
            <w:r w:rsidR="001B087A">
              <w:rPr>
                <w:color w:val="000000"/>
              </w:rPr>
              <w:t xml:space="preserve"> </w:t>
            </w:r>
            <w:r w:rsidRPr="009D1128">
              <w:rPr>
                <w:color w:val="000000"/>
              </w:rPr>
              <w:t>Employee Access</w:t>
            </w:r>
          </w:p>
        </w:tc>
      </w:tr>
      <w:tr w14:paraId="5AC42AD2" w14:textId="77777777" w:rsidTr="00B4645A">
        <w:tblPrEx>
          <w:tblW w:w="13685" w:type="dxa"/>
          <w:jc w:val="center"/>
          <w:tblLayout w:type="fixed"/>
          <w:tblLook w:val="01E0"/>
        </w:tblPrEx>
        <w:trPr>
          <w:jc w:val="center"/>
        </w:trPr>
        <w:tc>
          <w:tcPr>
            <w:tcW w:w="2633" w:type="dxa"/>
            <w:shd w:val="clear" w:color="auto" w:fill="auto"/>
          </w:tcPr>
          <w:p w:rsidR="00C54442" w:rsidP="001F320C" w14:paraId="1010E462" w14:textId="77777777">
            <w:pPr>
              <w:tabs>
                <w:tab w:val="center" w:pos="1017"/>
              </w:tabs>
              <w:rPr>
                <w:color w:val="000000"/>
              </w:rPr>
            </w:pPr>
          </w:p>
        </w:tc>
        <w:tc>
          <w:tcPr>
            <w:tcW w:w="1350" w:type="dxa"/>
            <w:shd w:val="clear" w:color="auto" w:fill="auto"/>
            <w:vAlign w:val="center"/>
          </w:tcPr>
          <w:p w:rsidR="00C54442" w:rsidRPr="007E72B9" w:rsidP="00B4645A" w14:paraId="731642B0" w14:textId="00F57E36">
            <w:pPr>
              <w:jc w:val="center"/>
              <w:rPr>
                <w:b/>
                <w:bCs/>
                <w:color w:val="000000"/>
              </w:rPr>
            </w:pPr>
          </w:p>
        </w:tc>
        <w:tc>
          <w:tcPr>
            <w:tcW w:w="1260" w:type="dxa"/>
            <w:shd w:val="clear" w:color="auto" w:fill="auto"/>
            <w:vAlign w:val="center"/>
          </w:tcPr>
          <w:p w:rsidR="00C54442" w:rsidRPr="00AB0B90" w:rsidP="00B4645A" w14:paraId="380957E5" w14:textId="77777777">
            <w:pPr>
              <w:jc w:val="center"/>
              <w:rPr>
                <w:color w:val="000000"/>
              </w:rPr>
            </w:pPr>
            <w:r>
              <w:rPr>
                <w:color w:val="000000"/>
              </w:rPr>
              <w:t>40%</w:t>
            </w:r>
          </w:p>
        </w:tc>
        <w:tc>
          <w:tcPr>
            <w:tcW w:w="1170" w:type="dxa"/>
            <w:vAlign w:val="center"/>
          </w:tcPr>
          <w:p w:rsidR="00C54442" w:rsidP="00B4645A" w14:paraId="597DACB4" w14:textId="77777777">
            <w:pPr>
              <w:jc w:val="center"/>
              <w:rPr>
                <w:color w:val="000000"/>
              </w:rPr>
            </w:pPr>
            <w:r>
              <w:rPr>
                <w:color w:val="000000"/>
              </w:rPr>
              <w:t>1.5</w:t>
            </w:r>
          </w:p>
        </w:tc>
        <w:tc>
          <w:tcPr>
            <w:tcW w:w="1440" w:type="dxa"/>
            <w:shd w:val="clear" w:color="auto" w:fill="auto"/>
            <w:vAlign w:val="center"/>
          </w:tcPr>
          <w:p w:rsidR="00C54442" w:rsidP="00B4645A" w14:paraId="45575E4A" w14:textId="5D02B1AA">
            <w:pPr>
              <w:jc w:val="center"/>
              <w:rPr>
                <w:color w:val="000000"/>
              </w:rPr>
            </w:pPr>
            <w:r>
              <w:rPr>
                <w:color w:val="000000"/>
              </w:rPr>
              <w:t>3,348,543</w:t>
            </w:r>
          </w:p>
        </w:tc>
        <w:tc>
          <w:tcPr>
            <w:tcW w:w="1260" w:type="dxa"/>
            <w:shd w:val="clear" w:color="auto" w:fill="auto"/>
            <w:vAlign w:val="center"/>
          </w:tcPr>
          <w:p w:rsidR="00C54442" w:rsidP="00B4645A" w14:paraId="43C9221C" w14:textId="77777777">
            <w:pPr>
              <w:jc w:val="center"/>
              <w:rPr>
                <w:bCs/>
              </w:rPr>
            </w:pPr>
            <w:r>
              <w:rPr>
                <w:bCs/>
              </w:rPr>
              <w:t>0.167 hour</w:t>
            </w:r>
          </w:p>
        </w:tc>
        <w:tc>
          <w:tcPr>
            <w:tcW w:w="1620" w:type="dxa"/>
            <w:shd w:val="clear" w:color="auto" w:fill="auto"/>
            <w:vAlign w:val="center"/>
          </w:tcPr>
          <w:p w:rsidR="00C54442" w:rsidP="00B4645A" w14:paraId="162E7539" w14:textId="3AF261D7">
            <w:pPr>
              <w:jc w:val="center"/>
              <w:rPr>
                <w:color w:val="000000"/>
              </w:rPr>
            </w:pPr>
            <w:r>
              <w:rPr>
                <w:color w:val="000000"/>
              </w:rPr>
              <w:t>559,207</w:t>
            </w:r>
          </w:p>
        </w:tc>
        <w:tc>
          <w:tcPr>
            <w:tcW w:w="1350" w:type="dxa"/>
            <w:vAlign w:val="center"/>
          </w:tcPr>
          <w:p w:rsidR="00C54442" w:rsidP="00B4645A" w14:paraId="0F53D883" w14:textId="7FA05430">
            <w:pPr>
              <w:jc w:val="center"/>
              <w:rPr>
                <w:color w:val="000000"/>
              </w:rPr>
            </w:pPr>
            <w:r>
              <w:rPr>
                <w:color w:val="000000"/>
              </w:rPr>
              <w:t>$</w:t>
            </w:r>
            <w:r w:rsidR="00041950">
              <w:rPr>
                <w:color w:val="000000"/>
              </w:rPr>
              <w:t>31.93</w:t>
            </w:r>
          </w:p>
        </w:tc>
        <w:tc>
          <w:tcPr>
            <w:tcW w:w="1602" w:type="dxa"/>
            <w:vAlign w:val="center"/>
          </w:tcPr>
          <w:p w:rsidR="00C54442" w:rsidP="00B4645A" w14:paraId="1EA5D409" w14:textId="624FC485">
            <w:pPr>
              <w:jc w:val="center"/>
              <w:rPr>
                <w:color w:val="000000"/>
              </w:rPr>
            </w:pPr>
            <w:r>
              <w:rPr>
                <w:color w:val="000000"/>
              </w:rPr>
              <w:t>$</w:t>
            </w:r>
            <w:r w:rsidR="00755A3B">
              <w:rPr>
                <w:color w:val="000000"/>
              </w:rPr>
              <w:t>17,</w:t>
            </w:r>
            <w:r w:rsidR="00456878">
              <w:rPr>
                <w:color w:val="000000"/>
              </w:rPr>
              <w:t>855,480</w:t>
            </w:r>
          </w:p>
        </w:tc>
      </w:tr>
      <w:tr w14:paraId="046A230E" w14:textId="77777777" w:rsidTr="00B4645A">
        <w:tblPrEx>
          <w:tblW w:w="13685" w:type="dxa"/>
          <w:jc w:val="center"/>
          <w:tblLayout w:type="fixed"/>
          <w:tblLook w:val="01E0"/>
        </w:tblPrEx>
        <w:trPr>
          <w:jc w:val="center"/>
        </w:trPr>
        <w:tc>
          <w:tcPr>
            <w:tcW w:w="2633" w:type="dxa"/>
            <w:shd w:val="clear" w:color="auto" w:fill="DEEBF6" w:themeFill="accent1" w:themeFillTint="33"/>
          </w:tcPr>
          <w:p w:rsidR="00593A2F" w:rsidRPr="007056ED" w:rsidP="001F320C" w14:paraId="32AB940E" w14:textId="77777777">
            <w:pPr>
              <w:tabs>
                <w:tab w:val="center" w:pos="1017"/>
              </w:tabs>
              <w:rPr>
                <w:b/>
                <w:color w:val="000000"/>
              </w:rPr>
            </w:pPr>
            <w:r w:rsidRPr="004C5F83">
              <w:rPr>
                <w:b/>
                <w:color w:val="000000"/>
              </w:rPr>
              <w:t>Subtotal</w:t>
            </w:r>
          </w:p>
        </w:tc>
        <w:tc>
          <w:tcPr>
            <w:tcW w:w="1350" w:type="dxa"/>
            <w:shd w:val="clear" w:color="auto" w:fill="DEEBF6" w:themeFill="accent1" w:themeFillTint="33"/>
            <w:vAlign w:val="center"/>
          </w:tcPr>
          <w:p w:rsidR="00593A2F" w:rsidRPr="007056ED" w:rsidP="00B4645A" w14:paraId="7B5BA7C9" w14:textId="77777777">
            <w:pPr>
              <w:jc w:val="center"/>
              <w:rPr>
                <w:b/>
                <w:color w:val="000000"/>
              </w:rPr>
            </w:pPr>
          </w:p>
        </w:tc>
        <w:tc>
          <w:tcPr>
            <w:tcW w:w="1260" w:type="dxa"/>
            <w:shd w:val="clear" w:color="auto" w:fill="DEEBF6" w:themeFill="accent1" w:themeFillTint="33"/>
            <w:vAlign w:val="center"/>
          </w:tcPr>
          <w:p w:rsidR="00593A2F" w:rsidRPr="007056ED" w:rsidP="00B4645A" w14:paraId="0640CDE6" w14:textId="77777777">
            <w:pPr>
              <w:jc w:val="center"/>
              <w:rPr>
                <w:b/>
                <w:color w:val="000000"/>
              </w:rPr>
            </w:pPr>
          </w:p>
        </w:tc>
        <w:tc>
          <w:tcPr>
            <w:tcW w:w="1170" w:type="dxa"/>
            <w:shd w:val="clear" w:color="auto" w:fill="DEEBF6" w:themeFill="accent1" w:themeFillTint="33"/>
            <w:vAlign w:val="center"/>
          </w:tcPr>
          <w:p w:rsidR="00593A2F" w:rsidRPr="007056ED" w:rsidP="00B4645A" w14:paraId="7F27980A" w14:textId="77777777">
            <w:pPr>
              <w:jc w:val="center"/>
              <w:rPr>
                <w:b/>
                <w:color w:val="000000"/>
              </w:rPr>
            </w:pPr>
          </w:p>
        </w:tc>
        <w:tc>
          <w:tcPr>
            <w:tcW w:w="1440" w:type="dxa"/>
            <w:shd w:val="clear" w:color="auto" w:fill="DEEBF6" w:themeFill="accent1" w:themeFillTint="33"/>
            <w:vAlign w:val="center"/>
          </w:tcPr>
          <w:p w:rsidR="00593A2F" w:rsidRPr="007056ED" w:rsidP="00B4645A" w14:paraId="2D00AD46" w14:textId="25310E7F">
            <w:pPr>
              <w:jc w:val="center"/>
              <w:rPr>
                <w:b/>
                <w:color w:val="000000"/>
              </w:rPr>
            </w:pPr>
            <w:r>
              <w:rPr>
                <w:b/>
                <w:color w:val="000000"/>
              </w:rPr>
              <w:t>3,348</w:t>
            </w:r>
            <w:r w:rsidR="00A9799F">
              <w:rPr>
                <w:b/>
                <w:color w:val="000000"/>
              </w:rPr>
              <w:t>,543</w:t>
            </w:r>
          </w:p>
        </w:tc>
        <w:tc>
          <w:tcPr>
            <w:tcW w:w="1260" w:type="dxa"/>
            <w:shd w:val="clear" w:color="auto" w:fill="DEEBF6" w:themeFill="accent1" w:themeFillTint="33"/>
            <w:vAlign w:val="center"/>
          </w:tcPr>
          <w:p w:rsidR="00593A2F" w:rsidRPr="007056ED" w:rsidP="00B4645A" w14:paraId="0E0410CD" w14:textId="77777777">
            <w:pPr>
              <w:jc w:val="center"/>
              <w:rPr>
                <w:b/>
                <w:bCs/>
              </w:rPr>
            </w:pPr>
          </w:p>
        </w:tc>
        <w:tc>
          <w:tcPr>
            <w:tcW w:w="1620" w:type="dxa"/>
            <w:shd w:val="clear" w:color="auto" w:fill="DEEBF6" w:themeFill="accent1" w:themeFillTint="33"/>
            <w:vAlign w:val="center"/>
          </w:tcPr>
          <w:p w:rsidR="00593A2F" w:rsidRPr="007056ED" w:rsidP="00B4645A" w14:paraId="4D054F0E" w14:textId="0BBC9DE1">
            <w:pPr>
              <w:jc w:val="center"/>
              <w:rPr>
                <w:b/>
                <w:color w:val="000000"/>
              </w:rPr>
            </w:pPr>
            <w:r>
              <w:rPr>
                <w:b/>
                <w:color w:val="000000"/>
              </w:rPr>
              <w:t>559,207</w:t>
            </w:r>
          </w:p>
        </w:tc>
        <w:tc>
          <w:tcPr>
            <w:tcW w:w="1350" w:type="dxa"/>
            <w:shd w:val="clear" w:color="auto" w:fill="DEEBF6" w:themeFill="accent1" w:themeFillTint="33"/>
            <w:vAlign w:val="center"/>
          </w:tcPr>
          <w:p w:rsidR="00593A2F" w:rsidRPr="007056ED" w:rsidP="00B4645A" w14:paraId="5FB6A9F8" w14:textId="77777777">
            <w:pPr>
              <w:jc w:val="center"/>
              <w:rPr>
                <w:b/>
                <w:color w:val="000000"/>
              </w:rPr>
            </w:pPr>
          </w:p>
        </w:tc>
        <w:tc>
          <w:tcPr>
            <w:tcW w:w="1602" w:type="dxa"/>
            <w:shd w:val="clear" w:color="auto" w:fill="DEEBF6" w:themeFill="accent1" w:themeFillTint="33"/>
            <w:vAlign w:val="center"/>
          </w:tcPr>
          <w:p w:rsidR="00593A2F" w:rsidRPr="007056ED" w:rsidP="00B4645A" w14:paraId="7DA37FC8" w14:textId="743F2018">
            <w:pPr>
              <w:jc w:val="center"/>
              <w:rPr>
                <w:b/>
                <w:color w:val="000000"/>
              </w:rPr>
            </w:pPr>
            <w:r w:rsidRPr="007056ED">
              <w:rPr>
                <w:b/>
                <w:color w:val="000000"/>
              </w:rPr>
              <w:t>$</w:t>
            </w:r>
            <w:r w:rsidR="001161CA">
              <w:rPr>
                <w:b/>
                <w:color w:val="000000"/>
              </w:rPr>
              <w:t>1</w:t>
            </w:r>
            <w:r w:rsidR="00456878">
              <w:rPr>
                <w:b/>
                <w:color w:val="000000"/>
              </w:rPr>
              <w:t>7,855,480</w:t>
            </w:r>
          </w:p>
        </w:tc>
      </w:tr>
      <w:tr w14:paraId="2717EA81" w14:textId="77777777" w:rsidTr="00B4645A">
        <w:tblPrEx>
          <w:tblW w:w="13685" w:type="dxa"/>
          <w:jc w:val="center"/>
          <w:tblLayout w:type="fixed"/>
          <w:tblLook w:val="01E0"/>
        </w:tblPrEx>
        <w:trPr>
          <w:trHeight w:val="242"/>
          <w:jc w:val="center"/>
        </w:trPr>
        <w:tc>
          <w:tcPr>
            <w:tcW w:w="2633" w:type="dxa"/>
            <w:shd w:val="clear" w:color="auto" w:fill="auto"/>
          </w:tcPr>
          <w:p w:rsidR="00593A2F" w:rsidRPr="00327942" w:rsidP="001F320C" w14:paraId="76CF8C40" w14:textId="77777777">
            <w:pPr>
              <w:rPr>
                <w:color w:val="000000"/>
              </w:rPr>
            </w:pPr>
            <w:r w:rsidRPr="00327942">
              <w:rPr>
                <w:color w:val="000000"/>
              </w:rPr>
              <w:t>1</w:t>
            </w:r>
            <w:r w:rsidR="00316285">
              <w:rPr>
                <w:color w:val="000000"/>
              </w:rPr>
              <w:t>4</w:t>
            </w:r>
            <w:r w:rsidRPr="00327942">
              <w:rPr>
                <w:color w:val="000000"/>
              </w:rPr>
              <w:t xml:space="preserve">. </w:t>
            </w:r>
            <w:r>
              <w:rPr>
                <w:color w:val="000000"/>
              </w:rPr>
              <w:t xml:space="preserve"> Federal Access</w:t>
            </w:r>
          </w:p>
        </w:tc>
        <w:tc>
          <w:tcPr>
            <w:tcW w:w="1350" w:type="dxa"/>
            <w:shd w:val="clear" w:color="auto" w:fill="auto"/>
            <w:vAlign w:val="center"/>
          </w:tcPr>
          <w:p w:rsidR="00593A2F" w:rsidRPr="00FF1F12" w:rsidP="00B4645A" w14:paraId="13446DFC" w14:textId="77777777">
            <w:pPr>
              <w:jc w:val="center"/>
              <w:rPr>
                <w:color w:val="000000"/>
              </w:rPr>
            </w:pPr>
            <w:r>
              <w:rPr>
                <w:color w:val="000000"/>
              </w:rPr>
              <w:t>0</w:t>
            </w:r>
          </w:p>
        </w:tc>
        <w:tc>
          <w:tcPr>
            <w:tcW w:w="1260" w:type="dxa"/>
            <w:shd w:val="clear" w:color="auto" w:fill="auto"/>
            <w:vAlign w:val="center"/>
          </w:tcPr>
          <w:p w:rsidR="00593A2F" w:rsidRPr="002C0B15" w:rsidP="00B4645A" w14:paraId="433C2467" w14:textId="77777777">
            <w:pPr>
              <w:jc w:val="center"/>
              <w:rPr>
                <w:color w:val="000000"/>
              </w:rPr>
            </w:pPr>
            <w:r>
              <w:rPr>
                <w:color w:val="000000"/>
              </w:rPr>
              <w:t>0</w:t>
            </w:r>
          </w:p>
        </w:tc>
        <w:tc>
          <w:tcPr>
            <w:tcW w:w="1170" w:type="dxa"/>
            <w:vAlign w:val="center"/>
          </w:tcPr>
          <w:p w:rsidR="00593A2F" w:rsidP="00B4645A" w14:paraId="754D64AC" w14:textId="77777777">
            <w:pPr>
              <w:jc w:val="center"/>
              <w:rPr>
                <w:color w:val="000000"/>
              </w:rPr>
            </w:pPr>
            <w:r>
              <w:rPr>
                <w:color w:val="000000"/>
              </w:rPr>
              <w:t>0</w:t>
            </w:r>
          </w:p>
        </w:tc>
        <w:tc>
          <w:tcPr>
            <w:tcW w:w="1440" w:type="dxa"/>
            <w:shd w:val="clear" w:color="auto" w:fill="auto"/>
            <w:vAlign w:val="center"/>
          </w:tcPr>
          <w:p w:rsidR="00593A2F" w:rsidRPr="00327942" w:rsidP="00B4645A" w14:paraId="351C11D9" w14:textId="77777777">
            <w:pPr>
              <w:jc w:val="center"/>
              <w:rPr>
                <w:color w:val="000000"/>
              </w:rPr>
            </w:pPr>
            <w:r>
              <w:rPr>
                <w:color w:val="000000"/>
              </w:rPr>
              <w:t>0</w:t>
            </w:r>
          </w:p>
        </w:tc>
        <w:tc>
          <w:tcPr>
            <w:tcW w:w="1260" w:type="dxa"/>
            <w:shd w:val="clear" w:color="auto" w:fill="auto"/>
            <w:vAlign w:val="center"/>
          </w:tcPr>
          <w:p w:rsidR="00593A2F" w:rsidRPr="00401AC9" w:rsidP="00B4645A" w14:paraId="10E572F3" w14:textId="77777777">
            <w:pPr>
              <w:jc w:val="center"/>
              <w:rPr>
                <w:color w:val="000000"/>
              </w:rPr>
            </w:pPr>
            <w:r>
              <w:rPr>
                <w:bCs/>
              </w:rPr>
              <w:t>0</w:t>
            </w:r>
          </w:p>
        </w:tc>
        <w:tc>
          <w:tcPr>
            <w:tcW w:w="1620" w:type="dxa"/>
            <w:shd w:val="clear" w:color="auto" w:fill="auto"/>
            <w:vAlign w:val="center"/>
          </w:tcPr>
          <w:p w:rsidR="00593A2F" w:rsidRPr="00327942" w:rsidP="00B4645A" w14:paraId="4D7781D5" w14:textId="77777777">
            <w:pPr>
              <w:jc w:val="center"/>
              <w:rPr>
                <w:color w:val="000000"/>
              </w:rPr>
            </w:pPr>
            <w:r>
              <w:rPr>
                <w:color w:val="000000"/>
              </w:rPr>
              <w:t>0</w:t>
            </w:r>
          </w:p>
        </w:tc>
        <w:tc>
          <w:tcPr>
            <w:tcW w:w="1350" w:type="dxa"/>
            <w:vAlign w:val="center"/>
          </w:tcPr>
          <w:p w:rsidR="00593A2F" w:rsidP="00B4645A" w14:paraId="7CBCB300" w14:textId="77777777">
            <w:pPr>
              <w:jc w:val="center"/>
              <w:rPr>
                <w:color w:val="000000"/>
              </w:rPr>
            </w:pPr>
            <w:r>
              <w:rPr>
                <w:color w:val="000000"/>
              </w:rPr>
              <w:t>0</w:t>
            </w:r>
          </w:p>
        </w:tc>
        <w:tc>
          <w:tcPr>
            <w:tcW w:w="1602" w:type="dxa"/>
            <w:vAlign w:val="center"/>
          </w:tcPr>
          <w:p w:rsidR="00593A2F" w:rsidP="00B4645A" w14:paraId="6E2BF30B" w14:textId="77777777">
            <w:pPr>
              <w:jc w:val="center"/>
              <w:rPr>
                <w:color w:val="000000"/>
              </w:rPr>
            </w:pPr>
            <w:r>
              <w:rPr>
                <w:color w:val="000000"/>
              </w:rPr>
              <w:t>0</w:t>
            </w:r>
          </w:p>
        </w:tc>
      </w:tr>
      <w:tr w14:paraId="5867BAB9" w14:textId="77777777" w:rsidTr="00781E36">
        <w:tblPrEx>
          <w:tblW w:w="13685" w:type="dxa"/>
          <w:jc w:val="center"/>
          <w:tblLayout w:type="fixed"/>
          <w:tblLook w:val="01E0"/>
        </w:tblPrEx>
        <w:trPr>
          <w:trHeight w:val="341"/>
          <w:jc w:val="center"/>
        </w:trPr>
        <w:tc>
          <w:tcPr>
            <w:tcW w:w="13685" w:type="dxa"/>
            <w:gridSpan w:val="9"/>
            <w:shd w:val="clear" w:color="auto" w:fill="EDEDED"/>
            <w:vAlign w:val="center"/>
          </w:tcPr>
          <w:p w:rsidR="00536380" w:rsidRPr="00A74BDF" w:rsidP="00781E36" w14:paraId="1E2A50BA" w14:textId="3F894874">
            <w:pPr>
              <w:rPr>
                <w:color w:val="000000"/>
              </w:rPr>
            </w:pPr>
            <w:r>
              <w:rPr>
                <w:color w:val="000000"/>
              </w:rPr>
              <w:t>15. Reclassification</w:t>
            </w:r>
          </w:p>
        </w:tc>
      </w:tr>
      <w:tr w14:paraId="456B6CB3" w14:textId="77777777" w:rsidTr="00B4645A">
        <w:tblPrEx>
          <w:tblW w:w="13685" w:type="dxa"/>
          <w:jc w:val="center"/>
          <w:tblLayout w:type="fixed"/>
          <w:tblLook w:val="01E0"/>
        </w:tblPrEx>
        <w:trPr>
          <w:jc w:val="center"/>
        </w:trPr>
        <w:tc>
          <w:tcPr>
            <w:tcW w:w="2633" w:type="dxa"/>
            <w:shd w:val="clear" w:color="auto" w:fill="FFFFFF"/>
            <w:vAlign w:val="bottom"/>
          </w:tcPr>
          <w:p w:rsidR="004B2BCE" w:rsidP="004B2BCE" w14:paraId="1E732C2B" w14:textId="77777777">
            <w:pPr>
              <w:rPr>
                <w:color w:val="000000"/>
              </w:rPr>
            </w:pPr>
            <w:r w:rsidRPr="00AB0B90">
              <w:rPr>
                <w:color w:val="000000"/>
                <w:kern w:val="0"/>
              </w:rPr>
              <w:t>1-19</w:t>
            </w:r>
            <w:r>
              <w:rPr>
                <w:color w:val="000000"/>
                <w:kern w:val="0"/>
              </w:rPr>
              <w:t xml:space="preserve"> Employees</w:t>
            </w:r>
          </w:p>
        </w:tc>
        <w:tc>
          <w:tcPr>
            <w:tcW w:w="1350" w:type="dxa"/>
            <w:shd w:val="clear" w:color="auto" w:fill="FFFFFF"/>
            <w:vAlign w:val="center"/>
          </w:tcPr>
          <w:p w:rsidR="004B2BCE" w:rsidRPr="00FF1F12" w:rsidP="00B4645A" w14:paraId="437222BF" w14:textId="10AD6DE0">
            <w:pPr>
              <w:jc w:val="center"/>
              <w:rPr>
                <w:color w:val="000000"/>
              </w:rPr>
            </w:pPr>
            <w:r>
              <w:t>8,022</w:t>
            </w:r>
          </w:p>
        </w:tc>
        <w:tc>
          <w:tcPr>
            <w:tcW w:w="1260" w:type="dxa"/>
            <w:shd w:val="clear" w:color="auto" w:fill="FFFFFF"/>
            <w:vAlign w:val="center"/>
          </w:tcPr>
          <w:p w:rsidR="004B2BCE" w:rsidRPr="002C0B15" w:rsidP="00B4645A" w14:paraId="0CABCAEA" w14:textId="77777777">
            <w:pPr>
              <w:jc w:val="center"/>
              <w:rPr>
                <w:color w:val="000000"/>
              </w:rPr>
            </w:pPr>
            <w:r w:rsidRPr="004C5F94">
              <w:rPr>
                <w:rFonts w:ascii="Calibri" w:hAnsi="Calibri" w:cs="Calibri"/>
                <w:color w:val="000000"/>
                <w:kern w:val="0"/>
              </w:rPr>
              <w:t>100%</w:t>
            </w:r>
          </w:p>
        </w:tc>
        <w:tc>
          <w:tcPr>
            <w:tcW w:w="1170" w:type="dxa"/>
            <w:shd w:val="clear" w:color="auto" w:fill="FFFFFF"/>
            <w:vAlign w:val="center"/>
          </w:tcPr>
          <w:p w:rsidR="004B2BCE" w:rsidP="00B4645A" w14:paraId="35941819" w14:textId="77777777">
            <w:pPr>
              <w:jc w:val="center"/>
              <w:rPr>
                <w:color w:val="000000"/>
              </w:rPr>
            </w:pPr>
            <w:r>
              <w:rPr>
                <w:color w:val="000000"/>
              </w:rPr>
              <w:t>1</w:t>
            </w:r>
          </w:p>
        </w:tc>
        <w:tc>
          <w:tcPr>
            <w:tcW w:w="1440" w:type="dxa"/>
            <w:shd w:val="clear" w:color="auto" w:fill="FFFFFF"/>
            <w:vAlign w:val="center"/>
          </w:tcPr>
          <w:p w:rsidR="004B2BCE" w:rsidRPr="00A74BDF" w:rsidP="00B4645A" w14:paraId="0D6D4D8D" w14:textId="685CD4C8">
            <w:pPr>
              <w:jc w:val="center"/>
              <w:rPr>
                <w:color w:val="000000"/>
              </w:rPr>
            </w:pPr>
            <w:r>
              <w:t>8,022</w:t>
            </w:r>
          </w:p>
        </w:tc>
        <w:tc>
          <w:tcPr>
            <w:tcW w:w="1260" w:type="dxa"/>
            <w:shd w:val="clear" w:color="auto" w:fill="FFFFFF"/>
            <w:vAlign w:val="center"/>
          </w:tcPr>
          <w:p w:rsidR="004B2BCE" w:rsidRPr="00A74BDF" w:rsidP="00B4645A" w14:paraId="3544E53A" w14:textId="4C5BF584">
            <w:pPr>
              <w:jc w:val="center"/>
              <w:rPr>
                <w:color w:val="000000"/>
              </w:rPr>
            </w:pPr>
            <w:r w:rsidRPr="009D3C6D">
              <w:t>2.10</w:t>
            </w:r>
            <w:r>
              <w:t xml:space="preserve"> hours</w:t>
            </w:r>
          </w:p>
        </w:tc>
        <w:tc>
          <w:tcPr>
            <w:tcW w:w="1620" w:type="dxa"/>
            <w:shd w:val="clear" w:color="auto" w:fill="FFFFFF"/>
            <w:vAlign w:val="center"/>
          </w:tcPr>
          <w:p w:rsidR="004B2BCE" w:rsidRPr="00A74BDF" w:rsidP="00B4645A" w14:paraId="2F1AB518" w14:textId="70EBF852">
            <w:pPr>
              <w:jc w:val="center"/>
              <w:rPr>
                <w:color w:val="000000"/>
              </w:rPr>
            </w:pPr>
            <w:r>
              <w:rPr>
                <w:color w:val="000000"/>
                <w:kern w:val="0"/>
              </w:rPr>
              <w:t>16,846</w:t>
            </w:r>
          </w:p>
        </w:tc>
        <w:tc>
          <w:tcPr>
            <w:tcW w:w="1350" w:type="dxa"/>
            <w:shd w:val="clear" w:color="auto" w:fill="FFFFFF"/>
            <w:vAlign w:val="center"/>
          </w:tcPr>
          <w:p w:rsidR="004B2BCE" w:rsidRPr="00A74BDF" w:rsidP="00B4645A" w14:paraId="2EA21716" w14:textId="1A1AB018">
            <w:pPr>
              <w:jc w:val="center"/>
              <w:rPr>
                <w:color w:val="000000"/>
              </w:rPr>
            </w:pPr>
            <w:r w:rsidRPr="00A74BDF">
              <w:rPr>
                <w:color w:val="000000"/>
                <w:kern w:val="0"/>
              </w:rPr>
              <w:t>$</w:t>
            </w:r>
            <w:r>
              <w:rPr>
                <w:color w:val="000000"/>
                <w:kern w:val="0"/>
              </w:rPr>
              <w:t>61.18</w:t>
            </w:r>
          </w:p>
        </w:tc>
        <w:tc>
          <w:tcPr>
            <w:tcW w:w="1602" w:type="dxa"/>
            <w:shd w:val="clear" w:color="auto" w:fill="FFFFFF"/>
            <w:vAlign w:val="center"/>
          </w:tcPr>
          <w:p w:rsidR="004B2BCE" w:rsidRPr="00A74BDF" w:rsidP="00B4645A" w14:paraId="1B5C77C4" w14:textId="7870C48F">
            <w:pPr>
              <w:jc w:val="center"/>
              <w:rPr>
                <w:color w:val="000000"/>
              </w:rPr>
            </w:pPr>
            <w:r w:rsidRPr="00A74BDF">
              <w:rPr>
                <w:color w:val="000000"/>
                <w:kern w:val="0"/>
              </w:rPr>
              <w:t>$</w:t>
            </w:r>
            <w:r>
              <w:rPr>
                <w:color w:val="000000"/>
                <w:kern w:val="0"/>
              </w:rPr>
              <w:t>1,</w:t>
            </w:r>
            <w:r w:rsidR="00402543">
              <w:rPr>
                <w:color w:val="000000"/>
                <w:kern w:val="0"/>
              </w:rPr>
              <w:t>0</w:t>
            </w:r>
            <w:r w:rsidR="00E30104">
              <w:rPr>
                <w:color w:val="000000"/>
                <w:kern w:val="0"/>
              </w:rPr>
              <w:t>30,6</w:t>
            </w:r>
            <w:r w:rsidR="009C0BC4">
              <w:rPr>
                <w:color w:val="000000"/>
                <w:kern w:val="0"/>
              </w:rPr>
              <w:t>5</w:t>
            </w:r>
            <w:r w:rsidR="00E30104">
              <w:rPr>
                <w:color w:val="000000"/>
                <w:kern w:val="0"/>
              </w:rPr>
              <w:t>1</w:t>
            </w:r>
          </w:p>
        </w:tc>
      </w:tr>
      <w:tr w14:paraId="1A0891F4" w14:textId="77777777" w:rsidTr="00B4645A">
        <w:tblPrEx>
          <w:tblW w:w="13685" w:type="dxa"/>
          <w:jc w:val="center"/>
          <w:tblLayout w:type="fixed"/>
          <w:tblLook w:val="01E0"/>
        </w:tblPrEx>
        <w:trPr>
          <w:jc w:val="center"/>
        </w:trPr>
        <w:tc>
          <w:tcPr>
            <w:tcW w:w="2633" w:type="dxa"/>
            <w:shd w:val="clear" w:color="auto" w:fill="FFFFFF"/>
            <w:vAlign w:val="bottom"/>
          </w:tcPr>
          <w:p w:rsidR="004B2BCE" w:rsidP="004B2BCE" w14:paraId="4535E858" w14:textId="77777777">
            <w:pPr>
              <w:rPr>
                <w:color w:val="000000"/>
              </w:rPr>
            </w:pPr>
            <w:r w:rsidRPr="00AB0B90">
              <w:rPr>
                <w:color w:val="000000"/>
                <w:kern w:val="0"/>
              </w:rPr>
              <w:t>20-99</w:t>
            </w:r>
            <w:r>
              <w:rPr>
                <w:color w:val="000000"/>
                <w:kern w:val="0"/>
              </w:rPr>
              <w:t xml:space="preserve"> Employees</w:t>
            </w:r>
          </w:p>
        </w:tc>
        <w:tc>
          <w:tcPr>
            <w:tcW w:w="1350" w:type="dxa"/>
            <w:shd w:val="clear" w:color="auto" w:fill="FFFFFF"/>
            <w:vAlign w:val="center"/>
          </w:tcPr>
          <w:p w:rsidR="004B2BCE" w:rsidRPr="00FF1F12" w:rsidP="00B4645A" w14:paraId="401F3F3A" w14:textId="1CF628A5">
            <w:pPr>
              <w:jc w:val="center"/>
              <w:rPr>
                <w:color w:val="000000"/>
              </w:rPr>
            </w:pPr>
            <w:r>
              <w:t>9,213</w:t>
            </w:r>
          </w:p>
        </w:tc>
        <w:tc>
          <w:tcPr>
            <w:tcW w:w="1260" w:type="dxa"/>
            <w:shd w:val="clear" w:color="auto" w:fill="FFFFFF"/>
            <w:vAlign w:val="center"/>
          </w:tcPr>
          <w:p w:rsidR="004B2BCE" w:rsidRPr="002C0B15" w:rsidP="00B4645A" w14:paraId="09C963F3" w14:textId="77777777">
            <w:pPr>
              <w:jc w:val="center"/>
              <w:rPr>
                <w:color w:val="000000"/>
              </w:rPr>
            </w:pPr>
            <w:r w:rsidRPr="004C5F94">
              <w:rPr>
                <w:rFonts w:ascii="Calibri" w:hAnsi="Calibri" w:cs="Calibri"/>
                <w:color w:val="000000"/>
                <w:kern w:val="0"/>
              </w:rPr>
              <w:t>100%</w:t>
            </w:r>
          </w:p>
        </w:tc>
        <w:tc>
          <w:tcPr>
            <w:tcW w:w="1170" w:type="dxa"/>
            <w:shd w:val="clear" w:color="auto" w:fill="FFFFFF"/>
            <w:vAlign w:val="center"/>
          </w:tcPr>
          <w:p w:rsidR="004B2BCE" w:rsidP="00B4645A" w14:paraId="0E0C0685" w14:textId="77777777">
            <w:pPr>
              <w:jc w:val="center"/>
              <w:rPr>
                <w:color w:val="000000"/>
              </w:rPr>
            </w:pPr>
            <w:r>
              <w:rPr>
                <w:color w:val="000000"/>
              </w:rPr>
              <w:t>1</w:t>
            </w:r>
          </w:p>
        </w:tc>
        <w:tc>
          <w:tcPr>
            <w:tcW w:w="1440" w:type="dxa"/>
            <w:shd w:val="clear" w:color="auto" w:fill="FFFFFF"/>
            <w:vAlign w:val="center"/>
          </w:tcPr>
          <w:p w:rsidR="004B2BCE" w:rsidRPr="00A74BDF" w:rsidP="00B4645A" w14:paraId="7E62DA5B" w14:textId="5A964EAA">
            <w:pPr>
              <w:jc w:val="center"/>
              <w:rPr>
                <w:color w:val="000000"/>
              </w:rPr>
            </w:pPr>
            <w:r>
              <w:t>9,213</w:t>
            </w:r>
          </w:p>
        </w:tc>
        <w:tc>
          <w:tcPr>
            <w:tcW w:w="1260" w:type="dxa"/>
            <w:shd w:val="clear" w:color="auto" w:fill="FFFFFF"/>
            <w:vAlign w:val="center"/>
          </w:tcPr>
          <w:p w:rsidR="004B2BCE" w:rsidRPr="00A74BDF" w:rsidP="00B4645A" w14:paraId="315FBE2F" w14:textId="5354C4F2">
            <w:pPr>
              <w:jc w:val="center"/>
              <w:rPr>
                <w:color w:val="000000"/>
              </w:rPr>
            </w:pPr>
            <w:r w:rsidRPr="009D3C6D">
              <w:t>2.10</w:t>
            </w:r>
            <w:r>
              <w:t xml:space="preserve"> hours</w:t>
            </w:r>
          </w:p>
        </w:tc>
        <w:tc>
          <w:tcPr>
            <w:tcW w:w="1620" w:type="dxa"/>
            <w:shd w:val="clear" w:color="auto" w:fill="FFFFFF"/>
            <w:vAlign w:val="center"/>
          </w:tcPr>
          <w:p w:rsidR="004B2BCE" w:rsidRPr="00A74BDF" w:rsidP="00B4645A" w14:paraId="410FE4EB" w14:textId="443D6DC0">
            <w:pPr>
              <w:jc w:val="center"/>
              <w:rPr>
                <w:color w:val="000000"/>
              </w:rPr>
            </w:pPr>
            <w:r>
              <w:rPr>
                <w:color w:val="000000"/>
                <w:kern w:val="0"/>
              </w:rPr>
              <w:t>19,347</w:t>
            </w:r>
          </w:p>
        </w:tc>
        <w:tc>
          <w:tcPr>
            <w:tcW w:w="1350" w:type="dxa"/>
            <w:shd w:val="clear" w:color="auto" w:fill="FFFFFF"/>
            <w:vAlign w:val="center"/>
          </w:tcPr>
          <w:p w:rsidR="004B2BCE" w:rsidRPr="00A74BDF" w:rsidP="00B4645A" w14:paraId="19CDEF07" w14:textId="64A18C48">
            <w:pPr>
              <w:jc w:val="center"/>
              <w:rPr>
                <w:color w:val="000000"/>
              </w:rPr>
            </w:pPr>
            <w:r w:rsidRPr="00A74BDF">
              <w:rPr>
                <w:color w:val="000000"/>
                <w:kern w:val="0"/>
              </w:rPr>
              <w:t>$</w:t>
            </w:r>
            <w:r>
              <w:rPr>
                <w:color w:val="000000"/>
                <w:kern w:val="0"/>
              </w:rPr>
              <w:t>61.18</w:t>
            </w:r>
          </w:p>
        </w:tc>
        <w:tc>
          <w:tcPr>
            <w:tcW w:w="1602" w:type="dxa"/>
            <w:shd w:val="clear" w:color="auto" w:fill="FFFFFF"/>
            <w:vAlign w:val="center"/>
          </w:tcPr>
          <w:p w:rsidR="004B2BCE" w:rsidRPr="00A74BDF" w:rsidP="00B4645A" w14:paraId="0C57A95A" w14:textId="0FD3AFAC">
            <w:pPr>
              <w:jc w:val="center"/>
              <w:rPr>
                <w:color w:val="000000"/>
              </w:rPr>
            </w:pPr>
            <w:r w:rsidRPr="00A74BDF">
              <w:rPr>
                <w:color w:val="000000"/>
                <w:kern w:val="0"/>
              </w:rPr>
              <w:t>$</w:t>
            </w:r>
            <w:r>
              <w:rPr>
                <w:color w:val="000000"/>
                <w:kern w:val="0"/>
              </w:rPr>
              <w:t>1,</w:t>
            </w:r>
            <w:r w:rsidR="007A76DD">
              <w:rPr>
                <w:color w:val="000000"/>
                <w:kern w:val="0"/>
              </w:rPr>
              <w:t>183</w:t>
            </w:r>
            <w:r w:rsidR="004E71A7">
              <w:rPr>
                <w:color w:val="000000"/>
                <w:kern w:val="0"/>
              </w:rPr>
              <w:t>,</w:t>
            </w:r>
            <w:r w:rsidR="00950696">
              <w:rPr>
                <w:color w:val="000000"/>
                <w:kern w:val="0"/>
              </w:rPr>
              <w:t>668</w:t>
            </w:r>
          </w:p>
        </w:tc>
      </w:tr>
      <w:tr w14:paraId="132390E7" w14:textId="77777777" w:rsidTr="00B4645A">
        <w:tblPrEx>
          <w:tblW w:w="13685" w:type="dxa"/>
          <w:jc w:val="center"/>
          <w:tblLayout w:type="fixed"/>
          <w:tblLook w:val="01E0"/>
        </w:tblPrEx>
        <w:trPr>
          <w:jc w:val="center"/>
        </w:trPr>
        <w:tc>
          <w:tcPr>
            <w:tcW w:w="2633" w:type="dxa"/>
            <w:shd w:val="clear" w:color="auto" w:fill="FFFFFF"/>
            <w:vAlign w:val="bottom"/>
          </w:tcPr>
          <w:p w:rsidR="004B2BCE" w:rsidP="004B2BCE" w14:paraId="55D3F037" w14:textId="77777777">
            <w:pPr>
              <w:rPr>
                <w:color w:val="000000"/>
              </w:rPr>
            </w:pPr>
            <w:r w:rsidRPr="00AB0B90">
              <w:rPr>
                <w:color w:val="000000"/>
                <w:kern w:val="0"/>
              </w:rPr>
              <w:t>100-499</w:t>
            </w:r>
            <w:r>
              <w:rPr>
                <w:color w:val="000000"/>
                <w:kern w:val="0"/>
              </w:rPr>
              <w:t xml:space="preserve"> Employees</w:t>
            </w:r>
          </w:p>
        </w:tc>
        <w:tc>
          <w:tcPr>
            <w:tcW w:w="1350" w:type="dxa"/>
            <w:shd w:val="clear" w:color="auto" w:fill="FFFFFF"/>
            <w:vAlign w:val="center"/>
          </w:tcPr>
          <w:p w:rsidR="004B2BCE" w:rsidRPr="00FF1F12" w:rsidP="00B4645A" w14:paraId="3EB35F1F" w14:textId="738656AD">
            <w:pPr>
              <w:jc w:val="center"/>
              <w:rPr>
                <w:color w:val="000000"/>
              </w:rPr>
            </w:pPr>
            <w:r>
              <w:t>19,500</w:t>
            </w:r>
          </w:p>
        </w:tc>
        <w:tc>
          <w:tcPr>
            <w:tcW w:w="1260" w:type="dxa"/>
            <w:shd w:val="clear" w:color="auto" w:fill="FFFFFF"/>
            <w:vAlign w:val="center"/>
          </w:tcPr>
          <w:p w:rsidR="004B2BCE" w:rsidRPr="002C0B15" w:rsidP="00B4645A" w14:paraId="02550CBF" w14:textId="77777777">
            <w:pPr>
              <w:jc w:val="center"/>
              <w:rPr>
                <w:color w:val="000000"/>
              </w:rPr>
            </w:pPr>
            <w:r w:rsidRPr="004C5F94">
              <w:rPr>
                <w:rFonts w:ascii="Calibri" w:hAnsi="Calibri" w:cs="Calibri"/>
                <w:color w:val="000000"/>
                <w:kern w:val="0"/>
              </w:rPr>
              <w:t>100%</w:t>
            </w:r>
          </w:p>
        </w:tc>
        <w:tc>
          <w:tcPr>
            <w:tcW w:w="1170" w:type="dxa"/>
            <w:shd w:val="clear" w:color="auto" w:fill="FFFFFF"/>
            <w:vAlign w:val="center"/>
          </w:tcPr>
          <w:p w:rsidR="004B2BCE" w:rsidP="00B4645A" w14:paraId="13D69EC2" w14:textId="77777777">
            <w:pPr>
              <w:jc w:val="center"/>
              <w:rPr>
                <w:color w:val="000000"/>
              </w:rPr>
            </w:pPr>
            <w:r>
              <w:rPr>
                <w:color w:val="000000"/>
              </w:rPr>
              <w:t>1</w:t>
            </w:r>
          </w:p>
        </w:tc>
        <w:tc>
          <w:tcPr>
            <w:tcW w:w="1440" w:type="dxa"/>
            <w:shd w:val="clear" w:color="auto" w:fill="FFFFFF"/>
            <w:vAlign w:val="center"/>
          </w:tcPr>
          <w:p w:rsidR="004B2BCE" w:rsidRPr="00A74BDF" w:rsidP="00B4645A" w14:paraId="2B9521C4" w14:textId="495E7A3B">
            <w:pPr>
              <w:jc w:val="center"/>
              <w:rPr>
                <w:color w:val="000000"/>
              </w:rPr>
            </w:pPr>
            <w:r>
              <w:t>19,500</w:t>
            </w:r>
          </w:p>
        </w:tc>
        <w:tc>
          <w:tcPr>
            <w:tcW w:w="1260" w:type="dxa"/>
            <w:shd w:val="clear" w:color="auto" w:fill="FFFFFF"/>
            <w:vAlign w:val="center"/>
          </w:tcPr>
          <w:p w:rsidR="004B2BCE" w:rsidRPr="00A74BDF" w:rsidP="00B4645A" w14:paraId="133D29E8" w14:textId="48840632">
            <w:pPr>
              <w:jc w:val="center"/>
              <w:rPr>
                <w:color w:val="000000"/>
              </w:rPr>
            </w:pPr>
            <w:r w:rsidRPr="009D3C6D">
              <w:t>1.50</w:t>
            </w:r>
            <w:r>
              <w:t xml:space="preserve"> hours</w:t>
            </w:r>
          </w:p>
        </w:tc>
        <w:tc>
          <w:tcPr>
            <w:tcW w:w="1620" w:type="dxa"/>
            <w:shd w:val="clear" w:color="auto" w:fill="FFFFFF"/>
            <w:vAlign w:val="center"/>
          </w:tcPr>
          <w:p w:rsidR="004B2BCE" w:rsidRPr="00A74BDF" w:rsidP="00B4645A" w14:paraId="2C7D6A9F" w14:textId="5EA233E0">
            <w:pPr>
              <w:jc w:val="center"/>
              <w:rPr>
                <w:color w:val="000000"/>
              </w:rPr>
            </w:pPr>
            <w:r>
              <w:rPr>
                <w:color w:val="000000"/>
                <w:kern w:val="0"/>
              </w:rPr>
              <w:t>29,250</w:t>
            </w:r>
          </w:p>
        </w:tc>
        <w:tc>
          <w:tcPr>
            <w:tcW w:w="1350" w:type="dxa"/>
            <w:shd w:val="clear" w:color="auto" w:fill="FFFFFF"/>
            <w:vAlign w:val="center"/>
          </w:tcPr>
          <w:p w:rsidR="004B2BCE" w:rsidRPr="00A74BDF" w:rsidP="00B4645A" w14:paraId="62701839" w14:textId="79229628">
            <w:pPr>
              <w:jc w:val="center"/>
              <w:rPr>
                <w:color w:val="000000"/>
              </w:rPr>
            </w:pPr>
            <w:r w:rsidRPr="00A74BDF">
              <w:rPr>
                <w:color w:val="000000"/>
                <w:kern w:val="0"/>
              </w:rPr>
              <w:t>$</w:t>
            </w:r>
            <w:r>
              <w:rPr>
                <w:color w:val="000000"/>
                <w:kern w:val="0"/>
              </w:rPr>
              <w:t>61.18</w:t>
            </w:r>
          </w:p>
        </w:tc>
        <w:tc>
          <w:tcPr>
            <w:tcW w:w="1602" w:type="dxa"/>
            <w:shd w:val="clear" w:color="auto" w:fill="FFFFFF"/>
            <w:vAlign w:val="center"/>
          </w:tcPr>
          <w:p w:rsidR="004B2BCE" w:rsidRPr="00A74BDF" w:rsidP="00B4645A" w14:paraId="015E20F9" w14:textId="1D83A466">
            <w:pPr>
              <w:jc w:val="center"/>
              <w:rPr>
                <w:color w:val="000000"/>
              </w:rPr>
            </w:pPr>
            <w:r w:rsidRPr="00FE6D92">
              <w:rPr>
                <w:color w:val="000000"/>
                <w:kern w:val="0"/>
              </w:rPr>
              <w:t>$</w:t>
            </w:r>
            <w:r>
              <w:rPr>
                <w:color w:val="000000"/>
                <w:kern w:val="0"/>
              </w:rPr>
              <w:t>2,</w:t>
            </w:r>
            <w:r w:rsidR="005A117F">
              <w:rPr>
                <w:color w:val="000000"/>
                <w:kern w:val="0"/>
              </w:rPr>
              <w:t>789</w:t>
            </w:r>
            <w:r w:rsidR="00A1068D">
              <w:rPr>
                <w:color w:val="000000"/>
                <w:kern w:val="0"/>
              </w:rPr>
              <w:t>,5</w:t>
            </w:r>
            <w:r w:rsidR="00ED08EF">
              <w:rPr>
                <w:color w:val="000000"/>
                <w:kern w:val="0"/>
              </w:rPr>
              <w:t>15</w:t>
            </w:r>
          </w:p>
        </w:tc>
      </w:tr>
      <w:tr w14:paraId="52972CDE" w14:textId="77777777" w:rsidTr="00B4645A">
        <w:tblPrEx>
          <w:tblW w:w="13685" w:type="dxa"/>
          <w:jc w:val="center"/>
          <w:tblLayout w:type="fixed"/>
          <w:tblLook w:val="01E0"/>
        </w:tblPrEx>
        <w:trPr>
          <w:jc w:val="center"/>
        </w:trPr>
        <w:tc>
          <w:tcPr>
            <w:tcW w:w="2633" w:type="dxa"/>
            <w:shd w:val="clear" w:color="auto" w:fill="FFFFFF"/>
            <w:vAlign w:val="bottom"/>
          </w:tcPr>
          <w:p w:rsidR="004B2BCE" w:rsidP="004B2BCE" w14:paraId="567ABA58" w14:textId="77777777">
            <w:pPr>
              <w:rPr>
                <w:color w:val="000000"/>
              </w:rPr>
            </w:pPr>
            <w:r w:rsidRPr="00AB0B90">
              <w:rPr>
                <w:color w:val="000000"/>
                <w:kern w:val="0"/>
              </w:rPr>
              <w:t>500+</w:t>
            </w:r>
            <w:r>
              <w:rPr>
                <w:color w:val="000000"/>
                <w:kern w:val="0"/>
              </w:rPr>
              <w:t xml:space="preserve"> Employees</w:t>
            </w:r>
          </w:p>
        </w:tc>
        <w:tc>
          <w:tcPr>
            <w:tcW w:w="1350" w:type="dxa"/>
            <w:shd w:val="clear" w:color="auto" w:fill="FFFFFF"/>
            <w:vAlign w:val="center"/>
          </w:tcPr>
          <w:p w:rsidR="004B2BCE" w:rsidRPr="00FF1F12" w:rsidP="00B4645A" w14:paraId="3D4BB1CD" w14:textId="5E46A3C9">
            <w:pPr>
              <w:jc w:val="center"/>
              <w:rPr>
                <w:color w:val="000000"/>
              </w:rPr>
            </w:pPr>
            <w:r>
              <w:t>76,386</w:t>
            </w:r>
          </w:p>
        </w:tc>
        <w:tc>
          <w:tcPr>
            <w:tcW w:w="1260" w:type="dxa"/>
            <w:shd w:val="clear" w:color="auto" w:fill="FFFFFF"/>
            <w:vAlign w:val="center"/>
          </w:tcPr>
          <w:p w:rsidR="004B2BCE" w:rsidRPr="002C0B15" w:rsidP="00B4645A" w14:paraId="1BF0CFF4" w14:textId="77777777">
            <w:pPr>
              <w:jc w:val="center"/>
              <w:rPr>
                <w:color w:val="000000"/>
              </w:rPr>
            </w:pPr>
            <w:r w:rsidRPr="004C5F94">
              <w:rPr>
                <w:rFonts w:ascii="Calibri" w:hAnsi="Calibri" w:cs="Calibri"/>
                <w:color w:val="000000"/>
                <w:kern w:val="0"/>
              </w:rPr>
              <w:t>100%</w:t>
            </w:r>
          </w:p>
        </w:tc>
        <w:tc>
          <w:tcPr>
            <w:tcW w:w="1170" w:type="dxa"/>
            <w:shd w:val="clear" w:color="auto" w:fill="FFFFFF"/>
            <w:vAlign w:val="center"/>
          </w:tcPr>
          <w:p w:rsidR="004B2BCE" w:rsidP="00B4645A" w14:paraId="00668C40" w14:textId="77777777">
            <w:pPr>
              <w:jc w:val="center"/>
              <w:rPr>
                <w:color w:val="000000"/>
              </w:rPr>
            </w:pPr>
            <w:r>
              <w:rPr>
                <w:color w:val="000000"/>
              </w:rPr>
              <w:t>1</w:t>
            </w:r>
          </w:p>
        </w:tc>
        <w:tc>
          <w:tcPr>
            <w:tcW w:w="1440" w:type="dxa"/>
            <w:shd w:val="clear" w:color="auto" w:fill="FFFFFF"/>
            <w:vAlign w:val="center"/>
          </w:tcPr>
          <w:p w:rsidR="004B2BCE" w:rsidRPr="00A74BDF" w:rsidP="00B4645A" w14:paraId="791F2719" w14:textId="570641D7">
            <w:pPr>
              <w:jc w:val="center"/>
              <w:rPr>
                <w:color w:val="000000"/>
              </w:rPr>
            </w:pPr>
            <w:r>
              <w:t>76,386</w:t>
            </w:r>
          </w:p>
        </w:tc>
        <w:tc>
          <w:tcPr>
            <w:tcW w:w="1260" w:type="dxa"/>
            <w:shd w:val="clear" w:color="auto" w:fill="FFFFFF"/>
            <w:vAlign w:val="center"/>
          </w:tcPr>
          <w:p w:rsidR="004B2BCE" w:rsidRPr="00A74BDF" w:rsidP="00B4645A" w14:paraId="3B2BDE99" w14:textId="2618BD8F">
            <w:pPr>
              <w:jc w:val="center"/>
              <w:rPr>
                <w:color w:val="000000"/>
              </w:rPr>
            </w:pPr>
            <w:r w:rsidRPr="009D3C6D">
              <w:t>0.90</w:t>
            </w:r>
            <w:r>
              <w:t xml:space="preserve"> hour</w:t>
            </w:r>
          </w:p>
        </w:tc>
        <w:tc>
          <w:tcPr>
            <w:tcW w:w="1620" w:type="dxa"/>
            <w:shd w:val="clear" w:color="auto" w:fill="FFFFFF"/>
            <w:vAlign w:val="center"/>
          </w:tcPr>
          <w:p w:rsidR="004B2BCE" w:rsidRPr="00A74BDF" w:rsidP="00B4645A" w14:paraId="1D0766D4" w14:textId="69ECCDDD">
            <w:pPr>
              <w:jc w:val="center"/>
              <w:rPr>
                <w:color w:val="000000"/>
              </w:rPr>
            </w:pPr>
            <w:r>
              <w:rPr>
                <w:color w:val="000000"/>
                <w:kern w:val="0"/>
              </w:rPr>
              <w:t>68,747</w:t>
            </w:r>
          </w:p>
        </w:tc>
        <w:tc>
          <w:tcPr>
            <w:tcW w:w="1350" w:type="dxa"/>
            <w:shd w:val="clear" w:color="auto" w:fill="FFFFFF"/>
            <w:vAlign w:val="center"/>
          </w:tcPr>
          <w:p w:rsidR="004B2BCE" w:rsidRPr="00A74BDF" w:rsidP="00B4645A" w14:paraId="4000A54A" w14:textId="431099CD">
            <w:pPr>
              <w:jc w:val="center"/>
              <w:rPr>
                <w:color w:val="000000"/>
              </w:rPr>
            </w:pPr>
            <w:r w:rsidRPr="00A74BDF">
              <w:rPr>
                <w:color w:val="000000"/>
                <w:kern w:val="0"/>
              </w:rPr>
              <w:t>$</w:t>
            </w:r>
            <w:r>
              <w:rPr>
                <w:color w:val="000000"/>
                <w:kern w:val="0"/>
              </w:rPr>
              <w:t>61.18</w:t>
            </w:r>
          </w:p>
        </w:tc>
        <w:tc>
          <w:tcPr>
            <w:tcW w:w="1602" w:type="dxa"/>
            <w:shd w:val="clear" w:color="auto" w:fill="FFFFFF"/>
            <w:vAlign w:val="center"/>
          </w:tcPr>
          <w:p w:rsidR="004B2BCE" w:rsidRPr="00A74BDF" w:rsidP="00B4645A" w14:paraId="73D1CC4A" w14:textId="7FE3ED42">
            <w:pPr>
              <w:jc w:val="center"/>
              <w:rPr>
                <w:color w:val="000000"/>
              </w:rPr>
            </w:pPr>
            <w:r w:rsidRPr="00A74BDF">
              <w:rPr>
                <w:color w:val="000000"/>
                <w:kern w:val="0"/>
              </w:rPr>
              <w:t>$</w:t>
            </w:r>
            <w:r w:rsidR="006163F4">
              <w:rPr>
                <w:color w:val="000000"/>
                <w:kern w:val="0"/>
              </w:rPr>
              <w:t>4,20</w:t>
            </w:r>
            <w:r w:rsidR="00ED08EF">
              <w:rPr>
                <w:color w:val="000000"/>
                <w:kern w:val="0"/>
              </w:rPr>
              <w:t>5,</w:t>
            </w:r>
            <w:r w:rsidR="00696809">
              <w:rPr>
                <w:color w:val="000000"/>
                <w:kern w:val="0"/>
              </w:rPr>
              <w:t>966</w:t>
            </w:r>
          </w:p>
        </w:tc>
      </w:tr>
      <w:tr w14:paraId="1B8F456D" w14:textId="77777777" w:rsidTr="00B4645A">
        <w:tblPrEx>
          <w:tblW w:w="13685" w:type="dxa"/>
          <w:jc w:val="center"/>
          <w:tblLayout w:type="fixed"/>
          <w:tblLook w:val="01E0"/>
        </w:tblPrEx>
        <w:trPr>
          <w:jc w:val="center"/>
        </w:trPr>
        <w:tc>
          <w:tcPr>
            <w:tcW w:w="2633" w:type="dxa"/>
            <w:shd w:val="clear" w:color="auto" w:fill="DEEBF6" w:themeFill="accent1" w:themeFillTint="33"/>
            <w:vAlign w:val="bottom"/>
          </w:tcPr>
          <w:p w:rsidR="00E33C05" w:rsidP="001F320C" w14:paraId="0CA10F67" w14:textId="77777777">
            <w:pPr>
              <w:rPr>
                <w:color w:val="000000"/>
              </w:rPr>
            </w:pPr>
            <w:r>
              <w:rPr>
                <w:b/>
                <w:color w:val="000000"/>
                <w:kern w:val="0"/>
              </w:rPr>
              <w:t>Subt</w:t>
            </w:r>
            <w:r w:rsidRPr="00AB0B90">
              <w:rPr>
                <w:b/>
                <w:color w:val="000000"/>
                <w:kern w:val="0"/>
              </w:rPr>
              <w:t>otal</w:t>
            </w:r>
          </w:p>
        </w:tc>
        <w:tc>
          <w:tcPr>
            <w:tcW w:w="1350" w:type="dxa"/>
            <w:shd w:val="clear" w:color="auto" w:fill="DEEBF6" w:themeFill="accent1" w:themeFillTint="33"/>
            <w:vAlign w:val="center"/>
          </w:tcPr>
          <w:p w:rsidR="00E33C05" w:rsidRPr="00FF1F12" w:rsidP="00B4645A" w14:paraId="19D8923A" w14:textId="77777777">
            <w:pPr>
              <w:jc w:val="center"/>
              <w:rPr>
                <w:color w:val="000000"/>
              </w:rPr>
            </w:pPr>
          </w:p>
        </w:tc>
        <w:tc>
          <w:tcPr>
            <w:tcW w:w="1260" w:type="dxa"/>
            <w:shd w:val="clear" w:color="auto" w:fill="DEEBF6" w:themeFill="accent1" w:themeFillTint="33"/>
            <w:vAlign w:val="center"/>
          </w:tcPr>
          <w:p w:rsidR="00E33C05" w:rsidRPr="002C0B15" w:rsidP="00B4645A" w14:paraId="246E6A34" w14:textId="77777777">
            <w:pPr>
              <w:jc w:val="center"/>
              <w:rPr>
                <w:color w:val="000000"/>
              </w:rPr>
            </w:pPr>
          </w:p>
        </w:tc>
        <w:tc>
          <w:tcPr>
            <w:tcW w:w="1170" w:type="dxa"/>
            <w:shd w:val="clear" w:color="auto" w:fill="DEEBF6" w:themeFill="accent1" w:themeFillTint="33"/>
            <w:vAlign w:val="center"/>
          </w:tcPr>
          <w:p w:rsidR="00E33C05" w:rsidP="00B4645A" w14:paraId="3AED0A08" w14:textId="77777777">
            <w:pPr>
              <w:jc w:val="center"/>
              <w:rPr>
                <w:color w:val="000000"/>
              </w:rPr>
            </w:pPr>
          </w:p>
        </w:tc>
        <w:tc>
          <w:tcPr>
            <w:tcW w:w="1440" w:type="dxa"/>
            <w:shd w:val="clear" w:color="auto" w:fill="DEEBF6" w:themeFill="accent1" w:themeFillTint="33"/>
            <w:vAlign w:val="center"/>
          </w:tcPr>
          <w:p w:rsidR="00E33C05" w:rsidRPr="00A74BDF" w:rsidP="00B4645A" w14:paraId="32A6B723" w14:textId="5C61117D">
            <w:pPr>
              <w:jc w:val="center"/>
              <w:rPr>
                <w:color w:val="000000"/>
              </w:rPr>
            </w:pPr>
            <w:r>
              <w:rPr>
                <w:b/>
                <w:bCs/>
                <w:color w:val="000000"/>
                <w:kern w:val="0"/>
              </w:rPr>
              <w:t>1</w:t>
            </w:r>
            <w:r w:rsidR="00EE7BDE">
              <w:rPr>
                <w:b/>
                <w:bCs/>
                <w:color w:val="000000"/>
                <w:kern w:val="0"/>
              </w:rPr>
              <w:t>1</w:t>
            </w:r>
            <w:r>
              <w:rPr>
                <w:b/>
                <w:bCs/>
                <w:color w:val="000000"/>
                <w:kern w:val="0"/>
              </w:rPr>
              <w:t>3,</w:t>
            </w:r>
            <w:r w:rsidR="00964139">
              <w:rPr>
                <w:b/>
                <w:bCs/>
                <w:color w:val="000000"/>
                <w:kern w:val="0"/>
              </w:rPr>
              <w:t>121</w:t>
            </w:r>
          </w:p>
        </w:tc>
        <w:tc>
          <w:tcPr>
            <w:tcW w:w="1260" w:type="dxa"/>
            <w:shd w:val="clear" w:color="auto" w:fill="DEEBF6" w:themeFill="accent1" w:themeFillTint="33"/>
            <w:vAlign w:val="center"/>
          </w:tcPr>
          <w:p w:rsidR="00E33C05" w:rsidRPr="00A74BDF" w:rsidP="00B4645A" w14:paraId="40CC9893" w14:textId="77777777">
            <w:pPr>
              <w:jc w:val="center"/>
              <w:rPr>
                <w:color w:val="000000"/>
              </w:rPr>
            </w:pPr>
          </w:p>
        </w:tc>
        <w:tc>
          <w:tcPr>
            <w:tcW w:w="1620" w:type="dxa"/>
            <w:shd w:val="clear" w:color="auto" w:fill="DEEBF6" w:themeFill="accent1" w:themeFillTint="33"/>
            <w:vAlign w:val="center"/>
          </w:tcPr>
          <w:p w:rsidR="00E33C05" w:rsidRPr="00A74BDF" w:rsidP="00B4645A" w14:paraId="04061799" w14:textId="19C24DDC">
            <w:pPr>
              <w:jc w:val="center"/>
              <w:rPr>
                <w:color w:val="000000"/>
              </w:rPr>
            </w:pPr>
            <w:r>
              <w:rPr>
                <w:b/>
                <w:bCs/>
                <w:color w:val="000000"/>
                <w:kern w:val="0"/>
              </w:rPr>
              <w:t>1</w:t>
            </w:r>
            <w:r w:rsidR="00C53AA3">
              <w:rPr>
                <w:b/>
                <w:bCs/>
                <w:color w:val="000000"/>
                <w:kern w:val="0"/>
              </w:rPr>
              <w:t>34,</w:t>
            </w:r>
            <w:r w:rsidR="00A60373">
              <w:rPr>
                <w:b/>
                <w:bCs/>
                <w:color w:val="000000"/>
                <w:kern w:val="0"/>
              </w:rPr>
              <w:t>191</w:t>
            </w:r>
          </w:p>
        </w:tc>
        <w:tc>
          <w:tcPr>
            <w:tcW w:w="1350" w:type="dxa"/>
            <w:shd w:val="clear" w:color="auto" w:fill="DEEBF6" w:themeFill="accent1" w:themeFillTint="33"/>
            <w:vAlign w:val="center"/>
          </w:tcPr>
          <w:p w:rsidR="00E33C05" w:rsidRPr="00A74BDF" w:rsidP="00B4645A" w14:paraId="78C3F40A" w14:textId="77777777">
            <w:pPr>
              <w:jc w:val="center"/>
              <w:rPr>
                <w:color w:val="000000"/>
              </w:rPr>
            </w:pPr>
          </w:p>
        </w:tc>
        <w:tc>
          <w:tcPr>
            <w:tcW w:w="1602" w:type="dxa"/>
            <w:shd w:val="clear" w:color="auto" w:fill="DEEBF6" w:themeFill="accent1" w:themeFillTint="33"/>
            <w:vAlign w:val="center"/>
          </w:tcPr>
          <w:p w:rsidR="00E33C05" w:rsidRPr="00A74BDF" w:rsidP="00B4645A" w14:paraId="10760AF6" w14:textId="27577554">
            <w:pPr>
              <w:jc w:val="center"/>
              <w:rPr>
                <w:color w:val="000000"/>
              </w:rPr>
            </w:pPr>
            <w:r w:rsidRPr="00A74BDF">
              <w:rPr>
                <w:b/>
                <w:bCs/>
                <w:color w:val="000000"/>
                <w:kern w:val="0"/>
              </w:rPr>
              <w:t>$</w:t>
            </w:r>
            <w:r w:rsidR="00F85C5C">
              <w:rPr>
                <w:b/>
                <w:bCs/>
                <w:color w:val="000000"/>
                <w:kern w:val="0"/>
              </w:rPr>
              <w:t>8,2</w:t>
            </w:r>
            <w:r w:rsidR="00696809">
              <w:rPr>
                <w:b/>
                <w:bCs/>
                <w:color w:val="000000"/>
                <w:kern w:val="0"/>
              </w:rPr>
              <w:t>09</w:t>
            </w:r>
            <w:r w:rsidR="00F814DD">
              <w:rPr>
                <w:b/>
                <w:bCs/>
                <w:color w:val="000000"/>
                <w:kern w:val="0"/>
              </w:rPr>
              <w:t>,799</w:t>
            </w:r>
          </w:p>
        </w:tc>
      </w:tr>
      <w:tr w14:paraId="604FF39F" w14:textId="77777777" w:rsidTr="00781E36">
        <w:tblPrEx>
          <w:tblW w:w="13685" w:type="dxa"/>
          <w:jc w:val="center"/>
          <w:tblLayout w:type="fixed"/>
          <w:tblLook w:val="01E0"/>
        </w:tblPrEx>
        <w:trPr>
          <w:trHeight w:val="368"/>
          <w:jc w:val="center"/>
        </w:trPr>
        <w:tc>
          <w:tcPr>
            <w:tcW w:w="13685" w:type="dxa"/>
            <w:gridSpan w:val="9"/>
            <w:shd w:val="clear" w:color="auto" w:fill="EDEDED"/>
            <w:vAlign w:val="center"/>
          </w:tcPr>
          <w:p w:rsidR="009302AA" w:rsidRPr="00A74BDF" w:rsidP="00781E36" w14:paraId="5614355C" w14:textId="613CD807">
            <w:pPr>
              <w:rPr>
                <w:color w:val="000000"/>
              </w:rPr>
            </w:pPr>
            <w:r>
              <w:rPr>
                <w:color w:val="000000"/>
              </w:rPr>
              <w:t>16</w:t>
            </w:r>
            <w:r w:rsidRPr="00327942">
              <w:rPr>
                <w:color w:val="000000"/>
              </w:rPr>
              <w:t xml:space="preserve">. </w:t>
            </w:r>
            <w:r>
              <w:rPr>
                <w:color w:val="000000"/>
              </w:rPr>
              <w:t xml:space="preserve"> </w:t>
            </w:r>
            <w:r w:rsidRPr="00327942">
              <w:rPr>
                <w:color w:val="000000"/>
              </w:rPr>
              <w:t>Familiarization and implementation of the revisions to the hazard communication program.</w:t>
            </w:r>
          </w:p>
        </w:tc>
      </w:tr>
      <w:tr w14:paraId="1A1EE33E" w14:textId="77777777" w:rsidTr="00781E36">
        <w:tblPrEx>
          <w:tblW w:w="13685" w:type="dxa"/>
          <w:jc w:val="center"/>
          <w:tblLayout w:type="fixed"/>
          <w:tblLook w:val="01E0"/>
        </w:tblPrEx>
        <w:trPr>
          <w:jc w:val="center"/>
        </w:trPr>
        <w:tc>
          <w:tcPr>
            <w:tcW w:w="2633" w:type="dxa"/>
            <w:shd w:val="clear" w:color="auto" w:fill="auto"/>
          </w:tcPr>
          <w:p w:rsidR="00AA4EFA" w:rsidP="001F320C" w14:paraId="7641F57F" w14:textId="77777777">
            <w:pPr>
              <w:numPr>
                <w:ilvl w:val="0"/>
                <w:numId w:val="12"/>
              </w:numPr>
              <w:rPr>
                <w:color w:val="000000"/>
              </w:rPr>
            </w:pPr>
            <w:r>
              <w:rPr>
                <w:color w:val="000000"/>
              </w:rPr>
              <w:t>Establishments affected by other provisions</w:t>
            </w:r>
          </w:p>
        </w:tc>
        <w:tc>
          <w:tcPr>
            <w:tcW w:w="1350" w:type="dxa"/>
            <w:shd w:val="clear" w:color="auto" w:fill="auto"/>
          </w:tcPr>
          <w:p w:rsidR="00AA4EFA" w:rsidRPr="00FF1F12" w:rsidP="001F320C" w14:paraId="5B740810" w14:textId="77777777">
            <w:pPr>
              <w:jc w:val="right"/>
              <w:rPr>
                <w:color w:val="000000"/>
              </w:rPr>
            </w:pPr>
          </w:p>
        </w:tc>
        <w:tc>
          <w:tcPr>
            <w:tcW w:w="1260" w:type="dxa"/>
            <w:shd w:val="clear" w:color="auto" w:fill="auto"/>
          </w:tcPr>
          <w:p w:rsidR="00AA4EFA" w:rsidRPr="002C0B15" w:rsidP="001F320C" w14:paraId="0D6642A1" w14:textId="77777777">
            <w:pPr>
              <w:jc w:val="right"/>
              <w:rPr>
                <w:color w:val="000000"/>
              </w:rPr>
            </w:pPr>
          </w:p>
        </w:tc>
        <w:tc>
          <w:tcPr>
            <w:tcW w:w="1170" w:type="dxa"/>
          </w:tcPr>
          <w:p w:rsidR="00AA4EFA" w:rsidP="001F320C" w14:paraId="2716D4C9" w14:textId="77777777">
            <w:pPr>
              <w:jc w:val="right"/>
              <w:rPr>
                <w:color w:val="000000"/>
              </w:rPr>
            </w:pPr>
          </w:p>
        </w:tc>
        <w:tc>
          <w:tcPr>
            <w:tcW w:w="1440" w:type="dxa"/>
            <w:shd w:val="clear" w:color="auto" w:fill="auto"/>
          </w:tcPr>
          <w:p w:rsidR="00AA4EFA" w:rsidRPr="00A74BDF" w:rsidP="001F320C" w14:paraId="31EDE2A3" w14:textId="77777777">
            <w:pPr>
              <w:jc w:val="right"/>
              <w:rPr>
                <w:color w:val="000000"/>
              </w:rPr>
            </w:pPr>
          </w:p>
        </w:tc>
        <w:tc>
          <w:tcPr>
            <w:tcW w:w="1260" w:type="dxa"/>
            <w:shd w:val="clear" w:color="auto" w:fill="auto"/>
          </w:tcPr>
          <w:p w:rsidR="00AA4EFA" w:rsidRPr="00A74BDF" w:rsidP="001F320C" w14:paraId="0E1C42DC" w14:textId="77777777">
            <w:pPr>
              <w:jc w:val="right"/>
              <w:rPr>
                <w:color w:val="000000"/>
              </w:rPr>
            </w:pPr>
          </w:p>
        </w:tc>
        <w:tc>
          <w:tcPr>
            <w:tcW w:w="1620" w:type="dxa"/>
            <w:shd w:val="clear" w:color="auto" w:fill="auto"/>
          </w:tcPr>
          <w:p w:rsidR="00AA4EFA" w:rsidRPr="00A74BDF" w:rsidP="001F320C" w14:paraId="6D3DBBE0" w14:textId="77777777">
            <w:pPr>
              <w:jc w:val="right"/>
              <w:rPr>
                <w:color w:val="000000"/>
              </w:rPr>
            </w:pPr>
          </w:p>
        </w:tc>
        <w:tc>
          <w:tcPr>
            <w:tcW w:w="1350" w:type="dxa"/>
          </w:tcPr>
          <w:p w:rsidR="00AA4EFA" w:rsidRPr="00A74BDF" w:rsidP="001F320C" w14:paraId="745D64ED" w14:textId="77777777">
            <w:pPr>
              <w:jc w:val="right"/>
              <w:rPr>
                <w:color w:val="000000"/>
              </w:rPr>
            </w:pPr>
          </w:p>
        </w:tc>
        <w:tc>
          <w:tcPr>
            <w:tcW w:w="1602" w:type="dxa"/>
          </w:tcPr>
          <w:p w:rsidR="00AA4EFA" w:rsidRPr="00A74BDF" w:rsidP="001F320C" w14:paraId="3DF5CF4F" w14:textId="77777777">
            <w:pPr>
              <w:jc w:val="right"/>
              <w:rPr>
                <w:color w:val="000000"/>
              </w:rPr>
            </w:pPr>
          </w:p>
        </w:tc>
      </w:tr>
      <w:tr w14:paraId="577452B0" w14:textId="77777777" w:rsidTr="00B4645A">
        <w:tblPrEx>
          <w:tblW w:w="13685" w:type="dxa"/>
          <w:jc w:val="center"/>
          <w:tblLayout w:type="fixed"/>
          <w:tblLook w:val="01E0"/>
        </w:tblPrEx>
        <w:trPr>
          <w:jc w:val="center"/>
        </w:trPr>
        <w:tc>
          <w:tcPr>
            <w:tcW w:w="2633" w:type="dxa"/>
            <w:shd w:val="clear" w:color="auto" w:fill="auto"/>
          </w:tcPr>
          <w:p w:rsidR="00E21078" w:rsidP="00E21078" w14:paraId="2E007753" w14:textId="77777777">
            <w:pPr>
              <w:rPr>
                <w:color w:val="000000"/>
              </w:rPr>
            </w:pPr>
            <w:r>
              <w:rPr>
                <w:color w:val="000000"/>
              </w:rPr>
              <w:t>Small (1-19 Employees)</w:t>
            </w:r>
          </w:p>
        </w:tc>
        <w:tc>
          <w:tcPr>
            <w:tcW w:w="1350" w:type="dxa"/>
            <w:shd w:val="clear" w:color="auto" w:fill="auto"/>
            <w:vAlign w:val="center"/>
          </w:tcPr>
          <w:p w:rsidR="00E21078" w:rsidRPr="00FF1F12" w:rsidP="00B4645A" w14:paraId="62EE6EA9" w14:textId="63D403C3">
            <w:pPr>
              <w:jc w:val="center"/>
              <w:rPr>
                <w:color w:val="000000"/>
              </w:rPr>
            </w:pPr>
            <w:r>
              <w:rPr>
                <w:color w:val="000000"/>
              </w:rPr>
              <w:t>35,114</w:t>
            </w:r>
          </w:p>
        </w:tc>
        <w:tc>
          <w:tcPr>
            <w:tcW w:w="1260" w:type="dxa"/>
            <w:shd w:val="clear" w:color="auto" w:fill="auto"/>
            <w:vAlign w:val="center"/>
          </w:tcPr>
          <w:p w:rsidR="00E21078" w:rsidRPr="002C0B15" w:rsidP="00B4645A" w14:paraId="70183C7B" w14:textId="77777777">
            <w:pPr>
              <w:jc w:val="center"/>
              <w:rPr>
                <w:color w:val="000000"/>
              </w:rPr>
            </w:pPr>
            <w:r>
              <w:rPr>
                <w:color w:val="000000"/>
              </w:rPr>
              <w:t>100%</w:t>
            </w:r>
          </w:p>
        </w:tc>
        <w:tc>
          <w:tcPr>
            <w:tcW w:w="1170" w:type="dxa"/>
            <w:vAlign w:val="center"/>
          </w:tcPr>
          <w:p w:rsidR="00E21078" w:rsidP="00B4645A" w14:paraId="6CD53AE2" w14:textId="77777777">
            <w:pPr>
              <w:jc w:val="center"/>
              <w:rPr>
                <w:color w:val="000000"/>
              </w:rPr>
            </w:pPr>
            <w:r>
              <w:rPr>
                <w:color w:val="000000"/>
              </w:rPr>
              <w:t>1</w:t>
            </w:r>
          </w:p>
        </w:tc>
        <w:tc>
          <w:tcPr>
            <w:tcW w:w="1440" w:type="dxa"/>
            <w:shd w:val="clear" w:color="auto" w:fill="auto"/>
            <w:vAlign w:val="center"/>
          </w:tcPr>
          <w:p w:rsidR="00E21078" w:rsidRPr="00A74BDF" w:rsidP="00B4645A" w14:paraId="4B40E836" w14:textId="5D4FE3CE">
            <w:pPr>
              <w:jc w:val="center"/>
              <w:rPr>
                <w:color w:val="000000"/>
              </w:rPr>
            </w:pPr>
            <w:r>
              <w:rPr>
                <w:color w:val="000000"/>
              </w:rPr>
              <w:t>35,114</w:t>
            </w:r>
          </w:p>
        </w:tc>
        <w:tc>
          <w:tcPr>
            <w:tcW w:w="1260" w:type="dxa"/>
            <w:shd w:val="clear" w:color="auto" w:fill="auto"/>
            <w:vAlign w:val="center"/>
          </w:tcPr>
          <w:p w:rsidR="00E21078" w:rsidRPr="00A74BDF" w:rsidP="00B4645A" w14:paraId="1419400E" w14:textId="302C25EB">
            <w:pPr>
              <w:jc w:val="center"/>
              <w:rPr>
                <w:color w:val="000000"/>
              </w:rPr>
            </w:pPr>
            <w:r>
              <w:rPr>
                <w:color w:val="000000"/>
              </w:rPr>
              <w:t>1.0</w:t>
            </w:r>
            <w:r w:rsidRPr="00A74BDF">
              <w:rPr>
                <w:color w:val="000000"/>
              </w:rPr>
              <w:t xml:space="preserve"> hour</w:t>
            </w:r>
          </w:p>
        </w:tc>
        <w:tc>
          <w:tcPr>
            <w:tcW w:w="1620" w:type="dxa"/>
            <w:shd w:val="clear" w:color="auto" w:fill="auto"/>
            <w:vAlign w:val="center"/>
          </w:tcPr>
          <w:p w:rsidR="00E21078" w:rsidRPr="00A74BDF" w:rsidP="00B4645A" w14:paraId="27BB03CC" w14:textId="124FB588">
            <w:pPr>
              <w:jc w:val="center"/>
              <w:rPr>
                <w:color w:val="000000"/>
              </w:rPr>
            </w:pPr>
            <w:r>
              <w:rPr>
                <w:color w:val="000000"/>
              </w:rPr>
              <w:t>35,114</w:t>
            </w:r>
          </w:p>
        </w:tc>
        <w:tc>
          <w:tcPr>
            <w:tcW w:w="1350" w:type="dxa"/>
            <w:vAlign w:val="center"/>
          </w:tcPr>
          <w:p w:rsidR="00E21078" w:rsidRPr="00A74BDF" w:rsidP="00B4645A" w14:paraId="4C8D711D" w14:textId="07549006">
            <w:pPr>
              <w:jc w:val="center"/>
              <w:rPr>
                <w:color w:val="000000"/>
              </w:rPr>
            </w:pPr>
            <w:r w:rsidRPr="00A74BDF">
              <w:t>$</w:t>
            </w:r>
            <w:r>
              <w:t>61.18</w:t>
            </w:r>
          </w:p>
        </w:tc>
        <w:tc>
          <w:tcPr>
            <w:tcW w:w="1602" w:type="dxa"/>
            <w:vAlign w:val="center"/>
          </w:tcPr>
          <w:p w:rsidR="00E21078" w:rsidRPr="00A74BDF" w:rsidP="00B4645A" w14:paraId="693954BA" w14:textId="42E60A11">
            <w:pPr>
              <w:jc w:val="center"/>
              <w:rPr>
                <w:color w:val="000000"/>
              </w:rPr>
            </w:pPr>
            <w:r w:rsidRPr="00A74BDF">
              <w:rPr>
                <w:color w:val="000000"/>
              </w:rPr>
              <w:t>$</w:t>
            </w:r>
            <w:r w:rsidR="00386ECD">
              <w:rPr>
                <w:color w:val="000000"/>
              </w:rPr>
              <w:t>2,148,275</w:t>
            </w:r>
          </w:p>
        </w:tc>
      </w:tr>
      <w:tr w14:paraId="13E9E3A6" w14:textId="77777777" w:rsidTr="00B4645A">
        <w:tblPrEx>
          <w:tblW w:w="13685" w:type="dxa"/>
          <w:jc w:val="center"/>
          <w:tblLayout w:type="fixed"/>
          <w:tblLook w:val="01E0"/>
        </w:tblPrEx>
        <w:trPr>
          <w:jc w:val="center"/>
        </w:trPr>
        <w:tc>
          <w:tcPr>
            <w:tcW w:w="2633" w:type="dxa"/>
            <w:shd w:val="clear" w:color="auto" w:fill="auto"/>
          </w:tcPr>
          <w:p w:rsidR="00E21078" w:rsidP="00E21078" w14:paraId="24951217" w14:textId="77777777">
            <w:pPr>
              <w:rPr>
                <w:color w:val="000000"/>
              </w:rPr>
            </w:pPr>
            <w:r>
              <w:rPr>
                <w:color w:val="000000"/>
              </w:rPr>
              <w:t>Medium (20 - 499 Employees)</w:t>
            </w:r>
          </w:p>
        </w:tc>
        <w:tc>
          <w:tcPr>
            <w:tcW w:w="1350" w:type="dxa"/>
            <w:shd w:val="clear" w:color="auto" w:fill="auto"/>
            <w:vAlign w:val="center"/>
          </w:tcPr>
          <w:p w:rsidR="00E21078" w:rsidRPr="00FF1F12" w:rsidP="00B4645A" w14:paraId="05E3C244" w14:textId="08E388FC">
            <w:pPr>
              <w:jc w:val="center"/>
              <w:rPr>
                <w:color w:val="000000"/>
              </w:rPr>
            </w:pPr>
            <w:r>
              <w:rPr>
                <w:color w:val="000000"/>
              </w:rPr>
              <w:t>11,353</w:t>
            </w:r>
          </w:p>
        </w:tc>
        <w:tc>
          <w:tcPr>
            <w:tcW w:w="1260" w:type="dxa"/>
            <w:shd w:val="clear" w:color="auto" w:fill="auto"/>
            <w:vAlign w:val="center"/>
          </w:tcPr>
          <w:p w:rsidR="00E21078" w:rsidRPr="002C0B15" w:rsidP="00B4645A" w14:paraId="0DA0703D" w14:textId="77777777">
            <w:pPr>
              <w:jc w:val="center"/>
              <w:rPr>
                <w:color w:val="000000"/>
              </w:rPr>
            </w:pPr>
            <w:r>
              <w:rPr>
                <w:color w:val="000000"/>
              </w:rPr>
              <w:t>100%</w:t>
            </w:r>
          </w:p>
        </w:tc>
        <w:tc>
          <w:tcPr>
            <w:tcW w:w="1170" w:type="dxa"/>
            <w:vAlign w:val="center"/>
          </w:tcPr>
          <w:p w:rsidR="00E21078" w:rsidP="00B4645A" w14:paraId="5EFE9D37" w14:textId="77777777">
            <w:pPr>
              <w:jc w:val="center"/>
              <w:rPr>
                <w:color w:val="000000"/>
              </w:rPr>
            </w:pPr>
            <w:r>
              <w:rPr>
                <w:color w:val="000000"/>
              </w:rPr>
              <w:t>1</w:t>
            </w:r>
          </w:p>
        </w:tc>
        <w:tc>
          <w:tcPr>
            <w:tcW w:w="1440" w:type="dxa"/>
            <w:shd w:val="clear" w:color="auto" w:fill="auto"/>
            <w:vAlign w:val="center"/>
          </w:tcPr>
          <w:p w:rsidR="00E21078" w:rsidRPr="00A74BDF" w:rsidP="00B4645A" w14:paraId="68E224A3" w14:textId="68EC9169">
            <w:pPr>
              <w:jc w:val="center"/>
              <w:rPr>
                <w:color w:val="000000"/>
              </w:rPr>
            </w:pPr>
            <w:r>
              <w:rPr>
                <w:color w:val="000000"/>
              </w:rPr>
              <w:t>11,353</w:t>
            </w:r>
          </w:p>
        </w:tc>
        <w:tc>
          <w:tcPr>
            <w:tcW w:w="1260" w:type="dxa"/>
            <w:shd w:val="clear" w:color="auto" w:fill="auto"/>
            <w:vAlign w:val="center"/>
          </w:tcPr>
          <w:p w:rsidR="00E21078" w:rsidRPr="00A74BDF" w:rsidP="00B4645A" w14:paraId="46A4835D" w14:textId="172B1303">
            <w:pPr>
              <w:jc w:val="center"/>
              <w:rPr>
                <w:color w:val="000000"/>
              </w:rPr>
            </w:pPr>
            <w:r>
              <w:rPr>
                <w:color w:val="000000"/>
              </w:rPr>
              <w:t>4</w:t>
            </w:r>
            <w:r w:rsidRPr="00A74BDF">
              <w:rPr>
                <w:color w:val="000000"/>
              </w:rPr>
              <w:t xml:space="preserve"> hours</w:t>
            </w:r>
          </w:p>
        </w:tc>
        <w:tc>
          <w:tcPr>
            <w:tcW w:w="1620" w:type="dxa"/>
            <w:shd w:val="clear" w:color="auto" w:fill="auto"/>
            <w:vAlign w:val="center"/>
          </w:tcPr>
          <w:p w:rsidR="00E21078" w:rsidRPr="00A74BDF" w:rsidP="00B4645A" w14:paraId="3050742F" w14:textId="6B552584">
            <w:pPr>
              <w:jc w:val="center"/>
              <w:rPr>
                <w:color w:val="000000"/>
              </w:rPr>
            </w:pPr>
            <w:r>
              <w:rPr>
                <w:color w:val="000000"/>
              </w:rPr>
              <w:t>45</w:t>
            </w:r>
            <w:r w:rsidR="00A776AF">
              <w:rPr>
                <w:color w:val="000000"/>
              </w:rPr>
              <w:t>,412</w:t>
            </w:r>
          </w:p>
        </w:tc>
        <w:tc>
          <w:tcPr>
            <w:tcW w:w="1350" w:type="dxa"/>
            <w:vAlign w:val="center"/>
          </w:tcPr>
          <w:p w:rsidR="00E21078" w:rsidRPr="00A74BDF" w:rsidP="00B4645A" w14:paraId="1985EA0C" w14:textId="491AA57A">
            <w:pPr>
              <w:jc w:val="center"/>
              <w:rPr>
                <w:color w:val="000000"/>
              </w:rPr>
            </w:pPr>
            <w:r w:rsidRPr="00A74BDF">
              <w:t>$</w:t>
            </w:r>
            <w:r>
              <w:t>61.18</w:t>
            </w:r>
          </w:p>
        </w:tc>
        <w:tc>
          <w:tcPr>
            <w:tcW w:w="1602" w:type="dxa"/>
            <w:vAlign w:val="center"/>
          </w:tcPr>
          <w:p w:rsidR="00E21078" w:rsidRPr="00A74BDF" w:rsidP="00B4645A" w14:paraId="41707FF6" w14:textId="7D207B1A">
            <w:pPr>
              <w:jc w:val="center"/>
              <w:rPr>
                <w:color w:val="000000"/>
              </w:rPr>
            </w:pPr>
            <w:r w:rsidRPr="00A74BDF">
              <w:rPr>
                <w:color w:val="000000"/>
              </w:rPr>
              <w:t>$</w:t>
            </w:r>
            <w:r>
              <w:rPr>
                <w:color w:val="000000"/>
              </w:rPr>
              <w:t>2</w:t>
            </w:r>
            <w:r w:rsidR="00386ECD">
              <w:rPr>
                <w:color w:val="000000"/>
              </w:rPr>
              <w:t>778,306</w:t>
            </w:r>
          </w:p>
        </w:tc>
      </w:tr>
      <w:tr w14:paraId="42B8388D" w14:textId="77777777" w:rsidTr="00B4645A">
        <w:tblPrEx>
          <w:tblW w:w="13685" w:type="dxa"/>
          <w:jc w:val="center"/>
          <w:tblLayout w:type="fixed"/>
          <w:tblLook w:val="01E0"/>
        </w:tblPrEx>
        <w:trPr>
          <w:jc w:val="center"/>
        </w:trPr>
        <w:tc>
          <w:tcPr>
            <w:tcW w:w="2633" w:type="dxa"/>
            <w:shd w:val="clear" w:color="auto" w:fill="auto"/>
          </w:tcPr>
          <w:p w:rsidR="00E21078" w:rsidP="00E21078" w14:paraId="0ECF24A2" w14:textId="77777777">
            <w:pPr>
              <w:rPr>
                <w:color w:val="000000"/>
              </w:rPr>
            </w:pPr>
            <w:r>
              <w:rPr>
                <w:color w:val="000000"/>
              </w:rPr>
              <w:t xml:space="preserve">Large </w:t>
            </w:r>
            <w:r>
              <w:rPr>
                <w:color w:val="000000"/>
              </w:rPr>
              <w:t>( 500</w:t>
            </w:r>
            <w:r>
              <w:rPr>
                <w:color w:val="000000"/>
              </w:rPr>
              <w:t xml:space="preserve"> + Employees)</w:t>
            </w:r>
          </w:p>
        </w:tc>
        <w:tc>
          <w:tcPr>
            <w:tcW w:w="1350" w:type="dxa"/>
            <w:shd w:val="clear" w:color="auto" w:fill="auto"/>
            <w:vAlign w:val="center"/>
          </w:tcPr>
          <w:p w:rsidR="00E21078" w:rsidRPr="00FF1F12" w:rsidP="00B4645A" w14:paraId="3BBD1FB6" w14:textId="72A19E83">
            <w:pPr>
              <w:jc w:val="center"/>
              <w:rPr>
                <w:color w:val="000000"/>
              </w:rPr>
            </w:pPr>
            <w:r>
              <w:rPr>
                <w:color w:val="000000"/>
              </w:rPr>
              <w:t>404</w:t>
            </w:r>
          </w:p>
        </w:tc>
        <w:tc>
          <w:tcPr>
            <w:tcW w:w="1260" w:type="dxa"/>
            <w:shd w:val="clear" w:color="auto" w:fill="auto"/>
            <w:vAlign w:val="center"/>
          </w:tcPr>
          <w:p w:rsidR="00E21078" w:rsidRPr="002C0B15" w:rsidP="00B4645A" w14:paraId="6176602F" w14:textId="77777777">
            <w:pPr>
              <w:jc w:val="center"/>
              <w:rPr>
                <w:color w:val="000000"/>
              </w:rPr>
            </w:pPr>
            <w:r>
              <w:rPr>
                <w:color w:val="000000"/>
              </w:rPr>
              <w:t>100%</w:t>
            </w:r>
          </w:p>
        </w:tc>
        <w:tc>
          <w:tcPr>
            <w:tcW w:w="1170" w:type="dxa"/>
            <w:vAlign w:val="center"/>
          </w:tcPr>
          <w:p w:rsidR="00E21078" w:rsidP="00B4645A" w14:paraId="1554C777" w14:textId="77777777">
            <w:pPr>
              <w:jc w:val="center"/>
              <w:rPr>
                <w:color w:val="000000"/>
              </w:rPr>
            </w:pPr>
            <w:r>
              <w:rPr>
                <w:color w:val="000000"/>
              </w:rPr>
              <w:t>1</w:t>
            </w:r>
          </w:p>
        </w:tc>
        <w:tc>
          <w:tcPr>
            <w:tcW w:w="1440" w:type="dxa"/>
            <w:shd w:val="clear" w:color="auto" w:fill="auto"/>
            <w:vAlign w:val="center"/>
          </w:tcPr>
          <w:p w:rsidR="00E21078" w:rsidRPr="00A74BDF" w:rsidP="00B4645A" w14:paraId="7074D248" w14:textId="004641A4">
            <w:pPr>
              <w:jc w:val="center"/>
              <w:rPr>
                <w:color w:val="000000"/>
              </w:rPr>
            </w:pPr>
            <w:r>
              <w:rPr>
                <w:color w:val="000000"/>
              </w:rPr>
              <w:t>404</w:t>
            </w:r>
          </w:p>
        </w:tc>
        <w:tc>
          <w:tcPr>
            <w:tcW w:w="1260" w:type="dxa"/>
            <w:shd w:val="clear" w:color="auto" w:fill="auto"/>
            <w:vAlign w:val="center"/>
          </w:tcPr>
          <w:p w:rsidR="00E21078" w:rsidRPr="00A74BDF" w:rsidP="00B4645A" w14:paraId="4CB3FAE2" w14:textId="21E0017E">
            <w:pPr>
              <w:jc w:val="center"/>
              <w:rPr>
                <w:color w:val="000000"/>
              </w:rPr>
            </w:pPr>
            <w:r>
              <w:rPr>
                <w:color w:val="000000"/>
              </w:rPr>
              <w:t>16</w:t>
            </w:r>
            <w:r w:rsidRPr="00A74BDF">
              <w:rPr>
                <w:color w:val="000000"/>
              </w:rPr>
              <w:t xml:space="preserve"> hours</w:t>
            </w:r>
          </w:p>
        </w:tc>
        <w:tc>
          <w:tcPr>
            <w:tcW w:w="1620" w:type="dxa"/>
            <w:shd w:val="clear" w:color="auto" w:fill="auto"/>
            <w:vAlign w:val="center"/>
          </w:tcPr>
          <w:p w:rsidR="00E21078" w:rsidRPr="00A74BDF" w:rsidP="00B4645A" w14:paraId="2FAC8B24" w14:textId="13EAE308">
            <w:pPr>
              <w:jc w:val="center"/>
              <w:rPr>
                <w:color w:val="000000"/>
              </w:rPr>
            </w:pPr>
            <w:r>
              <w:rPr>
                <w:color w:val="000000"/>
              </w:rPr>
              <w:t>6,464</w:t>
            </w:r>
          </w:p>
        </w:tc>
        <w:tc>
          <w:tcPr>
            <w:tcW w:w="1350" w:type="dxa"/>
            <w:vAlign w:val="center"/>
          </w:tcPr>
          <w:p w:rsidR="00E21078" w:rsidRPr="00A74BDF" w:rsidP="00B4645A" w14:paraId="0962B228" w14:textId="1948C09B">
            <w:pPr>
              <w:jc w:val="center"/>
              <w:rPr>
                <w:color w:val="000000"/>
              </w:rPr>
            </w:pPr>
            <w:r w:rsidRPr="00A74BDF">
              <w:t>$</w:t>
            </w:r>
            <w:r>
              <w:t>61.18</w:t>
            </w:r>
          </w:p>
        </w:tc>
        <w:tc>
          <w:tcPr>
            <w:tcW w:w="1602" w:type="dxa"/>
            <w:vAlign w:val="center"/>
          </w:tcPr>
          <w:p w:rsidR="00E21078" w:rsidRPr="00A74BDF" w:rsidP="00B4645A" w14:paraId="2A596659" w14:textId="62F3C7F5">
            <w:pPr>
              <w:jc w:val="center"/>
              <w:rPr>
                <w:color w:val="000000"/>
              </w:rPr>
            </w:pPr>
            <w:r w:rsidRPr="00A74BDF">
              <w:rPr>
                <w:color w:val="000000"/>
              </w:rPr>
              <w:t>$</w:t>
            </w:r>
            <w:r w:rsidR="0036270A">
              <w:rPr>
                <w:color w:val="000000"/>
              </w:rPr>
              <w:t>395,468</w:t>
            </w:r>
          </w:p>
        </w:tc>
      </w:tr>
      <w:tr w14:paraId="7F4D7B6B" w14:textId="77777777" w:rsidTr="00B4645A">
        <w:tblPrEx>
          <w:tblW w:w="13685" w:type="dxa"/>
          <w:jc w:val="center"/>
          <w:tblLayout w:type="fixed"/>
          <w:tblLook w:val="01E0"/>
        </w:tblPrEx>
        <w:trPr>
          <w:jc w:val="center"/>
        </w:trPr>
        <w:tc>
          <w:tcPr>
            <w:tcW w:w="2633" w:type="dxa"/>
            <w:shd w:val="clear" w:color="auto" w:fill="DEEBF6" w:themeFill="accent1" w:themeFillTint="33"/>
            <w:vAlign w:val="bottom"/>
          </w:tcPr>
          <w:p w:rsidR="00AA4EFA" w:rsidRPr="007056ED" w:rsidP="001F320C" w14:paraId="305E595B" w14:textId="77777777">
            <w:pPr>
              <w:rPr>
                <w:b/>
                <w:color w:val="000000"/>
              </w:rPr>
            </w:pPr>
            <w:r w:rsidRPr="00E82C5A">
              <w:rPr>
                <w:b/>
                <w:color w:val="000000"/>
                <w:kern w:val="0"/>
              </w:rPr>
              <w:t>Sub</w:t>
            </w:r>
            <w:r w:rsidRPr="007056ED">
              <w:rPr>
                <w:b/>
                <w:color w:val="000000"/>
                <w:kern w:val="0"/>
              </w:rPr>
              <w:t>total</w:t>
            </w:r>
          </w:p>
        </w:tc>
        <w:tc>
          <w:tcPr>
            <w:tcW w:w="1350" w:type="dxa"/>
            <w:shd w:val="clear" w:color="auto" w:fill="DEEBF6" w:themeFill="accent1" w:themeFillTint="33"/>
            <w:vAlign w:val="center"/>
          </w:tcPr>
          <w:p w:rsidR="00AA4EFA" w:rsidRPr="007056ED" w:rsidP="00B4645A" w14:paraId="2E96D39F" w14:textId="77777777">
            <w:pPr>
              <w:jc w:val="center"/>
              <w:rPr>
                <w:b/>
                <w:color w:val="000000"/>
              </w:rPr>
            </w:pPr>
          </w:p>
        </w:tc>
        <w:tc>
          <w:tcPr>
            <w:tcW w:w="1260" w:type="dxa"/>
            <w:shd w:val="clear" w:color="auto" w:fill="DEEBF6" w:themeFill="accent1" w:themeFillTint="33"/>
            <w:vAlign w:val="center"/>
          </w:tcPr>
          <w:p w:rsidR="00AA4EFA" w:rsidRPr="007056ED" w:rsidP="00B4645A" w14:paraId="6B415340" w14:textId="77777777">
            <w:pPr>
              <w:jc w:val="center"/>
              <w:rPr>
                <w:b/>
                <w:color w:val="000000"/>
              </w:rPr>
            </w:pPr>
          </w:p>
        </w:tc>
        <w:tc>
          <w:tcPr>
            <w:tcW w:w="1170" w:type="dxa"/>
            <w:shd w:val="clear" w:color="auto" w:fill="DEEBF6" w:themeFill="accent1" w:themeFillTint="33"/>
            <w:vAlign w:val="center"/>
          </w:tcPr>
          <w:p w:rsidR="00AA4EFA" w:rsidRPr="007056ED" w:rsidP="00B4645A" w14:paraId="4423ABF2" w14:textId="77777777">
            <w:pPr>
              <w:jc w:val="center"/>
              <w:rPr>
                <w:b/>
                <w:color w:val="000000"/>
              </w:rPr>
            </w:pPr>
          </w:p>
        </w:tc>
        <w:tc>
          <w:tcPr>
            <w:tcW w:w="1440" w:type="dxa"/>
            <w:shd w:val="clear" w:color="auto" w:fill="DEEBF6" w:themeFill="accent1" w:themeFillTint="33"/>
            <w:vAlign w:val="center"/>
          </w:tcPr>
          <w:p w:rsidR="00AA4EFA" w:rsidRPr="00A74BDF" w:rsidP="00B4645A" w14:paraId="278839C2" w14:textId="188F34EF">
            <w:pPr>
              <w:jc w:val="center"/>
              <w:rPr>
                <w:b/>
                <w:color w:val="000000"/>
              </w:rPr>
            </w:pPr>
            <w:r>
              <w:rPr>
                <w:b/>
                <w:color w:val="000000"/>
              </w:rPr>
              <w:t>46</w:t>
            </w:r>
            <w:r w:rsidR="00B50282">
              <w:rPr>
                <w:b/>
                <w:color w:val="000000"/>
              </w:rPr>
              <w:t>,871</w:t>
            </w:r>
          </w:p>
        </w:tc>
        <w:tc>
          <w:tcPr>
            <w:tcW w:w="1260" w:type="dxa"/>
            <w:shd w:val="clear" w:color="auto" w:fill="DEEBF6" w:themeFill="accent1" w:themeFillTint="33"/>
            <w:vAlign w:val="center"/>
          </w:tcPr>
          <w:p w:rsidR="00AA4EFA" w:rsidRPr="00A74BDF" w:rsidP="00B4645A" w14:paraId="301C8EF6" w14:textId="77777777">
            <w:pPr>
              <w:jc w:val="center"/>
              <w:rPr>
                <w:b/>
                <w:color w:val="000000"/>
              </w:rPr>
            </w:pPr>
          </w:p>
        </w:tc>
        <w:tc>
          <w:tcPr>
            <w:tcW w:w="1620" w:type="dxa"/>
            <w:shd w:val="clear" w:color="auto" w:fill="DEEBF6" w:themeFill="accent1" w:themeFillTint="33"/>
            <w:vAlign w:val="center"/>
          </w:tcPr>
          <w:p w:rsidR="00AA4EFA" w:rsidRPr="00A74BDF" w:rsidP="00B4645A" w14:paraId="52A531C8" w14:textId="7D29E362">
            <w:pPr>
              <w:jc w:val="center"/>
              <w:rPr>
                <w:b/>
                <w:color w:val="000000"/>
              </w:rPr>
            </w:pPr>
            <w:r>
              <w:rPr>
                <w:b/>
                <w:color w:val="000000"/>
              </w:rPr>
              <w:t>86,990</w:t>
            </w:r>
          </w:p>
        </w:tc>
        <w:tc>
          <w:tcPr>
            <w:tcW w:w="1350" w:type="dxa"/>
            <w:shd w:val="clear" w:color="auto" w:fill="DEEBF6" w:themeFill="accent1" w:themeFillTint="33"/>
            <w:vAlign w:val="center"/>
          </w:tcPr>
          <w:p w:rsidR="00AA4EFA" w:rsidRPr="00A74BDF" w:rsidP="00B4645A" w14:paraId="2673AB43" w14:textId="77777777">
            <w:pPr>
              <w:jc w:val="center"/>
              <w:rPr>
                <w:b/>
                <w:color w:val="000000"/>
              </w:rPr>
            </w:pPr>
          </w:p>
        </w:tc>
        <w:tc>
          <w:tcPr>
            <w:tcW w:w="1602" w:type="dxa"/>
            <w:shd w:val="clear" w:color="auto" w:fill="DEEBF6" w:themeFill="accent1" w:themeFillTint="33"/>
            <w:vAlign w:val="center"/>
          </w:tcPr>
          <w:p w:rsidR="00AA4EFA" w:rsidRPr="00A74BDF" w:rsidP="00B4645A" w14:paraId="3E7DE881" w14:textId="0C52FF2C">
            <w:pPr>
              <w:jc w:val="center"/>
              <w:rPr>
                <w:b/>
                <w:color w:val="000000"/>
              </w:rPr>
            </w:pPr>
            <w:r w:rsidRPr="00A74BDF">
              <w:rPr>
                <w:b/>
                <w:color w:val="000000"/>
              </w:rPr>
              <w:t>$</w:t>
            </w:r>
            <w:r w:rsidR="0036270A">
              <w:rPr>
                <w:b/>
                <w:color w:val="000000"/>
              </w:rPr>
              <w:t>5,322,048</w:t>
            </w:r>
          </w:p>
        </w:tc>
      </w:tr>
      <w:tr w14:paraId="36A250A6" w14:textId="77777777" w:rsidTr="00781E36">
        <w:tblPrEx>
          <w:tblW w:w="13685" w:type="dxa"/>
          <w:jc w:val="center"/>
          <w:tblLayout w:type="fixed"/>
          <w:tblLook w:val="01E0"/>
        </w:tblPrEx>
        <w:trPr>
          <w:jc w:val="center"/>
        </w:trPr>
        <w:tc>
          <w:tcPr>
            <w:tcW w:w="2633" w:type="dxa"/>
            <w:shd w:val="clear" w:color="auto" w:fill="auto"/>
          </w:tcPr>
          <w:p w:rsidR="00CF78D0" w:rsidP="001F320C" w14:paraId="5CBEE6F0" w14:textId="77777777">
            <w:pPr>
              <w:numPr>
                <w:ilvl w:val="0"/>
                <w:numId w:val="12"/>
              </w:numPr>
              <w:rPr>
                <w:color w:val="000000"/>
              </w:rPr>
            </w:pPr>
            <w:r>
              <w:rPr>
                <w:color w:val="000000"/>
              </w:rPr>
              <w:t xml:space="preserve">Establishments not affected by </w:t>
            </w:r>
          </w:p>
          <w:p w:rsidR="00AA4EFA" w:rsidP="00781E36" w14:paraId="5A84C0EA" w14:textId="434F8570">
            <w:pPr>
              <w:ind w:left="720"/>
              <w:rPr>
                <w:color w:val="000000"/>
              </w:rPr>
            </w:pPr>
            <w:r>
              <w:rPr>
                <w:color w:val="000000"/>
              </w:rPr>
              <w:t>other provisions</w:t>
            </w:r>
          </w:p>
        </w:tc>
        <w:tc>
          <w:tcPr>
            <w:tcW w:w="1350" w:type="dxa"/>
            <w:shd w:val="clear" w:color="auto" w:fill="auto"/>
          </w:tcPr>
          <w:p w:rsidR="00AA4EFA" w:rsidRPr="00FF1F12" w:rsidP="001F320C" w14:paraId="31E9B364" w14:textId="77777777">
            <w:pPr>
              <w:jc w:val="right"/>
              <w:rPr>
                <w:color w:val="000000"/>
              </w:rPr>
            </w:pPr>
          </w:p>
        </w:tc>
        <w:tc>
          <w:tcPr>
            <w:tcW w:w="1260" w:type="dxa"/>
            <w:shd w:val="clear" w:color="auto" w:fill="auto"/>
          </w:tcPr>
          <w:p w:rsidR="00AA4EFA" w:rsidRPr="002C0B15" w:rsidP="001F320C" w14:paraId="6D93C9C2" w14:textId="77777777">
            <w:pPr>
              <w:jc w:val="right"/>
              <w:rPr>
                <w:color w:val="000000"/>
              </w:rPr>
            </w:pPr>
          </w:p>
        </w:tc>
        <w:tc>
          <w:tcPr>
            <w:tcW w:w="1170" w:type="dxa"/>
          </w:tcPr>
          <w:p w:rsidR="00AA4EFA" w:rsidP="001F320C" w14:paraId="59B00DC9" w14:textId="77777777">
            <w:pPr>
              <w:jc w:val="right"/>
              <w:rPr>
                <w:color w:val="000000"/>
              </w:rPr>
            </w:pPr>
          </w:p>
        </w:tc>
        <w:tc>
          <w:tcPr>
            <w:tcW w:w="1440" w:type="dxa"/>
            <w:shd w:val="clear" w:color="auto" w:fill="auto"/>
          </w:tcPr>
          <w:p w:rsidR="00AA4EFA" w:rsidRPr="00A74BDF" w:rsidP="001F320C" w14:paraId="520DD107" w14:textId="77777777">
            <w:pPr>
              <w:jc w:val="right"/>
              <w:rPr>
                <w:color w:val="000000"/>
              </w:rPr>
            </w:pPr>
          </w:p>
        </w:tc>
        <w:tc>
          <w:tcPr>
            <w:tcW w:w="1260" w:type="dxa"/>
            <w:shd w:val="clear" w:color="auto" w:fill="auto"/>
          </w:tcPr>
          <w:p w:rsidR="00AA4EFA" w:rsidRPr="00A74BDF" w:rsidP="001F320C" w14:paraId="7718E0CB" w14:textId="77777777">
            <w:pPr>
              <w:jc w:val="right"/>
              <w:rPr>
                <w:color w:val="000000"/>
              </w:rPr>
            </w:pPr>
          </w:p>
        </w:tc>
        <w:tc>
          <w:tcPr>
            <w:tcW w:w="1620" w:type="dxa"/>
            <w:shd w:val="clear" w:color="auto" w:fill="auto"/>
          </w:tcPr>
          <w:p w:rsidR="00AA4EFA" w:rsidRPr="00A74BDF" w:rsidP="001F320C" w14:paraId="1074B121" w14:textId="77777777">
            <w:pPr>
              <w:jc w:val="right"/>
              <w:rPr>
                <w:color w:val="000000"/>
              </w:rPr>
            </w:pPr>
          </w:p>
        </w:tc>
        <w:tc>
          <w:tcPr>
            <w:tcW w:w="1350" w:type="dxa"/>
          </w:tcPr>
          <w:p w:rsidR="00AA4EFA" w:rsidRPr="00A74BDF" w:rsidP="001F320C" w14:paraId="67BBE952" w14:textId="77777777">
            <w:pPr>
              <w:jc w:val="right"/>
              <w:rPr>
                <w:color w:val="000000"/>
              </w:rPr>
            </w:pPr>
          </w:p>
        </w:tc>
        <w:tc>
          <w:tcPr>
            <w:tcW w:w="1602" w:type="dxa"/>
          </w:tcPr>
          <w:p w:rsidR="00AA4EFA" w:rsidRPr="00A74BDF" w:rsidP="001F320C" w14:paraId="2EF2E0AE" w14:textId="77777777">
            <w:pPr>
              <w:jc w:val="right"/>
              <w:rPr>
                <w:color w:val="000000"/>
              </w:rPr>
            </w:pPr>
          </w:p>
        </w:tc>
      </w:tr>
      <w:tr w14:paraId="01172F60" w14:textId="77777777" w:rsidTr="00B4645A">
        <w:tblPrEx>
          <w:tblW w:w="13685" w:type="dxa"/>
          <w:jc w:val="center"/>
          <w:tblLayout w:type="fixed"/>
          <w:tblLook w:val="01E0"/>
        </w:tblPrEx>
        <w:trPr>
          <w:jc w:val="center"/>
        </w:trPr>
        <w:tc>
          <w:tcPr>
            <w:tcW w:w="2633" w:type="dxa"/>
            <w:shd w:val="clear" w:color="auto" w:fill="auto"/>
          </w:tcPr>
          <w:p w:rsidR="0072228E" w:rsidP="0072228E" w14:paraId="0BFCB731" w14:textId="77777777">
            <w:pPr>
              <w:rPr>
                <w:color w:val="000000"/>
              </w:rPr>
            </w:pPr>
            <w:r>
              <w:rPr>
                <w:color w:val="000000"/>
              </w:rPr>
              <w:t>Small (1-19 Employees)</w:t>
            </w:r>
          </w:p>
        </w:tc>
        <w:tc>
          <w:tcPr>
            <w:tcW w:w="1350" w:type="dxa"/>
            <w:shd w:val="clear" w:color="auto" w:fill="auto"/>
            <w:vAlign w:val="center"/>
          </w:tcPr>
          <w:p w:rsidR="0072228E" w:rsidRPr="00FF1F12" w:rsidP="00B4645A" w14:paraId="790C7FD4" w14:textId="02E0635B">
            <w:pPr>
              <w:jc w:val="center"/>
              <w:rPr>
                <w:color w:val="000000"/>
              </w:rPr>
            </w:pPr>
            <w:r>
              <w:rPr>
                <w:color w:val="000000"/>
              </w:rPr>
              <w:t>77,</w:t>
            </w:r>
            <w:r w:rsidR="0078214D">
              <w:rPr>
                <w:color w:val="000000"/>
              </w:rPr>
              <w:t>572</w:t>
            </w:r>
          </w:p>
        </w:tc>
        <w:tc>
          <w:tcPr>
            <w:tcW w:w="1260" w:type="dxa"/>
            <w:shd w:val="clear" w:color="auto" w:fill="auto"/>
            <w:vAlign w:val="center"/>
          </w:tcPr>
          <w:p w:rsidR="0072228E" w:rsidRPr="002C0B15" w:rsidP="00B4645A" w14:paraId="6F90EE96" w14:textId="77777777">
            <w:pPr>
              <w:jc w:val="center"/>
              <w:rPr>
                <w:color w:val="000000"/>
              </w:rPr>
            </w:pPr>
            <w:r>
              <w:rPr>
                <w:color w:val="000000"/>
              </w:rPr>
              <w:t>100%</w:t>
            </w:r>
          </w:p>
        </w:tc>
        <w:tc>
          <w:tcPr>
            <w:tcW w:w="1170" w:type="dxa"/>
            <w:vAlign w:val="center"/>
          </w:tcPr>
          <w:p w:rsidR="0072228E" w:rsidP="00B4645A" w14:paraId="261DD306" w14:textId="77777777">
            <w:pPr>
              <w:jc w:val="center"/>
              <w:rPr>
                <w:color w:val="000000"/>
              </w:rPr>
            </w:pPr>
            <w:r>
              <w:rPr>
                <w:color w:val="000000"/>
              </w:rPr>
              <w:t>1</w:t>
            </w:r>
          </w:p>
        </w:tc>
        <w:tc>
          <w:tcPr>
            <w:tcW w:w="1440" w:type="dxa"/>
            <w:shd w:val="clear" w:color="auto" w:fill="auto"/>
            <w:vAlign w:val="center"/>
          </w:tcPr>
          <w:p w:rsidR="0072228E" w:rsidRPr="00A74BDF" w:rsidP="00B4645A" w14:paraId="6135619F" w14:textId="75505387">
            <w:pPr>
              <w:jc w:val="center"/>
              <w:rPr>
                <w:color w:val="000000"/>
              </w:rPr>
            </w:pPr>
            <w:r>
              <w:rPr>
                <w:color w:val="000000"/>
              </w:rPr>
              <w:t>77,</w:t>
            </w:r>
            <w:r w:rsidR="0078214D">
              <w:rPr>
                <w:color w:val="000000"/>
              </w:rPr>
              <w:t>572</w:t>
            </w:r>
          </w:p>
        </w:tc>
        <w:tc>
          <w:tcPr>
            <w:tcW w:w="1260" w:type="dxa"/>
            <w:shd w:val="clear" w:color="auto" w:fill="auto"/>
            <w:vAlign w:val="center"/>
          </w:tcPr>
          <w:p w:rsidR="0072228E" w:rsidRPr="00A74BDF" w:rsidP="00B4645A" w14:paraId="57EF05CC" w14:textId="77777777">
            <w:pPr>
              <w:jc w:val="center"/>
              <w:rPr>
                <w:color w:val="000000"/>
              </w:rPr>
            </w:pPr>
            <w:r w:rsidRPr="00A74BDF">
              <w:rPr>
                <w:color w:val="000000"/>
              </w:rPr>
              <w:t>0.25 hour</w:t>
            </w:r>
          </w:p>
        </w:tc>
        <w:tc>
          <w:tcPr>
            <w:tcW w:w="1620" w:type="dxa"/>
            <w:shd w:val="clear" w:color="auto" w:fill="auto"/>
            <w:vAlign w:val="center"/>
          </w:tcPr>
          <w:p w:rsidR="0072228E" w:rsidRPr="00A74BDF" w:rsidP="00B4645A" w14:paraId="07BE58AD" w14:textId="25A14819">
            <w:pPr>
              <w:jc w:val="center"/>
              <w:rPr>
                <w:color w:val="000000"/>
              </w:rPr>
            </w:pPr>
            <w:r>
              <w:rPr>
                <w:color w:val="000000"/>
              </w:rPr>
              <w:t>19,</w:t>
            </w:r>
            <w:r w:rsidR="00013713">
              <w:rPr>
                <w:color w:val="000000"/>
              </w:rPr>
              <w:t>393</w:t>
            </w:r>
          </w:p>
        </w:tc>
        <w:tc>
          <w:tcPr>
            <w:tcW w:w="1350" w:type="dxa"/>
            <w:vAlign w:val="center"/>
          </w:tcPr>
          <w:p w:rsidR="0072228E" w:rsidRPr="00A74BDF" w:rsidP="00B4645A" w14:paraId="2C5C981A" w14:textId="215D826F">
            <w:pPr>
              <w:jc w:val="center"/>
              <w:rPr>
                <w:color w:val="000000"/>
              </w:rPr>
            </w:pPr>
            <w:r w:rsidRPr="00A74BDF">
              <w:t>$</w:t>
            </w:r>
            <w:r>
              <w:t>61.18</w:t>
            </w:r>
          </w:p>
        </w:tc>
        <w:tc>
          <w:tcPr>
            <w:tcW w:w="1602" w:type="dxa"/>
            <w:vAlign w:val="center"/>
          </w:tcPr>
          <w:p w:rsidR="0072228E" w:rsidRPr="00A74BDF" w:rsidP="00B4645A" w14:paraId="7743DA36" w14:textId="0587BFCF">
            <w:pPr>
              <w:jc w:val="center"/>
              <w:rPr>
                <w:color w:val="000000"/>
              </w:rPr>
            </w:pPr>
            <w:r>
              <w:rPr>
                <w:color w:val="000000"/>
              </w:rPr>
              <w:t>1,186,</w:t>
            </w:r>
            <w:r w:rsidR="00B9500B">
              <w:rPr>
                <w:color w:val="000000"/>
              </w:rPr>
              <w:t>464</w:t>
            </w:r>
          </w:p>
        </w:tc>
      </w:tr>
      <w:tr w14:paraId="5EBF1EFE" w14:textId="77777777" w:rsidTr="00B4645A">
        <w:tblPrEx>
          <w:tblW w:w="13685" w:type="dxa"/>
          <w:jc w:val="center"/>
          <w:tblLayout w:type="fixed"/>
          <w:tblLook w:val="01E0"/>
        </w:tblPrEx>
        <w:trPr>
          <w:jc w:val="center"/>
        </w:trPr>
        <w:tc>
          <w:tcPr>
            <w:tcW w:w="2633" w:type="dxa"/>
            <w:shd w:val="clear" w:color="auto" w:fill="auto"/>
          </w:tcPr>
          <w:p w:rsidR="0072228E" w:rsidP="0072228E" w14:paraId="71811CC3" w14:textId="71E29713">
            <w:pPr>
              <w:rPr>
                <w:color w:val="000000"/>
              </w:rPr>
            </w:pPr>
            <w:r>
              <w:rPr>
                <w:color w:val="000000"/>
              </w:rPr>
              <w:t xml:space="preserve">Medium (20 - 499 </w:t>
            </w:r>
            <w:r w:rsidR="00B6388A">
              <w:rPr>
                <w:color w:val="000000"/>
              </w:rPr>
              <w:t>E</w:t>
            </w:r>
            <w:r>
              <w:rPr>
                <w:color w:val="000000"/>
              </w:rPr>
              <w:t>mployees)</w:t>
            </w:r>
          </w:p>
        </w:tc>
        <w:tc>
          <w:tcPr>
            <w:tcW w:w="1350" w:type="dxa"/>
            <w:shd w:val="clear" w:color="auto" w:fill="auto"/>
            <w:vAlign w:val="center"/>
          </w:tcPr>
          <w:p w:rsidR="0072228E" w:rsidRPr="00FF1F12" w:rsidP="00B4645A" w14:paraId="01394919" w14:textId="43D614A2">
            <w:pPr>
              <w:jc w:val="center"/>
              <w:rPr>
                <w:color w:val="000000"/>
              </w:rPr>
            </w:pPr>
            <w:r>
              <w:rPr>
                <w:color w:val="000000"/>
              </w:rPr>
              <w:t>22,</w:t>
            </w:r>
            <w:r w:rsidR="0078214D">
              <w:rPr>
                <w:color w:val="000000"/>
              </w:rPr>
              <w:t>891</w:t>
            </w:r>
          </w:p>
        </w:tc>
        <w:tc>
          <w:tcPr>
            <w:tcW w:w="1260" w:type="dxa"/>
            <w:shd w:val="clear" w:color="auto" w:fill="auto"/>
            <w:vAlign w:val="center"/>
          </w:tcPr>
          <w:p w:rsidR="0072228E" w:rsidRPr="002C0B15" w:rsidP="00B4645A" w14:paraId="0DB60473" w14:textId="77777777">
            <w:pPr>
              <w:jc w:val="center"/>
              <w:rPr>
                <w:color w:val="000000"/>
              </w:rPr>
            </w:pPr>
            <w:r>
              <w:rPr>
                <w:color w:val="000000"/>
              </w:rPr>
              <w:t>100%</w:t>
            </w:r>
          </w:p>
        </w:tc>
        <w:tc>
          <w:tcPr>
            <w:tcW w:w="1170" w:type="dxa"/>
            <w:vAlign w:val="center"/>
          </w:tcPr>
          <w:p w:rsidR="0072228E" w:rsidP="00B4645A" w14:paraId="1AD56461" w14:textId="77777777">
            <w:pPr>
              <w:jc w:val="center"/>
              <w:rPr>
                <w:color w:val="000000"/>
              </w:rPr>
            </w:pPr>
            <w:r>
              <w:rPr>
                <w:color w:val="000000"/>
              </w:rPr>
              <w:t>1</w:t>
            </w:r>
          </w:p>
        </w:tc>
        <w:tc>
          <w:tcPr>
            <w:tcW w:w="1440" w:type="dxa"/>
            <w:shd w:val="clear" w:color="auto" w:fill="auto"/>
            <w:vAlign w:val="center"/>
          </w:tcPr>
          <w:p w:rsidR="0072228E" w:rsidP="00B4645A" w14:paraId="0778AFDA" w14:textId="06E259AE">
            <w:pPr>
              <w:jc w:val="center"/>
              <w:rPr>
                <w:color w:val="000000"/>
              </w:rPr>
            </w:pPr>
            <w:r>
              <w:rPr>
                <w:color w:val="000000"/>
              </w:rPr>
              <w:t>22,</w:t>
            </w:r>
            <w:r w:rsidR="0078214D">
              <w:rPr>
                <w:color w:val="000000"/>
              </w:rPr>
              <w:t>891</w:t>
            </w:r>
          </w:p>
        </w:tc>
        <w:tc>
          <w:tcPr>
            <w:tcW w:w="1260" w:type="dxa"/>
            <w:shd w:val="clear" w:color="auto" w:fill="auto"/>
            <w:vAlign w:val="center"/>
          </w:tcPr>
          <w:p w:rsidR="0072228E" w:rsidRPr="00401AC9" w:rsidP="00B4645A" w14:paraId="3BFEE86B" w14:textId="77777777">
            <w:pPr>
              <w:jc w:val="center"/>
              <w:rPr>
                <w:color w:val="000000"/>
              </w:rPr>
            </w:pPr>
            <w:r>
              <w:rPr>
                <w:color w:val="000000"/>
              </w:rPr>
              <w:t>1 hour</w:t>
            </w:r>
          </w:p>
        </w:tc>
        <w:tc>
          <w:tcPr>
            <w:tcW w:w="1620" w:type="dxa"/>
            <w:shd w:val="clear" w:color="auto" w:fill="auto"/>
            <w:vAlign w:val="center"/>
          </w:tcPr>
          <w:p w:rsidR="0072228E" w:rsidP="00B4645A" w14:paraId="3D272521" w14:textId="34971EFC">
            <w:pPr>
              <w:jc w:val="center"/>
              <w:rPr>
                <w:color w:val="000000"/>
              </w:rPr>
            </w:pPr>
            <w:r>
              <w:rPr>
                <w:color w:val="000000"/>
              </w:rPr>
              <w:t>22,</w:t>
            </w:r>
            <w:r w:rsidR="00013713">
              <w:rPr>
                <w:color w:val="000000"/>
              </w:rPr>
              <w:t>891</w:t>
            </w:r>
          </w:p>
        </w:tc>
        <w:tc>
          <w:tcPr>
            <w:tcW w:w="1350" w:type="dxa"/>
            <w:vAlign w:val="center"/>
          </w:tcPr>
          <w:p w:rsidR="0072228E" w:rsidP="00B4645A" w14:paraId="21C83377" w14:textId="10383334">
            <w:pPr>
              <w:jc w:val="center"/>
              <w:rPr>
                <w:color w:val="000000"/>
              </w:rPr>
            </w:pPr>
            <w:r>
              <w:rPr>
                <w:rFonts w:ascii="Calibri" w:hAnsi="Calibri" w:cs="Calibri"/>
              </w:rPr>
              <w:t>$61.18</w:t>
            </w:r>
          </w:p>
        </w:tc>
        <w:tc>
          <w:tcPr>
            <w:tcW w:w="1602" w:type="dxa"/>
            <w:vAlign w:val="center"/>
          </w:tcPr>
          <w:p w:rsidR="0072228E" w:rsidP="00B4645A" w14:paraId="186B12DB" w14:textId="0DF00EF6">
            <w:pPr>
              <w:jc w:val="center"/>
              <w:rPr>
                <w:color w:val="000000"/>
              </w:rPr>
            </w:pPr>
            <w:r>
              <w:rPr>
                <w:color w:val="000000"/>
              </w:rPr>
              <w:t>$1,</w:t>
            </w:r>
            <w:r w:rsidR="00B9500B">
              <w:rPr>
                <w:color w:val="000000"/>
              </w:rPr>
              <w:t>400,471</w:t>
            </w:r>
          </w:p>
        </w:tc>
      </w:tr>
      <w:tr w14:paraId="6A947F29" w14:textId="77777777" w:rsidTr="00B4645A">
        <w:tblPrEx>
          <w:tblW w:w="13685" w:type="dxa"/>
          <w:jc w:val="center"/>
          <w:tblLayout w:type="fixed"/>
          <w:tblLook w:val="01E0"/>
        </w:tblPrEx>
        <w:trPr>
          <w:jc w:val="center"/>
        </w:trPr>
        <w:tc>
          <w:tcPr>
            <w:tcW w:w="2633" w:type="dxa"/>
            <w:shd w:val="clear" w:color="auto" w:fill="auto"/>
          </w:tcPr>
          <w:p w:rsidR="0072228E" w:rsidP="0072228E" w14:paraId="6514E265" w14:textId="77777777">
            <w:pPr>
              <w:rPr>
                <w:color w:val="000000"/>
              </w:rPr>
            </w:pPr>
            <w:r>
              <w:rPr>
                <w:color w:val="000000"/>
              </w:rPr>
              <w:t xml:space="preserve">Large </w:t>
            </w:r>
            <w:r>
              <w:rPr>
                <w:color w:val="000000"/>
              </w:rPr>
              <w:t>( 500</w:t>
            </w:r>
            <w:r>
              <w:rPr>
                <w:color w:val="000000"/>
              </w:rPr>
              <w:t xml:space="preserve"> + Employees)</w:t>
            </w:r>
          </w:p>
        </w:tc>
        <w:tc>
          <w:tcPr>
            <w:tcW w:w="1350" w:type="dxa"/>
            <w:shd w:val="clear" w:color="auto" w:fill="auto"/>
            <w:vAlign w:val="center"/>
          </w:tcPr>
          <w:p w:rsidR="0072228E" w:rsidRPr="00FF1F12" w:rsidP="00B4645A" w14:paraId="6D3E1AA6" w14:textId="4D7ABD9F">
            <w:pPr>
              <w:jc w:val="center"/>
              <w:rPr>
                <w:color w:val="000000"/>
              </w:rPr>
            </w:pPr>
            <w:r>
              <w:rPr>
                <w:color w:val="000000"/>
              </w:rPr>
              <w:t>498</w:t>
            </w:r>
          </w:p>
        </w:tc>
        <w:tc>
          <w:tcPr>
            <w:tcW w:w="1260" w:type="dxa"/>
            <w:shd w:val="clear" w:color="auto" w:fill="auto"/>
            <w:vAlign w:val="center"/>
          </w:tcPr>
          <w:p w:rsidR="0072228E" w:rsidRPr="002C0B15" w:rsidP="00B4645A" w14:paraId="029149F8" w14:textId="77777777">
            <w:pPr>
              <w:jc w:val="center"/>
              <w:rPr>
                <w:color w:val="000000"/>
              </w:rPr>
            </w:pPr>
            <w:r>
              <w:rPr>
                <w:color w:val="000000"/>
              </w:rPr>
              <w:t>100%</w:t>
            </w:r>
          </w:p>
        </w:tc>
        <w:tc>
          <w:tcPr>
            <w:tcW w:w="1170" w:type="dxa"/>
            <w:vAlign w:val="center"/>
          </w:tcPr>
          <w:p w:rsidR="0072228E" w:rsidP="00B4645A" w14:paraId="1ACF65B8" w14:textId="77777777">
            <w:pPr>
              <w:jc w:val="center"/>
              <w:rPr>
                <w:color w:val="000000"/>
              </w:rPr>
            </w:pPr>
            <w:r>
              <w:rPr>
                <w:color w:val="000000"/>
              </w:rPr>
              <w:t>1</w:t>
            </w:r>
          </w:p>
        </w:tc>
        <w:tc>
          <w:tcPr>
            <w:tcW w:w="1440" w:type="dxa"/>
            <w:shd w:val="clear" w:color="auto" w:fill="auto"/>
            <w:vAlign w:val="center"/>
          </w:tcPr>
          <w:p w:rsidR="0072228E" w:rsidP="00B4645A" w14:paraId="217E0749" w14:textId="78C956D3">
            <w:pPr>
              <w:jc w:val="center"/>
              <w:rPr>
                <w:color w:val="000000"/>
              </w:rPr>
            </w:pPr>
            <w:r>
              <w:rPr>
                <w:color w:val="000000"/>
              </w:rPr>
              <w:t>498</w:t>
            </w:r>
          </w:p>
        </w:tc>
        <w:tc>
          <w:tcPr>
            <w:tcW w:w="1260" w:type="dxa"/>
            <w:shd w:val="clear" w:color="auto" w:fill="auto"/>
            <w:vAlign w:val="center"/>
          </w:tcPr>
          <w:p w:rsidR="0072228E" w:rsidRPr="00401AC9" w:rsidP="00B4645A" w14:paraId="7AEA31EA" w14:textId="77777777">
            <w:pPr>
              <w:jc w:val="center"/>
              <w:rPr>
                <w:color w:val="000000"/>
              </w:rPr>
            </w:pPr>
            <w:r>
              <w:rPr>
                <w:color w:val="000000"/>
              </w:rPr>
              <w:t>4 hours</w:t>
            </w:r>
          </w:p>
        </w:tc>
        <w:tc>
          <w:tcPr>
            <w:tcW w:w="1620" w:type="dxa"/>
            <w:shd w:val="clear" w:color="auto" w:fill="auto"/>
            <w:vAlign w:val="center"/>
          </w:tcPr>
          <w:p w:rsidR="0072228E" w:rsidP="00B4645A" w14:paraId="0589D945" w14:textId="5F14C33A">
            <w:pPr>
              <w:jc w:val="center"/>
              <w:rPr>
                <w:color w:val="000000"/>
              </w:rPr>
            </w:pPr>
            <w:r>
              <w:rPr>
                <w:color w:val="000000"/>
              </w:rPr>
              <w:t>1,</w:t>
            </w:r>
            <w:r w:rsidR="00013713">
              <w:rPr>
                <w:color w:val="000000"/>
              </w:rPr>
              <w:t>992</w:t>
            </w:r>
          </w:p>
        </w:tc>
        <w:tc>
          <w:tcPr>
            <w:tcW w:w="1350" w:type="dxa"/>
            <w:vAlign w:val="center"/>
          </w:tcPr>
          <w:p w:rsidR="0072228E" w:rsidP="00B4645A" w14:paraId="1460D7E7" w14:textId="6235DD26">
            <w:pPr>
              <w:jc w:val="center"/>
              <w:rPr>
                <w:color w:val="000000"/>
              </w:rPr>
            </w:pPr>
            <w:r>
              <w:rPr>
                <w:rFonts w:ascii="Calibri" w:hAnsi="Calibri" w:cs="Calibri"/>
              </w:rPr>
              <w:t>$61.18</w:t>
            </w:r>
          </w:p>
        </w:tc>
        <w:tc>
          <w:tcPr>
            <w:tcW w:w="1602" w:type="dxa"/>
            <w:vAlign w:val="center"/>
          </w:tcPr>
          <w:p w:rsidR="0072228E" w:rsidP="00B4645A" w14:paraId="6247765B" w14:textId="5E85527F">
            <w:pPr>
              <w:jc w:val="center"/>
              <w:rPr>
                <w:color w:val="000000"/>
              </w:rPr>
            </w:pPr>
            <w:r>
              <w:rPr>
                <w:color w:val="000000"/>
              </w:rPr>
              <w:t>$</w:t>
            </w:r>
            <w:r w:rsidR="00B9500B">
              <w:rPr>
                <w:color w:val="000000"/>
              </w:rPr>
              <w:t>121,871</w:t>
            </w:r>
          </w:p>
        </w:tc>
      </w:tr>
      <w:tr w14:paraId="65692C25" w14:textId="77777777" w:rsidTr="00B4645A">
        <w:tblPrEx>
          <w:tblW w:w="13685" w:type="dxa"/>
          <w:jc w:val="center"/>
          <w:tblLayout w:type="fixed"/>
          <w:tblLook w:val="01E0"/>
        </w:tblPrEx>
        <w:trPr>
          <w:jc w:val="center"/>
        </w:trPr>
        <w:tc>
          <w:tcPr>
            <w:tcW w:w="2633" w:type="dxa"/>
            <w:shd w:val="clear" w:color="auto" w:fill="DEEBF6" w:themeFill="accent1" w:themeFillTint="33"/>
            <w:vAlign w:val="bottom"/>
          </w:tcPr>
          <w:p w:rsidR="003C0F41" w:rsidRPr="007056ED" w:rsidP="001F320C" w14:paraId="5DDF3CA2" w14:textId="77777777">
            <w:pPr>
              <w:rPr>
                <w:b/>
                <w:color w:val="000000"/>
              </w:rPr>
            </w:pPr>
            <w:r w:rsidRPr="00E82C5A">
              <w:rPr>
                <w:b/>
                <w:color w:val="000000"/>
                <w:kern w:val="0"/>
              </w:rPr>
              <w:t>Sub</w:t>
            </w:r>
            <w:r w:rsidRPr="007056ED">
              <w:rPr>
                <w:b/>
                <w:color w:val="000000"/>
                <w:kern w:val="0"/>
              </w:rPr>
              <w:t>total</w:t>
            </w:r>
          </w:p>
        </w:tc>
        <w:tc>
          <w:tcPr>
            <w:tcW w:w="1350" w:type="dxa"/>
            <w:shd w:val="clear" w:color="auto" w:fill="DEEBF6" w:themeFill="accent1" w:themeFillTint="33"/>
            <w:vAlign w:val="center"/>
          </w:tcPr>
          <w:p w:rsidR="003C0F41" w:rsidRPr="007056ED" w:rsidP="00B4645A" w14:paraId="5825EC8A" w14:textId="77777777">
            <w:pPr>
              <w:jc w:val="center"/>
              <w:rPr>
                <w:b/>
                <w:color w:val="000000"/>
              </w:rPr>
            </w:pPr>
          </w:p>
        </w:tc>
        <w:tc>
          <w:tcPr>
            <w:tcW w:w="1260" w:type="dxa"/>
            <w:shd w:val="clear" w:color="auto" w:fill="DEEBF6" w:themeFill="accent1" w:themeFillTint="33"/>
            <w:vAlign w:val="center"/>
          </w:tcPr>
          <w:p w:rsidR="003C0F41" w:rsidRPr="007056ED" w:rsidP="00B4645A" w14:paraId="41F0543B" w14:textId="77777777">
            <w:pPr>
              <w:jc w:val="center"/>
              <w:rPr>
                <w:b/>
                <w:color w:val="000000"/>
              </w:rPr>
            </w:pPr>
          </w:p>
        </w:tc>
        <w:tc>
          <w:tcPr>
            <w:tcW w:w="1170" w:type="dxa"/>
            <w:shd w:val="clear" w:color="auto" w:fill="DEEBF6" w:themeFill="accent1" w:themeFillTint="33"/>
            <w:vAlign w:val="center"/>
          </w:tcPr>
          <w:p w:rsidR="003C0F41" w:rsidRPr="007056ED" w:rsidP="00B4645A" w14:paraId="3BDC3D11" w14:textId="77777777">
            <w:pPr>
              <w:jc w:val="center"/>
              <w:rPr>
                <w:b/>
                <w:color w:val="000000"/>
              </w:rPr>
            </w:pPr>
          </w:p>
        </w:tc>
        <w:tc>
          <w:tcPr>
            <w:tcW w:w="1440" w:type="dxa"/>
            <w:shd w:val="clear" w:color="auto" w:fill="DEEBF6" w:themeFill="accent1" w:themeFillTint="33"/>
            <w:vAlign w:val="center"/>
          </w:tcPr>
          <w:p w:rsidR="003C0F41" w:rsidRPr="007056ED" w:rsidP="00B4645A" w14:paraId="0B1F82A8" w14:textId="3BBAB51E">
            <w:pPr>
              <w:jc w:val="center"/>
              <w:rPr>
                <w:b/>
                <w:color w:val="000000"/>
              </w:rPr>
            </w:pPr>
            <w:r>
              <w:rPr>
                <w:b/>
                <w:color w:val="000000"/>
              </w:rPr>
              <w:t>100,</w:t>
            </w:r>
            <w:r w:rsidR="002B25A8">
              <w:rPr>
                <w:b/>
                <w:color w:val="000000"/>
              </w:rPr>
              <w:t>961</w:t>
            </w:r>
          </w:p>
        </w:tc>
        <w:tc>
          <w:tcPr>
            <w:tcW w:w="1260" w:type="dxa"/>
            <w:shd w:val="clear" w:color="auto" w:fill="DEEBF6" w:themeFill="accent1" w:themeFillTint="33"/>
            <w:vAlign w:val="center"/>
          </w:tcPr>
          <w:p w:rsidR="003C0F41" w:rsidRPr="007056ED" w:rsidP="00B4645A" w14:paraId="52E41377" w14:textId="77777777">
            <w:pPr>
              <w:jc w:val="center"/>
              <w:rPr>
                <w:b/>
                <w:color w:val="000000"/>
              </w:rPr>
            </w:pPr>
          </w:p>
        </w:tc>
        <w:tc>
          <w:tcPr>
            <w:tcW w:w="1620" w:type="dxa"/>
            <w:shd w:val="clear" w:color="auto" w:fill="DEEBF6" w:themeFill="accent1" w:themeFillTint="33"/>
            <w:vAlign w:val="center"/>
          </w:tcPr>
          <w:p w:rsidR="003C0F41" w:rsidRPr="007056ED" w:rsidP="00B4645A" w14:paraId="12CB8B0F" w14:textId="4B719CD3">
            <w:pPr>
              <w:jc w:val="center"/>
              <w:rPr>
                <w:b/>
                <w:color w:val="000000"/>
              </w:rPr>
            </w:pPr>
            <w:r>
              <w:rPr>
                <w:b/>
                <w:color w:val="000000"/>
              </w:rPr>
              <w:t>44,276</w:t>
            </w:r>
          </w:p>
        </w:tc>
        <w:tc>
          <w:tcPr>
            <w:tcW w:w="1350" w:type="dxa"/>
            <w:shd w:val="clear" w:color="auto" w:fill="DEEBF6" w:themeFill="accent1" w:themeFillTint="33"/>
            <w:vAlign w:val="center"/>
          </w:tcPr>
          <w:p w:rsidR="003C0F41" w:rsidRPr="007056ED" w:rsidP="00B4645A" w14:paraId="25A27539" w14:textId="77777777">
            <w:pPr>
              <w:jc w:val="center"/>
              <w:rPr>
                <w:b/>
                <w:color w:val="000000"/>
              </w:rPr>
            </w:pPr>
          </w:p>
        </w:tc>
        <w:tc>
          <w:tcPr>
            <w:tcW w:w="1602" w:type="dxa"/>
            <w:shd w:val="clear" w:color="auto" w:fill="DEEBF6" w:themeFill="accent1" w:themeFillTint="33"/>
            <w:vAlign w:val="center"/>
          </w:tcPr>
          <w:p w:rsidR="003C0F41" w:rsidRPr="007056ED" w:rsidP="00B4645A" w14:paraId="6477DD14" w14:textId="1E20A60A">
            <w:pPr>
              <w:jc w:val="center"/>
              <w:rPr>
                <w:b/>
                <w:color w:val="000000"/>
              </w:rPr>
            </w:pPr>
            <w:r w:rsidRPr="007056ED">
              <w:rPr>
                <w:b/>
                <w:color w:val="000000"/>
              </w:rPr>
              <w:t>$</w:t>
            </w:r>
            <w:r w:rsidR="001244B8">
              <w:rPr>
                <w:b/>
                <w:color w:val="000000"/>
              </w:rPr>
              <w:t>2,</w:t>
            </w:r>
            <w:r w:rsidR="002B25A8">
              <w:rPr>
                <w:b/>
                <w:color w:val="000000"/>
              </w:rPr>
              <w:t>708,806</w:t>
            </w:r>
          </w:p>
        </w:tc>
      </w:tr>
      <w:tr w14:paraId="520A7FBC" w14:textId="77777777" w:rsidTr="00703FD2">
        <w:tblPrEx>
          <w:tblW w:w="13685" w:type="dxa"/>
          <w:jc w:val="center"/>
          <w:tblLayout w:type="fixed"/>
          <w:tblLook w:val="01E0"/>
        </w:tblPrEx>
        <w:trPr>
          <w:jc w:val="center"/>
        </w:trPr>
        <w:tc>
          <w:tcPr>
            <w:tcW w:w="2633" w:type="dxa"/>
            <w:shd w:val="clear" w:color="auto" w:fill="D6DCE4" w:themeFill="text2" w:themeFillTint="33"/>
          </w:tcPr>
          <w:p w:rsidR="00037FE5" w:rsidP="001F320C" w14:paraId="0ECF6627" w14:textId="77777777">
            <w:pPr>
              <w:rPr>
                <w:b/>
                <w:color w:val="000000"/>
              </w:rPr>
            </w:pPr>
          </w:p>
        </w:tc>
        <w:tc>
          <w:tcPr>
            <w:tcW w:w="1350" w:type="dxa"/>
            <w:shd w:val="clear" w:color="auto" w:fill="D6DCE4" w:themeFill="text2" w:themeFillTint="33"/>
          </w:tcPr>
          <w:p w:rsidR="00037FE5" w:rsidRPr="00FF1F12" w:rsidP="001F320C" w14:paraId="458EB06C" w14:textId="77777777">
            <w:pPr>
              <w:jc w:val="right"/>
              <w:rPr>
                <w:color w:val="000000"/>
              </w:rPr>
            </w:pPr>
          </w:p>
        </w:tc>
        <w:tc>
          <w:tcPr>
            <w:tcW w:w="1260" w:type="dxa"/>
            <w:shd w:val="clear" w:color="auto" w:fill="D6DCE4" w:themeFill="text2" w:themeFillTint="33"/>
          </w:tcPr>
          <w:p w:rsidR="00037FE5" w:rsidRPr="00DB116E" w:rsidP="001F320C" w14:paraId="0E12F94D" w14:textId="77777777">
            <w:pPr>
              <w:jc w:val="right"/>
              <w:rPr>
                <w:color w:val="000000"/>
              </w:rPr>
            </w:pPr>
          </w:p>
        </w:tc>
        <w:tc>
          <w:tcPr>
            <w:tcW w:w="1170" w:type="dxa"/>
            <w:shd w:val="clear" w:color="auto" w:fill="D6DCE4" w:themeFill="text2" w:themeFillTint="33"/>
          </w:tcPr>
          <w:p w:rsidR="00037FE5" w:rsidRPr="00876AE4" w:rsidP="001F320C" w14:paraId="08F2BF31" w14:textId="77777777">
            <w:pPr>
              <w:jc w:val="right"/>
              <w:rPr>
                <w:color w:val="000000"/>
              </w:rPr>
            </w:pPr>
          </w:p>
        </w:tc>
        <w:tc>
          <w:tcPr>
            <w:tcW w:w="1440" w:type="dxa"/>
            <w:shd w:val="clear" w:color="auto" w:fill="D6DCE4" w:themeFill="text2" w:themeFillTint="33"/>
          </w:tcPr>
          <w:p w:rsidR="00037FE5" w:rsidRPr="00876AE4" w:rsidP="001F320C" w14:paraId="639D6176" w14:textId="77777777">
            <w:pPr>
              <w:jc w:val="right"/>
              <w:rPr>
                <w:color w:val="000000"/>
              </w:rPr>
            </w:pPr>
          </w:p>
        </w:tc>
        <w:tc>
          <w:tcPr>
            <w:tcW w:w="1260" w:type="dxa"/>
            <w:shd w:val="clear" w:color="auto" w:fill="D6DCE4" w:themeFill="text2" w:themeFillTint="33"/>
          </w:tcPr>
          <w:p w:rsidR="00037FE5" w:rsidRPr="00401AC9" w:rsidP="001F320C" w14:paraId="27B0E195" w14:textId="77777777">
            <w:pPr>
              <w:rPr>
                <w:color w:val="000000"/>
              </w:rPr>
            </w:pPr>
          </w:p>
        </w:tc>
        <w:tc>
          <w:tcPr>
            <w:tcW w:w="1620" w:type="dxa"/>
            <w:shd w:val="clear" w:color="auto" w:fill="D6DCE4" w:themeFill="text2" w:themeFillTint="33"/>
          </w:tcPr>
          <w:p w:rsidR="00037FE5" w:rsidRPr="00876AE4" w:rsidP="001F320C" w14:paraId="47CAD251" w14:textId="77777777">
            <w:pPr>
              <w:jc w:val="right"/>
              <w:rPr>
                <w:color w:val="000000"/>
              </w:rPr>
            </w:pPr>
          </w:p>
        </w:tc>
        <w:tc>
          <w:tcPr>
            <w:tcW w:w="1350" w:type="dxa"/>
            <w:shd w:val="clear" w:color="auto" w:fill="D6DCE4" w:themeFill="text2" w:themeFillTint="33"/>
          </w:tcPr>
          <w:p w:rsidR="00037FE5" w:rsidRPr="00876AE4" w:rsidP="001F320C" w14:paraId="4AF34850" w14:textId="77777777">
            <w:pPr>
              <w:jc w:val="right"/>
            </w:pPr>
          </w:p>
        </w:tc>
        <w:tc>
          <w:tcPr>
            <w:tcW w:w="1602" w:type="dxa"/>
            <w:shd w:val="clear" w:color="auto" w:fill="D6DCE4" w:themeFill="text2" w:themeFillTint="33"/>
          </w:tcPr>
          <w:p w:rsidR="00037FE5" w:rsidRPr="00876AE4" w:rsidP="001F320C" w14:paraId="722A0B90" w14:textId="77777777">
            <w:pPr>
              <w:jc w:val="right"/>
            </w:pPr>
          </w:p>
        </w:tc>
      </w:tr>
      <w:tr w14:paraId="09CA2308" w14:textId="77777777" w:rsidTr="00B4645A">
        <w:tblPrEx>
          <w:tblW w:w="13685" w:type="dxa"/>
          <w:jc w:val="center"/>
          <w:tblLayout w:type="fixed"/>
          <w:tblLook w:val="01E0"/>
        </w:tblPrEx>
        <w:trPr>
          <w:jc w:val="center"/>
        </w:trPr>
        <w:tc>
          <w:tcPr>
            <w:tcW w:w="2633" w:type="dxa"/>
            <w:shd w:val="clear" w:color="auto" w:fill="auto"/>
          </w:tcPr>
          <w:p w:rsidR="00A30A10" w:rsidRPr="00CF78D0" w:rsidP="00037FE5" w14:paraId="77D322D7" w14:textId="34420C70">
            <w:pPr>
              <w:rPr>
                <w:b/>
                <w:color w:val="000000"/>
              </w:rPr>
            </w:pPr>
            <w:r w:rsidRPr="00CF78D0">
              <w:rPr>
                <w:b/>
                <w:color w:val="000000"/>
              </w:rPr>
              <w:t>First Year</w:t>
            </w:r>
          </w:p>
        </w:tc>
        <w:tc>
          <w:tcPr>
            <w:tcW w:w="1350" w:type="dxa"/>
            <w:shd w:val="clear" w:color="auto" w:fill="auto"/>
            <w:vAlign w:val="center"/>
          </w:tcPr>
          <w:p w:rsidR="00037FE5" w:rsidRPr="00CF78D0" w:rsidP="00B4645A" w14:paraId="79EC803F" w14:textId="77777777">
            <w:pPr>
              <w:jc w:val="center"/>
              <w:rPr>
                <w:color w:val="000000"/>
              </w:rPr>
            </w:pPr>
          </w:p>
        </w:tc>
        <w:tc>
          <w:tcPr>
            <w:tcW w:w="1260" w:type="dxa"/>
            <w:shd w:val="clear" w:color="auto" w:fill="auto"/>
            <w:vAlign w:val="center"/>
          </w:tcPr>
          <w:p w:rsidR="00037FE5" w:rsidRPr="00CF78D0" w:rsidP="00B4645A" w14:paraId="0100F1B1" w14:textId="77777777">
            <w:pPr>
              <w:jc w:val="center"/>
              <w:rPr>
                <w:color w:val="000000"/>
              </w:rPr>
            </w:pPr>
          </w:p>
        </w:tc>
        <w:tc>
          <w:tcPr>
            <w:tcW w:w="1170" w:type="dxa"/>
            <w:vAlign w:val="center"/>
          </w:tcPr>
          <w:p w:rsidR="00037FE5" w:rsidRPr="00CF78D0" w:rsidP="00B4645A" w14:paraId="1C44D012" w14:textId="77777777">
            <w:pPr>
              <w:jc w:val="center"/>
              <w:rPr>
                <w:color w:val="000000"/>
              </w:rPr>
            </w:pPr>
          </w:p>
        </w:tc>
        <w:tc>
          <w:tcPr>
            <w:tcW w:w="1440" w:type="dxa"/>
            <w:shd w:val="clear" w:color="auto" w:fill="auto"/>
            <w:vAlign w:val="center"/>
          </w:tcPr>
          <w:p w:rsidR="00037FE5" w:rsidRPr="00CF78D0" w:rsidP="00B4645A" w14:paraId="16EF01EF" w14:textId="658E8680">
            <w:pPr>
              <w:widowControl/>
              <w:overflowPunct/>
              <w:autoSpaceDE/>
              <w:autoSpaceDN/>
              <w:adjustRightInd/>
              <w:jc w:val="center"/>
              <w:rPr>
                <w:b/>
                <w:bCs/>
                <w:color w:val="000000"/>
                <w:kern w:val="0"/>
              </w:rPr>
            </w:pPr>
            <w:r>
              <w:rPr>
                <w:b/>
                <w:bCs/>
                <w:color w:val="000000"/>
              </w:rPr>
              <w:t>896,003</w:t>
            </w:r>
          </w:p>
        </w:tc>
        <w:tc>
          <w:tcPr>
            <w:tcW w:w="1260" w:type="dxa"/>
            <w:shd w:val="clear" w:color="auto" w:fill="auto"/>
            <w:vAlign w:val="center"/>
          </w:tcPr>
          <w:p w:rsidR="00037FE5" w:rsidRPr="00CF78D0" w:rsidP="00B4645A" w14:paraId="6A29E010" w14:textId="77777777">
            <w:pPr>
              <w:jc w:val="center"/>
              <w:rPr>
                <w:b/>
                <w:color w:val="000000"/>
              </w:rPr>
            </w:pPr>
          </w:p>
        </w:tc>
        <w:tc>
          <w:tcPr>
            <w:tcW w:w="1620" w:type="dxa"/>
            <w:shd w:val="clear" w:color="auto" w:fill="auto"/>
            <w:vAlign w:val="center"/>
          </w:tcPr>
          <w:p w:rsidR="00037FE5" w:rsidRPr="00CF78D0" w:rsidP="00B4645A" w14:paraId="6385AAC7" w14:textId="27CAD789">
            <w:pPr>
              <w:jc w:val="center"/>
              <w:rPr>
                <w:b/>
                <w:bCs/>
                <w:color w:val="000000"/>
              </w:rPr>
            </w:pPr>
            <w:r>
              <w:rPr>
                <w:b/>
                <w:bCs/>
                <w:color w:val="000000"/>
              </w:rPr>
              <w:t>574,603</w:t>
            </w:r>
          </w:p>
        </w:tc>
        <w:tc>
          <w:tcPr>
            <w:tcW w:w="1350" w:type="dxa"/>
            <w:vAlign w:val="center"/>
          </w:tcPr>
          <w:p w:rsidR="00037FE5" w:rsidRPr="00CF78D0" w:rsidP="00B4645A" w14:paraId="19F5781A" w14:textId="77777777">
            <w:pPr>
              <w:jc w:val="center"/>
              <w:rPr>
                <w:b/>
                <w:bCs/>
                <w:color w:val="000000"/>
              </w:rPr>
            </w:pPr>
          </w:p>
        </w:tc>
        <w:tc>
          <w:tcPr>
            <w:tcW w:w="1602" w:type="dxa"/>
            <w:vAlign w:val="center"/>
          </w:tcPr>
          <w:p w:rsidR="00037FE5" w:rsidRPr="00CF78D0" w:rsidP="00B4645A" w14:paraId="790D2ED2" w14:textId="2BBB5FFD">
            <w:pPr>
              <w:jc w:val="center"/>
              <w:rPr>
                <w:b/>
                <w:bCs/>
                <w:color w:val="000000"/>
              </w:rPr>
            </w:pPr>
            <w:r w:rsidRPr="00CF78D0">
              <w:rPr>
                <w:b/>
                <w:bCs/>
                <w:color w:val="000000"/>
              </w:rPr>
              <w:t>$</w:t>
            </w:r>
            <w:r w:rsidR="001E14B0">
              <w:rPr>
                <w:b/>
                <w:bCs/>
                <w:color w:val="000000"/>
              </w:rPr>
              <w:t>35,154,190</w:t>
            </w:r>
          </w:p>
        </w:tc>
      </w:tr>
      <w:tr w14:paraId="3FCFC76B" w14:textId="77777777" w:rsidTr="00B4645A">
        <w:tblPrEx>
          <w:tblW w:w="13685" w:type="dxa"/>
          <w:jc w:val="center"/>
          <w:tblLayout w:type="fixed"/>
          <w:tblLook w:val="01E0"/>
        </w:tblPrEx>
        <w:trPr>
          <w:trHeight w:val="377"/>
          <w:jc w:val="center"/>
        </w:trPr>
        <w:tc>
          <w:tcPr>
            <w:tcW w:w="2633" w:type="dxa"/>
            <w:shd w:val="clear" w:color="auto" w:fill="auto"/>
            <w:vAlign w:val="center"/>
          </w:tcPr>
          <w:p w:rsidR="00037FE5" w:rsidRPr="00CF78D0" w:rsidP="00370C6C" w14:paraId="2AAE9D62" w14:textId="77777777">
            <w:pPr>
              <w:rPr>
                <w:b/>
                <w:color w:val="000000"/>
              </w:rPr>
            </w:pPr>
            <w:r w:rsidRPr="00CF78D0">
              <w:rPr>
                <w:b/>
                <w:color w:val="000000"/>
              </w:rPr>
              <w:t>Annual</w:t>
            </w:r>
          </w:p>
        </w:tc>
        <w:tc>
          <w:tcPr>
            <w:tcW w:w="1350" w:type="dxa"/>
            <w:shd w:val="clear" w:color="auto" w:fill="auto"/>
            <w:vAlign w:val="center"/>
          </w:tcPr>
          <w:p w:rsidR="00037FE5" w:rsidRPr="00CF78D0" w:rsidP="004C4533" w14:paraId="07D88A47" w14:textId="77777777">
            <w:pPr>
              <w:jc w:val="center"/>
              <w:rPr>
                <w:color w:val="000000"/>
              </w:rPr>
            </w:pPr>
          </w:p>
        </w:tc>
        <w:tc>
          <w:tcPr>
            <w:tcW w:w="1260" w:type="dxa"/>
            <w:shd w:val="clear" w:color="auto" w:fill="auto"/>
            <w:vAlign w:val="center"/>
          </w:tcPr>
          <w:p w:rsidR="00037FE5" w:rsidRPr="00CF78D0" w:rsidP="004C4533" w14:paraId="193D78D2" w14:textId="77777777">
            <w:pPr>
              <w:jc w:val="center"/>
              <w:rPr>
                <w:color w:val="000000"/>
              </w:rPr>
            </w:pPr>
          </w:p>
        </w:tc>
        <w:tc>
          <w:tcPr>
            <w:tcW w:w="1170" w:type="dxa"/>
            <w:vAlign w:val="center"/>
          </w:tcPr>
          <w:p w:rsidR="00037FE5" w:rsidRPr="00CF78D0" w:rsidP="004C4533" w14:paraId="6650DE83" w14:textId="77777777">
            <w:pPr>
              <w:jc w:val="center"/>
              <w:rPr>
                <w:color w:val="000000"/>
              </w:rPr>
            </w:pPr>
          </w:p>
        </w:tc>
        <w:tc>
          <w:tcPr>
            <w:tcW w:w="1440" w:type="dxa"/>
            <w:shd w:val="clear" w:color="auto" w:fill="auto"/>
            <w:vAlign w:val="center"/>
          </w:tcPr>
          <w:p w:rsidR="00037FE5" w:rsidRPr="00CF78D0" w:rsidP="00B4645A" w14:paraId="477539B5" w14:textId="0A7DCF9B">
            <w:pPr>
              <w:jc w:val="center"/>
              <w:rPr>
                <w:b/>
                <w:color w:val="000000"/>
              </w:rPr>
            </w:pPr>
            <w:r>
              <w:rPr>
                <w:b/>
                <w:color w:val="000000"/>
              </w:rPr>
              <w:t>98,4</w:t>
            </w:r>
            <w:r w:rsidR="005D704D">
              <w:rPr>
                <w:b/>
                <w:color w:val="000000"/>
              </w:rPr>
              <w:t>63,</w:t>
            </w:r>
            <w:r w:rsidR="00F06150">
              <w:rPr>
                <w:b/>
                <w:color w:val="000000"/>
              </w:rPr>
              <w:t>337</w:t>
            </w:r>
          </w:p>
        </w:tc>
        <w:tc>
          <w:tcPr>
            <w:tcW w:w="1260" w:type="dxa"/>
            <w:shd w:val="clear" w:color="auto" w:fill="auto"/>
            <w:vAlign w:val="center"/>
          </w:tcPr>
          <w:p w:rsidR="00037FE5" w:rsidRPr="00CF78D0" w:rsidP="00B4645A" w14:paraId="7733A0BA" w14:textId="77777777">
            <w:pPr>
              <w:jc w:val="center"/>
              <w:rPr>
                <w:b/>
                <w:color w:val="000000"/>
              </w:rPr>
            </w:pPr>
          </w:p>
        </w:tc>
        <w:tc>
          <w:tcPr>
            <w:tcW w:w="1620" w:type="dxa"/>
            <w:shd w:val="clear" w:color="auto" w:fill="auto"/>
            <w:vAlign w:val="center"/>
          </w:tcPr>
          <w:p w:rsidR="00037FE5" w:rsidRPr="00CF78D0" w:rsidP="00B4645A" w14:paraId="12AA06D2" w14:textId="42E4DD31">
            <w:pPr>
              <w:jc w:val="center"/>
              <w:rPr>
                <w:b/>
                <w:color w:val="000000"/>
              </w:rPr>
            </w:pPr>
            <w:r>
              <w:rPr>
                <w:b/>
                <w:color w:val="000000"/>
              </w:rPr>
              <w:t>7,015,035</w:t>
            </w:r>
          </w:p>
        </w:tc>
        <w:tc>
          <w:tcPr>
            <w:tcW w:w="1350" w:type="dxa"/>
            <w:vAlign w:val="center"/>
          </w:tcPr>
          <w:p w:rsidR="00037FE5" w:rsidRPr="00CF78D0" w:rsidP="00B4645A" w14:paraId="1FD45486" w14:textId="77777777">
            <w:pPr>
              <w:jc w:val="center"/>
              <w:rPr>
                <w:b/>
              </w:rPr>
            </w:pPr>
          </w:p>
        </w:tc>
        <w:tc>
          <w:tcPr>
            <w:tcW w:w="1602" w:type="dxa"/>
            <w:vAlign w:val="center"/>
          </w:tcPr>
          <w:p w:rsidR="00037FE5" w:rsidRPr="00CF78D0" w:rsidP="00B4645A" w14:paraId="2FBB4EEE" w14:textId="2A76387B">
            <w:pPr>
              <w:jc w:val="center"/>
              <w:rPr>
                <w:b/>
              </w:rPr>
            </w:pPr>
            <w:r w:rsidRPr="00CF78D0">
              <w:rPr>
                <w:b/>
              </w:rPr>
              <w:t>$</w:t>
            </w:r>
            <w:r w:rsidR="001E14B0">
              <w:rPr>
                <w:b/>
              </w:rPr>
              <w:t>351,473</w:t>
            </w:r>
            <w:r w:rsidR="00225C46">
              <w:rPr>
                <w:b/>
              </w:rPr>
              <w:t>,675</w:t>
            </w:r>
          </w:p>
        </w:tc>
      </w:tr>
      <w:tr w14:paraId="7488FC9B" w14:textId="77777777" w:rsidTr="00B4645A">
        <w:tblPrEx>
          <w:tblW w:w="13685" w:type="dxa"/>
          <w:jc w:val="center"/>
          <w:tblLayout w:type="fixed"/>
          <w:tblLook w:val="01E0"/>
        </w:tblPrEx>
        <w:trPr>
          <w:jc w:val="center"/>
        </w:trPr>
        <w:tc>
          <w:tcPr>
            <w:tcW w:w="2633" w:type="dxa"/>
            <w:shd w:val="clear" w:color="auto" w:fill="DEEBF6" w:themeFill="accent1" w:themeFillTint="33"/>
          </w:tcPr>
          <w:p w:rsidR="00037FE5" w:rsidRPr="00CF78D0" w:rsidP="00037FE5" w14:paraId="21222E3D" w14:textId="77777777">
            <w:pPr>
              <w:rPr>
                <w:b/>
                <w:color w:val="000000"/>
              </w:rPr>
            </w:pPr>
            <w:r w:rsidRPr="00CF78D0">
              <w:rPr>
                <w:b/>
                <w:color w:val="000000"/>
              </w:rPr>
              <w:t>TOTAL</w:t>
            </w:r>
          </w:p>
        </w:tc>
        <w:tc>
          <w:tcPr>
            <w:tcW w:w="1350" w:type="dxa"/>
            <w:shd w:val="clear" w:color="auto" w:fill="DEEBF6" w:themeFill="accent1" w:themeFillTint="33"/>
            <w:vAlign w:val="center"/>
          </w:tcPr>
          <w:p w:rsidR="00037FE5" w:rsidRPr="00CF78D0" w:rsidP="00B4645A" w14:paraId="37548FE2" w14:textId="77777777">
            <w:pPr>
              <w:jc w:val="center"/>
              <w:rPr>
                <w:color w:val="000000"/>
              </w:rPr>
            </w:pPr>
          </w:p>
        </w:tc>
        <w:tc>
          <w:tcPr>
            <w:tcW w:w="1260" w:type="dxa"/>
            <w:shd w:val="clear" w:color="auto" w:fill="DEEBF6" w:themeFill="accent1" w:themeFillTint="33"/>
            <w:vAlign w:val="center"/>
          </w:tcPr>
          <w:p w:rsidR="00037FE5" w:rsidRPr="00CF78D0" w:rsidP="00B4645A" w14:paraId="4220B402" w14:textId="77777777">
            <w:pPr>
              <w:jc w:val="center"/>
              <w:rPr>
                <w:color w:val="000000"/>
              </w:rPr>
            </w:pPr>
          </w:p>
        </w:tc>
        <w:tc>
          <w:tcPr>
            <w:tcW w:w="1170" w:type="dxa"/>
            <w:shd w:val="clear" w:color="auto" w:fill="DEEBF6" w:themeFill="accent1" w:themeFillTint="33"/>
            <w:vAlign w:val="center"/>
          </w:tcPr>
          <w:p w:rsidR="00037FE5" w:rsidRPr="00CF78D0" w:rsidP="00B4645A" w14:paraId="7BA68192" w14:textId="77777777">
            <w:pPr>
              <w:jc w:val="center"/>
              <w:rPr>
                <w:color w:val="000000"/>
              </w:rPr>
            </w:pPr>
          </w:p>
        </w:tc>
        <w:tc>
          <w:tcPr>
            <w:tcW w:w="1440" w:type="dxa"/>
            <w:shd w:val="clear" w:color="auto" w:fill="DEEBF6" w:themeFill="accent1" w:themeFillTint="33"/>
            <w:vAlign w:val="center"/>
          </w:tcPr>
          <w:p w:rsidR="00037FE5" w:rsidRPr="00CF78D0" w:rsidP="00B4645A" w14:paraId="3DC5BDDE" w14:textId="14618195">
            <w:pPr>
              <w:jc w:val="center"/>
              <w:rPr>
                <w:b/>
                <w:color w:val="000000"/>
              </w:rPr>
            </w:pPr>
            <w:r>
              <w:rPr>
                <w:b/>
                <w:color w:val="000000"/>
              </w:rPr>
              <w:t>98</w:t>
            </w:r>
            <w:r w:rsidR="00934A47">
              <w:rPr>
                <w:b/>
                <w:color w:val="000000"/>
              </w:rPr>
              <w:t>,</w:t>
            </w:r>
            <w:r w:rsidR="00A95C7C">
              <w:rPr>
                <w:b/>
                <w:color w:val="000000"/>
              </w:rPr>
              <w:t>35</w:t>
            </w:r>
            <w:r w:rsidR="00E9742A">
              <w:rPr>
                <w:b/>
                <w:color w:val="000000"/>
              </w:rPr>
              <w:t>9,</w:t>
            </w:r>
            <w:r w:rsidR="00021B9A">
              <w:rPr>
                <w:b/>
                <w:color w:val="000000"/>
              </w:rPr>
              <w:t>340</w:t>
            </w:r>
          </w:p>
        </w:tc>
        <w:tc>
          <w:tcPr>
            <w:tcW w:w="1260" w:type="dxa"/>
            <w:shd w:val="clear" w:color="auto" w:fill="DEEBF6" w:themeFill="accent1" w:themeFillTint="33"/>
            <w:vAlign w:val="center"/>
          </w:tcPr>
          <w:p w:rsidR="00037FE5" w:rsidRPr="00CF78D0" w:rsidP="00B4645A" w14:paraId="6611C2FD" w14:textId="77777777">
            <w:pPr>
              <w:jc w:val="center"/>
              <w:rPr>
                <w:b/>
                <w:color w:val="000000"/>
              </w:rPr>
            </w:pPr>
          </w:p>
        </w:tc>
        <w:tc>
          <w:tcPr>
            <w:tcW w:w="1620" w:type="dxa"/>
            <w:shd w:val="clear" w:color="auto" w:fill="DEEBF6" w:themeFill="accent1" w:themeFillTint="33"/>
            <w:vAlign w:val="center"/>
          </w:tcPr>
          <w:p w:rsidR="00037FE5" w:rsidRPr="00CF78D0" w:rsidP="00B4645A" w14:paraId="52725FD7" w14:textId="645FAF3D">
            <w:pPr>
              <w:jc w:val="center"/>
              <w:rPr>
                <w:b/>
                <w:color w:val="000000"/>
              </w:rPr>
            </w:pPr>
            <w:r>
              <w:rPr>
                <w:b/>
                <w:color w:val="000000"/>
              </w:rPr>
              <w:t>7,589,638</w:t>
            </w:r>
          </w:p>
        </w:tc>
        <w:tc>
          <w:tcPr>
            <w:tcW w:w="1350" w:type="dxa"/>
            <w:shd w:val="clear" w:color="auto" w:fill="DEEBF6" w:themeFill="accent1" w:themeFillTint="33"/>
            <w:vAlign w:val="center"/>
          </w:tcPr>
          <w:p w:rsidR="00037FE5" w:rsidRPr="00CF78D0" w:rsidP="00B4645A" w14:paraId="08D3A595" w14:textId="77777777">
            <w:pPr>
              <w:jc w:val="center"/>
              <w:rPr>
                <w:b/>
              </w:rPr>
            </w:pPr>
          </w:p>
        </w:tc>
        <w:tc>
          <w:tcPr>
            <w:tcW w:w="1602" w:type="dxa"/>
            <w:shd w:val="clear" w:color="auto" w:fill="DEEBF6" w:themeFill="accent1" w:themeFillTint="33"/>
            <w:vAlign w:val="center"/>
          </w:tcPr>
          <w:p w:rsidR="00037FE5" w:rsidRPr="00CF78D0" w:rsidP="00B4645A" w14:paraId="3A83FCE0" w14:textId="45D2AA7A">
            <w:pPr>
              <w:jc w:val="center"/>
              <w:rPr>
                <w:b/>
              </w:rPr>
            </w:pPr>
            <w:r w:rsidRPr="00CF78D0">
              <w:rPr>
                <w:b/>
              </w:rPr>
              <w:t>$</w:t>
            </w:r>
            <w:r w:rsidR="0085228E">
              <w:rPr>
                <w:b/>
              </w:rPr>
              <w:t>3</w:t>
            </w:r>
            <w:r w:rsidR="00062B56">
              <w:rPr>
                <w:b/>
              </w:rPr>
              <w:t>86,</w:t>
            </w:r>
            <w:r w:rsidR="00D53724">
              <w:rPr>
                <w:b/>
              </w:rPr>
              <w:t>627,</w:t>
            </w:r>
            <w:r w:rsidR="00DC3EE6">
              <w:rPr>
                <w:b/>
              </w:rPr>
              <w:t>865</w:t>
            </w:r>
          </w:p>
        </w:tc>
      </w:tr>
      <w:tr w14:paraId="727639BD" w14:textId="77777777" w:rsidTr="00B4645A">
        <w:tblPrEx>
          <w:tblW w:w="13685" w:type="dxa"/>
          <w:jc w:val="center"/>
          <w:tblLayout w:type="fixed"/>
          <w:tblLook w:val="01E0"/>
        </w:tblPrEx>
        <w:trPr>
          <w:jc w:val="center"/>
        </w:trPr>
        <w:tc>
          <w:tcPr>
            <w:tcW w:w="2633" w:type="dxa"/>
            <w:shd w:val="clear" w:color="auto" w:fill="auto"/>
          </w:tcPr>
          <w:p w:rsidR="007C5BDF" w:rsidRPr="00CF78D0" w:rsidP="007C5BDF" w14:paraId="464FC157" w14:textId="11341268">
            <w:pPr>
              <w:rPr>
                <w:b/>
                <w:color w:val="000000"/>
              </w:rPr>
            </w:pPr>
            <w:r>
              <w:rPr>
                <w:b/>
                <w:color w:val="000000"/>
              </w:rPr>
              <w:t xml:space="preserve">Totals </w:t>
            </w:r>
            <w:r w:rsidRPr="00CF78D0">
              <w:rPr>
                <w:b/>
                <w:color w:val="000000"/>
              </w:rPr>
              <w:t>A</w:t>
            </w:r>
            <w:r>
              <w:rPr>
                <w:b/>
                <w:color w:val="000000"/>
              </w:rPr>
              <w:t>nnualized</w:t>
            </w:r>
            <w:r w:rsidRPr="00CF78D0">
              <w:rPr>
                <w:b/>
                <w:color w:val="000000"/>
              </w:rPr>
              <w:t xml:space="preserve"> over</w:t>
            </w:r>
            <w:r>
              <w:rPr>
                <w:b/>
                <w:color w:val="000000"/>
              </w:rPr>
              <w:t xml:space="preserve"> </w:t>
            </w:r>
            <w:r w:rsidR="00A663D9">
              <w:rPr>
                <w:b/>
                <w:color w:val="000000"/>
              </w:rPr>
              <w:t>three-year</w:t>
            </w:r>
            <w:r>
              <w:rPr>
                <w:b/>
                <w:color w:val="000000"/>
              </w:rPr>
              <w:t xml:space="preserve"> period</w:t>
            </w:r>
          </w:p>
        </w:tc>
        <w:tc>
          <w:tcPr>
            <w:tcW w:w="1350" w:type="dxa"/>
            <w:shd w:val="clear" w:color="auto" w:fill="auto"/>
            <w:vAlign w:val="center"/>
          </w:tcPr>
          <w:p w:rsidR="007C5BDF" w:rsidRPr="00CF78D0" w:rsidP="00B4645A" w14:paraId="7CB90A55" w14:textId="77777777">
            <w:pPr>
              <w:jc w:val="center"/>
              <w:rPr>
                <w:color w:val="000000"/>
              </w:rPr>
            </w:pPr>
          </w:p>
        </w:tc>
        <w:tc>
          <w:tcPr>
            <w:tcW w:w="1260" w:type="dxa"/>
            <w:shd w:val="clear" w:color="auto" w:fill="auto"/>
            <w:vAlign w:val="center"/>
          </w:tcPr>
          <w:p w:rsidR="007C5BDF" w:rsidRPr="00CF78D0" w:rsidP="00B4645A" w14:paraId="61CE5603" w14:textId="77777777">
            <w:pPr>
              <w:jc w:val="center"/>
              <w:rPr>
                <w:color w:val="000000"/>
              </w:rPr>
            </w:pPr>
          </w:p>
        </w:tc>
        <w:tc>
          <w:tcPr>
            <w:tcW w:w="1170" w:type="dxa"/>
            <w:vAlign w:val="center"/>
          </w:tcPr>
          <w:p w:rsidR="007C5BDF" w:rsidRPr="00CF78D0" w:rsidP="00B4645A" w14:paraId="43C6AA19" w14:textId="77777777">
            <w:pPr>
              <w:jc w:val="center"/>
              <w:rPr>
                <w:color w:val="000000"/>
              </w:rPr>
            </w:pPr>
          </w:p>
        </w:tc>
        <w:tc>
          <w:tcPr>
            <w:tcW w:w="1440" w:type="dxa"/>
            <w:shd w:val="clear" w:color="auto" w:fill="auto"/>
            <w:vAlign w:val="center"/>
          </w:tcPr>
          <w:p w:rsidR="007C5BDF" w:rsidRPr="00CF78D0" w:rsidP="00B4645A" w14:paraId="37786856" w14:textId="4731B928">
            <w:pPr>
              <w:jc w:val="center"/>
              <w:rPr>
                <w:b/>
                <w:color w:val="000000"/>
              </w:rPr>
            </w:pPr>
            <w:r>
              <w:rPr>
                <w:b/>
                <w:color w:val="000000"/>
              </w:rPr>
              <w:t>98,</w:t>
            </w:r>
            <w:r w:rsidR="003B436C">
              <w:rPr>
                <w:b/>
                <w:color w:val="000000"/>
              </w:rPr>
              <w:t>762,005</w:t>
            </w:r>
          </w:p>
        </w:tc>
        <w:tc>
          <w:tcPr>
            <w:tcW w:w="1260" w:type="dxa"/>
            <w:shd w:val="clear" w:color="auto" w:fill="auto"/>
            <w:vAlign w:val="center"/>
          </w:tcPr>
          <w:p w:rsidR="007C5BDF" w:rsidRPr="00CF78D0" w:rsidP="00B4645A" w14:paraId="21476A42" w14:textId="77777777">
            <w:pPr>
              <w:jc w:val="center"/>
              <w:rPr>
                <w:b/>
                <w:color w:val="000000"/>
              </w:rPr>
            </w:pPr>
          </w:p>
        </w:tc>
        <w:tc>
          <w:tcPr>
            <w:tcW w:w="1620" w:type="dxa"/>
            <w:shd w:val="clear" w:color="auto" w:fill="auto"/>
            <w:vAlign w:val="center"/>
          </w:tcPr>
          <w:p w:rsidR="007C5BDF" w:rsidRPr="00CF78D0" w:rsidP="00B4645A" w14:paraId="4BC43699" w14:textId="59990E31">
            <w:pPr>
              <w:jc w:val="center"/>
              <w:rPr>
                <w:b/>
                <w:color w:val="000000"/>
              </w:rPr>
            </w:pPr>
            <w:r>
              <w:rPr>
                <w:b/>
                <w:color w:val="000000"/>
              </w:rPr>
              <w:t>7,</w:t>
            </w:r>
            <w:r w:rsidR="003B436C">
              <w:rPr>
                <w:b/>
                <w:color w:val="000000"/>
              </w:rPr>
              <w:t>206,5</w:t>
            </w:r>
            <w:r w:rsidR="001E14B0">
              <w:rPr>
                <w:b/>
                <w:color w:val="000000"/>
              </w:rPr>
              <w:t>69</w:t>
            </w:r>
          </w:p>
        </w:tc>
        <w:tc>
          <w:tcPr>
            <w:tcW w:w="1350" w:type="dxa"/>
            <w:vAlign w:val="center"/>
          </w:tcPr>
          <w:p w:rsidR="007C5BDF" w:rsidRPr="00CF78D0" w:rsidP="00B4645A" w14:paraId="416F7681" w14:textId="77777777">
            <w:pPr>
              <w:jc w:val="center"/>
              <w:rPr>
                <w:b/>
              </w:rPr>
            </w:pPr>
          </w:p>
        </w:tc>
        <w:tc>
          <w:tcPr>
            <w:tcW w:w="1602" w:type="dxa"/>
            <w:vAlign w:val="center"/>
          </w:tcPr>
          <w:p w:rsidR="007C5BDF" w:rsidRPr="00CF78D0" w:rsidP="00B4645A" w14:paraId="6C22146B" w14:textId="5FC265C2">
            <w:pPr>
              <w:jc w:val="center"/>
              <w:rPr>
                <w:b/>
              </w:rPr>
            </w:pPr>
            <w:r w:rsidRPr="00CF78D0">
              <w:rPr>
                <w:b/>
              </w:rPr>
              <w:t>$</w:t>
            </w:r>
            <w:r w:rsidR="00FB5009">
              <w:rPr>
                <w:b/>
              </w:rPr>
              <w:t>3</w:t>
            </w:r>
            <w:r w:rsidR="000C4457">
              <w:rPr>
                <w:b/>
              </w:rPr>
              <w:t>63,</w:t>
            </w:r>
            <w:r w:rsidR="00DC3EE6">
              <w:rPr>
                <w:b/>
              </w:rPr>
              <w:t>191,738</w:t>
            </w:r>
          </w:p>
        </w:tc>
      </w:tr>
    </w:tbl>
    <w:p w:rsidR="00C74A0A" w:rsidP="00BE2EB3" w14:paraId="0C9BFA8F" w14:textId="4A00FE9C">
      <w:pPr>
        <w:rPr>
          <w:b/>
          <w:color w:val="000000"/>
          <w:sz w:val="24"/>
          <w:szCs w:val="24"/>
        </w:rPr>
      </w:pPr>
      <w:r>
        <w:rPr>
          <w:bCs/>
          <w:color w:val="000000"/>
          <w:sz w:val="24"/>
          <w:szCs w:val="24"/>
        </w:rPr>
        <w:t>*</w:t>
      </w:r>
      <w:r w:rsidRPr="00EC1598" w:rsidR="00C44F31">
        <w:rPr>
          <w:bCs/>
          <w:color w:val="000000"/>
          <w:sz w:val="24"/>
          <w:szCs w:val="24"/>
        </w:rPr>
        <w:t>The total number of respondents is 5,580,906 establishments covered under HCS.</w:t>
      </w:r>
      <w:r w:rsidR="00AF720D">
        <w:rPr>
          <w:bCs/>
          <w:color w:val="000000"/>
          <w:sz w:val="24"/>
          <w:szCs w:val="24"/>
        </w:rPr>
        <w:t xml:space="preserve"> Also, numbers may slightly differ due to rounding.</w:t>
      </w:r>
    </w:p>
    <w:p w:rsidR="00C74A0A" w:rsidP="009965D1" w14:paraId="56E808DA" w14:textId="77777777">
      <w:pPr>
        <w:jc w:val="center"/>
        <w:rPr>
          <w:b/>
          <w:color w:val="000000"/>
          <w:sz w:val="24"/>
          <w:szCs w:val="24"/>
        </w:rPr>
      </w:pPr>
    </w:p>
    <w:p w:rsidR="00C74A0A" w:rsidP="009965D1" w14:paraId="1EA88949" w14:textId="77777777">
      <w:pPr>
        <w:jc w:val="center"/>
        <w:rPr>
          <w:b/>
          <w:color w:val="000000"/>
          <w:sz w:val="24"/>
          <w:szCs w:val="24"/>
        </w:rPr>
      </w:pPr>
    </w:p>
    <w:p w:rsidR="00C74A0A" w:rsidP="009965D1" w14:paraId="42A77330" w14:textId="77777777">
      <w:pPr>
        <w:jc w:val="center"/>
        <w:rPr>
          <w:b/>
          <w:color w:val="000000"/>
          <w:sz w:val="24"/>
          <w:szCs w:val="24"/>
        </w:rPr>
      </w:pPr>
    </w:p>
    <w:p w:rsidR="00C74A0A" w:rsidP="009965D1" w14:paraId="2CFABEB9" w14:textId="77777777">
      <w:pPr>
        <w:jc w:val="center"/>
        <w:rPr>
          <w:b/>
          <w:color w:val="000000"/>
          <w:sz w:val="24"/>
          <w:szCs w:val="24"/>
        </w:rPr>
      </w:pPr>
    </w:p>
    <w:p w:rsidR="00C74A0A" w:rsidP="009965D1" w14:paraId="73120A10" w14:textId="77777777">
      <w:pPr>
        <w:jc w:val="center"/>
        <w:rPr>
          <w:b/>
          <w:color w:val="000000"/>
          <w:sz w:val="24"/>
          <w:szCs w:val="24"/>
        </w:rPr>
      </w:pPr>
    </w:p>
    <w:p w:rsidR="005A2C7A" w:rsidP="00D80711" w14:paraId="34450C2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sectPr w:rsidSect="00EA2AF5">
          <w:pgSz w:w="15840" w:h="12240" w:orient="landscape"/>
          <w:pgMar w:top="1800" w:right="1440" w:bottom="1800" w:left="1440" w:header="720" w:footer="720" w:gutter="0"/>
          <w:cols w:space="720"/>
          <w:docGrid w:linePitch="360"/>
        </w:sectPr>
      </w:pPr>
    </w:p>
    <w:p w:rsidR="00D80711" w:rsidRPr="007B76EF" w:rsidP="00D80711" w14:paraId="1618F85C" w14:textId="3942452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r w:rsidRPr="007B76EF">
        <w:rPr>
          <w:b/>
          <w:bCs/>
          <w:color w:val="000000"/>
          <w:sz w:val="24"/>
          <w:szCs w:val="24"/>
        </w:rPr>
        <w:t>13.  Provide an estimate of the total annual cost burden to respondents or recordkeepers resulting from the collection of information.  (Do not include the cost of any hour burden show</w:t>
      </w:r>
      <w:r w:rsidR="00D035C0">
        <w:rPr>
          <w:b/>
          <w:bCs/>
          <w:color w:val="000000"/>
          <w:sz w:val="24"/>
          <w:szCs w:val="24"/>
        </w:rPr>
        <w:t>n</w:t>
      </w:r>
      <w:r w:rsidRPr="007B76EF">
        <w:rPr>
          <w:b/>
          <w:bCs/>
          <w:color w:val="000000"/>
          <w:sz w:val="24"/>
          <w:szCs w:val="24"/>
        </w:rPr>
        <w:t xml:space="preserve"> in Item 12 and 14).</w:t>
      </w:r>
    </w:p>
    <w:p w:rsidR="00D80711" w:rsidRPr="007B76EF" w:rsidP="00D80711" w14:paraId="56FC8E4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color w:val="000000"/>
          <w:sz w:val="24"/>
          <w:szCs w:val="24"/>
        </w:rPr>
      </w:pPr>
      <w:r w:rsidRPr="007B76EF">
        <w:rPr>
          <w:b/>
          <w:bCs/>
          <w:color w:val="000000"/>
          <w:sz w:val="24"/>
          <w:szCs w:val="24"/>
        </w:rPr>
        <w:tab/>
      </w:r>
    </w:p>
    <w:p w:rsidR="00D80711" w:rsidRPr="007B76EF" w:rsidP="00D80711" w14:paraId="31EC189C" w14:textId="1428B2F5">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 xml:space="preserve">The cost estimate should be split into two components: (a) a total capital and startup cost component (annualized over its expected useful </w:t>
      </w:r>
      <w:r w:rsidRPr="007B76EF" w:rsidR="00D035C0">
        <w:rPr>
          <w:b/>
          <w:bCs/>
          <w:color w:val="000000"/>
          <w:sz w:val="24"/>
          <w:szCs w:val="24"/>
        </w:rPr>
        <w:t>li</w:t>
      </w:r>
      <w:r w:rsidR="00D035C0">
        <w:rPr>
          <w:b/>
          <w:bCs/>
          <w:color w:val="000000"/>
          <w:sz w:val="24"/>
          <w:szCs w:val="24"/>
        </w:rPr>
        <w:t>f</w:t>
      </w:r>
      <w:r w:rsidRPr="007B76EF" w:rsidR="00D035C0">
        <w:rPr>
          <w:b/>
          <w:bCs/>
          <w:color w:val="000000"/>
          <w:sz w:val="24"/>
          <w:szCs w:val="24"/>
        </w:rPr>
        <w:t>e</w:t>
      </w:r>
      <w:r w:rsidRPr="007B76EF">
        <w:rPr>
          <w:b/>
          <w:bCs/>
          <w:color w:val="000000"/>
          <w:sz w:val="24"/>
          <w:szCs w:val="24"/>
        </w:rPr>
        <w:t xml:space="preserve">); and (b) a total operation and maintenance and purchase of services component.  The estimates should </w:t>
      </w:r>
      <w:r w:rsidRPr="007B76EF">
        <w:rPr>
          <w:b/>
          <w:bCs/>
          <w:color w:val="000000"/>
          <w:sz w:val="24"/>
          <w:szCs w:val="24"/>
        </w:rPr>
        <w:t>take into account</w:t>
      </w:r>
      <w:r w:rsidRPr="007B76EF">
        <w:rPr>
          <w:b/>
          <w:b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B76EF">
        <w:rPr>
          <w:b/>
          <w:bCs/>
          <w:color w:val="000000"/>
          <w:sz w:val="24"/>
          <w:szCs w:val="24"/>
        </w:rPr>
        <w:t>time period</w:t>
      </w:r>
      <w:r w:rsidRPr="007B76EF">
        <w:rPr>
          <w:b/>
          <w:bCs/>
          <w:color w:val="000000"/>
          <w:sz w:val="24"/>
          <w:szCs w:val="24"/>
        </w:rPr>
        <w:t xml:space="preserve"> over which costs will be incurred.  Capital and start-up costs include, among other items, preparations for collecting information such as purchasing computers and software; monitoring, sampling, </w:t>
      </w:r>
      <w:r w:rsidRPr="007B76EF">
        <w:rPr>
          <w:b/>
          <w:bCs/>
          <w:color w:val="000000"/>
          <w:sz w:val="24"/>
          <w:szCs w:val="24"/>
        </w:rPr>
        <w:t>drilling</w:t>
      </w:r>
      <w:r w:rsidRPr="007B76EF">
        <w:rPr>
          <w:b/>
          <w:bCs/>
          <w:color w:val="000000"/>
          <w:sz w:val="24"/>
          <w:szCs w:val="24"/>
        </w:rPr>
        <w:t xml:space="preserve"> and testing equipment; and record storage facilities.</w:t>
      </w:r>
    </w:p>
    <w:p w:rsidR="00D80711" w:rsidRPr="007B76EF" w:rsidP="00D80711" w14:paraId="4978DD1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p>
    <w:p w:rsidR="00D80711" w:rsidRPr="007B76EF" w:rsidP="00D80711" w14:paraId="3CC64240" w14:textId="78CC9EF9">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w:t>
      </w:r>
      <w:r w:rsidR="005A5F65">
        <w:rPr>
          <w:b/>
          <w:bCs/>
          <w:color w:val="000000"/>
          <w:sz w:val="24"/>
          <w:szCs w:val="24"/>
        </w:rPr>
        <w:t xml:space="preserve"> </w:t>
      </w:r>
      <w:r w:rsidRPr="007B76EF">
        <w:rPr>
          <w:b/>
          <w:bCs/>
          <w:color w:val="000000"/>
          <w:sz w:val="24"/>
          <w:szCs w:val="24"/>
        </w:rPr>
        <w:t xml:space="preserve">(fewer than 10), utilize the 60-day pre-OMB submission public comment </w:t>
      </w:r>
      <w:r w:rsidRPr="007B76EF">
        <w:rPr>
          <w:b/>
          <w:bCs/>
          <w:color w:val="000000"/>
          <w:sz w:val="24"/>
          <w:szCs w:val="24"/>
        </w:rPr>
        <w:t>process</w:t>
      </w:r>
      <w:r w:rsidRPr="007B76EF">
        <w:rPr>
          <w:b/>
          <w:bCs/>
          <w:color w:val="000000"/>
          <w:sz w:val="24"/>
          <w:szCs w:val="24"/>
        </w:rPr>
        <w:t xml:space="preserve"> and use existing economic or regulatory impact analysis associated with the rule making containing the information collection, as appropriate.</w:t>
      </w:r>
    </w:p>
    <w:p w:rsidR="00D80711" w:rsidRPr="007B76EF" w:rsidP="00D80711" w14:paraId="1CE8600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D80711" w:rsidRPr="007B76EF" w:rsidP="00D80711" w14:paraId="19B7B62C"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Generally, estimates should not include purchases of equipment or services</w:t>
      </w:r>
      <w:r w:rsidR="004F39FD">
        <w:rPr>
          <w:b/>
          <w:bCs/>
          <w:color w:val="000000"/>
          <w:sz w:val="24"/>
          <w:szCs w:val="24"/>
        </w:rPr>
        <w:t>,</w:t>
      </w:r>
      <w:r w:rsidRPr="007B76EF">
        <w:rPr>
          <w:b/>
          <w:bCs/>
          <w:color w:val="000000"/>
          <w:sz w:val="24"/>
          <w:szCs w:val="24"/>
        </w:rPr>
        <w:t xml:space="preserve">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766F" w:rsidRPr="007B76EF" w:rsidP="00B25F34" w14:paraId="37D4651D" w14:textId="77777777">
      <w:pPr>
        <w:pStyle w:val="Default"/>
      </w:pPr>
    </w:p>
    <w:p w:rsidR="0098142B" w:rsidRPr="00781E36" w:rsidP="00B25F34" w14:paraId="2FE1CADA" w14:textId="79141D6D">
      <w:pPr>
        <w:pStyle w:val="Default"/>
      </w:pPr>
      <w:r w:rsidRPr="00781E36">
        <w:rPr>
          <w:b/>
          <w:bCs/>
        </w:rPr>
        <w:t>Cost</w:t>
      </w:r>
      <w:r w:rsidRPr="00781E36" w:rsidR="008D15EE">
        <w:rPr>
          <w:b/>
          <w:bCs/>
        </w:rPr>
        <w:t xml:space="preserve"> Determinations</w:t>
      </w:r>
      <w:r w:rsidRPr="00781E36" w:rsidR="00D57D05">
        <w:t>:</w:t>
      </w:r>
    </w:p>
    <w:p w:rsidR="0098142B" w:rsidRPr="00781E36" w:rsidP="00B25F34" w14:paraId="4460CA40" w14:textId="77777777">
      <w:pPr>
        <w:pStyle w:val="Default"/>
        <w:rPr>
          <w:u w:val="single"/>
        </w:rPr>
      </w:pPr>
    </w:p>
    <w:p w:rsidR="0066647C" w:rsidRPr="007B76EF" w:rsidP="00B029B1" w14:paraId="6A37ED0A" w14:textId="654D355D">
      <w:pPr>
        <w:pStyle w:val="Default"/>
        <w:rPr>
          <w:u w:val="single"/>
        </w:rPr>
      </w:pPr>
      <w:r w:rsidRPr="0098142B">
        <w:rPr>
          <w:u w:val="single"/>
        </w:rPr>
        <w:t>Transmitting SDSs</w:t>
      </w:r>
    </w:p>
    <w:p w:rsidR="0066647C" w:rsidRPr="007B76EF" w:rsidP="00B25F34" w14:paraId="7E8D7ADC" w14:textId="77777777">
      <w:pPr>
        <w:pStyle w:val="Default"/>
      </w:pPr>
    </w:p>
    <w:p w:rsidR="00B25F34" w:rsidRPr="007B76EF" w:rsidP="00B25F34" w14:paraId="14AF4F26" w14:textId="368012E7">
      <w:pPr>
        <w:pStyle w:val="Default"/>
      </w:pPr>
      <w:r w:rsidRPr="007B76EF">
        <w:t xml:space="preserve">The cost to develop and transmit SDSs varies depending on </w:t>
      </w:r>
      <w:r w:rsidR="008A2D14">
        <w:t xml:space="preserve">the method of </w:t>
      </w:r>
      <w:r w:rsidRPr="007B76EF">
        <w:t>transmission of SDSs. Many importers and manufacture</w:t>
      </w:r>
      <w:r w:rsidRPr="007B76EF" w:rsidR="00AD1E40">
        <w:t xml:space="preserve">rs of hazardous chemicals send </w:t>
      </w:r>
      <w:r w:rsidRPr="007B76EF">
        <w:t>SDSs electronically. In these situations, there are no costs to importers and manufacture</w:t>
      </w:r>
      <w:r w:rsidR="008A2D14">
        <w:t>r</w:t>
      </w:r>
      <w:r w:rsidRPr="007B76EF">
        <w:t>s to transmit the SDSs downstream to employers, including distributors</w:t>
      </w:r>
      <w:r w:rsidRPr="007B76EF" w:rsidR="00BA11FE">
        <w:t>.</w:t>
      </w:r>
      <w:r w:rsidRPr="007B76EF">
        <w:t xml:space="preserve">  Importers and manufacturers also send paper copies of SDSs with their hazardous chemicals. Many </w:t>
      </w:r>
      <w:r w:rsidRPr="007B76EF">
        <w:t>employers</w:t>
      </w:r>
      <w:r w:rsidRPr="007B76EF">
        <w:t xml:space="preserve"> copy SDSs in-house for distribution. Based on the cost of toner and paper</w:t>
      </w:r>
      <w:r w:rsidR="00A971BD">
        <w:t>,</w:t>
      </w:r>
      <w:r w:rsidRPr="007B76EF">
        <w:t xml:space="preserve"> the cost for importers and manufacturers is approximately 7 cents per page ($</w:t>
      </w:r>
      <w:r w:rsidR="004A2BF7">
        <w:t>0</w:t>
      </w:r>
      <w:r w:rsidRPr="007B76EF">
        <w:t xml:space="preserve">.07). To estimate costs for the production and distribution of SDSs, OSHA assumes that all SDSs </w:t>
      </w:r>
      <w:r w:rsidRPr="007B76EF">
        <w:t>are tran</w:t>
      </w:r>
      <w:r w:rsidRPr="007B76EF" w:rsidR="00BA11FE">
        <w:t xml:space="preserve">smitted by paper. </w:t>
      </w:r>
      <w:r w:rsidR="00E97A15">
        <w:t xml:space="preserve">OSHA also assumes that each SDS is two pages long.  </w:t>
      </w:r>
      <w:r w:rsidRPr="007B76EF" w:rsidR="00BA11FE">
        <w:t xml:space="preserve">The cost for </w:t>
      </w:r>
      <w:r w:rsidRPr="007B76EF">
        <w:t xml:space="preserve">SDSs </w:t>
      </w:r>
      <w:r w:rsidRPr="007B76EF">
        <w:t>are</w:t>
      </w:r>
      <w:r w:rsidRPr="007B76EF">
        <w:t xml:space="preserve"> determined by totaling the number of SDSs distributed then multiplying the total by $</w:t>
      </w:r>
      <w:r w:rsidR="004A2BF7">
        <w:t>0</w:t>
      </w:r>
      <w:r w:rsidRPr="007B76EF">
        <w:t>.07</w:t>
      </w:r>
      <w:r w:rsidR="00E97A15">
        <w:t xml:space="preserve"> x 2</w:t>
      </w:r>
      <w:r w:rsidR="00F67147">
        <w:t>.</w:t>
      </w:r>
      <w:r w:rsidRPr="007B76EF">
        <w:t xml:space="preserve"> </w:t>
      </w:r>
    </w:p>
    <w:p w:rsidR="00B25F34" w:rsidRPr="007B76EF" w:rsidP="00B25F34" w14:paraId="247C16C9" w14:textId="77777777">
      <w:pPr>
        <w:pStyle w:val="Default"/>
      </w:pPr>
    </w:p>
    <w:p w:rsidR="00B25F34" w:rsidRPr="007B76EF" w:rsidP="00B25F34" w14:paraId="4782D66A" w14:textId="1EAA85BD">
      <w:pPr>
        <w:pStyle w:val="Default"/>
      </w:pPr>
      <w:r w:rsidRPr="007B76EF">
        <w:t xml:space="preserve">Under </w:t>
      </w:r>
      <w:r w:rsidRPr="007B76EF" w:rsidR="00681F34">
        <w:t xml:space="preserve">Item 12, number </w:t>
      </w:r>
      <w:r w:rsidR="005F6053">
        <w:t>5</w:t>
      </w:r>
      <w:r w:rsidR="0050671A">
        <w:t>,</w:t>
      </w:r>
      <w:r w:rsidRPr="007B76EF" w:rsidR="005F6053">
        <w:t xml:space="preserve"> </w:t>
      </w:r>
      <w:r w:rsidRPr="007B76EF">
        <w:t xml:space="preserve">titled “Sending SDSs </w:t>
      </w:r>
      <w:r w:rsidRPr="007B76EF" w:rsidR="00AD1E40">
        <w:t>for new hazardous chemicals to existing establishments</w:t>
      </w:r>
      <w:r w:rsidR="0050671A">
        <w:t>,</w:t>
      </w:r>
      <w:r w:rsidRPr="007B76EF">
        <w:t>” OSHA est</w:t>
      </w:r>
      <w:r w:rsidRPr="007B76EF" w:rsidR="00776FCD">
        <w:t xml:space="preserve">imates that a total of </w:t>
      </w:r>
      <w:r w:rsidR="00491BBD">
        <w:t>50,</w:t>
      </w:r>
      <w:r w:rsidR="005235E8">
        <w:t>399</w:t>
      </w:r>
      <w:r w:rsidRPr="007B76EF" w:rsidR="00776FCD">
        <w:t xml:space="preserve"> </w:t>
      </w:r>
      <w:r w:rsidRPr="007B76EF">
        <w:t>SDSs</w:t>
      </w:r>
      <w:r>
        <w:rPr>
          <w:rStyle w:val="FootnoteReference"/>
        </w:rPr>
        <w:footnoteReference w:id="11"/>
      </w:r>
      <w:r w:rsidRPr="007B76EF">
        <w:t xml:space="preserve"> are sent to existing manufacturing e</w:t>
      </w:r>
      <w:r w:rsidRPr="007B76EF" w:rsidR="00C2565B">
        <w:t xml:space="preserve">stablishments </w:t>
      </w:r>
      <w:r w:rsidRPr="007B76EF" w:rsidR="00304897">
        <w:t xml:space="preserve">and </w:t>
      </w:r>
      <w:r w:rsidR="00B0482D">
        <w:t>2,306,</w:t>
      </w:r>
      <w:r w:rsidR="000E150D">
        <w:t>297</w:t>
      </w:r>
      <w:r w:rsidRPr="007B76EF" w:rsidR="000E150D">
        <w:t xml:space="preserve"> </w:t>
      </w:r>
      <w:r w:rsidRPr="007B76EF">
        <w:t xml:space="preserve">SDSs are sent to </w:t>
      </w:r>
      <w:r w:rsidR="00A971BD">
        <w:t xml:space="preserve">existing </w:t>
      </w:r>
      <w:r w:rsidRPr="007B76EF">
        <w:t>non-manufacturing establishments</w:t>
      </w:r>
      <w:r w:rsidR="00A971BD">
        <w:t>.</w:t>
      </w:r>
      <w:r>
        <w:rPr>
          <w:rStyle w:val="FootnoteReference"/>
        </w:rPr>
        <w:footnoteReference w:id="12"/>
      </w:r>
      <w:r w:rsidRPr="007B76EF">
        <w:t xml:space="preserve"> Therefore, the total number of SDSs received by existing manufacturing and non-manufactu</w:t>
      </w:r>
      <w:r w:rsidRPr="007B76EF" w:rsidR="00304897">
        <w:t xml:space="preserve">ring establishments is </w:t>
      </w:r>
      <w:r w:rsidRPr="007B76EF" w:rsidR="00E30406">
        <w:t>2,</w:t>
      </w:r>
      <w:r w:rsidR="00B47935">
        <w:t>356</w:t>
      </w:r>
      <w:r w:rsidR="00047153">
        <w:t>,696</w:t>
      </w:r>
      <w:r w:rsidRPr="007B76EF">
        <w:t xml:space="preserve">. </w:t>
      </w:r>
    </w:p>
    <w:p w:rsidR="006A258B" w:rsidRPr="007B76EF" w:rsidP="00B25F34" w14:paraId="01687F99" w14:textId="77777777">
      <w:pPr>
        <w:pStyle w:val="Default"/>
      </w:pPr>
    </w:p>
    <w:p w:rsidR="006A258B" w:rsidRPr="007B76EF" w:rsidP="006A258B" w14:paraId="20F3B0F4" w14:textId="66FA6762">
      <w:pPr>
        <w:pStyle w:val="Default"/>
      </w:pPr>
      <w:r w:rsidRPr="007B76EF">
        <w:t xml:space="preserve">Under Item 12, number </w:t>
      </w:r>
      <w:r w:rsidR="005F6053">
        <w:t>6</w:t>
      </w:r>
      <w:r w:rsidR="005E3CB4">
        <w:t>,</w:t>
      </w:r>
      <w:r w:rsidRPr="007B76EF" w:rsidR="005F6053">
        <w:t xml:space="preserve"> </w:t>
      </w:r>
      <w:r w:rsidRPr="007B76EF">
        <w:t xml:space="preserve">titled “Sending SDSs for all hazardous chemicals to new establishments,” OSHA estimates a </w:t>
      </w:r>
      <w:r w:rsidR="00381B42">
        <w:t>t</w:t>
      </w:r>
      <w:r w:rsidRPr="007B76EF">
        <w:t xml:space="preserve">otal of </w:t>
      </w:r>
      <w:r w:rsidR="00580194">
        <w:t>52,785</w:t>
      </w:r>
      <w:r w:rsidRPr="007B76EF" w:rsidR="00284F65">
        <w:t xml:space="preserve"> </w:t>
      </w:r>
      <w:r w:rsidRPr="007B76EF">
        <w:t>SDSs</w:t>
      </w:r>
      <w:r w:rsidRPr="007B76EF" w:rsidR="00284F65">
        <w:t xml:space="preserve"> </w:t>
      </w:r>
      <w:r w:rsidRPr="007B76EF">
        <w:t>are sent to new manufacturing establishments and 4,</w:t>
      </w:r>
      <w:r w:rsidR="007B59F0">
        <w:t>529,374</w:t>
      </w:r>
      <w:r w:rsidRPr="007B76EF">
        <w:t xml:space="preserve"> SDSs are sent to new non-manufacturing establishments.</w:t>
      </w:r>
      <w:r>
        <w:rPr>
          <w:rStyle w:val="FootnoteReference"/>
        </w:rPr>
        <w:footnoteReference w:id="13"/>
      </w:r>
      <w:r w:rsidRPr="007B76EF">
        <w:t xml:space="preserve">   The total number of SDSs sent to new establishments is </w:t>
      </w:r>
      <w:r w:rsidRPr="007B76EF" w:rsidR="0038163E">
        <w:t>4,</w:t>
      </w:r>
      <w:r w:rsidR="00580194">
        <w:t>5</w:t>
      </w:r>
      <w:r w:rsidR="00AF1863">
        <w:t>82,162</w:t>
      </w:r>
      <w:r w:rsidRPr="007B76EF">
        <w:t xml:space="preserve">.  </w:t>
      </w:r>
    </w:p>
    <w:p w:rsidR="00F811C4" w:rsidRPr="007B76EF" w:rsidP="006A258B" w14:paraId="3FD8461A" w14:textId="77777777">
      <w:pPr>
        <w:pStyle w:val="Default"/>
      </w:pPr>
    </w:p>
    <w:p w:rsidR="008D055F" w:rsidRPr="007B76EF" w:rsidP="008D055F" w14:paraId="67062108" w14:textId="67623B3F">
      <w:pPr>
        <w:pStyle w:val="Default"/>
        <w:rPr>
          <w:color w:val="auto"/>
        </w:rPr>
      </w:pPr>
      <w:r w:rsidRPr="007B76EF">
        <w:t xml:space="preserve">Under Item 12, number </w:t>
      </w:r>
      <w:r w:rsidR="005F6053">
        <w:t>7</w:t>
      </w:r>
      <w:r w:rsidR="005E3CB4">
        <w:t>,</w:t>
      </w:r>
      <w:r w:rsidRPr="007B76EF" w:rsidR="005F6053">
        <w:t xml:space="preserve"> </w:t>
      </w:r>
      <w:r w:rsidRPr="007B76EF">
        <w:t>titled “Sending SDSs for existing hazardous chemicals to exi</w:t>
      </w:r>
      <w:r w:rsidR="002A1FA3">
        <w:t>s</w:t>
      </w:r>
      <w:r w:rsidRPr="007B76EF">
        <w:t>ting establishments,” OSHA estimates a to</w:t>
      </w:r>
      <w:r w:rsidRPr="007B76EF">
        <w:rPr>
          <w:color w:val="auto"/>
        </w:rPr>
        <w:t xml:space="preserve">tal of </w:t>
      </w:r>
      <w:r w:rsidRPr="007B76EF" w:rsidR="006F3F0D">
        <w:rPr>
          <w:color w:val="auto"/>
        </w:rPr>
        <w:t>1</w:t>
      </w:r>
      <w:r w:rsidR="00545282">
        <w:rPr>
          <w:color w:val="auto"/>
        </w:rPr>
        <w:t>4,</w:t>
      </w:r>
      <w:r w:rsidR="005D31E8">
        <w:rPr>
          <w:color w:val="auto"/>
        </w:rPr>
        <w:t>318</w:t>
      </w:r>
      <w:r w:rsidRPr="007B76EF" w:rsidR="005D31E8">
        <w:rPr>
          <w:color w:val="auto"/>
        </w:rPr>
        <w:t xml:space="preserve"> </w:t>
      </w:r>
      <w:r w:rsidRPr="007B76EF">
        <w:rPr>
          <w:color w:val="auto"/>
        </w:rPr>
        <w:t xml:space="preserve">existing SDSs are sent to existing manufacturing establishments and </w:t>
      </w:r>
      <w:r w:rsidR="005B3593">
        <w:rPr>
          <w:color w:val="auto"/>
        </w:rPr>
        <w:t>960,957</w:t>
      </w:r>
      <w:r w:rsidRPr="007B76EF">
        <w:t xml:space="preserve"> existing</w:t>
      </w:r>
      <w:r w:rsidRPr="007B76EF">
        <w:rPr>
          <w:color w:val="auto"/>
        </w:rPr>
        <w:t xml:space="preserve"> SDSs are sent to existing non-manufacturing establishments.</w:t>
      </w:r>
      <w:r>
        <w:rPr>
          <w:rStyle w:val="FootnoteReference"/>
          <w:color w:val="auto"/>
        </w:rPr>
        <w:footnoteReference w:id="14"/>
      </w:r>
      <w:r w:rsidRPr="007B76EF">
        <w:rPr>
          <w:color w:val="auto"/>
        </w:rPr>
        <w:t xml:space="preserve"> The total number of SDSs is </w:t>
      </w:r>
      <w:r w:rsidR="005D31E8">
        <w:rPr>
          <w:color w:val="auto"/>
        </w:rPr>
        <w:t>9</w:t>
      </w:r>
      <w:r w:rsidR="00283CC8">
        <w:rPr>
          <w:color w:val="auto"/>
        </w:rPr>
        <w:t>75,275</w:t>
      </w:r>
      <w:r w:rsidRPr="007B76EF">
        <w:rPr>
          <w:color w:val="auto"/>
        </w:rPr>
        <w:t>.</w:t>
      </w:r>
    </w:p>
    <w:p w:rsidR="006773C6" w:rsidRPr="007B76EF" w:rsidP="008D055F" w14:paraId="712E204C" w14:textId="77777777">
      <w:pPr>
        <w:pStyle w:val="Default"/>
        <w:rPr>
          <w:color w:val="auto"/>
        </w:rPr>
      </w:pPr>
    </w:p>
    <w:p w:rsidR="00E73084" w:rsidP="00AB0B90" w14:paraId="1199EF22" w14:textId="77728D81">
      <w:pPr>
        <w:pStyle w:val="Default"/>
        <w:rPr>
          <w:b/>
          <w:color w:val="auto"/>
        </w:rPr>
      </w:pPr>
      <w:r w:rsidRPr="007B76EF">
        <w:rPr>
          <w:color w:val="auto"/>
        </w:rPr>
        <w:tab/>
      </w:r>
      <w:r w:rsidRPr="007B76EF" w:rsidR="00C47F2C">
        <w:rPr>
          <w:b/>
          <w:color w:val="auto"/>
        </w:rPr>
        <w:t xml:space="preserve">Total </w:t>
      </w:r>
      <w:r w:rsidRPr="007B76EF" w:rsidR="00B25F34">
        <w:rPr>
          <w:b/>
          <w:bCs/>
          <w:color w:val="auto"/>
        </w:rPr>
        <w:t>Cost</w:t>
      </w:r>
      <w:r w:rsidRPr="007B76EF" w:rsidR="00350C1A">
        <w:rPr>
          <w:b/>
          <w:bCs/>
          <w:color w:val="auto"/>
        </w:rPr>
        <w:t>:</w:t>
      </w:r>
      <w:r w:rsidRPr="007B76EF" w:rsidR="002B4A1B">
        <w:rPr>
          <w:color w:val="auto"/>
        </w:rPr>
        <w:t xml:space="preserve"> </w:t>
      </w:r>
      <w:r w:rsidR="00651443">
        <w:rPr>
          <w:color w:val="auto"/>
        </w:rPr>
        <w:t>7,914,133</w:t>
      </w:r>
      <w:r w:rsidRPr="007B76EF" w:rsidR="006773C6">
        <w:rPr>
          <w:color w:val="auto"/>
        </w:rPr>
        <w:t xml:space="preserve"> </w:t>
      </w:r>
      <w:r w:rsidRPr="007B76EF" w:rsidR="00B25F34">
        <w:rPr>
          <w:color w:val="auto"/>
        </w:rPr>
        <w:t xml:space="preserve">SDSs x 2 </w:t>
      </w:r>
      <w:r w:rsidRPr="007B76EF" w:rsidR="00E51B9D">
        <w:rPr>
          <w:color w:val="auto"/>
        </w:rPr>
        <w:t xml:space="preserve">pages x </w:t>
      </w:r>
      <w:r w:rsidR="00B82905">
        <w:rPr>
          <w:color w:val="auto"/>
        </w:rPr>
        <w:t>$</w:t>
      </w:r>
      <w:r w:rsidR="004C2D06">
        <w:rPr>
          <w:color w:val="auto"/>
        </w:rPr>
        <w:t>0</w:t>
      </w:r>
      <w:r w:rsidRPr="007B76EF" w:rsidR="00E51B9D">
        <w:rPr>
          <w:color w:val="auto"/>
        </w:rPr>
        <w:t>.07 dollar = $</w:t>
      </w:r>
      <w:r w:rsidR="00545282">
        <w:rPr>
          <w:color w:val="auto"/>
        </w:rPr>
        <w:t>1,</w:t>
      </w:r>
      <w:r w:rsidR="00422CEE">
        <w:rPr>
          <w:color w:val="auto"/>
        </w:rPr>
        <w:t>107,</w:t>
      </w:r>
      <w:r w:rsidR="003E2A1A">
        <w:rPr>
          <w:color w:val="auto"/>
        </w:rPr>
        <w:t>980</w:t>
      </w:r>
    </w:p>
    <w:p w:rsidR="000C3EED" w:rsidP="00AB0B90" w14:paraId="5FF263B3" w14:textId="77777777">
      <w:pPr>
        <w:pStyle w:val="Default"/>
        <w:rPr>
          <w:b/>
          <w:color w:val="auto"/>
          <w:sz w:val="23"/>
          <w:szCs w:val="23"/>
        </w:rPr>
      </w:pPr>
    </w:p>
    <w:p w:rsidR="00E73084" w:rsidP="00AB0B90" w14:paraId="5977B801" w14:textId="77777777">
      <w:pPr>
        <w:pStyle w:val="Default"/>
        <w:rPr>
          <w:b/>
          <w:color w:val="auto"/>
          <w:sz w:val="23"/>
          <w:szCs w:val="23"/>
        </w:rPr>
      </w:pPr>
    </w:p>
    <w:p w:rsidR="000C3EED" w:rsidP="00AB0B90" w14:paraId="3C2E0DDE" w14:textId="2267B36C">
      <w:pPr>
        <w:pStyle w:val="Default"/>
        <w:rPr>
          <w:b/>
          <w:color w:val="auto"/>
          <w:sz w:val="23"/>
          <w:szCs w:val="23"/>
        </w:rPr>
      </w:pPr>
      <w:r>
        <w:rPr>
          <w:b/>
          <w:color w:val="auto"/>
          <w:sz w:val="23"/>
          <w:szCs w:val="23"/>
        </w:rPr>
        <w:t>Table 4 – Cost of Transmitting SDSs</w:t>
      </w:r>
      <w:r>
        <w:rPr>
          <w:b/>
          <w:color w:val="auto"/>
          <w:sz w:val="23"/>
          <w:szCs w:val="23"/>
        </w:rPr>
        <w:tab/>
      </w:r>
    </w:p>
    <w:tbl>
      <w:tblPr>
        <w:tblpPr w:leftFromText="180" w:rightFromText="180" w:vertAnchor="text" w:horzAnchor="margin" w:tblpXSpec="center" w:tblpY="128"/>
        <w:tblW w:w="10705" w:type="dxa"/>
        <w:tblLook w:val="04A0"/>
      </w:tblPr>
      <w:tblGrid>
        <w:gridCol w:w="2430"/>
        <w:gridCol w:w="1516"/>
        <w:gridCol w:w="1629"/>
        <w:gridCol w:w="1440"/>
        <w:gridCol w:w="900"/>
        <w:gridCol w:w="1350"/>
        <w:gridCol w:w="1440"/>
      </w:tblGrid>
      <w:tr w14:paraId="499C08EE" w14:textId="77777777" w:rsidTr="00BB61C6">
        <w:tblPrEx>
          <w:tblW w:w="10705" w:type="dxa"/>
          <w:tblLook w:val="04A0"/>
        </w:tblPrEx>
        <w:trPr>
          <w:trHeight w:val="255"/>
          <w:tblHeader/>
        </w:trPr>
        <w:tc>
          <w:tcPr>
            <w:tcW w:w="2430"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rsidR="00B90B16" w:rsidRPr="00823873" w:rsidP="00B90B16" w14:paraId="4902CDC6" w14:textId="77777777">
            <w:pPr>
              <w:widowControl/>
              <w:overflowPunct/>
              <w:autoSpaceDE/>
              <w:autoSpaceDN/>
              <w:adjustRightInd/>
              <w:rPr>
                <w:b/>
                <w:bCs/>
                <w:color w:val="000000"/>
                <w:kern w:val="0"/>
              </w:rPr>
            </w:pPr>
            <w:r w:rsidRPr="00823873">
              <w:rPr>
                <w:b/>
                <w:bCs/>
                <w:color w:val="000000"/>
                <w:kern w:val="0"/>
              </w:rPr>
              <w:t> </w:t>
            </w:r>
          </w:p>
        </w:tc>
        <w:tc>
          <w:tcPr>
            <w:tcW w:w="1516"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0B9D0644" w14:textId="77777777">
            <w:pPr>
              <w:widowControl/>
              <w:overflowPunct/>
              <w:autoSpaceDE/>
              <w:autoSpaceDN/>
              <w:adjustRightInd/>
              <w:jc w:val="center"/>
              <w:rPr>
                <w:b/>
                <w:bCs/>
                <w:color w:val="000000"/>
                <w:kern w:val="0"/>
              </w:rPr>
            </w:pPr>
            <w:r w:rsidRPr="00823873">
              <w:rPr>
                <w:b/>
                <w:bCs/>
                <w:color w:val="000000"/>
                <w:kern w:val="0"/>
              </w:rPr>
              <w:t>Manufacturing</w:t>
            </w:r>
          </w:p>
        </w:tc>
        <w:tc>
          <w:tcPr>
            <w:tcW w:w="1629"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2206104F" w14:textId="77777777">
            <w:pPr>
              <w:widowControl/>
              <w:overflowPunct/>
              <w:autoSpaceDE/>
              <w:autoSpaceDN/>
              <w:adjustRightInd/>
              <w:jc w:val="center"/>
              <w:rPr>
                <w:b/>
                <w:bCs/>
                <w:color w:val="000000"/>
                <w:kern w:val="0"/>
              </w:rPr>
            </w:pPr>
            <w:r w:rsidRPr="00823873">
              <w:rPr>
                <w:b/>
                <w:bCs/>
                <w:color w:val="000000"/>
                <w:kern w:val="0"/>
              </w:rPr>
              <w:t>Non-Manufacturing</w:t>
            </w:r>
          </w:p>
        </w:tc>
        <w:tc>
          <w:tcPr>
            <w:tcW w:w="1440"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5DAC639D" w14:textId="77777777">
            <w:pPr>
              <w:widowControl/>
              <w:overflowPunct/>
              <w:autoSpaceDE/>
              <w:autoSpaceDN/>
              <w:adjustRightInd/>
              <w:jc w:val="center"/>
              <w:rPr>
                <w:b/>
                <w:bCs/>
                <w:color w:val="000000"/>
                <w:kern w:val="0"/>
              </w:rPr>
            </w:pPr>
            <w:r w:rsidRPr="00823873">
              <w:rPr>
                <w:b/>
                <w:bCs/>
                <w:color w:val="000000"/>
                <w:kern w:val="0"/>
              </w:rPr>
              <w:t>Total</w:t>
            </w:r>
          </w:p>
        </w:tc>
        <w:tc>
          <w:tcPr>
            <w:tcW w:w="900"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397671BA" w14:textId="77777777">
            <w:pPr>
              <w:widowControl/>
              <w:overflowPunct/>
              <w:autoSpaceDE/>
              <w:autoSpaceDN/>
              <w:adjustRightInd/>
              <w:jc w:val="center"/>
              <w:rPr>
                <w:b/>
                <w:bCs/>
                <w:color w:val="000000"/>
                <w:kern w:val="0"/>
              </w:rPr>
            </w:pPr>
            <w:r w:rsidRPr="00823873">
              <w:rPr>
                <w:b/>
                <w:bCs/>
                <w:color w:val="000000"/>
                <w:kern w:val="0"/>
              </w:rPr>
              <w:t>Pages per SDS</w:t>
            </w:r>
          </w:p>
        </w:tc>
        <w:tc>
          <w:tcPr>
            <w:tcW w:w="1350"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0FF5B16F" w14:textId="77777777">
            <w:pPr>
              <w:widowControl/>
              <w:overflowPunct/>
              <w:autoSpaceDE/>
              <w:autoSpaceDN/>
              <w:adjustRightInd/>
              <w:jc w:val="center"/>
              <w:rPr>
                <w:b/>
                <w:bCs/>
                <w:color w:val="000000"/>
                <w:kern w:val="0"/>
              </w:rPr>
            </w:pPr>
            <w:r w:rsidRPr="00823873">
              <w:rPr>
                <w:b/>
                <w:bCs/>
                <w:color w:val="000000"/>
                <w:kern w:val="0"/>
              </w:rPr>
              <w:t>Cost per Page</w:t>
            </w:r>
          </w:p>
        </w:tc>
        <w:tc>
          <w:tcPr>
            <w:tcW w:w="1440" w:type="dxa"/>
            <w:tcBorders>
              <w:top w:val="single" w:sz="4" w:space="0" w:color="auto"/>
              <w:left w:val="nil"/>
              <w:bottom w:val="single" w:sz="4" w:space="0" w:color="auto"/>
              <w:right w:val="single" w:sz="4" w:space="0" w:color="auto"/>
            </w:tcBorders>
            <w:shd w:val="clear" w:color="auto" w:fill="99CC00"/>
            <w:vAlign w:val="center"/>
            <w:hideMark/>
          </w:tcPr>
          <w:p w:rsidR="00B90B16" w:rsidRPr="00823873" w:rsidP="00502C05" w14:paraId="5FA4A007" w14:textId="77777777">
            <w:pPr>
              <w:widowControl/>
              <w:overflowPunct/>
              <w:autoSpaceDE/>
              <w:autoSpaceDN/>
              <w:adjustRightInd/>
              <w:jc w:val="center"/>
              <w:rPr>
                <w:b/>
                <w:bCs/>
                <w:color w:val="000000"/>
                <w:kern w:val="0"/>
              </w:rPr>
            </w:pPr>
            <w:r w:rsidRPr="00823873">
              <w:rPr>
                <w:b/>
                <w:bCs/>
                <w:color w:val="000000"/>
                <w:kern w:val="0"/>
              </w:rPr>
              <w:t>Total Cost</w:t>
            </w:r>
          </w:p>
        </w:tc>
      </w:tr>
      <w:tr w14:paraId="23DE0335" w14:textId="77777777" w:rsidTr="00781E36">
        <w:tblPrEx>
          <w:tblW w:w="10705" w:type="dxa"/>
          <w:tblLook w:val="04A0"/>
        </w:tblPrEx>
        <w:trPr>
          <w:trHeight w:val="255"/>
        </w:trPr>
        <w:tc>
          <w:tcPr>
            <w:tcW w:w="2430" w:type="dxa"/>
            <w:tcBorders>
              <w:top w:val="nil"/>
              <w:left w:val="single" w:sz="4" w:space="0" w:color="auto"/>
              <w:bottom w:val="single" w:sz="4" w:space="0" w:color="auto"/>
              <w:right w:val="single" w:sz="4" w:space="0" w:color="auto"/>
            </w:tcBorders>
            <w:shd w:val="clear" w:color="auto" w:fill="auto"/>
            <w:hideMark/>
          </w:tcPr>
          <w:p w:rsidR="00B90B16" w:rsidRPr="00823873" w:rsidP="00B90B16" w14:paraId="020F6AE1" w14:textId="0FEE76D1">
            <w:pPr>
              <w:widowControl/>
              <w:overflowPunct/>
              <w:autoSpaceDE/>
              <w:autoSpaceDN/>
              <w:adjustRightInd/>
              <w:rPr>
                <w:color w:val="000000"/>
                <w:kern w:val="0"/>
              </w:rPr>
            </w:pPr>
            <w:r w:rsidRPr="00823873">
              <w:rPr>
                <w:color w:val="000000"/>
                <w:kern w:val="0"/>
              </w:rPr>
              <w:t xml:space="preserve">SDSs Sent - </w:t>
            </w:r>
            <w:r w:rsidR="00422CEE">
              <w:rPr>
                <w:color w:val="000000"/>
                <w:kern w:val="0"/>
              </w:rPr>
              <w:t>5</w:t>
            </w:r>
            <w:r w:rsidRPr="00823873">
              <w:rPr>
                <w:color w:val="000000"/>
                <w:kern w:val="0"/>
              </w:rPr>
              <w:t>. Sending of SDSs - Sending SDSs for new hazardous chemicals to existing establishments</w:t>
            </w:r>
          </w:p>
        </w:tc>
        <w:tc>
          <w:tcPr>
            <w:tcW w:w="1516" w:type="dxa"/>
            <w:tcBorders>
              <w:top w:val="nil"/>
              <w:left w:val="nil"/>
              <w:bottom w:val="single" w:sz="4" w:space="0" w:color="auto"/>
              <w:right w:val="single" w:sz="4" w:space="0" w:color="auto"/>
            </w:tcBorders>
            <w:shd w:val="clear" w:color="auto" w:fill="auto"/>
            <w:noWrap/>
            <w:vAlign w:val="center"/>
            <w:hideMark/>
          </w:tcPr>
          <w:p w:rsidR="00B90B16" w:rsidRPr="003A15DB" w:rsidP="00781E36" w14:paraId="2483FA1B" w14:textId="77777777">
            <w:pPr>
              <w:widowControl/>
              <w:overflowPunct/>
              <w:autoSpaceDE/>
              <w:autoSpaceDN/>
              <w:adjustRightInd/>
              <w:jc w:val="center"/>
              <w:rPr>
                <w:iCs/>
                <w:color w:val="000000"/>
                <w:kern w:val="0"/>
              </w:rPr>
            </w:pPr>
            <w:r>
              <w:rPr>
                <w:iCs/>
                <w:color w:val="000000"/>
                <w:kern w:val="0"/>
              </w:rPr>
              <w:t>50,399</w:t>
            </w:r>
          </w:p>
        </w:tc>
        <w:tc>
          <w:tcPr>
            <w:tcW w:w="1629" w:type="dxa"/>
            <w:tcBorders>
              <w:top w:val="nil"/>
              <w:left w:val="nil"/>
              <w:bottom w:val="single" w:sz="4" w:space="0" w:color="auto"/>
              <w:right w:val="single" w:sz="4" w:space="0" w:color="auto"/>
            </w:tcBorders>
            <w:shd w:val="clear" w:color="auto" w:fill="auto"/>
            <w:noWrap/>
            <w:vAlign w:val="center"/>
            <w:hideMark/>
          </w:tcPr>
          <w:p w:rsidR="00B90B16" w:rsidRPr="003A15DB" w:rsidP="00781E36" w14:paraId="761E9268" w14:textId="4A50E739">
            <w:pPr>
              <w:widowControl/>
              <w:overflowPunct/>
              <w:autoSpaceDE/>
              <w:autoSpaceDN/>
              <w:adjustRightInd/>
              <w:jc w:val="center"/>
              <w:rPr>
                <w:iCs/>
                <w:color w:val="000000"/>
                <w:kern w:val="0"/>
              </w:rPr>
            </w:pPr>
            <w:r>
              <w:rPr>
                <w:iCs/>
                <w:color w:val="000000"/>
                <w:kern w:val="0"/>
              </w:rPr>
              <w:t>2,306,29</w:t>
            </w:r>
            <w:r w:rsidR="00E96C61">
              <w:rPr>
                <w:iCs/>
                <w:color w:val="000000"/>
                <w:kern w:val="0"/>
              </w:rPr>
              <w:t>7</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0DE3A442" w14:textId="1CC3517F">
            <w:pPr>
              <w:widowControl/>
              <w:overflowPunct/>
              <w:autoSpaceDE/>
              <w:autoSpaceDN/>
              <w:adjustRightInd/>
              <w:jc w:val="center"/>
              <w:rPr>
                <w:color w:val="000000"/>
                <w:kern w:val="0"/>
              </w:rPr>
            </w:pPr>
            <w:r>
              <w:rPr>
                <w:color w:val="000000"/>
                <w:kern w:val="0"/>
              </w:rPr>
              <w:t>2,356,</w:t>
            </w:r>
            <w:r w:rsidR="00F50881">
              <w:rPr>
                <w:color w:val="000000"/>
                <w:kern w:val="0"/>
              </w:rPr>
              <w:t>696</w:t>
            </w:r>
          </w:p>
        </w:tc>
        <w:tc>
          <w:tcPr>
            <w:tcW w:w="90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712130D8" w14:textId="77777777">
            <w:pPr>
              <w:widowControl/>
              <w:overflowPunct/>
              <w:autoSpaceDE/>
              <w:autoSpaceDN/>
              <w:adjustRightInd/>
              <w:jc w:val="center"/>
              <w:rPr>
                <w:color w:val="000000"/>
                <w:kern w:val="0"/>
              </w:rPr>
            </w:pPr>
            <w:r w:rsidRPr="00823873">
              <w:rPr>
                <w:color w:val="000000"/>
                <w:kern w:val="0"/>
              </w:rPr>
              <w:t>2</w:t>
            </w:r>
          </w:p>
        </w:tc>
        <w:tc>
          <w:tcPr>
            <w:tcW w:w="135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215BC981" w14:textId="77777777">
            <w:pPr>
              <w:widowControl/>
              <w:overflowPunct/>
              <w:autoSpaceDE/>
              <w:autoSpaceDN/>
              <w:adjustRightInd/>
              <w:jc w:val="center"/>
              <w:rPr>
                <w:color w:val="000000"/>
                <w:kern w:val="0"/>
              </w:rPr>
            </w:pPr>
            <w:r w:rsidRPr="00823873">
              <w:rPr>
                <w:color w:val="000000"/>
                <w:kern w:val="0"/>
              </w:rPr>
              <w:t>$0.07</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594E173A" w14:textId="77777777">
            <w:pPr>
              <w:widowControl/>
              <w:overflowPunct/>
              <w:autoSpaceDE/>
              <w:autoSpaceDN/>
              <w:adjustRightInd/>
              <w:jc w:val="center"/>
              <w:rPr>
                <w:color w:val="000000"/>
                <w:kern w:val="0"/>
              </w:rPr>
            </w:pPr>
            <w:r w:rsidRPr="00823873">
              <w:rPr>
                <w:color w:val="000000"/>
                <w:kern w:val="0"/>
              </w:rPr>
              <w:t>$</w:t>
            </w:r>
            <w:r>
              <w:rPr>
                <w:color w:val="000000"/>
                <w:kern w:val="0"/>
              </w:rPr>
              <w:t>329,937</w:t>
            </w:r>
          </w:p>
        </w:tc>
      </w:tr>
      <w:tr w14:paraId="1178EEEA" w14:textId="77777777" w:rsidTr="00781E36">
        <w:tblPrEx>
          <w:tblW w:w="10705" w:type="dxa"/>
          <w:tblLook w:val="04A0"/>
        </w:tblPrEx>
        <w:trPr>
          <w:trHeight w:val="255"/>
        </w:trPr>
        <w:tc>
          <w:tcPr>
            <w:tcW w:w="2430" w:type="dxa"/>
            <w:tcBorders>
              <w:top w:val="nil"/>
              <w:left w:val="single" w:sz="4" w:space="0" w:color="auto"/>
              <w:bottom w:val="single" w:sz="4" w:space="0" w:color="auto"/>
              <w:right w:val="single" w:sz="4" w:space="0" w:color="auto"/>
            </w:tcBorders>
            <w:shd w:val="clear" w:color="auto" w:fill="auto"/>
            <w:hideMark/>
          </w:tcPr>
          <w:p w:rsidR="00B90B16" w:rsidRPr="00823873" w:rsidP="00B90B16" w14:paraId="172DDAC1" w14:textId="0C1A3C2C">
            <w:pPr>
              <w:widowControl/>
              <w:overflowPunct/>
              <w:autoSpaceDE/>
              <w:autoSpaceDN/>
              <w:adjustRightInd/>
              <w:rPr>
                <w:color w:val="000000"/>
                <w:kern w:val="0"/>
              </w:rPr>
            </w:pPr>
            <w:r w:rsidRPr="00823873">
              <w:rPr>
                <w:color w:val="000000"/>
                <w:kern w:val="0"/>
              </w:rPr>
              <w:t xml:space="preserve">SDSs Sent - </w:t>
            </w:r>
            <w:r w:rsidR="00422CEE">
              <w:rPr>
                <w:color w:val="000000"/>
                <w:kern w:val="0"/>
              </w:rPr>
              <w:t>6</w:t>
            </w:r>
            <w:r w:rsidRPr="00823873">
              <w:rPr>
                <w:color w:val="000000"/>
                <w:kern w:val="0"/>
              </w:rPr>
              <w:t>. All chemicals to new establishments</w:t>
            </w:r>
          </w:p>
        </w:tc>
        <w:tc>
          <w:tcPr>
            <w:tcW w:w="1516" w:type="dxa"/>
            <w:tcBorders>
              <w:top w:val="nil"/>
              <w:left w:val="nil"/>
              <w:bottom w:val="single" w:sz="4" w:space="0" w:color="auto"/>
              <w:right w:val="single" w:sz="4" w:space="0" w:color="auto"/>
            </w:tcBorders>
            <w:shd w:val="clear" w:color="auto" w:fill="auto"/>
            <w:noWrap/>
            <w:vAlign w:val="center"/>
            <w:hideMark/>
          </w:tcPr>
          <w:p w:rsidR="00B90B16" w:rsidRPr="003A15DB" w:rsidP="00781E36" w14:paraId="552DD110" w14:textId="77777777">
            <w:pPr>
              <w:widowControl/>
              <w:overflowPunct/>
              <w:autoSpaceDE/>
              <w:autoSpaceDN/>
              <w:adjustRightInd/>
              <w:jc w:val="center"/>
              <w:rPr>
                <w:iCs/>
                <w:color w:val="000000"/>
                <w:kern w:val="0"/>
              </w:rPr>
            </w:pPr>
            <w:r>
              <w:t>52,785</w:t>
            </w:r>
          </w:p>
        </w:tc>
        <w:tc>
          <w:tcPr>
            <w:tcW w:w="1629" w:type="dxa"/>
            <w:tcBorders>
              <w:top w:val="nil"/>
              <w:left w:val="nil"/>
              <w:bottom w:val="single" w:sz="4" w:space="0" w:color="auto"/>
              <w:right w:val="single" w:sz="4" w:space="0" w:color="auto"/>
            </w:tcBorders>
            <w:shd w:val="clear" w:color="auto" w:fill="auto"/>
            <w:noWrap/>
            <w:vAlign w:val="center"/>
            <w:hideMark/>
          </w:tcPr>
          <w:p w:rsidR="00B90B16" w:rsidRPr="003A15DB" w:rsidP="00781E36" w14:paraId="59BA406E" w14:textId="65831EF3">
            <w:pPr>
              <w:widowControl/>
              <w:overflowPunct/>
              <w:autoSpaceDE/>
              <w:autoSpaceDN/>
              <w:adjustRightInd/>
              <w:jc w:val="center"/>
              <w:rPr>
                <w:iCs/>
                <w:color w:val="000000"/>
                <w:kern w:val="0"/>
              </w:rPr>
            </w:pPr>
            <w:r>
              <w:t>4,529,</w:t>
            </w:r>
            <w:r w:rsidR="00F50881">
              <w:t>374</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5946B232" w14:textId="77777777">
            <w:pPr>
              <w:widowControl/>
              <w:overflowPunct/>
              <w:autoSpaceDE/>
              <w:autoSpaceDN/>
              <w:adjustRightInd/>
              <w:jc w:val="center"/>
              <w:rPr>
                <w:color w:val="000000"/>
                <w:kern w:val="0"/>
              </w:rPr>
            </w:pPr>
            <w:r>
              <w:rPr>
                <w:color w:val="000000"/>
                <w:kern w:val="0"/>
              </w:rPr>
              <w:t>4,582,162</w:t>
            </w:r>
          </w:p>
        </w:tc>
        <w:tc>
          <w:tcPr>
            <w:tcW w:w="90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082F1A22" w14:textId="77777777">
            <w:pPr>
              <w:widowControl/>
              <w:overflowPunct/>
              <w:autoSpaceDE/>
              <w:autoSpaceDN/>
              <w:adjustRightInd/>
              <w:jc w:val="center"/>
              <w:rPr>
                <w:color w:val="000000"/>
                <w:kern w:val="0"/>
              </w:rPr>
            </w:pPr>
            <w:r w:rsidRPr="00823873">
              <w:rPr>
                <w:color w:val="000000"/>
                <w:kern w:val="0"/>
              </w:rPr>
              <w:t>2</w:t>
            </w:r>
          </w:p>
        </w:tc>
        <w:tc>
          <w:tcPr>
            <w:tcW w:w="135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120A4865" w14:textId="77777777">
            <w:pPr>
              <w:widowControl/>
              <w:overflowPunct/>
              <w:autoSpaceDE/>
              <w:autoSpaceDN/>
              <w:adjustRightInd/>
              <w:jc w:val="center"/>
              <w:rPr>
                <w:color w:val="000000"/>
                <w:kern w:val="0"/>
              </w:rPr>
            </w:pPr>
            <w:r w:rsidRPr="00823873">
              <w:rPr>
                <w:color w:val="000000"/>
                <w:kern w:val="0"/>
              </w:rPr>
              <w:t>$0.07</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2F880D74" w14:textId="2D828A20">
            <w:pPr>
              <w:widowControl/>
              <w:overflowPunct/>
              <w:autoSpaceDE/>
              <w:autoSpaceDN/>
              <w:adjustRightInd/>
              <w:jc w:val="center"/>
              <w:rPr>
                <w:color w:val="000000"/>
                <w:kern w:val="0"/>
              </w:rPr>
            </w:pPr>
            <w:r w:rsidRPr="00823873">
              <w:rPr>
                <w:color w:val="000000"/>
                <w:kern w:val="0"/>
              </w:rPr>
              <w:t>$</w:t>
            </w:r>
            <w:r>
              <w:rPr>
                <w:color w:val="000000"/>
                <w:kern w:val="0"/>
              </w:rPr>
              <w:t>641,50</w:t>
            </w:r>
            <w:r w:rsidR="008A3196">
              <w:rPr>
                <w:color w:val="000000"/>
                <w:kern w:val="0"/>
              </w:rPr>
              <w:t>4</w:t>
            </w:r>
          </w:p>
        </w:tc>
      </w:tr>
      <w:tr w14:paraId="54AEE8A8" w14:textId="77777777" w:rsidTr="00781E36">
        <w:tblPrEx>
          <w:tblW w:w="10705" w:type="dxa"/>
          <w:tblLook w:val="04A0"/>
        </w:tblPrEx>
        <w:trPr>
          <w:trHeight w:val="255"/>
        </w:trPr>
        <w:tc>
          <w:tcPr>
            <w:tcW w:w="2430" w:type="dxa"/>
            <w:tcBorders>
              <w:top w:val="nil"/>
              <w:left w:val="single" w:sz="4" w:space="0" w:color="auto"/>
              <w:bottom w:val="single" w:sz="4" w:space="0" w:color="auto"/>
              <w:right w:val="single" w:sz="4" w:space="0" w:color="auto"/>
            </w:tcBorders>
            <w:shd w:val="clear" w:color="auto" w:fill="auto"/>
            <w:hideMark/>
          </w:tcPr>
          <w:p w:rsidR="00B90B16" w:rsidRPr="00823873" w:rsidP="00B90B16" w14:paraId="67723D54" w14:textId="72474E9B">
            <w:pPr>
              <w:widowControl/>
              <w:overflowPunct/>
              <w:autoSpaceDE/>
              <w:autoSpaceDN/>
              <w:adjustRightInd/>
              <w:rPr>
                <w:color w:val="000000"/>
                <w:kern w:val="0"/>
              </w:rPr>
            </w:pPr>
            <w:r w:rsidRPr="00823873">
              <w:rPr>
                <w:color w:val="000000"/>
                <w:kern w:val="0"/>
              </w:rPr>
              <w:t xml:space="preserve">SDSs Sent - </w:t>
            </w:r>
            <w:r w:rsidR="00FD0BBB">
              <w:rPr>
                <w:color w:val="000000"/>
                <w:kern w:val="0"/>
              </w:rPr>
              <w:t>7</w:t>
            </w:r>
            <w:r w:rsidRPr="00823873">
              <w:rPr>
                <w:color w:val="000000"/>
                <w:kern w:val="0"/>
              </w:rPr>
              <w:t>. Existing chemicals to existing establishments</w:t>
            </w:r>
          </w:p>
        </w:tc>
        <w:tc>
          <w:tcPr>
            <w:tcW w:w="1516"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24A7B3CE" w14:textId="77777777">
            <w:pPr>
              <w:widowControl/>
              <w:overflowPunct/>
              <w:autoSpaceDE/>
              <w:autoSpaceDN/>
              <w:adjustRightInd/>
              <w:jc w:val="center"/>
              <w:rPr>
                <w:color w:val="000000"/>
                <w:kern w:val="0"/>
              </w:rPr>
            </w:pPr>
            <w:r>
              <w:t>14,318</w:t>
            </w:r>
          </w:p>
        </w:tc>
        <w:tc>
          <w:tcPr>
            <w:tcW w:w="1629"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50A9BC14" w14:textId="77777777">
            <w:pPr>
              <w:widowControl/>
              <w:overflowPunct/>
              <w:autoSpaceDE/>
              <w:autoSpaceDN/>
              <w:adjustRightInd/>
              <w:jc w:val="center"/>
              <w:rPr>
                <w:color w:val="000000"/>
                <w:kern w:val="0"/>
              </w:rPr>
            </w:pPr>
            <w:r>
              <w:rPr>
                <w:color w:val="000000"/>
                <w:kern w:val="0"/>
              </w:rPr>
              <w:t>960,957</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1AA127BB" w14:textId="77777777">
            <w:pPr>
              <w:widowControl/>
              <w:overflowPunct/>
              <w:autoSpaceDE/>
              <w:autoSpaceDN/>
              <w:adjustRightInd/>
              <w:jc w:val="center"/>
              <w:rPr>
                <w:color w:val="000000"/>
                <w:kern w:val="0"/>
              </w:rPr>
            </w:pPr>
            <w:r>
              <w:rPr>
                <w:color w:val="000000"/>
                <w:kern w:val="0"/>
              </w:rPr>
              <w:t>975,275</w:t>
            </w:r>
          </w:p>
        </w:tc>
        <w:tc>
          <w:tcPr>
            <w:tcW w:w="90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337DE9F5" w14:textId="77777777">
            <w:pPr>
              <w:widowControl/>
              <w:overflowPunct/>
              <w:autoSpaceDE/>
              <w:autoSpaceDN/>
              <w:adjustRightInd/>
              <w:jc w:val="center"/>
              <w:rPr>
                <w:color w:val="000000"/>
                <w:kern w:val="0"/>
              </w:rPr>
            </w:pPr>
            <w:r w:rsidRPr="00823873">
              <w:rPr>
                <w:color w:val="000000"/>
                <w:kern w:val="0"/>
              </w:rPr>
              <w:t>2</w:t>
            </w:r>
          </w:p>
        </w:tc>
        <w:tc>
          <w:tcPr>
            <w:tcW w:w="135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00851840" w14:textId="77777777">
            <w:pPr>
              <w:widowControl/>
              <w:overflowPunct/>
              <w:autoSpaceDE/>
              <w:autoSpaceDN/>
              <w:adjustRightInd/>
              <w:jc w:val="center"/>
              <w:rPr>
                <w:color w:val="000000"/>
                <w:kern w:val="0"/>
              </w:rPr>
            </w:pPr>
            <w:r w:rsidRPr="00823873">
              <w:rPr>
                <w:color w:val="000000"/>
                <w:kern w:val="0"/>
              </w:rPr>
              <w:t>$0.07</w:t>
            </w:r>
          </w:p>
        </w:tc>
        <w:tc>
          <w:tcPr>
            <w:tcW w:w="1440" w:type="dxa"/>
            <w:tcBorders>
              <w:top w:val="nil"/>
              <w:left w:val="nil"/>
              <w:bottom w:val="single" w:sz="4" w:space="0" w:color="auto"/>
              <w:right w:val="single" w:sz="4" w:space="0" w:color="auto"/>
            </w:tcBorders>
            <w:shd w:val="clear" w:color="auto" w:fill="auto"/>
            <w:noWrap/>
            <w:vAlign w:val="center"/>
            <w:hideMark/>
          </w:tcPr>
          <w:p w:rsidR="00B90B16" w:rsidRPr="00823873" w:rsidP="00781E36" w14:paraId="0D00043A" w14:textId="77777777">
            <w:pPr>
              <w:widowControl/>
              <w:overflowPunct/>
              <w:autoSpaceDE/>
              <w:autoSpaceDN/>
              <w:adjustRightInd/>
              <w:jc w:val="center"/>
              <w:rPr>
                <w:color w:val="000000"/>
                <w:kern w:val="0"/>
              </w:rPr>
            </w:pPr>
            <w:r w:rsidRPr="00823873">
              <w:rPr>
                <w:color w:val="000000"/>
                <w:kern w:val="0"/>
              </w:rPr>
              <w:t>$</w:t>
            </w:r>
            <w:r>
              <w:rPr>
                <w:color w:val="000000"/>
                <w:kern w:val="0"/>
              </w:rPr>
              <w:t>136,539</w:t>
            </w:r>
          </w:p>
        </w:tc>
      </w:tr>
      <w:tr w14:paraId="68D8A2C7" w14:textId="77777777" w:rsidTr="00BB61C6">
        <w:tblPrEx>
          <w:tblW w:w="10705" w:type="dxa"/>
          <w:tblLook w:val="04A0"/>
        </w:tblPrEx>
        <w:trPr>
          <w:trHeight w:val="255"/>
        </w:trPr>
        <w:tc>
          <w:tcPr>
            <w:tcW w:w="2430"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B90B16" w:rsidRPr="00823873" w:rsidP="00B90B16" w14:paraId="5520543A" w14:textId="77777777">
            <w:pPr>
              <w:widowControl/>
              <w:overflowPunct/>
              <w:autoSpaceDE/>
              <w:autoSpaceDN/>
              <w:adjustRightInd/>
              <w:rPr>
                <w:b/>
                <w:bCs/>
                <w:color w:val="000000"/>
                <w:kern w:val="0"/>
              </w:rPr>
            </w:pPr>
            <w:r w:rsidRPr="00823873">
              <w:rPr>
                <w:b/>
                <w:bCs/>
                <w:color w:val="000000"/>
                <w:kern w:val="0"/>
              </w:rPr>
              <w:t>Total</w:t>
            </w:r>
          </w:p>
        </w:tc>
        <w:tc>
          <w:tcPr>
            <w:tcW w:w="1516"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544C1979" w14:textId="77777777">
            <w:pPr>
              <w:widowControl/>
              <w:overflowPunct/>
              <w:autoSpaceDE/>
              <w:autoSpaceDN/>
              <w:adjustRightInd/>
              <w:jc w:val="center"/>
              <w:rPr>
                <w:b/>
                <w:bCs/>
                <w:color w:val="000000"/>
                <w:kern w:val="0"/>
              </w:rPr>
            </w:pPr>
            <w:r>
              <w:rPr>
                <w:b/>
                <w:bCs/>
                <w:color w:val="000000"/>
                <w:kern w:val="0"/>
              </w:rPr>
              <w:t>117,502</w:t>
            </w:r>
          </w:p>
        </w:tc>
        <w:tc>
          <w:tcPr>
            <w:tcW w:w="1629"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067A2016" w14:textId="349F7397">
            <w:pPr>
              <w:widowControl/>
              <w:overflowPunct/>
              <w:autoSpaceDE/>
              <w:autoSpaceDN/>
              <w:adjustRightInd/>
              <w:jc w:val="center"/>
              <w:rPr>
                <w:b/>
                <w:bCs/>
                <w:color w:val="000000"/>
                <w:kern w:val="0"/>
              </w:rPr>
            </w:pPr>
            <w:r>
              <w:rPr>
                <w:b/>
                <w:bCs/>
                <w:color w:val="000000"/>
                <w:kern w:val="0"/>
              </w:rPr>
              <w:t>7,796,</w:t>
            </w:r>
            <w:r w:rsidR="004D7BAE">
              <w:rPr>
                <w:b/>
                <w:bCs/>
                <w:color w:val="000000"/>
                <w:kern w:val="0"/>
              </w:rPr>
              <w:t>628</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162D9967" w14:textId="64223541">
            <w:pPr>
              <w:widowControl/>
              <w:overflowPunct/>
              <w:autoSpaceDE/>
              <w:autoSpaceDN/>
              <w:adjustRightInd/>
              <w:jc w:val="center"/>
              <w:rPr>
                <w:b/>
                <w:bCs/>
                <w:color w:val="000000"/>
                <w:kern w:val="0"/>
              </w:rPr>
            </w:pPr>
            <w:r>
              <w:rPr>
                <w:b/>
                <w:bCs/>
                <w:color w:val="000000"/>
                <w:kern w:val="0"/>
              </w:rPr>
              <w:t>7,914,</w:t>
            </w:r>
            <w:r w:rsidR="004D7BAE">
              <w:rPr>
                <w:b/>
                <w:bCs/>
                <w:color w:val="000000"/>
                <w:kern w:val="0"/>
              </w:rPr>
              <w:t>133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6E62BABD" w14:textId="77777777">
            <w:pPr>
              <w:widowControl/>
              <w:overflowPunct/>
              <w:autoSpaceDE/>
              <w:autoSpaceDN/>
              <w:adjustRightInd/>
              <w:jc w:val="center"/>
              <w:rPr>
                <w:b/>
                <w:bCs/>
                <w:color w:val="000000"/>
                <w:kern w:val="0"/>
              </w:rPr>
            </w:pPr>
            <w:r w:rsidRPr="00823873">
              <w:rPr>
                <w:b/>
                <w:bCs/>
                <w:color w:val="000000"/>
                <w:kern w:val="0"/>
              </w:rPr>
              <w:t>2</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5CA2D8F3" w14:textId="77777777">
            <w:pPr>
              <w:widowControl/>
              <w:overflowPunct/>
              <w:autoSpaceDE/>
              <w:autoSpaceDN/>
              <w:adjustRightInd/>
              <w:jc w:val="center"/>
              <w:rPr>
                <w:b/>
                <w:bCs/>
                <w:color w:val="000000"/>
                <w:kern w:val="0"/>
              </w:rPr>
            </w:pPr>
            <w:r w:rsidRPr="00823873">
              <w:rPr>
                <w:b/>
                <w:bCs/>
                <w:color w:val="000000"/>
                <w:kern w:val="0"/>
              </w:rPr>
              <w:t>$0.07</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rsidR="00B90B16" w:rsidRPr="00823873" w:rsidP="00781E36" w14:paraId="6E69B884" w14:textId="5879A6AA">
            <w:pPr>
              <w:widowControl/>
              <w:overflowPunct/>
              <w:autoSpaceDE/>
              <w:autoSpaceDN/>
              <w:adjustRightInd/>
              <w:jc w:val="center"/>
              <w:rPr>
                <w:b/>
                <w:bCs/>
                <w:color w:val="000000"/>
                <w:kern w:val="0"/>
              </w:rPr>
            </w:pPr>
            <w:r w:rsidRPr="00823873">
              <w:rPr>
                <w:b/>
                <w:bCs/>
                <w:color w:val="000000"/>
                <w:kern w:val="0"/>
              </w:rPr>
              <w:t>$</w:t>
            </w:r>
            <w:r>
              <w:rPr>
                <w:b/>
                <w:bCs/>
                <w:color w:val="000000"/>
                <w:kern w:val="0"/>
              </w:rPr>
              <w:t>1,107,</w:t>
            </w:r>
            <w:r w:rsidR="00CC72AD">
              <w:rPr>
                <w:b/>
                <w:bCs/>
                <w:color w:val="000000"/>
                <w:kern w:val="0"/>
              </w:rPr>
              <w:t>9</w:t>
            </w:r>
            <w:r w:rsidR="00D164A4">
              <w:rPr>
                <w:b/>
                <w:bCs/>
                <w:color w:val="000000"/>
                <w:kern w:val="0"/>
              </w:rPr>
              <w:t>80</w:t>
            </w:r>
          </w:p>
        </w:tc>
      </w:tr>
    </w:tbl>
    <w:p w:rsidR="005412EE" w:rsidP="00EC1DAF" w14:paraId="580BFF8E"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sectPr w:rsidSect="005A2C7A">
          <w:pgSz w:w="12240" w:h="15840"/>
          <w:pgMar w:top="1440" w:right="1800" w:bottom="1440" w:left="1800" w:header="720" w:footer="720" w:gutter="0"/>
          <w:cols w:space="720"/>
          <w:docGrid w:linePitch="360"/>
        </w:sectPr>
      </w:pPr>
    </w:p>
    <w:p w:rsidR="00F103E5" w:rsidRPr="00781E36" w:rsidP="00EC1DAF" w14:paraId="5C46F305" w14:textId="07CAD05F">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u w:val="single"/>
        </w:rPr>
      </w:pPr>
      <w:r w:rsidRPr="00781E36">
        <w:rPr>
          <w:bCs/>
          <w:color w:val="000000"/>
          <w:sz w:val="24"/>
          <w:szCs w:val="24"/>
        </w:rPr>
        <w:tab/>
      </w:r>
      <w:r w:rsidRPr="00781E36" w:rsidR="00150D7E">
        <w:rPr>
          <w:bCs/>
          <w:color w:val="000000"/>
          <w:sz w:val="24"/>
          <w:szCs w:val="24"/>
          <w:u w:val="single"/>
        </w:rPr>
        <w:t xml:space="preserve">Printing </w:t>
      </w:r>
      <w:r w:rsidRPr="00781E36">
        <w:rPr>
          <w:bCs/>
          <w:color w:val="000000"/>
          <w:sz w:val="24"/>
          <w:szCs w:val="24"/>
          <w:u w:val="single"/>
        </w:rPr>
        <w:t>Cost</w:t>
      </w:r>
      <w:r w:rsidR="00A159D4">
        <w:rPr>
          <w:bCs/>
          <w:color w:val="000000"/>
          <w:sz w:val="24"/>
          <w:szCs w:val="24"/>
          <w:u w:val="single"/>
        </w:rPr>
        <w:t xml:space="preserve"> </w:t>
      </w:r>
      <w:r w:rsidRPr="00781E36" w:rsidR="00150D7E">
        <w:rPr>
          <w:bCs/>
          <w:color w:val="000000"/>
          <w:sz w:val="24"/>
          <w:szCs w:val="24"/>
          <w:u w:val="single"/>
        </w:rPr>
        <w:t>for Labels</w:t>
      </w:r>
    </w:p>
    <w:p w:rsidR="00F103E5" w:rsidRPr="003B60D1" w:rsidP="00EC1DAF" w14:paraId="28E5E3CE"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00876AE4" w:rsidRPr="003B60D1" w:rsidP="00781E36" w14:paraId="16611946" w14:textId="269859FF">
      <w:pPr>
        <w:pStyle w:val="CommentText"/>
        <w:ind w:left="720"/>
        <w:rPr>
          <w:sz w:val="24"/>
          <w:szCs w:val="24"/>
        </w:rPr>
      </w:pPr>
      <w:r w:rsidRPr="003B60D1">
        <w:rPr>
          <w:sz w:val="24"/>
          <w:szCs w:val="24"/>
        </w:rPr>
        <w:t>The total estimate</w:t>
      </w:r>
      <w:r w:rsidRPr="003B60D1" w:rsidR="00F103E5">
        <w:rPr>
          <w:sz w:val="24"/>
          <w:szCs w:val="24"/>
        </w:rPr>
        <w:t>d</w:t>
      </w:r>
      <w:r w:rsidRPr="003B60D1">
        <w:rPr>
          <w:sz w:val="24"/>
          <w:szCs w:val="24"/>
        </w:rPr>
        <w:t xml:space="preserve"> </w:t>
      </w:r>
      <w:r w:rsidR="00F164E0">
        <w:rPr>
          <w:sz w:val="24"/>
          <w:szCs w:val="24"/>
        </w:rPr>
        <w:t xml:space="preserve">cost </w:t>
      </w:r>
      <w:r w:rsidRPr="003B60D1">
        <w:rPr>
          <w:sz w:val="24"/>
          <w:szCs w:val="24"/>
        </w:rPr>
        <w:t xml:space="preserve">for color </w:t>
      </w:r>
      <w:r w:rsidRPr="003B60D1" w:rsidR="008D2964">
        <w:rPr>
          <w:sz w:val="24"/>
          <w:szCs w:val="24"/>
        </w:rPr>
        <w:t>print</w:t>
      </w:r>
      <w:r w:rsidR="008D2964">
        <w:rPr>
          <w:sz w:val="24"/>
          <w:szCs w:val="24"/>
        </w:rPr>
        <w:t>ing</w:t>
      </w:r>
      <w:r w:rsidRPr="003B60D1" w:rsidR="008D2964">
        <w:rPr>
          <w:sz w:val="24"/>
          <w:szCs w:val="24"/>
        </w:rPr>
        <w:t xml:space="preserve"> </w:t>
      </w:r>
      <w:r w:rsidRPr="003B60D1">
        <w:rPr>
          <w:sz w:val="24"/>
          <w:szCs w:val="24"/>
        </w:rPr>
        <w:t xml:space="preserve">is </w:t>
      </w:r>
      <w:r w:rsidRPr="004F39FD" w:rsidR="004F39FD">
        <w:rPr>
          <w:bCs/>
          <w:color w:val="000000"/>
          <w:sz w:val="24"/>
          <w:szCs w:val="24"/>
        </w:rPr>
        <w:t>$</w:t>
      </w:r>
      <w:r w:rsidR="00327A60">
        <w:rPr>
          <w:bCs/>
          <w:color w:val="000000"/>
          <w:sz w:val="24"/>
          <w:szCs w:val="24"/>
        </w:rPr>
        <w:t>67</w:t>
      </w:r>
      <w:r w:rsidR="00764009">
        <w:rPr>
          <w:bCs/>
          <w:color w:val="000000"/>
          <w:sz w:val="24"/>
          <w:szCs w:val="24"/>
        </w:rPr>
        <w:t>,428,087</w:t>
      </w:r>
      <w:r w:rsidR="004F39FD">
        <w:rPr>
          <w:rFonts w:ascii="Calibri" w:hAnsi="Calibri" w:cs="Calibri"/>
          <w:b/>
          <w:bCs/>
          <w:color w:val="000000"/>
        </w:rPr>
        <w:t xml:space="preserve"> </w:t>
      </w:r>
      <w:r w:rsidRPr="003B60D1">
        <w:rPr>
          <w:sz w:val="24"/>
          <w:szCs w:val="24"/>
        </w:rPr>
        <w:t>for all establishments.</w:t>
      </w:r>
      <w:r w:rsidRPr="003B60D1" w:rsidR="00861D67">
        <w:rPr>
          <w:sz w:val="24"/>
          <w:szCs w:val="24"/>
        </w:rPr>
        <w:t xml:space="preserve"> </w:t>
      </w:r>
      <w:r w:rsidRPr="003B60D1" w:rsidR="001A21AA">
        <w:rPr>
          <w:sz w:val="24"/>
          <w:szCs w:val="24"/>
        </w:rPr>
        <w:t xml:space="preserve"> </w:t>
      </w:r>
      <w:r w:rsidRPr="003B60D1" w:rsidR="00861D67">
        <w:rPr>
          <w:sz w:val="24"/>
          <w:szCs w:val="24"/>
        </w:rPr>
        <w:t>See</w:t>
      </w:r>
      <w:r w:rsidRPr="00531523" w:rsidR="00861D67">
        <w:rPr>
          <w:sz w:val="24"/>
          <w:szCs w:val="24"/>
        </w:rPr>
        <w:t xml:space="preserve"> </w:t>
      </w:r>
      <w:r w:rsidRPr="003B60D1" w:rsidR="00861D67">
        <w:rPr>
          <w:sz w:val="24"/>
          <w:szCs w:val="24"/>
        </w:rPr>
        <w:t xml:space="preserve">Table </w:t>
      </w:r>
      <w:r w:rsidR="00081DCE">
        <w:rPr>
          <w:sz w:val="24"/>
          <w:szCs w:val="24"/>
        </w:rPr>
        <w:t>5</w:t>
      </w:r>
      <w:r w:rsidRPr="003B60D1" w:rsidR="00861D67">
        <w:rPr>
          <w:sz w:val="24"/>
          <w:szCs w:val="24"/>
        </w:rPr>
        <w:t xml:space="preserve">, </w:t>
      </w:r>
      <w:r w:rsidRPr="003B60D1" w:rsidR="00861D67">
        <w:rPr>
          <w:i/>
          <w:sz w:val="24"/>
          <w:szCs w:val="24"/>
        </w:rPr>
        <w:t>Summary of</w:t>
      </w:r>
      <w:r w:rsidRPr="003B60D1">
        <w:rPr>
          <w:i/>
          <w:sz w:val="24"/>
          <w:szCs w:val="24"/>
        </w:rPr>
        <w:t xml:space="preserve"> Color Printing Costs</w:t>
      </w:r>
      <w:r w:rsidRPr="003B60D1" w:rsidR="00861D67">
        <w:rPr>
          <w:sz w:val="24"/>
          <w:szCs w:val="24"/>
        </w:rPr>
        <w:t>.</w:t>
      </w:r>
      <w:r w:rsidRPr="003B60D1">
        <w:rPr>
          <w:sz w:val="24"/>
          <w:szCs w:val="24"/>
        </w:rPr>
        <w:t xml:space="preserve"> The cost of colored printers and printing is only for labels and not SDSs, as SDSs may be printed in black and white and </w:t>
      </w:r>
      <w:r w:rsidRPr="003B60D1">
        <w:rPr>
          <w:sz w:val="24"/>
          <w:szCs w:val="24"/>
        </w:rPr>
        <w:t>still remain</w:t>
      </w:r>
      <w:r w:rsidRPr="003B60D1">
        <w:rPr>
          <w:sz w:val="24"/>
          <w:szCs w:val="24"/>
        </w:rPr>
        <w:t xml:space="preserve"> in compliance.  Labels with pictograms require color printing for the red borders of the pictograms.</w:t>
      </w:r>
    </w:p>
    <w:p w:rsidR="003D087E" w:rsidRPr="003B60D1" w:rsidP="00EC1DAF" w14:paraId="26135831" w14:textId="77777777">
      <w:pPr>
        <w:pStyle w:val="Default"/>
      </w:pPr>
    </w:p>
    <w:p w:rsidR="003B60D1" w:rsidP="00EC1DAF" w14:paraId="4F2B0766" w14:textId="77777777">
      <w:pPr>
        <w:pStyle w:val="Default"/>
      </w:pPr>
    </w:p>
    <w:p w:rsidR="0041296B" w:rsidRPr="009E709E" w:rsidP="00781E36" w14:paraId="40C7A55A" w14:textId="1E5FFAAD">
      <w:pPr>
        <w:pStyle w:val="Default"/>
        <w:ind w:left="720" w:firstLine="720"/>
        <w:rPr>
          <w:b/>
        </w:rPr>
      </w:pPr>
      <w:r>
        <w:rPr>
          <w:b/>
        </w:rPr>
        <w:t xml:space="preserve">Table </w:t>
      </w:r>
      <w:r w:rsidR="002F093D">
        <w:rPr>
          <w:b/>
        </w:rPr>
        <w:t>5</w:t>
      </w:r>
      <w:r>
        <w:rPr>
          <w:b/>
        </w:rPr>
        <w:t xml:space="preserve"> – Summary of Color Printing Cost</w:t>
      </w:r>
      <w:r w:rsidR="00F164E0">
        <w:rPr>
          <w:b/>
        </w:rPr>
        <w:t>s</w:t>
      </w:r>
    </w:p>
    <w:tbl>
      <w:tblPr>
        <w:tblW w:w="11782" w:type="dxa"/>
        <w:jc w:val="center"/>
        <w:tblLook w:val="04A0"/>
      </w:tblPr>
      <w:tblGrid>
        <w:gridCol w:w="1220"/>
        <w:gridCol w:w="2553"/>
        <w:gridCol w:w="1680"/>
        <w:gridCol w:w="2199"/>
        <w:gridCol w:w="1883"/>
        <w:gridCol w:w="2247"/>
      </w:tblGrid>
      <w:tr w14:paraId="7C97047D" w14:textId="77777777" w:rsidTr="00BB61C6">
        <w:tblPrEx>
          <w:tblW w:w="11782" w:type="dxa"/>
          <w:jc w:val="center"/>
          <w:tblLook w:val="04A0"/>
        </w:tblPrEx>
        <w:trPr>
          <w:trHeight w:val="255"/>
          <w:tblHeader/>
          <w:jc w:val="center"/>
        </w:trPr>
        <w:tc>
          <w:tcPr>
            <w:tcW w:w="1220" w:type="dxa"/>
            <w:tcBorders>
              <w:top w:val="single" w:sz="4" w:space="0" w:color="auto"/>
              <w:left w:val="single" w:sz="4" w:space="0" w:color="auto"/>
              <w:bottom w:val="single" w:sz="4" w:space="0" w:color="auto"/>
              <w:right w:val="single" w:sz="4" w:space="0" w:color="auto"/>
            </w:tcBorders>
            <w:shd w:val="clear" w:color="auto" w:fill="99CC00"/>
            <w:hideMark/>
          </w:tcPr>
          <w:p w:rsidR="00672174" w:rsidRPr="0071745D" w:rsidP="0071745D" w14:paraId="461F4A9B"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Size Category</w:t>
            </w:r>
          </w:p>
        </w:tc>
        <w:tc>
          <w:tcPr>
            <w:tcW w:w="2553" w:type="dxa"/>
            <w:tcBorders>
              <w:top w:val="single" w:sz="4" w:space="0" w:color="auto"/>
              <w:left w:val="nil"/>
              <w:bottom w:val="single" w:sz="4" w:space="0" w:color="auto"/>
              <w:right w:val="single" w:sz="4" w:space="0" w:color="auto"/>
            </w:tcBorders>
            <w:shd w:val="clear" w:color="auto" w:fill="99CC00"/>
            <w:hideMark/>
          </w:tcPr>
          <w:p w:rsidR="00672174" w:rsidRPr="0071745D" w:rsidP="0071745D" w14:paraId="397DFF24"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Labels</w:t>
            </w:r>
          </w:p>
        </w:tc>
        <w:tc>
          <w:tcPr>
            <w:tcW w:w="1680" w:type="dxa"/>
            <w:tcBorders>
              <w:top w:val="single" w:sz="4" w:space="0" w:color="auto"/>
              <w:left w:val="nil"/>
              <w:bottom w:val="single" w:sz="4" w:space="0" w:color="auto"/>
              <w:right w:val="single" w:sz="4" w:space="0" w:color="auto"/>
            </w:tcBorders>
            <w:shd w:val="clear" w:color="auto" w:fill="99CC00"/>
            <w:hideMark/>
          </w:tcPr>
          <w:p w:rsidR="00672174" w:rsidRPr="0071745D" w:rsidP="0071745D" w14:paraId="31B1D1F5"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Annualized Printer Costs per Label </w:t>
            </w:r>
          </w:p>
        </w:tc>
        <w:tc>
          <w:tcPr>
            <w:tcW w:w="2199" w:type="dxa"/>
            <w:tcBorders>
              <w:top w:val="single" w:sz="4" w:space="0" w:color="auto"/>
              <w:left w:val="nil"/>
              <w:bottom w:val="single" w:sz="4" w:space="0" w:color="auto"/>
              <w:right w:val="single" w:sz="4" w:space="0" w:color="auto"/>
            </w:tcBorders>
            <w:shd w:val="clear" w:color="auto" w:fill="99CC00"/>
            <w:hideMark/>
          </w:tcPr>
          <w:p w:rsidR="00672174" w:rsidRPr="0071745D" w:rsidP="0071745D" w14:paraId="0DD08198"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Annualized Cartridge/Ribbon/Stock Costs per Label </w:t>
            </w:r>
          </w:p>
        </w:tc>
        <w:tc>
          <w:tcPr>
            <w:tcW w:w="1883" w:type="dxa"/>
            <w:tcBorders>
              <w:top w:val="single" w:sz="4" w:space="0" w:color="auto"/>
              <w:left w:val="nil"/>
              <w:bottom w:val="single" w:sz="4" w:space="0" w:color="auto"/>
              <w:right w:val="single" w:sz="4" w:space="0" w:color="auto"/>
            </w:tcBorders>
            <w:shd w:val="clear" w:color="auto" w:fill="99CC00"/>
            <w:hideMark/>
          </w:tcPr>
          <w:p w:rsidR="00672174" w:rsidRPr="0071745D" w:rsidP="0071745D" w14:paraId="130852AD"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Total Annualized Costs per Label </w:t>
            </w:r>
          </w:p>
        </w:tc>
        <w:tc>
          <w:tcPr>
            <w:tcW w:w="2247" w:type="dxa"/>
            <w:tcBorders>
              <w:top w:val="single" w:sz="4" w:space="0" w:color="auto"/>
              <w:left w:val="nil"/>
              <w:bottom w:val="single" w:sz="4" w:space="0" w:color="auto"/>
              <w:right w:val="single" w:sz="4" w:space="0" w:color="auto"/>
            </w:tcBorders>
            <w:shd w:val="clear" w:color="auto" w:fill="99CC00"/>
            <w:hideMark/>
          </w:tcPr>
          <w:p w:rsidR="00672174" w:rsidRPr="0071745D" w:rsidP="0071745D" w14:paraId="7B801AF4" w14:textId="5D354B56">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Total Annualized Costs, All Est</w:t>
            </w:r>
            <w:r w:rsidR="00482DD5">
              <w:rPr>
                <w:rFonts w:ascii="Calibri" w:hAnsi="Calibri" w:cs="Calibri"/>
                <w:b/>
                <w:bCs/>
                <w:color w:val="000000"/>
                <w:kern w:val="0"/>
              </w:rPr>
              <w:t>ablishments</w:t>
            </w:r>
          </w:p>
        </w:tc>
      </w:tr>
      <w:tr w14:paraId="59C92249" w14:textId="77777777" w:rsidTr="00BB61C6">
        <w:tblPrEx>
          <w:tblW w:w="11782" w:type="dxa"/>
          <w:jc w:val="center"/>
          <w:tblLook w:val="04A0"/>
        </w:tblPrEx>
        <w:trPr>
          <w:trHeight w:val="255"/>
          <w:jc w:val="center"/>
        </w:trPr>
        <w:tc>
          <w:tcPr>
            <w:tcW w:w="9535"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F47D9" w:rsidRPr="004F47D9" w:rsidP="004F47D9" w14:paraId="03AA7F44" w14:textId="077B99A8">
            <w:pPr>
              <w:rPr>
                <w:rFonts w:ascii="Calibri" w:hAnsi="Calibri" w:cs="Calibri"/>
                <w:color w:val="000000"/>
              </w:rPr>
            </w:pPr>
            <w:r w:rsidRPr="004F47D9">
              <w:rPr>
                <w:b/>
                <w:bCs/>
                <w:color w:val="000000"/>
              </w:rPr>
              <w:t>Category 1: Companies Printing Only B&amp;W and No Color Printer</w:t>
            </w:r>
          </w:p>
        </w:tc>
        <w:tc>
          <w:tcPr>
            <w:tcW w:w="2247" w:type="dxa"/>
            <w:tcBorders>
              <w:top w:val="nil"/>
              <w:left w:val="nil"/>
              <w:bottom w:val="single" w:sz="4" w:space="0" w:color="auto"/>
              <w:right w:val="single" w:sz="4" w:space="0" w:color="auto"/>
            </w:tcBorders>
            <w:shd w:val="clear" w:color="auto" w:fill="D9D9D9" w:themeFill="background1" w:themeFillShade="D9"/>
            <w:noWrap/>
            <w:vAlign w:val="bottom"/>
          </w:tcPr>
          <w:p w:rsidR="004F47D9" w:rsidRPr="00781E36" w:rsidP="00881A90" w14:paraId="3EE106A8" w14:textId="77777777">
            <w:pPr>
              <w:jc w:val="right"/>
              <w:rPr>
                <w:rFonts w:ascii="Calibri" w:hAnsi="Calibri" w:cs="Calibri"/>
                <w:color w:val="000000"/>
              </w:rPr>
            </w:pPr>
          </w:p>
        </w:tc>
      </w:tr>
      <w:tr w14:paraId="498F18BF"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6E39380A"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2427C541" w14:textId="63208953">
            <w:pPr>
              <w:widowControl/>
              <w:overflowPunct/>
              <w:autoSpaceDE/>
              <w:autoSpaceDN/>
              <w:adjustRightInd/>
              <w:jc w:val="right"/>
              <w:rPr>
                <w:rFonts w:ascii="Calibri" w:hAnsi="Calibri" w:cs="Calibri"/>
                <w:color w:val="000000"/>
                <w:kern w:val="0"/>
              </w:rPr>
            </w:pPr>
            <w:r>
              <w:rPr>
                <w:rFonts w:ascii="Calibri" w:hAnsi="Calibri" w:cs="Calibri"/>
                <w:color w:val="000000"/>
              </w:rPr>
              <w:t>24,867,475</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24C71E90"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sz="4" w:space="0" w:color="auto"/>
              <w:right w:val="single" w:sz="4" w:space="0" w:color="auto"/>
            </w:tcBorders>
            <w:shd w:val="clear" w:color="auto" w:fill="auto"/>
            <w:noWrap/>
            <w:vAlign w:val="bottom"/>
            <w:hideMark/>
          </w:tcPr>
          <w:p w:rsidR="00AC2624" w:rsidRPr="002145AC" w:rsidP="00AC2624" w14:paraId="05EC4CE3" w14:textId="4A3B7AA5">
            <w:pPr>
              <w:jc w:val="right"/>
              <w:rPr>
                <w:rFonts w:ascii="Calibri" w:hAnsi="Calibri" w:cs="Calibri"/>
                <w:color w:val="000000"/>
              </w:rPr>
            </w:pPr>
            <w:r w:rsidRPr="00781E36">
              <w:rPr>
                <w:rFonts w:ascii="Calibri" w:hAnsi="Calibri" w:cs="Calibri"/>
                <w:color w:val="000000"/>
              </w:rPr>
              <w:t xml:space="preserve">$0.16 </w:t>
            </w:r>
          </w:p>
        </w:tc>
        <w:tc>
          <w:tcPr>
            <w:tcW w:w="1883" w:type="dxa"/>
            <w:tcBorders>
              <w:top w:val="nil"/>
              <w:left w:val="nil"/>
              <w:bottom w:val="single" w:sz="4" w:space="0" w:color="auto"/>
              <w:right w:val="single" w:sz="4" w:space="0" w:color="auto"/>
            </w:tcBorders>
            <w:shd w:val="clear" w:color="auto" w:fill="auto"/>
            <w:noWrap/>
            <w:vAlign w:val="bottom"/>
            <w:hideMark/>
          </w:tcPr>
          <w:p w:rsidR="00AC2624" w:rsidRPr="00D31DD5" w:rsidP="00AC2624" w14:paraId="554E5A62" w14:textId="43CF76AC">
            <w:pPr>
              <w:jc w:val="right"/>
              <w:rPr>
                <w:rFonts w:ascii="Calibri" w:hAnsi="Calibri" w:cs="Calibri"/>
                <w:color w:val="000000"/>
              </w:rPr>
            </w:pPr>
            <w:r w:rsidRPr="00781E36">
              <w:rPr>
                <w:rFonts w:ascii="Calibri" w:hAnsi="Calibri" w:cs="Calibri"/>
                <w:color w:val="000000"/>
              </w:rPr>
              <w:t xml:space="preserve">$0.18 </w:t>
            </w:r>
          </w:p>
        </w:tc>
        <w:tc>
          <w:tcPr>
            <w:tcW w:w="2247" w:type="dxa"/>
            <w:tcBorders>
              <w:top w:val="nil"/>
              <w:left w:val="nil"/>
              <w:bottom w:val="single" w:sz="4" w:space="0" w:color="auto"/>
              <w:right w:val="single" w:sz="4" w:space="0" w:color="auto"/>
            </w:tcBorders>
            <w:shd w:val="clear" w:color="auto" w:fill="auto"/>
            <w:noWrap/>
            <w:hideMark/>
          </w:tcPr>
          <w:p w:rsidR="00AC2624" w:rsidRPr="00881A90" w:rsidP="00AC2624" w14:paraId="05C3F4B3" w14:textId="697F169A">
            <w:pPr>
              <w:jc w:val="right"/>
              <w:rPr>
                <w:rFonts w:ascii="Calibri" w:hAnsi="Calibri" w:cs="Calibri"/>
                <w:color w:val="000000"/>
              </w:rPr>
            </w:pPr>
            <w:r>
              <w:rPr>
                <w:rFonts w:ascii="Calibri" w:hAnsi="Calibri" w:cs="Calibri"/>
                <w:color w:val="000000"/>
              </w:rPr>
              <w:t>$4,476,146</w:t>
            </w:r>
          </w:p>
        </w:tc>
      </w:tr>
      <w:tr w14:paraId="5B6A70D6"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11B52730"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6DAD2112" w14:textId="26953FCF">
            <w:pPr>
              <w:jc w:val="right"/>
              <w:rPr>
                <w:rFonts w:ascii="Calibri" w:hAnsi="Calibri" w:cs="Calibri"/>
                <w:color w:val="000000"/>
              </w:rPr>
            </w:pPr>
            <w:r>
              <w:rPr>
                <w:rFonts w:ascii="Calibri" w:hAnsi="Calibri" w:cs="Calibri"/>
                <w:color w:val="000000"/>
              </w:rPr>
              <w:t>44,327,269</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25DA9811" w14:textId="77777777">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sz="4" w:space="0" w:color="auto"/>
              <w:right w:val="single" w:sz="4" w:space="0" w:color="auto"/>
            </w:tcBorders>
            <w:shd w:val="clear" w:color="auto" w:fill="auto"/>
            <w:noWrap/>
            <w:vAlign w:val="bottom"/>
            <w:hideMark/>
          </w:tcPr>
          <w:p w:rsidR="00AC2624" w:rsidRPr="002145AC" w:rsidP="00AC2624" w14:paraId="4E0886A3" w14:textId="74ECF7CA">
            <w:pPr>
              <w:jc w:val="right"/>
              <w:rPr>
                <w:rFonts w:ascii="Calibri" w:hAnsi="Calibri" w:cs="Calibri"/>
                <w:color w:val="000000"/>
              </w:rPr>
            </w:pPr>
            <w:r w:rsidRPr="00781E36">
              <w:rPr>
                <w:rFonts w:ascii="Calibri" w:hAnsi="Calibri" w:cs="Calibri"/>
                <w:color w:val="000000"/>
              </w:rPr>
              <w:t xml:space="preserve">$0.16 </w:t>
            </w:r>
          </w:p>
        </w:tc>
        <w:tc>
          <w:tcPr>
            <w:tcW w:w="1883" w:type="dxa"/>
            <w:tcBorders>
              <w:top w:val="nil"/>
              <w:left w:val="nil"/>
              <w:bottom w:val="single" w:sz="4" w:space="0" w:color="auto"/>
              <w:right w:val="single" w:sz="4" w:space="0" w:color="auto"/>
            </w:tcBorders>
            <w:shd w:val="clear" w:color="auto" w:fill="auto"/>
            <w:noWrap/>
            <w:vAlign w:val="bottom"/>
            <w:hideMark/>
          </w:tcPr>
          <w:p w:rsidR="00AC2624" w:rsidRPr="00D31DD5" w:rsidP="00AC2624" w14:paraId="3821F97A" w14:textId="6F2C101E">
            <w:pPr>
              <w:jc w:val="right"/>
              <w:rPr>
                <w:rFonts w:ascii="Calibri" w:hAnsi="Calibri" w:cs="Calibri"/>
                <w:color w:val="000000"/>
              </w:rPr>
            </w:pPr>
            <w:r w:rsidRPr="00781E36">
              <w:rPr>
                <w:rFonts w:ascii="Calibri" w:hAnsi="Calibri" w:cs="Calibri"/>
                <w:color w:val="000000"/>
              </w:rPr>
              <w:t xml:space="preserve">$0.17 </w:t>
            </w:r>
          </w:p>
        </w:tc>
        <w:tc>
          <w:tcPr>
            <w:tcW w:w="2247" w:type="dxa"/>
            <w:tcBorders>
              <w:top w:val="nil"/>
              <w:left w:val="nil"/>
              <w:bottom w:val="single" w:sz="4" w:space="0" w:color="auto"/>
              <w:right w:val="single" w:sz="4" w:space="0" w:color="auto"/>
            </w:tcBorders>
            <w:shd w:val="clear" w:color="auto" w:fill="auto"/>
            <w:noWrap/>
            <w:hideMark/>
          </w:tcPr>
          <w:p w:rsidR="00AC2624" w:rsidRPr="00881A90" w:rsidP="00AC2624" w14:paraId="0015B26B" w14:textId="63DE70F7">
            <w:pPr>
              <w:jc w:val="right"/>
              <w:rPr>
                <w:rFonts w:ascii="Calibri" w:hAnsi="Calibri" w:cs="Calibri"/>
                <w:color w:val="000000"/>
              </w:rPr>
            </w:pPr>
            <w:r>
              <w:rPr>
                <w:rFonts w:ascii="Calibri" w:hAnsi="Calibri" w:cs="Calibri"/>
                <w:color w:val="000000"/>
              </w:rPr>
              <w:t>$7,535,636</w:t>
            </w:r>
          </w:p>
        </w:tc>
      </w:tr>
      <w:tr w14:paraId="61CF8234"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1D77A3E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11D79416" w14:textId="47307256">
            <w:pPr>
              <w:jc w:val="right"/>
              <w:rPr>
                <w:rFonts w:ascii="Calibri" w:hAnsi="Calibri" w:cs="Calibri"/>
                <w:color w:val="000000"/>
              </w:rPr>
            </w:pPr>
            <w:r>
              <w:rPr>
                <w:rFonts w:ascii="Calibri" w:hAnsi="Calibri" w:cs="Calibri"/>
                <w:color w:val="000000"/>
              </w:rPr>
              <w:t>67,152,732</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1658C831" w14:textId="289F364B">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6704BC1E" w14:textId="77777777">
            <w:pPr>
              <w:jc w:val="right"/>
              <w:rPr>
                <w:rFonts w:ascii="Calibri" w:hAnsi="Calibri" w:cs="Calibri"/>
                <w:color w:val="000000"/>
              </w:rPr>
            </w:pPr>
            <w:r>
              <w:rPr>
                <w:rFonts w:ascii="Calibri" w:hAnsi="Calibri" w:cs="Calibri"/>
                <w:color w:val="000000"/>
              </w:rPr>
              <w:t>$0.01</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3BB1AD34" w14:textId="4256E78E">
            <w:pPr>
              <w:jc w:val="right"/>
              <w:rPr>
                <w:rFonts w:ascii="Calibri" w:hAnsi="Calibri" w:cs="Calibri"/>
                <w:color w:val="000000"/>
              </w:rPr>
            </w:pPr>
            <w:r>
              <w:rPr>
                <w:rFonts w:ascii="Calibri" w:hAnsi="Calibri" w:cs="Calibri"/>
                <w:color w:val="000000"/>
              </w:rPr>
              <w:t>$0.0</w:t>
            </w:r>
            <w:r w:rsidR="00152B75">
              <w:rPr>
                <w:rFonts w:ascii="Calibri" w:hAnsi="Calibri" w:cs="Calibri"/>
                <w:color w:val="000000"/>
              </w:rPr>
              <w:t>2</w:t>
            </w:r>
          </w:p>
        </w:tc>
        <w:tc>
          <w:tcPr>
            <w:tcW w:w="2247" w:type="dxa"/>
            <w:tcBorders>
              <w:top w:val="nil"/>
              <w:left w:val="nil"/>
              <w:bottom w:val="single" w:sz="4" w:space="0" w:color="auto"/>
              <w:right w:val="single" w:sz="4" w:space="0" w:color="auto"/>
            </w:tcBorders>
            <w:shd w:val="clear" w:color="auto" w:fill="auto"/>
            <w:noWrap/>
            <w:hideMark/>
          </w:tcPr>
          <w:p w:rsidR="00AC2624" w:rsidRPr="00881A90" w:rsidP="00AC2624" w14:paraId="22062BEA" w14:textId="1A7FD0DF">
            <w:pPr>
              <w:jc w:val="right"/>
              <w:rPr>
                <w:rFonts w:ascii="Calibri" w:hAnsi="Calibri" w:cs="Calibri"/>
                <w:color w:val="000000"/>
              </w:rPr>
            </w:pPr>
            <w:r>
              <w:rPr>
                <w:rFonts w:ascii="Calibri" w:hAnsi="Calibri" w:cs="Calibri"/>
                <w:color w:val="000000"/>
              </w:rPr>
              <w:t>$1,343,055</w:t>
            </w:r>
          </w:p>
        </w:tc>
      </w:tr>
      <w:tr w14:paraId="4DEF685B"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70C2E8B1"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0065CC69" w14:textId="3E25B52B">
            <w:pPr>
              <w:jc w:val="right"/>
              <w:rPr>
                <w:rFonts w:ascii="Calibri" w:hAnsi="Calibri" w:cs="Calibri"/>
                <w:color w:val="000000"/>
              </w:rPr>
            </w:pPr>
            <w:r>
              <w:rPr>
                <w:rFonts w:ascii="Calibri" w:hAnsi="Calibri" w:cs="Calibri"/>
                <w:color w:val="000000"/>
              </w:rPr>
              <w:t>88,255,395</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5C5F803B"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56C73817" w14:textId="77777777">
            <w:pPr>
              <w:jc w:val="right"/>
              <w:rPr>
                <w:rFonts w:ascii="Calibri" w:hAnsi="Calibri" w:cs="Calibri"/>
                <w:color w:val="000000"/>
              </w:rPr>
            </w:pPr>
            <w:r>
              <w:rPr>
                <w:rFonts w:ascii="Calibri" w:hAnsi="Calibri" w:cs="Calibri"/>
                <w:color w:val="000000"/>
              </w:rPr>
              <w:t>$0.01</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33BFBEB8" w14:textId="77777777">
            <w:pPr>
              <w:jc w:val="right"/>
              <w:rPr>
                <w:rFonts w:ascii="Calibri" w:hAnsi="Calibri" w:cs="Calibri"/>
                <w:color w:val="000000"/>
              </w:rPr>
            </w:pPr>
            <w:r>
              <w:rPr>
                <w:rFonts w:ascii="Calibri" w:hAnsi="Calibri" w:cs="Calibri"/>
                <w:color w:val="000000"/>
              </w:rPr>
              <w:t>$0.03</w:t>
            </w:r>
          </w:p>
        </w:tc>
        <w:tc>
          <w:tcPr>
            <w:tcW w:w="2247" w:type="dxa"/>
            <w:tcBorders>
              <w:top w:val="nil"/>
              <w:left w:val="nil"/>
              <w:bottom w:val="single" w:sz="4" w:space="0" w:color="auto"/>
              <w:right w:val="single" w:sz="4" w:space="0" w:color="auto"/>
            </w:tcBorders>
            <w:shd w:val="clear" w:color="auto" w:fill="auto"/>
            <w:noWrap/>
            <w:hideMark/>
          </w:tcPr>
          <w:p w:rsidR="00AC2624" w:rsidRPr="00881A90" w:rsidP="00AC2624" w14:paraId="6C31CF6D" w14:textId="2EE29BB6">
            <w:pPr>
              <w:jc w:val="right"/>
              <w:rPr>
                <w:rFonts w:ascii="Calibri" w:hAnsi="Calibri" w:cs="Calibri"/>
                <w:color w:val="000000"/>
              </w:rPr>
            </w:pPr>
            <w:r>
              <w:rPr>
                <w:rFonts w:ascii="Calibri" w:hAnsi="Calibri" w:cs="Calibri"/>
                <w:color w:val="000000"/>
              </w:rPr>
              <w:t>$2,647,662</w:t>
            </w:r>
          </w:p>
        </w:tc>
      </w:tr>
      <w:tr w14:paraId="67CDCDEB"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74834A4A"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6BC5F3EA" w14:textId="79A771BF">
            <w:pPr>
              <w:jc w:val="right"/>
              <w:rPr>
                <w:rFonts w:ascii="Calibri" w:hAnsi="Calibri" w:cs="Calibri"/>
                <w:b/>
                <w:bCs/>
                <w:i/>
                <w:iCs/>
                <w:color w:val="000000"/>
              </w:rPr>
            </w:pPr>
            <w:r>
              <w:rPr>
                <w:rFonts w:ascii="Calibri" w:hAnsi="Calibri" w:cs="Calibri"/>
                <w:b/>
                <w:bCs/>
                <w:i/>
                <w:iCs/>
                <w:color w:val="000000"/>
              </w:rPr>
              <w:t>224,602,871</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242B3BBD"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299F9282" w14:textId="77777777">
            <w:pPr>
              <w:jc w:val="right"/>
              <w:rPr>
                <w:rFonts w:ascii="Calibri" w:hAnsi="Calibri" w:cs="Calibri"/>
                <w:b/>
                <w:bCs/>
                <w:i/>
                <w:iCs/>
                <w:color w:val="000000"/>
              </w:rPr>
            </w:pPr>
            <w:r>
              <w:rPr>
                <w:rFonts w:ascii="Calibri" w:hAnsi="Calibri" w:cs="Calibri"/>
                <w:b/>
                <w:bCs/>
                <w:i/>
                <w:iCs/>
                <w:color w:val="000000"/>
              </w:rPr>
              <w:t>—</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69C45EB0" w14:textId="77777777">
            <w:pPr>
              <w:jc w:val="right"/>
              <w:rPr>
                <w:rFonts w:ascii="Calibri" w:hAnsi="Calibri" w:cs="Calibri"/>
                <w:b/>
                <w:bCs/>
                <w:i/>
                <w:iCs/>
                <w:color w:val="000000"/>
              </w:rPr>
            </w:pPr>
            <w:r>
              <w:rPr>
                <w:rFonts w:ascii="Calibri" w:hAnsi="Calibri" w:cs="Calibri"/>
                <w:b/>
                <w:bCs/>
                <w:i/>
                <w:iCs/>
                <w:color w:val="000000"/>
              </w:rPr>
              <w:t>—</w:t>
            </w:r>
          </w:p>
        </w:tc>
        <w:tc>
          <w:tcPr>
            <w:tcW w:w="2247" w:type="dxa"/>
            <w:tcBorders>
              <w:top w:val="nil"/>
              <w:left w:val="nil"/>
              <w:bottom w:val="single" w:sz="4" w:space="0" w:color="auto"/>
              <w:right w:val="single" w:sz="4" w:space="0" w:color="auto"/>
            </w:tcBorders>
            <w:shd w:val="clear" w:color="auto" w:fill="auto"/>
            <w:noWrap/>
            <w:hideMark/>
          </w:tcPr>
          <w:p w:rsidR="00AC2624" w:rsidRPr="00881A90" w:rsidP="00AC2624" w14:paraId="7681ACC4" w14:textId="2DF3279A">
            <w:pPr>
              <w:jc w:val="right"/>
              <w:rPr>
                <w:rFonts w:ascii="Calibri" w:hAnsi="Calibri" w:cs="Calibri"/>
                <w:b/>
                <w:bCs/>
                <w:i/>
                <w:iCs/>
                <w:color w:val="000000"/>
              </w:rPr>
            </w:pPr>
            <w:r>
              <w:rPr>
                <w:rFonts w:ascii="Calibri" w:hAnsi="Calibri" w:cs="Calibri"/>
                <w:b/>
                <w:bCs/>
                <w:i/>
                <w:iCs/>
                <w:color w:val="000000"/>
              </w:rPr>
              <w:t>$16,002,499</w:t>
            </w:r>
          </w:p>
        </w:tc>
      </w:tr>
      <w:tr w14:paraId="38C8FFCC" w14:textId="77777777" w:rsidTr="00BB61C6">
        <w:tblPrEx>
          <w:tblW w:w="11782" w:type="dxa"/>
          <w:jc w:val="center"/>
          <w:tblLook w:val="04A0"/>
        </w:tblPrEx>
        <w:trPr>
          <w:trHeight w:val="255"/>
          <w:jc w:val="center"/>
        </w:trPr>
        <w:tc>
          <w:tcPr>
            <w:tcW w:w="9535"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C2624" w:rsidRPr="004F47D9" w:rsidP="00AC2624" w14:paraId="7B9D0DA3" w14:textId="7AB90EFB">
            <w:pPr>
              <w:rPr>
                <w:rFonts w:ascii="Calibri" w:hAnsi="Calibri" w:cs="Calibri"/>
                <w:color w:val="000000"/>
              </w:rPr>
            </w:pPr>
            <w:r w:rsidRPr="004F47D9">
              <w:rPr>
                <w:b/>
                <w:bCs/>
                <w:color w:val="000000"/>
              </w:rPr>
              <w:t>Category 2: Companies Printing B&amp;W but Own Color Printer</w:t>
            </w:r>
          </w:p>
        </w:tc>
        <w:tc>
          <w:tcPr>
            <w:tcW w:w="2247" w:type="dxa"/>
            <w:tcBorders>
              <w:top w:val="nil"/>
              <w:left w:val="nil"/>
              <w:bottom w:val="single" w:sz="4" w:space="0" w:color="auto"/>
              <w:right w:val="single" w:sz="4" w:space="0" w:color="auto"/>
            </w:tcBorders>
            <w:shd w:val="clear" w:color="auto" w:fill="D9D9D9" w:themeFill="background1" w:themeFillShade="D9"/>
            <w:noWrap/>
            <w:vAlign w:val="bottom"/>
          </w:tcPr>
          <w:p w:rsidR="00AC2624" w:rsidRPr="00781E36" w:rsidP="00AC2624" w14:paraId="53211FAD" w14:textId="77777777">
            <w:pPr>
              <w:jc w:val="right"/>
              <w:rPr>
                <w:rFonts w:ascii="Calibri" w:hAnsi="Calibri" w:cs="Calibri"/>
                <w:color w:val="000000"/>
              </w:rPr>
            </w:pPr>
          </w:p>
        </w:tc>
      </w:tr>
      <w:tr w14:paraId="1D3209C1"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03F1CA0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6DE02863" w14:textId="167C48BB">
            <w:pPr>
              <w:widowControl/>
              <w:overflowPunct/>
              <w:autoSpaceDE/>
              <w:autoSpaceDN/>
              <w:adjustRightInd/>
              <w:jc w:val="right"/>
              <w:rPr>
                <w:rFonts w:ascii="Calibri" w:hAnsi="Calibri" w:cs="Calibri"/>
                <w:color w:val="000000"/>
                <w:kern w:val="0"/>
              </w:rPr>
            </w:pPr>
            <w:r>
              <w:rPr>
                <w:rFonts w:ascii="Calibri" w:hAnsi="Calibri" w:cs="Calibri"/>
                <w:color w:val="000000"/>
              </w:rPr>
              <w:t>8,289,158</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4B7A577D"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sz="4" w:space="0" w:color="auto"/>
              <w:right w:val="single" w:sz="4" w:space="0" w:color="auto"/>
            </w:tcBorders>
            <w:shd w:val="clear" w:color="auto" w:fill="auto"/>
            <w:noWrap/>
            <w:vAlign w:val="bottom"/>
            <w:hideMark/>
          </w:tcPr>
          <w:p w:rsidR="00AC2624" w:rsidRPr="00E4163B" w:rsidP="00AC2624" w14:paraId="2F7B38F1" w14:textId="2459B37C">
            <w:pPr>
              <w:jc w:val="right"/>
              <w:rPr>
                <w:rFonts w:ascii="Calibri" w:hAnsi="Calibri" w:cs="Calibri"/>
                <w:color w:val="000000"/>
              </w:rPr>
            </w:pPr>
            <w:r w:rsidRPr="00781E36">
              <w:rPr>
                <w:rFonts w:ascii="Calibri" w:hAnsi="Calibri" w:cs="Calibri"/>
                <w:color w:val="000000"/>
              </w:rPr>
              <w:t xml:space="preserve">$0.16 </w:t>
            </w:r>
          </w:p>
        </w:tc>
        <w:tc>
          <w:tcPr>
            <w:tcW w:w="1883" w:type="dxa"/>
            <w:tcBorders>
              <w:top w:val="nil"/>
              <w:left w:val="nil"/>
              <w:bottom w:val="single" w:sz="4" w:space="0" w:color="auto"/>
              <w:right w:val="single" w:sz="4" w:space="0" w:color="auto"/>
            </w:tcBorders>
            <w:shd w:val="clear" w:color="auto" w:fill="auto"/>
            <w:noWrap/>
            <w:vAlign w:val="bottom"/>
            <w:hideMark/>
          </w:tcPr>
          <w:p w:rsidR="00AC2624" w:rsidRPr="00BA3FA0" w:rsidP="00AC2624" w14:paraId="254449EC" w14:textId="6BD3AD10">
            <w:pPr>
              <w:jc w:val="right"/>
              <w:rPr>
                <w:rFonts w:ascii="Calibri" w:hAnsi="Calibri" w:cs="Calibri"/>
                <w:color w:val="000000"/>
              </w:rPr>
            </w:pPr>
            <w:r w:rsidRPr="00781E36">
              <w:rPr>
                <w:rFonts w:ascii="Calibri" w:hAnsi="Calibri" w:cs="Calibri"/>
                <w:color w:val="000000"/>
              </w:rPr>
              <w:t xml:space="preserve">$0.18 </w:t>
            </w:r>
          </w:p>
        </w:tc>
        <w:tc>
          <w:tcPr>
            <w:tcW w:w="2247" w:type="dxa"/>
            <w:tcBorders>
              <w:top w:val="nil"/>
              <w:left w:val="nil"/>
              <w:bottom w:val="single" w:sz="4" w:space="0" w:color="auto"/>
              <w:right w:val="single" w:sz="4" w:space="0" w:color="auto"/>
            </w:tcBorders>
            <w:shd w:val="clear" w:color="auto" w:fill="auto"/>
            <w:noWrap/>
            <w:hideMark/>
          </w:tcPr>
          <w:p w:rsidR="00AC2624" w:rsidRPr="003B44ED" w:rsidP="00AC2624" w14:paraId="449B845F" w14:textId="79A83064">
            <w:pPr>
              <w:jc w:val="right"/>
              <w:rPr>
                <w:rFonts w:ascii="Calibri" w:hAnsi="Calibri" w:cs="Calibri"/>
                <w:color w:val="000000"/>
              </w:rPr>
            </w:pPr>
            <w:r>
              <w:rPr>
                <w:rFonts w:ascii="Calibri" w:hAnsi="Calibri" w:cs="Calibri"/>
                <w:color w:val="000000"/>
              </w:rPr>
              <w:t>$1,492,049</w:t>
            </w:r>
          </w:p>
        </w:tc>
      </w:tr>
      <w:tr w14:paraId="3FA208A5"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23ACF16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3CB5D06A" w14:textId="3A763C7B">
            <w:pPr>
              <w:jc w:val="right"/>
              <w:rPr>
                <w:rFonts w:ascii="Calibri" w:hAnsi="Calibri" w:cs="Calibri"/>
                <w:color w:val="000000"/>
              </w:rPr>
            </w:pPr>
            <w:r>
              <w:rPr>
                <w:rFonts w:ascii="Calibri" w:hAnsi="Calibri" w:cs="Calibri"/>
                <w:color w:val="000000"/>
              </w:rPr>
              <w:t>14,775,756</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26093DBD" w14:textId="64FB1126">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sz="4" w:space="0" w:color="auto"/>
              <w:right w:val="single" w:sz="4" w:space="0" w:color="auto"/>
            </w:tcBorders>
            <w:shd w:val="clear" w:color="auto" w:fill="auto"/>
            <w:noWrap/>
            <w:vAlign w:val="bottom"/>
            <w:hideMark/>
          </w:tcPr>
          <w:p w:rsidR="00AC2624" w:rsidRPr="00E4163B" w:rsidP="00AC2624" w14:paraId="4B923D39" w14:textId="08B7FB02">
            <w:pPr>
              <w:jc w:val="right"/>
              <w:rPr>
                <w:rFonts w:ascii="Calibri" w:hAnsi="Calibri" w:cs="Calibri"/>
                <w:color w:val="000000"/>
              </w:rPr>
            </w:pPr>
            <w:r w:rsidRPr="00781E36">
              <w:rPr>
                <w:rFonts w:ascii="Calibri" w:hAnsi="Calibri" w:cs="Calibri"/>
                <w:color w:val="000000"/>
              </w:rPr>
              <w:t xml:space="preserve">$0.16 </w:t>
            </w:r>
          </w:p>
        </w:tc>
        <w:tc>
          <w:tcPr>
            <w:tcW w:w="1883" w:type="dxa"/>
            <w:tcBorders>
              <w:top w:val="nil"/>
              <w:left w:val="nil"/>
              <w:bottom w:val="single" w:sz="4" w:space="0" w:color="auto"/>
              <w:right w:val="single" w:sz="4" w:space="0" w:color="auto"/>
            </w:tcBorders>
            <w:shd w:val="clear" w:color="auto" w:fill="auto"/>
            <w:noWrap/>
            <w:vAlign w:val="bottom"/>
            <w:hideMark/>
          </w:tcPr>
          <w:p w:rsidR="00AC2624" w:rsidRPr="00BA3FA0" w:rsidP="00AC2624" w14:paraId="44438B13" w14:textId="500C1E7E">
            <w:pPr>
              <w:jc w:val="right"/>
              <w:rPr>
                <w:rFonts w:ascii="Calibri" w:hAnsi="Calibri" w:cs="Calibri"/>
                <w:color w:val="000000"/>
              </w:rPr>
            </w:pPr>
            <w:r w:rsidRPr="00781E36">
              <w:rPr>
                <w:rFonts w:ascii="Calibri" w:hAnsi="Calibri" w:cs="Calibri"/>
                <w:color w:val="000000"/>
              </w:rPr>
              <w:t xml:space="preserve">$0.17 </w:t>
            </w:r>
          </w:p>
        </w:tc>
        <w:tc>
          <w:tcPr>
            <w:tcW w:w="2247" w:type="dxa"/>
            <w:tcBorders>
              <w:top w:val="nil"/>
              <w:left w:val="nil"/>
              <w:bottom w:val="single" w:sz="4" w:space="0" w:color="auto"/>
              <w:right w:val="single" w:sz="4" w:space="0" w:color="auto"/>
            </w:tcBorders>
            <w:shd w:val="clear" w:color="auto" w:fill="auto"/>
            <w:noWrap/>
            <w:hideMark/>
          </w:tcPr>
          <w:p w:rsidR="00AC2624" w:rsidRPr="003B44ED" w:rsidP="00AC2624" w14:paraId="6EBF6567" w14:textId="1C00916E">
            <w:pPr>
              <w:jc w:val="right"/>
              <w:rPr>
                <w:rFonts w:ascii="Calibri" w:hAnsi="Calibri" w:cs="Calibri"/>
                <w:color w:val="000000"/>
              </w:rPr>
            </w:pPr>
            <w:r>
              <w:rPr>
                <w:rFonts w:ascii="Calibri" w:hAnsi="Calibri" w:cs="Calibri"/>
                <w:color w:val="000000"/>
              </w:rPr>
              <w:t>$2,511,879</w:t>
            </w:r>
          </w:p>
        </w:tc>
      </w:tr>
      <w:tr w14:paraId="2DBEDE0A"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46326EE5"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17D50F93" w14:textId="57FD2261">
            <w:pPr>
              <w:jc w:val="right"/>
              <w:rPr>
                <w:rFonts w:ascii="Calibri" w:hAnsi="Calibri" w:cs="Calibri"/>
                <w:color w:val="000000"/>
              </w:rPr>
            </w:pPr>
            <w:r>
              <w:rPr>
                <w:rFonts w:ascii="Calibri" w:hAnsi="Calibri" w:cs="Calibri"/>
                <w:color w:val="000000"/>
              </w:rPr>
              <w:t>22,384,244</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63C33FB6"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547003A1" w14:textId="77777777">
            <w:pPr>
              <w:jc w:val="right"/>
              <w:rPr>
                <w:rFonts w:ascii="Calibri" w:hAnsi="Calibri" w:cs="Calibri"/>
                <w:color w:val="000000"/>
              </w:rPr>
            </w:pPr>
            <w:r>
              <w:rPr>
                <w:rFonts w:ascii="Calibri" w:hAnsi="Calibri" w:cs="Calibri"/>
                <w:color w:val="000000"/>
              </w:rPr>
              <w:t>$0.01</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68482182" w14:textId="77777777">
            <w:pPr>
              <w:jc w:val="right"/>
              <w:rPr>
                <w:rFonts w:ascii="Calibri" w:hAnsi="Calibri" w:cs="Calibri"/>
                <w:color w:val="000000"/>
              </w:rPr>
            </w:pPr>
            <w:r>
              <w:rPr>
                <w:rFonts w:ascii="Calibri" w:hAnsi="Calibri" w:cs="Calibri"/>
                <w:color w:val="000000"/>
              </w:rPr>
              <w:t>$0.01</w:t>
            </w:r>
          </w:p>
        </w:tc>
        <w:tc>
          <w:tcPr>
            <w:tcW w:w="2247" w:type="dxa"/>
            <w:tcBorders>
              <w:top w:val="nil"/>
              <w:left w:val="nil"/>
              <w:bottom w:val="single" w:sz="4" w:space="0" w:color="auto"/>
              <w:right w:val="single" w:sz="4" w:space="0" w:color="auto"/>
            </w:tcBorders>
            <w:shd w:val="clear" w:color="auto" w:fill="auto"/>
            <w:noWrap/>
            <w:hideMark/>
          </w:tcPr>
          <w:p w:rsidR="00AC2624" w:rsidRPr="003B44ED" w:rsidP="00AC2624" w14:paraId="084A8437" w14:textId="61361A97">
            <w:pPr>
              <w:jc w:val="right"/>
              <w:rPr>
                <w:rFonts w:ascii="Calibri" w:hAnsi="Calibri" w:cs="Calibri"/>
                <w:color w:val="000000"/>
              </w:rPr>
            </w:pPr>
            <w:r>
              <w:rPr>
                <w:rFonts w:ascii="Calibri" w:hAnsi="Calibri" w:cs="Calibri"/>
                <w:color w:val="000000"/>
              </w:rPr>
              <w:t>$223,842</w:t>
            </w:r>
          </w:p>
        </w:tc>
      </w:tr>
      <w:tr w14:paraId="4973ED05"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0E58F7FB"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062E2391" w14:textId="5D8557CB">
            <w:pPr>
              <w:jc w:val="right"/>
              <w:rPr>
                <w:rFonts w:ascii="Calibri" w:hAnsi="Calibri" w:cs="Calibri"/>
                <w:color w:val="000000"/>
              </w:rPr>
            </w:pPr>
            <w:r>
              <w:rPr>
                <w:rFonts w:ascii="Calibri" w:hAnsi="Calibri" w:cs="Calibri"/>
                <w:color w:val="000000"/>
              </w:rPr>
              <w:t>264,766,185</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33171AD0" w14:textId="77777777">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186C6CB1" w14:textId="77777777">
            <w:pPr>
              <w:jc w:val="right"/>
              <w:rPr>
                <w:rFonts w:ascii="Calibri" w:hAnsi="Calibri" w:cs="Calibri"/>
                <w:color w:val="000000"/>
              </w:rPr>
            </w:pPr>
            <w:r>
              <w:rPr>
                <w:rFonts w:ascii="Calibri" w:hAnsi="Calibri" w:cs="Calibri"/>
                <w:color w:val="000000"/>
              </w:rPr>
              <w:t>$0.01</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12926E96" w14:textId="77777777">
            <w:pPr>
              <w:jc w:val="right"/>
              <w:rPr>
                <w:rFonts w:ascii="Calibri" w:hAnsi="Calibri" w:cs="Calibri"/>
                <w:color w:val="000000"/>
              </w:rPr>
            </w:pPr>
            <w:r>
              <w:rPr>
                <w:rFonts w:ascii="Calibri" w:hAnsi="Calibri" w:cs="Calibri"/>
                <w:color w:val="000000"/>
              </w:rPr>
              <w:t>$0.02</w:t>
            </w:r>
          </w:p>
        </w:tc>
        <w:tc>
          <w:tcPr>
            <w:tcW w:w="2247" w:type="dxa"/>
            <w:tcBorders>
              <w:top w:val="nil"/>
              <w:left w:val="nil"/>
              <w:bottom w:val="single" w:sz="4" w:space="0" w:color="auto"/>
              <w:right w:val="single" w:sz="4" w:space="0" w:color="auto"/>
            </w:tcBorders>
            <w:shd w:val="clear" w:color="auto" w:fill="auto"/>
            <w:noWrap/>
            <w:hideMark/>
          </w:tcPr>
          <w:p w:rsidR="00AC2624" w:rsidRPr="003B44ED" w:rsidP="00AC2624" w14:paraId="73D83B9D" w14:textId="670C8C3D">
            <w:pPr>
              <w:jc w:val="right"/>
              <w:rPr>
                <w:rFonts w:ascii="Calibri" w:hAnsi="Calibri" w:cs="Calibri"/>
                <w:color w:val="000000"/>
              </w:rPr>
            </w:pPr>
            <w:r>
              <w:rPr>
                <w:rFonts w:ascii="Calibri" w:hAnsi="Calibri" w:cs="Calibri"/>
                <w:color w:val="000000"/>
              </w:rPr>
              <w:t>$5,295,324</w:t>
            </w:r>
          </w:p>
        </w:tc>
      </w:tr>
      <w:tr w14:paraId="521B358B"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7F58C3BC"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0B5A0B38" w14:textId="31A34286">
            <w:pPr>
              <w:jc w:val="right"/>
              <w:rPr>
                <w:rFonts w:ascii="Calibri" w:hAnsi="Calibri" w:cs="Calibri"/>
                <w:b/>
                <w:bCs/>
                <w:i/>
                <w:iCs/>
                <w:color w:val="000000"/>
              </w:rPr>
            </w:pPr>
            <w:r>
              <w:rPr>
                <w:rFonts w:ascii="Calibri" w:hAnsi="Calibri" w:cs="Calibri"/>
                <w:b/>
                <w:bCs/>
                <w:i/>
                <w:iCs/>
                <w:color w:val="000000"/>
              </w:rPr>
              <w:t>310,215,344</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186D2A01"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2EF126DB" w14:textId="77777777">
            <w:pPr>
              <w:jc w:val="right"/>
              <w:rPr>
                <w:rFonts w:ascii="Calibri" w:hAnsi="Calibri" w:cs="Calibri"/>
                <w:b/>
                <w:bCs/>
                <w:i/>
                <w:iCs/>
                <w:color w:val="000000"/>
              </w:rPr>
            </w:pPr>
            <w:r>
              <w:rPr>
                <w:rFonts w:ascii="Calibri" w:hAnsi="Calibri" w:cs="Calibri"/>
                <w:b/>
                <w:bCs/>
                <w:i/>
                <w:iCs/>
                <w:color w:val="000000"/>
              </w:rPr>
              <w:t>—</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746C65C3" w14:textId="77777777">
            <w:pPr>
              <w:jc w:val="right"/>
              <w:rPr>
                <w:rFonts w:ascii="Calibri" w:hAnsi="Calibri" w:cs="Calibri"/>
                <w:b/>
                <w:bCs/>
                <w:i/>
                <w:iCs/>
                <w:color w:val="000000"/>
              </w:rPr>
            </w:pPr>
            <w:r>
              <w:rPr>
                <w:rFonts w:ascii="Calibri" w:hAnsi="Calibri" w:cs="Calibri"/>
                <w:b/>
                <w:bCs/>
                <w:i/>
                <w:iCs/>
                <w:color w:val="000000"/>
              </w:rPr>
              <w:t>—</w:t>
            </w:r>
          </w:p>
        </w:tc>
        <w:tc>
          <w:tcPr>
            <w:tcW w:w="2247" w:type="dxa"/>
            <w:tcBorders>
              <w:top w:val="nil"/>
              <w:left w:val="nil"/>
              <w:bottom w:val="single" w:sz="4" w:space="0" w:color="auto"/>
              <w:right w:val="single" w:sz="4" w:space="0" w:color="auto"/>
            </w:tcBorders>
            <w:shd w:val="clear" w:color="auto" w:fill="auto"/>
            <w:noWrap/>
            <w:hideMark/>
          </w:tcPr>
          <w:p w:rsidR="00AC2624" w:rsidRPr="003B44ED" w:rsidP="00AC2624" w14:paraId="09A9CC9C" w14:textId="5791F10C">
            <w:pPr>
              <w:jc w:val="right"/>
              <w:rPr>
                <w:rFonts w:ascii="Calibri" w:hAnsi="Calibri" w:cs="Calibri"/>
                <w:b/>
                <w:bCs/>
                <w:i/>
                <w:iCs/>
                <w:color w:val="000000"/>
              </w:rPr>
            </w:pPr>
            <w:r>
              <w:rPr>
                <w:rFonts w:ascii="Calibri" w:hAnsi="Calibri" w:cs="Calibri"/>
                <w:b/>
                <w:bCs/>
                <w:i/>
                <w:iCs/>
                <w:color w:val="000000"/>
              </w:rPr>
              <w:t>$9,523,094</w:t>
            </w:r>
          </w:p>
        </w:tc>
      </w:tr>
      <w:tr w14:paraId="208FA3D3" w14:textId="77777777" w:rsidTr="00BB61C6">
        <w:tblPrEx>
          <w:tblW w:w="11782" w:type="dxa"/>
          <w:jc w:val="center"/>
          <w:tblLook w:val="04A0"/>
        </w:tblPrEx>
        <w:trPr>
          <w:trHeight w:val="255"/>
          <w:jc w:val="center"/>
        </w:trPr>
        <w:tc>
          <w:tcPr>
            <w:tcW w:w="9535"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AC2624" w:rsidRPr="004F47D9" w:rsidP="00AC2624" w14:paraId="2A98E932" w14:textId="488A5F4C">
            <w:pPr>
              <w:rPr>
                <w:b/>
                <w:bCs/>
                <w:color w:val="000000"/>
                <w:kern w:val="0"/>
              </w:rPr>
            </w:pPr>
            <w:r w:rsidRPr="004F47D9">
              <w:rPr>
                <w:b/>
                <w:bCs/>
                <w:color w:val="000000"/>
              </w:rPr>
              <w:t>Category 3: Companies Using Pre-Printed Stock/Labels</w:t>
            </w:r>
          </w:p>
        </w:tc>
        <w:tc>
          <w:tcPr>
            <w:tcW w:w="2247" w:type="dxa"/>
            <w:tcBorders>
              <w:top w:val="nil"/>
              <w:left w:val="nil"/>
              <w:bottom w:val="single" w:sz="4" w:space="0" w:color="auto"/>
              <w:right w:val="single" w:sz="4" w:space="0" w:color="auto"/>
            </w:tcBorders>
            <w:shd w:val="clear" w:color="auto" w:fill="D9D9D9" w:themeFill="background1" w:themeFillShade="D9"/>
            <w:noWrap/>
            <w:vAlign w:val="bottom"/>
          </w:tcPr>
          <w:p w:rsidR="00AC2624" w:rsidRPr="00781E36" w:rsidP="00AC2624" w14:paraId="4736E8D9" w14:textId="77777777">
            <w:pPr>
              <w:jc w:val="right"/>
              <w:rPr>
                <w:rFonts w:ascii="Calibri" w:hAnsi="Calibri" w:cs="Calibri"/>
                <w:color w:val="000000"/>
              </w:rPr>
            </w:pPr>
          </w:p>
        </w:tc>
      </w:tr>
      <w:tr w14:paraId="28FFCE5F"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131B6B05"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1DE55A29" w14:textId="14DEAFD3">
            <w:pPr>
              <w:widowControl/>
              <w:overflowPunct/>
              <w:autoSpaceDE/>
              <w:autoSpaceDN/>
              <w:adjustRightInd/>
              <w:jc w:val="right"/>
              <w:rPr>
                <w:rFonts w:ascii="Calibri" w:hAnsi="Calibri" w:cs="Calibri"/>
                <w:color w:val="000000"/>
                <w:kern w:val="0"/>
              </w:rPr>
            </w:pPr>
            <w:r>
              <w:rPr>
                <w:rFonts w:ascii="Calibri" w:hAnsi="Calibri" w:cs="Calibri"/>
                <w:color w:val="000000"/>
              </w:rPr>
              <w:t>33,156,634</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02C0AB58"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3479F748" w14:textId="77777777">
            <w:pPr>
              <w:jc w:val="right"/>
              <w:rPr>
                <w:rFonts w:ascii="Calibri" w:hAnsi="Calibri" w:cs="Calibri"/>
                <w:color w:val="000000"/>
              </w:rPr>
            </w:pPr>
            <w:r>
              <w:rPr>
                <w:rFonts w:ascii="Calibri" w:hAnsi="Calibri" w:cs="Calibri"/>
                <w:color w:val="000000"/>
              </w:rPr>
              <w:t>$0.04</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4610545C" w14:textId="77777777">
            <w:pPr>
              <w:jc w:val="right"/>
              <w:rPr>
                <w:rFonts w:ascii="Calibri" w:hAnsi="Calibri" w:cs="Calibri"/>
                <w:color w:val="000000"/>
              </w:rPr>
            </w:pPr>
            <w:r>
              <w:rPr>
                <w:rFonts w:ascii="Calibri" w:hAnsi="Calibri" w:cs="Calibri"/>
                <w:color w:val="000000"/>
              </w:rPr>
              <w:t>$0.04</w:t>
            </w:r>
          </w:p>
        </w:tc>
        <w:tc>
          <w:tcPr>
            <w:tcW w:w="2247" w:type="dxa"/>
            <w:tcBorders>
              <w:top w:val="nil"/>
              <w:left w:val="nil"/>
              <w:bottom w:val="single" w:sz="4" w:space="0" w:color="auto"/>
              <w:right w:val="single" w:sz="4" w:space="0" w:color="auto"/>
            </w:tcBorders>
            <w:shd w:val="clear" w:color="auto" w:fill="auto"/>
            <w:noWrap/>
            <w:hideMark/>
          </w:tcPr>
          <w:p w:rsidR="00AC2624" w:rsidRPr="008A02F3" w:rsidP="00AC2624" w14:paraId="227621EA" w14:textId="6E8A9ACC">
            <w:pPr>
              <w:jc w:val="right"/>
              <w:rPr>
                <w:rFonts w:ascii="Calibri" w:hAnsi="Calibri" w:cs="Calibri"/>
                <w:color w:val="000000"/>
              </w:rPr>
            </w:pPr>
            <w:r>
              <w:rPr>
                <w:rFonts w:ascii="Calibri" w:hAnsi="Calibri" w:cs="Calibri"/>
                <w:color w:val="000000"/>
              </w:rPr>
              <w:t>$1,326,265</w:t>
            </w:r>
          </w:p>
        </w:tc>
      </w:tr>
      <w:tr w14:paraId="72C887C1"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789CED7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374F286E" w14:textId="69CF2FBE">
            <w:pPr>
              <w:jc w:val="right"/>
              <w:rPr>
                <w:rFonts w:ascii="Calibri" w:hAnsi="Calibri" w:cs="Calibri"/>
                <w:color w:val="000000"/>
              </w:rPr>
            </w:pPr>
            <w:r>
              <w:rPr>
                <w:rFonts w:ascii="Calibri" w:hAnsi="Calibri" w:cs="Calibri"/>
                <w:color w:val="000000"/>
              </w:rPr>
              <w:t>59,103,025</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72CEC5F8"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018DBC46" w14:textId="77777777">
            <w:pPr>
              <w:jc w:val="right"/>
              <w:rPr>
                <w:rFonts w:ascii="Calibri" w:hAnsi="Calibri" w:cs="Calibri"/>
                <w:color w:val="000000"/>
              </w:rPr>
            </w:pPr>
            <w:r>
              <w:rPr>
                <w:rFonts w:ascii="Calibri" w:hAnsi="Calibri" w:cs="Calibri"/>
                <w:color w:val="000000"/>
              </w:rPr>
              <w:t>$0.04</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357C829A" w14:textId="77777777">
            <w:pPr>
              <w:jc w:val="right"/>
              <w:rPr>
                <w:rFonts w:ascii="Calibri" w:hAnsi="Calibri" w:cs="Calibri"/>
                <w:color w:val="000000"/>
              </w:rPr>
            </w:pPr>
            <w:r>
              <w:rPr>
                <w:rFonts w:ascii="Calibri" w:hAnsi="Calibri" w:cs="Calibri"/>
                <w:color w:val="000000"/>
              </w:rPr>
              <w:t>$0.04</w:t>
            </w:r>
          </w:p>
        </w:tc>
        <w:tc>
          <w:tcPr>
            <w:tcW w:w="2247" w:type="dxa"/>
            <w:tcBorders>
              <w:top w:val="nil"/>
              <w:left w:val="nil"/>
              <w:bottom w:val="single" w:sz="4" w:space="0" w:color="auto"/>
              <w:right w:val="single" w:sz="4" w:space="0" w:color="auto"/>
            </w:tcBorders>
            <w:shd w:val="clear" w:color="auto" w:fill="auto"/>
            <w:noWrap/>
            <w:hideMark/>
          </w:tcPr>
          <w:p w:rsidR="00AC2624" w:rsidRPr="008A02F3" w:rsidP="00AC2624" w14:paraId="32C96230" w14:textId="72BF699B">
            <w:pPr>
              <w:jc w:val="right"/>
              <w:rPr>
                <w:rFonts w:ascii="Calibri" w:hAnsi="Calibri" w:cs="Calibri"/>
                <w:color w:val="000000"/>
              </w:rPr>
            </w:pPr>
            <w:r>
              <w:rPr>
                <w:rFonts w:ascii="Calibri" w:hAnsi="Calibri" w:cs="Calibri"/>
                <w:color w:val="000000"/>
              </w:rPr>
              <w:t>$2,364,121</w:t>
            </w:r>
          </w:p>
        </w:tc>
      </w:tr>
      <w:tr w14:paraId="7963F1E1"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120CD96C"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11FDC3B4" w14:textId="3AF164F3">
            <w:pPr>
              <w:jc w:val="right"/>
              <w:rPr>
                <w:rFonts w:ascii="Calibri" w:hAnsi="Calibri" w:cs="Calibri"/>
                <w:color w:val="000000"/>
              </w:rPr>
            </w:pPr>
            <w:r>
              <w:rPr>
                <w:rFonts w:ascii="Calibri" w:hAnsi="Calibri" w:cs="Calibri"/>
                <w:color w:val="000000"/>
              </w:rPr>
              <w:t>89,536,975</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4F497E19"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51775747" w14:textId="77777777">
            <w:pPr>
              <w:jc w:val="right"/>
              <w:rPr>
                <w:rFonts w:ascii="Calibri" w:hAnsi="Calibri" w:cs="Calibri"/>
                <w:color w:val="000000"/>
              </w:rPr>
            </w:pPr>
            <w:r>
              <w:rPr>
                <w:rFonts w:ascii="Calibri" w:hAnsi="Calibri" w:cs="Calibri"/>
                <w:color w:val="000000"/>
              </w:rPr>
              <w:t>$0.04</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6A5C2298" w14:textId="77777777">
            <w:pPr>
              <w:jc w:val="right"/>
              <w:rPr>
                <w:rFonts w:ascii="Calibri" w:hAnsi="Calibri" w:cs="Calibri"/>
                <w:color w:val="000000"/>
              </w:rPr>
            </w:pPr>
            <w:r>
              <w:rPr>
                <w:rFonts w:ascii="Calibri" w:hAnsi="Calibri" w:cs="Calibri"/>
                <w:color w:val="000000"/>
              </w:rPr>
              <w:t>$0.04</w:t>
            </w:r>
          </w:p>
        </w:tc>
        <w:tc>
          <w:tcPr>
            <w:tcW w:w="2247" w:type="dxa"/>
            <w:tcBorders>
              <w:top w:val="nil"/>
              <w:left w:val="nil"/>
              <w:bottom w:val="single" w:sz="4" w:space="0" w:color="auto"/>
              <w:right w:val="single" w:sz="4" w:space="0" w:color="auto"/>
            </w:tcBorders>
            <w:shd w:val="clear" w:color="auto" w:fill="auto"/>
            <w:noWrap/>
            <w:hideMark/>
          </w:tcPr>
          <w:p w:rsidR="00AC2624" w:rsidRPr="008A02F3" w:rsidP="00AC2624" w14:paraId="2BC68187" w14:textId="143BBE60">
            <w:pPr>
              <w:jc w:val="right"/>
              <w:rPr>
                <w:rFonts w:ascii="Calibri" w:hAnsi="Calibri" w:cs="Calibri"/>
                <w:color w:val="000000"/>
              </w:rPr>
            </w:pPr>
            <w:r>
              <w:rPr>
                <w:rFonts w:ascii="Calibri" w:hAnsi="Calibri" w:cs="Calibri"/>
                <w:color w:val="000000"/>
              </w:rPr>
              <w:t>$3,581,479</w:t>
            </w:r>
          </w:p>
        </w:tc>
      </w:tr>
      <w:tr w14:paraId="05BAF3BE"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0A433CC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507F5178" w14:textId="673F3F00">
            <w:pPr>
              <w:jc w:val="right"/>
              <w:rPr>
                <w:rFonts w:ascii="Calibri" w:hAnsi="Calibri" w:cs="Calibri"/>
                <w:color w:val="000000"/>
              </w:rPr>
            </w:pPr>
            <w:r>
              <w:rPr>
                <w:rFonts w:ascii="Calibri" w:hAnsi="Calibri" w:cs="Calibri"/>
                <w:color w:val="000000"/>
              </w:rPr>
              <w:t>882,553,950</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3F6544C2"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2B0B89FD" w14:textId="77777777">
            <w:pPr>
              <w:jc w:val="right"/>
              <w:rPr>
                <w:rFonts w:ascii="Calibri" w:hAnsi="Calibri" w:cs="Calibri"/>
                <w:color w:val="000000"/>
              </w:rPr>
            </w:pPr>
            <w:r>
              <w:rPr>
                <w:rFonts w:ascii="Calibri" w:hAnsi="Calibri" w:cs="Calibri"/>
                <w:color w:val="000000"/>
              </w:rPr>
              <w:t>$0.04</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74B97BA2" w14:textId="77777777">
            <w:pPr>
              <w:jc w:val="right"/>
              <w:rPr>
                <w:rFonts w:ascii="Calibri" w:hAnsi="Calibri" w:cs="Calibri"/>
                <w:color w:val="000000"/>
              </w:rPr>
            </w:pPr>
            <w:r>
              <w:rPr>
                <w:rFonts w:ascii="Calibri" w:hAnsi="Calibri" w:cs="Calibri"/>
                <w:color w:val="000000"/>
              </w:rPr>
              <w:t>$0.04</w:t>
            </w:r>
          </w:p>
        </w:tc>
        <w:tc>
          <w:tcPr>
            <w:tcW w:w="2247" w:type="dxa"/>
            <w:tcBorders>
              <w:top w:val="nil"/>
              <w:left w:val="nil"/>
              <w:bottom w:val="single" w:sz="4" w:space="0" w:color="auto"/>
              <w:right w:val="single" w:sz="4" w:space="0" w:color="auto"/>
            </w:tcBorders>
            <w:shd w:val="clear" w:color="auto" w:fill="auto"/>
            <w:noWrap/>
            <w:hideMark/>
          </w:tcPr>
          <w:p w:rsidR="00AC2624" w:rsidRPr="008A02F3" w:rsidP="00AC2624" w14:paraId="5A9448D5" w14:textId="3C857649">
            <w:pPr>
              <w:jc w:val="right"/>
              <w:rPr>
                <w:rFonts w:ascii="Calibri" w:hAnsi="Calibri" w:cs="Calibri"/>
                <w:color w:val="000000"/>
              </w:rPr>
            </w:pPr>
            <w:r>
              <w:rPr>
                <w:rFonts w:ascii="Calibri" w:hAnsi="Calibri" w:cs="Calibri"/>
                <w:color w:val="000000"/>
              </w:rPr>
              <w:t>$35,302,158</w:t>
            </w:r>
          </w:p>
        </w:tc>
      </w:tr>
      <w:tr w14:paraId="48CB5885" w14:textId="77777777" w:rsidTr="00B225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AC2624" w:rsidRPr="0071745D" w:rsidP="00AC2624" w14:paraId="702563C3"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2553" w:type="dxa"/>
            <w:tcBorders>
              <w:top w:val="nil"/>
              <w:left w:val="nil"/>
              <w:bottom w:val="single" w:sz="4" w:space="0" w:color="auto"/>
              <w:right w:val="single" w:sz="4" w:space="0" w:color="auto"/>
            </w:tcBorders>
            <w:shd w:val="clear" w:color="auto" w:fill="auto"/>
            <w:noWrap/>
            <w:hideMark/>
          </w:tcPr>
          <w:p w:rsidR="00AC2624" w:rsidP="00AC2624" w14:paraId="65712254" w14:textId="1A72D332">
            <w:pPr>
              <w:jc w:val="right"/>
              <w:rPr>
                <w:rFonts w:ascii="Calibri" w:hAnsi="Calibri" w:cs="Calibri"/>
                <w:b/>
                <w:bCs/>
                <w:i/>
                <w:iCs/>
                <w:color w:val="000000"/>
              </w:rPr>
            </w:pPr>
            <w:r>
              <w:rPr>
                <w:rFonts w:ascii="Calibri" w:hAnsi="Calibri" w:cs="Calibri"/>
                <w:b/>
                <w:bCs/>
                <w:i/>
                <w:iCs/>
                <w:color w:val="000000"/>
              </w:rPr>
              <w:t>1,064,350,584</w:t>
            </w:r>
          </w:p>
        </w:tc>
        <w:tc>
          <w:tcPr>
            <w:tcW w:w="1680" w:type="dxa"/>
            <w:tcBorders>
              <w:top w:val="nil"/>
              <w:left w:val="nil"/>
              <w:bottom w:val="single" w:sz="4" w:space="0" w:color="auto"/>
              <w:right w:val="single" w:sz="4" w:space="0" w:color="auto"/>
            </w:tcBorders>
            <w:shd w:val="clear" w:color="auto" w:fill="auto"/>
            <w:noWrap/>
            <w:hideMark/>
          </w:tcPr>
          <w:p w:rsidR="00AC2624" w:rsidP="00AC2624" w14:paraId="403EDF56"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sz="4" w:space="0" w:color="auto"/>
              <w:right w:val="single" w:sz="4" w:space="0" w:color="auto"/>
            </w:tcBorders>
            <w:shd w:val="clear" w:color="auto" w:fill="auto"/>
            <w:noWrap/>
            <w:hideMark/>
          </w:tcPr>
          <w:p w:rsidR="00AC2624" w:rsidP="00AC2624" w14:paraId="470AB285" w14:textId="77777777">
            <w:pPr>
              <w:jc w:val="right"/>
              <w:rPr>
                <w:rFonts w:ascii="Calibri" w:hAnsi="Calibri" w:cs="Calibri"/>
                <w:b/>
                <w:bCs/>
                <w:i/>
                <w:iCs/>
                <w:color w:val="000000"/>
              </w:rPr>
            </w:pPr>
            <w:r>
              <w:rPr>
                <w:rFonts w:ascii="Calibri" w:hAnsi="Calibri" w:cs="Calibri"/>
                <w:b/>
                <w:bCs/>
                <w:i/>
                <w:iCs/>
                <w:color w:val="000000"/>
              </w:rPr>
              <w:t>—</w:t>
            </w:r>
          </w:p>
        </w:tc>
        <w:tc>
          <w:tcPr>
            <w:tcW w:w="1883" w:type="dxa"/>
            <w:tcBorders>
              <w:top w:val="nil"/>
              <w:left w:val="nil"/>
              <w:bottom w:val="single" w:sz="4" w:space="0" w:color="auto"/>
              <w:right w:val="single" w:sz="4" w:space="0" w:color="auto"/>
            </w:tcBorders>
            <w:shd w:val="clear" w:color="auto" w:fill="auto"/>
            <w:noWrap/>
            <w:hideMark/>
          </w:tcPr>
          <w:p w:rsidR="00AC2624" w:rsidP="00AC2624" w14:paraId="006F6EB7" w14:textId="77777777">
            <w:pPr>
              <w:jc w:val="right"/>
              <w:rPr>
                <w:rFonts w:ascii="Calibri" w:hAnsi="Calibri" w:cs="Calibri"/>
                <w:b/>
                <w:bCs/>
                <w:i/>
                <w:iCs/>
                <w:color w:val="000000"/>
              </w:rPr>
            </w:pPr>
            <w:r>
              <w:rPr>
                <w:rFonts w:ascii="Calibri" w:hAnsi="Calibri" w:cs="Calibri"/>
                <w:b/>
                <w:bCs/>
                <w:i/>
                <w:iCs/>
                <w:color w:val="000000"/>
              </w:rPr>
              <w:t>—</w:t>
            </w:r>
          </w:p>
        </w:tc>
        <w:tc>
          <w:tcPr>
            <w:tcW w:w="2247" w:type="dxa"/>
            <w:tcBorders>
              <w:top w:val="nil"/>
              <w:left w:val="nil"/>
              <w:bottom w:val="single" w:sz="4" w:space="0" w:color="auto"/>
              <w:right w:val="single" w:sz="4" w:space="0" w:color="auto"/>
            </w:tcBorders>
            <w:shd w:val="clear" w:color="auto" w:fill="auto"/>
            <w:noWrap/>
            <w:hideMark/>
          </w:tcPr>
          <w:p w:rsidR="00AC2624" w:rsidRPr="008A02F3" w:rsidP="00AC2624" w14:paraId="17CDAF50" w14:textId="11BC81EF">
            <w:pPr>
              <w:jc w:val="right"/>
              <w:rPr>
                <w:rFonts w:ascii="Calibri" w:hAnsi="Calibri" w:cs="Calibri"/>
                <w:b/>
                <w:bCs/>
                <w:i/>
                <w:iCs/>
                <w:color w:val="000000"/>
              </w:rPr>
            </w:pPr>
            <w:r>
              <w:rPr>
                <w:rFonts w:ascii="Calibri" w:hAnsi="Calibri" w:cs="Calibri"/>
                <w:b/>
                <w:bCs/>
                <w:i/>
                <w:iCs/>
                <w:color w:val="000000"/>
              </w:rPr>
              <w:t>$42,574,023</w:t>
            </w:r>
          </w:p>
        </w:tc>
      </w:tr>
      <w:tr w14:paraId="2585CCEB" w14:textId="77777777" w:rsidTr="00BB61C6">
        <w:tblPrEx>
          <w:tblW w:w="11782" w:type="dxa"/>
          <w:jc w:val="center"/>
          <w:tblLook w:val="04A0"/>
        </w:tblPrEx>
        <w:trPr>
          <w:trHeight w:val="255"/>
          <w:jc w:val="center"/>
        </w:trPr>
        <w:tc>
          <w:tcPr>
            <w:tcW w:w="9535"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F47D9" w:rsidRPr="0071745D" w:rsidP="004F47D9" w14:paraId="0C7EFC91" w14:textId="67524A4B">
            <w:pPr>
              <w:rPr>
                <w:rFonts w:ascii="Calibri" w:hAnsi="Calibri" w:cs="Calibri"/>
                <w:color w:val="000000"/>
                <w:kern w:val="0"/>
              </w:rPr>
            </w:pPr>
            <w:r w:rsidRPr="004F47D9">
              <w:rPr>
                <w:b/>
                <w:bCs/>
                <w:color w:val="000000"/>
              </w:rPr>
              <w:t>Category 4: Companies Printing Color Labels</w:t>
            </w:r>
          </w:p>
        </w:tc>
        <w:tc>
          <w:tcPr>
            <w:tcW w:w="2247" w:type="dxa"/>
            <w:tcBorders>
              <w:top w:val="nil"/>
              <w:left w:val="nil"/>
              <w:bottom w:val="single" w:sz="4" w:space="0" w:color="auto"/>
              <w:right w:val="single" w:sz="4" w:space="0" w:color="auto"/>
            </w:tcBorders>
            <w:shd w:val="clear" w:color="auto" w:fill="D9D9D9" w:themeFill="background1" w:themeFillShade="D9"/>
            <w:noWrap/>
          </w:tcPr>
          <w:p w:rsidR="004F47D9" w:rsidRPr="0071745D" w:rsidP="001644CA" w14:paraId="7EABF292" w14:textId="77777777">
            <w:pPr>
              <w:widowControl/>
              <w:overflowPunct/>
              <w:autoSpaceDE/>
              <w:autoSpaceDN/>
              <w:adjustRightInd/>
              <w:jc w:val="right"/>
              <w:rPr>
                <w:rFonts w:ascii="Calibri" w:hAnsi="Calibri" w:cs="Calibri"/>
                <w:color w:val="000000"/>
                <w:kern w:val="0"/>
              </w:rPr>
            </w:pPr>
          </w:p>
        </w:tc>
      </w:tr>
      <w:tr w14:paraId="49375628" w14:textId="77777777" w:rsidTr="00781E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672174" w:rsidRPr="0071745D" w:rsidP="001644CA" w14:paraId="4D1F1612"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2553" w:type="dxa"/>
            <w:tcBorders>
              <w:top w:val="nil"/>
              <w:left w:val="nil"/>
              <w:bottom w:val="single" w:sz="4" w:space="0" w:color="auto"/>
              <w:right w:val="single" w:sz="4" w:space="0" w:color="auto"/>
            </w:tcBorders>
            <w:shd w:val="clear" w:color="auto" w:fill="auto"/>
            <w:noWrap/>
            <w:hideMark/>
          </w:tcPr>
          <w:p w:rsidR="00672174" w:rsidP="001644CA" w14:paraId="3C9E87AE" w14:textId="66C43638">
            <w:pPr>
              <w:widowControl/>
              <w:overflowPunct/>
              <w:autoSpaceDE/>
              <w:autoSpaceDN/>
              <w:adjustRightInd/>
              <w:jc w:val="right"/>
              <w:rPr>
                <w:rFonts w:ascii="Calibri" w:hAnsi="Calibri" w:cs="Calibri"/>
                <w:color w:val="000000"/>
                <w:kern w:val="0"/>
              </w:rPr>
            </w:pPr>
            <w:r>
              <w:rPr>
                <w:rFonts w:ascii="Calibri" w:hAnsi="Calibri" w:cs="Calibri"/>
                <w:color w:val="000000"/>
              </w:rPr>
              <w:t>16,578,317</w:t>
            </w:r>
          </w:p>
        </w:tc>
        <w:tc>
          <w:tcPr>
            <w:tcW w:w="1680" w:type="dxa"/>
            <w:tcBorders>
              <w:top w:val="nil"/>
              <w:left w:val="nil"/>
              <w:bottom w:val="single" w:sz="4" w:space="0" w:color="auto"/>
              <w:right w:val="single" w:sz="4" w:space="0" w:color="auto"/>
            </w:tcBorders>
            <w:shd w:val="clear" w:color="auto" w:fill="auto"/>
            <w:noWrap/>
            <w:hideMark/>
          </w:tcPr>
          <w:p w:rsidR="00672174" w:rsidRPr="0071745D" w:rsidP="001644CA" w14:paraId="28C80191"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sz="4" w:space="0" w:color="auto"/>
              <w:right w:val="single" w:sz="4" w:space="0" w:color="auto"/>
            </w:tcBorders>
            <w:shd w:val="clear" w:color="auto" w:fill="auto"/>
            <w:noWrap/>
            <w:hideMark/>
          </w:tcPr>
          <w:p w:rsidR="00672174" w:rsidRPr="0071745D" w:rsidP="001644CA" w14:paraId="1BF0EBF9"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883" w:type="dxa"/>
            <w:tcBorders>
              <w:top w:val="nil"/>
              <w:left w:val="nil"/>
              <w:bottom w:val="single" w:sz="4" w:space="0" w:color="auto"/>
              <w:right w:val="single" w:sz="4" w:space="0" w:color="auto"/>
            </w:tcBorders>
            <w:shd w:val="clear" w:color="auto" w:fill="auto"/>
            <w:noWrap/>
            <w:hideMark/>
          </w:tcPr>
          <w:p w:rsidR="00672174" w:rsidRPr="0071745D" w:rsidP="001644CA" w14:paraId="0499703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247" w:type="dxa"/>
            <w:tcBorders>
              <w:top w:val="nil"/>
              <w:left w:val="nil"/>
              <w:bottom w:val="single" w:sz="4" w:space="0" w:color="auto"/>
              <w:right w:val="single" w:sz="4" w:space="0" w:color="auto"/>
            </w:tcBorders>
            <w:shd w:val="clear" w:color="auto" w:fill="auto"/>
            <w:noWrap/>
            <w:hideMark/>
          </w:tcPr>
          <w:p w:rsidR="00672174" w:rsidRPr="0071745D" w:rsidP="001644CA" w14:paraId="6A4DE42C"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14:paraId="7794A907" w14:textId="77777777" w:rsidTr="00781E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672174" w:rsidRPr="0071745D" w:rsidP="001644CA" w14:paraId="6AF12521"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2553" w:type="dxa"/>
            <w:tcBorders>
              <w:top w:val="nil"/>
              <w:left w:val="nil"/>
              <w:bottom w:val="single" w:sz="4" w:space="0" w:color="auto"/>
              <w:right w:val="single" w:sz="4" w:space="0" w:color="auto"/>
            </w:tcBorders>
            <w:shd w:val="clear" w:color="auto" w:fill="auto"/>
            <w:noWrap/>
            <w:hideMark/>
          </w:tcPr>
          <w:p w:rsidR="00672174" w:rsidP="001644CA" w14:paraId="402A52B5" w14:textId="1060FDD4">
            <w:pPr>
              <w:jc w:val="right"/>
              <w:rPr>
                <w:rFonts w:ascii="Calibri" w:hAnsi="Calibri" w:cs="Calibri"/>
                <w:color w:val="000000"/>
              </w:rPr>
            </w:pPr>
            <w:r>
              <w:rPr>
                <w:rFonts w:ascii="Calibri" w:hAnsi="Calibri" w:cs="Calibri"/>
                <w:color w:val="000000"/>
              </w:rPr>
              <w:t>29,551,513</w:t>
            </w:r>
          </w:p>
        </w:tc>
        <w:tc>
          <w:tcPr>
            <w:tcW w:w="1680" w:type="dxa"/>
            <w:tcBorders>
              <w:top w:val="nil"/>
              <w:left w:val="nil"/>
              <w:bottom w:val="single" w:sz="4" w:space="0" w:color="auto"/>
              <w:right w:val="single" w:sz="4" w:space="0" w:color="auto"/>
            </w:tcBorders>
            <w:shd w:val="clear" w:color="auto" w:fill="auto"/>
            <w:noWrap/>
            <w:hideMark/>
          </w:tcPr>
          <w:p w:rsidR="00672174" w:rsidRPr="0071745D" w:rsidP="001644CA" w14:paraId="32B3BD00"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sz="4" w:space="0" w:color="auto"/>
              <w:right w:val="single" w:sz="4" w:space="0" w:color="auto"/>
            </w:tcBorders>
            <w:shd w:val="clear" w:color="auto" w:fill="auto"/>
            <w:noWrap/>
            <w:hideMark/>
          </w:tcPr>
          <w:p w:rsidR="00672174" w:rsidRPr="0071745D" w:rsidP="001644CA" w14:paraId="34667B46"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883" w:type="dxa"/>
            <w:tcBorders>
              <w:top w:val="nil"/>
              <w:left w:val="nil"/>
              <w:bottom w:val="single" w:sz="4" w:space="0" w:color="auto"/>
              <w:right w:val="single" w:sz="4" w:space="0" w:color="auto"/>
            </w:tcBorders>
            <w:shd w:val="clear" w:color="auto" w:fill="auto"/>
            <w:noWrap/>
            <w:hideMark/>
          </w:tcPr>
          <w:p w:rsidR="00672174" w:rsidRPr="0071745D" w:rsidP="001644CA" w14:paraId="5A93F0D7"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247" w:type="dxa"/>
            <w:tcBorders>
              <w:top w:val="nil"/>
              <w:left w:val="nil"/>
              <w:bottom w:val="single" w:sz="4" w:space="0" w:color="auto"/>
              <w:right w:val="single" w:sz="4" w:space="0" w:color="auto"/>
            </w:tcBorders>
            <w:shd w:val="clear" w:color="auto" w:fill="auto"/>
            <w:noWrap/>
            <w:hideMark/>
          </w:tcPr>
          <w:p w:rsidR="00672174" w:rsidRPr="0071745D" w:rsidP="001644CA" w14:paraId="107F1D5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14:paraId="7BEA97B0" w14:textId="77777777" w:rsidTr="00781E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672174" w:rsidRPr="0071745D" w:rsidP="001644CA" w14:paraId="1D25745F"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2553" w:type="dxa"/>
            <w:tcBorders>
              <w:top w:val="nil"/>
              <w:left w:val="nil"/>
              <w:bottom w:val="single" w:sz="4" w:space="0" w:color="auto"/>
              <w:right w:val="single" w:sz="4" w:space="0" w:color="auto"/>
            </w:tcBorders>
            <w:shd w:val="clear" w:color="auto" w:fill="auto"/>
            <w:noWrap/>
            <w:hideMark/>
          </w:tcPr>
          <w:p w:rsidR="00672174" w:rsidP="001644CA" w14:paraId="40EE19AF" w14:textId="73F66EAD">
            <w:pPr>
              <w:jc w:val="right"/>
              <w:rPr>
                <w:rFonts w:ascii="Calibri" w:hAnsi="Calibri" w:cs="Calibri"/>
                <w:color w:val="000000"/>
              </w:rPr>
            </w:pPr>
            <w:r>
              <w:rPr>
                <w:rFonts w:ascii="Calibri" w:hAnsi="Calibri" w:cs="Calibri"/>
                <w:color w:val="000000"/>
              </w:rPr>
              <w:t>44,768,488</w:t>
            </w:r>
          </w:p>
        </w:tc>
        <w:tc>
          <w:tcPr>
            <w:tcW w:w="1680" w:type="dxa"/>
            <w:tcBorders>
              <w:top w:val="nil"/>
              <w:left w:val="nil"/>
              <w:bottom w:val="single" w:sz="4" w:space="0" w:color="auto"/>
              <w:right w:val="single" w:sz="4" w:space="0" w:color="auto"/>
            </w:tcBorders>
            <w:shd w:val="clear" w:color="auto" w:fill="auto"/>
            <w:noWrap/>
            <w:hideMark/>
          </w:tcPr>
          <w:p w:rsidR="00672174" w:rsidRPr="0071745D" w:rsidP="001644CA" w14:paraId="095C18C2"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sz="4" w:space="0" w:color="auto"/>
              <w:right w:val="single" w:sz="4" w:space="0" w:color="auto"/>
            </w:tcBorders>
            <w:shd w:val="clear" w:color="auto" w:fill="auto"/>
            <w:noWrap/>
            <w:hideMark/>
          </w:tcPr>
          <w:p w:rsidR="00672174" w:rsidRPr="0071745D" w:rsidP="001644CA" w14:paraId="2D2E7736"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883" w:type="dxa"/>
            <w:tcBorders>
              <w:top w:val="nil"/>
              <w:left w:val="nil"/>
              <w:bottom w:val="single" w:sz="4" w:space="0" w:color="auto"/>
              <w:right w:val="single" w:sz="4" w:space="0" w:color="auto"/>
            </w:tcBorders>
            <w:shd w:val="clear" w:color="auto" w:fill="auto"/>
            <w:noWrap/>
            <w:hideMark/>
          </w:tcPr>
          <w:p w:rsidR="00672174" w:rsidRPr="0071745D" w:rsidP="001644CA" w14:paraId="6AA016F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247" w:type="dxa"/>
            <w:tcBorders>
              <w:top w:val="nil"/>
              <w:left w:val="nil"/>
              <w:bottom w:val="single" w:sz="4" w:space="0" w:color="auto"/>
              <w:right w:val="single" w:sz="4" w:space="0" w:color="auto"/>
            </w:tcBorders>
            <w:shd w:val="clear" w:color="auto" w:fill="auto"/>
            <w:noWrap/>
            <w:hideMark/>
          </w:tcPr>
          <w:p w:rsidR="00672174" w:rsidRPr="0071745D" w:rsidP="001644CA" w14:paraId="21C41F1E"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14:paraId="0321CF7C" w14:textId="77777777" w:rsidTr="00781E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672174" w:rsidRPr="0071745D" w:rsidP="001644CA" w14:paraId="71CA3A50"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2553" w:type="dxa"/>
            <w:tcBorders>
              <w:top w:val="nil"/>
              <w:left w:val="nil"/>
              <w:bottom w:val="single" w:sz="4" w:space="0" w:color="auto"/>
              <w:right w:val="single" w:sz="4" w:space="0" w:color="auto"/>
            </w:tcBorders>
            <w:shd w:val="clear" w:color="auto" w:fill="auto"/>
            <w:noWrap/>
            <w:hideMark/>
          </w:tcPr>
          <w:p w:rsidR="00672174" w:rsidP="001644CA" w14:paraId="762C072B" w14:textId="5000D9AF">
            <w:pPr>
              <w:jc w:val="right"/>
              <w:rPr>
                <w:rFonts w:ascii="Calibri" w:hAnsi="Calibri" w:cs="Calibri"/>
                <w:color w:val="000000"/>
              </w:rPr>
            </w:pPr>
            <w:r>
              <w:rPr>
                <w:rFonts w:ascii="Calibri" w:hAnsi="Calibri" w:cs="Calibri"/>
                <w:color w:val="000000"/>
              </w:rPr>
              <w:t>529,532,370</w:t>
            </w:r>
          </w:p>
        </w:tc>
        <w:tc>
          <w:tcPr>
            <w:tcW w:w="1680" w:type="dxa"/>
            <w:tcBorders>
              <w:top w:val="nil"/>
              <w:left w:val="nil"/>
              <w:bottom w:val="single" w:sz="4" w:space="0" w:color="auto"/>
              <w:right w:val="single" w:sz="4" w:space="0" w:color="auto"/>
            </w:tcBorders>
            <w:shd w:val="clear" w:color="auto" w:fill="auto"/>
            <w:noWrap/>
            <w:hideMark/>
          </w:tcPr>
          <w:p w:rsidR="00672174" w:rsidRPr="0071745D" w:rsidP="001644CA" w14:paraId="121C036C"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sz="4" w:space="0" w:color="auto"/>
              <w:right w:val="single" w:sz="4" w:space="0" w:color="auto"/>
            </w:tcBorders>
            <w:shd w:val="clear" w:color="auto" w:fill="auto"/>
            <w:noWrap/>
            <w:hideMark/>
          </w:tcPr>
          <w:p w:rsidR="00672174" w:rsidRPr="0071745D" w:rsidP="001644CA" w14:paraId="57BBF104"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883" w:type="dxa"/>
            <w:tcBorders>
              <w:top w:val="nil"/>
              <w:left w:val="nil"/>
              <w:bottom w:val="single" w:sz="4" w:space="0" w:color="auto"/>
              <w:right w:val="single" w:sz="4" w:space="0" w:color="auto"/>
            </w:tcBorders>
            <w:shd w:val="clear" w:color="auto" w:fill="auto"/>
            <w:noWrap/>
            <w:hideMark/>
          </w:tcPr>
          <w:p w:rsidR="00672174" w:rsidRPr="0071745D" w:rsidP="001644CA" w14:paraId="601A1BCA"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247" w:type="dxa"/>
            <w:tcBorders>
              <w:top w:val="nil"/>
              <w:left w:val="nil"/>
              <w:bottom w:val="single" w:sz="4" w:space="0" w:color="auto"/>
              <w:right w:val="single" w:sz="4" w:space="0" w:color="auto"/>
            </w:tcBorders>
            <w:shd w:val="clear" w:color="auto" w:fill="auto"/>
            <w:noWrap/>
            <w:hideMark/>
          </w:tcPr>
          <w:p w:rsidR="00672174" w:rsidRPr="0071745D" w:rsidP="001644CA" w14:paraId="425CF4A2"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14:paraId="424A2646" w14:textId="77777777" w:rsidTr="00781E3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672174" w:rsidRPr="0071745D" w:rsidP="001644CA" w14:paraId="4321795A"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2553" w:type="dxa"/>
            <w:tcBorders>
              <w:top w:val="nil"/>
              <w:left w:val="nil"/>
              <w:bottom w:val="single" w:sz="4" w:space="0" w:color="auto"/>
              <w:right w:val="single" w:sz="4" w:space="0" w:color="auto"/>
            </w:tcBorders>
            <w:shd w:val="clear" w:color="auto" w:fill="auto"/>
            <w:noWrap/>
            <w:hideMark/>
          </w:tcPr>
          <w:p w:rsidR="00672174" w:rsidP="001644CA" w14:paraId="7639391A" w14:textId="4BABEBB6">
            <w:pPr>
              <w:jc w:val="right"/>
              <w:rPr>
                <w:rFonts w:ascii="Calibri" w:hAnsi="Calibri" w:cs="Calibri"/>
                <w:b/>
                <w:bCs/>
                <w:i/>
                <w:iCs/>
                <w:color w:val="000000"/>
              </w:rPr>
            </w:pPr>
            <w:r>
              <w:rPr>
                <w:rFonts w:ascii="Calibri" w:hAnsi="Calibri" w:cs="Calibri"/>
                <w:b/>
                <w:bCs/>
                <w:i/>
                <w:iCs/>
                <w:color w:val="000000"/>
              </w:rPr>
              <w:t>620,430,687</w:t>
            </w:r>
          </w:p>
        </w:tc>
        <w:tc>
          <w:tcPr>
            <w:tcW w:w="1680" w:type="dxa"/>
            <w:tcBorders>
              <w:top w:val="nil"/>
              <w:left w:val="nil"/>
              <w:bottom w:val="single" w:sz="4" w:space="0" w:color="auto"/>
              <w:right w:val="single" w:sz="4" w:space="0" w:color="auto"/>
            </w:tcBorders>
            <w:shd w:val="clear" w:color="auto" w:fill="auto"/>
            <w:noWrap/>
            <w:hideMark/>
          </w:tcPr>
          <w:p w:rsidR="00672174" w:rsidRPr="0071745D" w:rsidP="001644CA" w14:paraId="0C508F43"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2199" w:type="dxa"/>
            <w:tcBorders>
              <w:top w:val="nil"/>
              <w:left w:val="nil"/>
              <w:bottom w:val="single" w:sz="4" w:space="0" w:color="auto"/>
              <w:right w:val="single" w:sz="4" w:space="0" w:color="auto"/>
            </w:tcBorders>
            <w:shd w:val="clear" w:color="auto" w:fill="auto"/>
            <w:noWrap/>
            <w:hideMark/>
          </w:tcPr>
          <w:p w:rsidR="00672174" w:rsidRPr="0071745D" w:rsidP="001644CA" w14:paraId="0994B7B6"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1883" w:type="dxa"/>
            <w:tcBorders>
              <w:top w:val="nil"/>
              <w:left w:val="nil"/>
              <w:bottom w:val="single" w:sz="4" w:space="0" w:color="auto"/>
              <w:right w:val="single" w:sz="4" w:space="0" w:color="auto"/>
            </w:tcBorders>
            <w:shd w:val="clear" w:color="auto" w:fill="auto"/>
            <w:noWrap/>
            <w:hideMark/>
          </w:tcPr>
          <w:p w:rsidR="00672174" w:rsidRPr="0071745D" w:rsidP="001644CA" w14:paraId="295887B4"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2247" w:type="dxa"/>
            <w:tcBorders>
              <w:top w:val="nil"/>
              <w:left w:val="nil"/>
              <w:bottom w:val="single" w:sz="4" w:space="0" w:color="auto"/>
              <w:right w:val="single" w:sz="4" w:space="0" w:color="auto"/>
            </w:tcBorders>
            <w:shd w:val="clear" w:color="auto" w:fill="auto"/>
            <w:noWrap/>
            <w:hideMark/>
          </w:tcPr>
          <w:p w:rsidR="00672174" w:rsidRPr="0071745D" w:rsidP="001644CA" w14:paraId="67E7CA56"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$0</w:t>
            </w:r>
          </w:p>
        </w:tc>
      </w:tr>
      <w:tr w14:paraId="01920902" w14:textId="77777777" w:rsidTr="00BB61C6">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672174" w:rsidRPr="0071745D" w:rsidP="0071745D" w14:paraId="31AB2DE3" w14:textId="77777777">
            <w:pPr>
              <w:widowControl/>
              <w:overflowPunct/>
              <w:autoSpaceDE/>
              <w:autoSpaceDN/>
              <w:adjustRightInd/>
              <w:rPr>
                <w:rFonts w:ascii="Calibri" w:hAnsi="Calibri" w:cs="Calibri"/>
                <w:b/>
                <w:bCs/>
                <w:color w:val="000000"/>
                <w:kern w:val="0"/>
              </w:rPr>
            </w:pPr>
            <w:r w:rsidRPr="0071745D">
              <w:rPr>
                <w:rFonts w:ascii="Calibri" w:hAnsi="Calibri" w:cs="Calibri"/>
                <w:b/>
                <w:bCs/>
                <w:color w:val="000000"/>
                <w:kern w:val="0"/>
              </w:rPr>
              <w:t>Total</w:t>
            </w:r>
          </w:p>
        </w:tc>
        <w:tc>
          <w:tcPr>
            <w:tcW w:w="2553" w:type="dxa"/>
            <w:tcBorders>
              <w:top w:val="nil"/>
              <w:left w:val="nil"/>
              <w:bottom w:val="single" w:sz="4" w:space="0" w:color="auto"/>
              <w:right w:val="single" w:sz="4" w:space="0" w:color="auto"/>
            </w:tcBorders>
            <w:shd w:val="clear" w:color="auto" w:fill="E2EFD9" w:themeFill="accent6" w:themeFillTint="33"/>
            <w:noWrap/>
            <w:hideMark/>
          </w:tcPr>
          <w:p w:rsidR="00672174" w:rsidRPr="0071745D" w:rsidP="0071745D" w14:paraId="0F0C2ADE"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680" w:type="dxa"/>
            <w:tcBorders>
              <w:top w:val="nil"/>
              <w:left w:val="nil"/>
              <w:bottom w:val="single" w:sz="4" w:space="0" w:color="auto"/>
              <w:right w:val="single" w:sz="4" w:space="0" w:color="auto"/>
            </w:tcBorders>
            <w:shd w:val="clear" w:color="auto" w:fill="E2EFD9" w:themeFill="accent6" w:themeFillTint="33"/>
            <w:noWrap/>
            <w:hideMark/>
          </w:tcPr>
          <w:p w:rsidR="00672174" w:rsidRPr="0071745D" w:rsidP="0071745D" w14:paraId="60D5527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2199" w:type="dxa"/>
            <w:tcBorders>
              <w:top w:val="nil"/>
              <w:left w:val="nil"/>
              <w:bottom w:val="single" w:sz="4" w:space="0" w:color="auto"/>
              <w:right w:val="single" w:sz="4" w:space="0" w:color="auto"/>
            </w:tcBorders>
            <w:shd w:val="clear" w:color="auto" w:fill="E2EFD9" w:themeFill="accent6" w:themeFillTint="33"/>
            <w:noWrap/>
            <w:hideMark/>
          </w:tcPr>
          <w:p w:rsidR="00672174" w:rsidRPr="0071745D" w:rsidP="0071745D" w14:paraId="72C9E543"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883" w:type="dxa"/>
            <w:tcBorders>
              <w:top w:val="nil"/>
              <w:left w:val="nil"/>
              <w:bottom w:val="single" w:sz="4" w:space="0" w:color="auto"/>
              <w:right w:val="single" w:sz="4" w:space="0" w:color="auto"/>
            </w:tcBorders>
            <w:shd w:val="clear" w:color="auto" w:fill="E2EFD9" w:themeFill="accent6" w:themeFillTint="33"/>
            <w:noWrap/>
            <w:hideMark/>
          </w:tcPr>
          <w:p w:rsidR="00672174" w:rsidRPr="0071745D" w:rsidP="0071745D" w14:paraId="466D3E7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2247" w:type="dxa"/>
            <w:tcBorders>
              <w:top w:val="nil"/>
              <w:left w:val="nil"/>
              <w:bottom w:val="single" w:sz="4" w:space="0" w:color="auto"/>
              <w:right w:val="single" w:sz="4" w:space="0" w:color="auto"/>
            </w:tcBorders>
            <w:shd w:val="clear" w:color="auto" w:fill="E2EFD9" w:themeFill="accent6" w:themeFillTint="33"/>
            <w:noWrap/>
            <w:hideMark/>
          </w:tcPr>
          <w:p w:rsidR="00672174" w:rsidRPr="0071745D" w:rsidP="0071745D" w14:paraId="3702CD7D"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r>
      <w:tr w14:paraId="76E2E182" w14:textId="77777777" w:rsidTr="00C90D6F">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0732E9" w:rsidRPr="0071745D" w:rsidP="000732E9" w14:paraId="5A7047F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2553" w:type="dxa"/>
            <w:tcBorders>
              <w:top w:val="nil"/>
              <w:left w:val="nil"/>
              <w:bottom w:val="single" w:sz="4" w:space="0" w:color="auto"/>
              <w:right w:val="single" w:sz="4" w:space="0" w:color="auto"/>
            </w:tcBorders>
            <w:shd w:val="clear" w:color="auto" w:fill="auto"/>
            <w:noWrap/>
            <w:hideMark/>
          </w:tcPr>
          <w:p w:rsidR="000732E9" w:rsidP="000732E9" w14:paraId="208608C8" w14:textId="1D7E767E">
            <w:pPr>
              <w:widowControl/>
              <w:overflowPunct/>
              <w:autoSpaceDE/>
              <w:autoSpaceDN/>
              <w:adjustRightInd/>
              <w:jc w:val="right"/>
              <w:rPr>
                <w:rFonts w:ascii="Calibri" w:hAnsi="Calibri" w:cs="Calibri"/>
                <w:color w:val="000000"/>
                <w:kern w:val="0"/>
              </w:rPr>
            </w:pPr>
            <w:r>
              <w:rPr>
                <w:rFonts w:ascii="Calibri" w:hAnsi="Calibri" w:cs="Calibri"/>
                <w:color w:val="000000"/>
              </w:rPr>
              <w:t>82,891,585</w:t>
            </w:r>
          </w:p>
        </w:tc>
        <w:tc>
          <w:tcPr>
            <w:tcW w:w="1680" w:type="dxa"/>
            <w:tcBorders>
              <w:top w:val="nil"/>
              <w:left w:val="nil"/>
              <w:bottom w:val="single" w:sz="4" w:space="0" w:color="auto"/>
              <w:right w:val="single" w:sz="4" w:space="0" w:color="auto"/>
            </w:tcBorders>
            <w:shd w:val="clear" w:color="auto" w:fill="auto"/>
            <w:noWrap/>
            <w:hideMark/>
          </w:tcPr>
          <w:p w:rsidR="000732E9" w:rsidP="000732E9" w14:paraId="510BA01F"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sz="4" w:space="0" w:color="auto"/>
              <w:right w:val="single" w:sz="4" w:space="0" w:color="auto"/>
            </w:tcBorders>
            <w:shd w:val="clear" w:color="auto" w:fill="auto"/>
            <w:noWrap/>
            <w:hideMark/>
          </w:tcPr>
          <w:p w:rsidR="000732E9" w:rsidP="000732E9" w14:paraId="460A9955" w14:textId="77777777">
            <w:pPr>
              <w:jc w:val="right"/>
              <w:rPr>
                <w:rFonts w:ascii="Calibri" w:hAnsi="Calibri" w:cs="Calibri"/>
                <w:b/>
                <w:bCs/>
                <w:color w:val="000000"/>
              </w:rPr>
            </w:pPr>
            <w:r>
              <w:rPr>
                <w:rFonts w:ascii="Calibri" w:hAnsi="Calibri" w:cs="Calibri"/>
                <w:b/>
                <w:bCs/>
                <w:color w:val="000000"/>
              </w:rPr>
              <w:t>—</w:t>
            </w:r>
          </w:p>
        </w:tc>
        <w:tc>
          <w:tcPr>
            <w:tcW w:w="1883" w:type="dxa"/>
            <w:tcBorders>
              <w:top w:val="nil"/>
              <w:left w:val="nil"/>
              <w:bottom w:val="single" w:sz="4" w:space="0" w:color="auto"/>
              <w:right w:val="single" w:sz="4" w:space="0" w:color="auto"/>
            </w:tcBorders>
            <w:shd w:val="clear" w:color="auto" w:fill="auto"/>
            <w:noWrap/>
            <w:hideMark/>
          </w:tcPr>
          <w:p w:rsidR="000732E9" w:rsidP="000732E9" w14:paraId="1FA92414" w14:textId="77777777">
            <w:pPr>
              <w:jc w:val="right"/>
              <w:rPr>
                <w:rFonts w:ascii="Calibri" w:hAnsi="Calibri" w:cs="Calibri"/>
                <w:b/>
                <w:bCs/>
                <w:color w:val="000000"/>
              </w:rPr>
            </w:pPr>
            <w:r>
              <w:rPr>
                <w:rFonts w:ascii="Calibri" w:hAnsi="Calibri" w:cs="Calibri"/>
                <w:b/>
                <w:bCs/>
                <w:color w:val="000000"/>
              </w:rPr>
              <w:t>—</w:t>
            </w:r>
          </w:p>
        </w:tc>
        <w:tc>
          <w:tcPr>
            <w:tcW w:w="2247" w:type="dxa"/>
            <w:tcBorders>
              <w:top w:val="nil"/>
              <w:left w:val="nil"/>
              <w:bottom w:val="single" w:sz="4" w:space="0" w:color="auto"/>
              <w:right w:val="single" w:sz="4" w:space="0" w:color="auto"/>
            </w:tcBorders>
            <w:shd w:val="clear" w:color="auto" w:fill="auto"/>
            <w:noWrap/>
            <w:hideMark/>
          </w:tcPr>
          <w:p w:rsidR="000732E9" w:rsidRPr="001E3DF1" w:rsidP="000732E9" w14:paraId="5D28877E" w14:textId="2CA41131">
            <w:pPr>
              <w:jc w:val="right"/>
              <w:rPr>
                <w:rFonts w:ascii="Calibri" w:hAnsi="Calibri" w:cs="Calibri"/>
                <w:color w:val="000000"/>
              </w:rPr>
            </w:pPr>
            <w:r>
              <w:rPr>
                <w:rFonts w:ascii="Calibri" w:hAnsi="Calibri" w:cs="Calibri"/>
                <w:color w:val="000000"/>
              </w:rPr>
              <w:t>$7,294,460</w:t>
            </w:r>
          </w:p>
        </w:tc>
      </w:tr>
      <w:tr w14:paraId="440980A4" w14:textId="77777777" w:rsidTr="00C90D6F">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0732E9" w:rsidRPr="0071745D" w:rsidP="000732E9" w14:paraId="78F2384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2553" w:type="dxa"/>
            <w:tcBorders>
              <w:top w:val="nil"/>
              <w:left w:val="nil"/>
              <w:bottom w:val="single" w:sz="4" w:space="0" w:color="auto"/>
              <w:right w:val="single" w:sz="4" w:space="0" w:color="auto"/>
            </w:tcBorders>
            <w:shd w:val="clear" w:color="auto" w:fill="auto"/>
            <w:noWrap/>
            <w:hideMark/>
          </w:tcPr>
          <w:p w:rsidR="000732E9" w:rsidP="000732E9" w14:paraId="7F65E5F6" w14:textId="36975E98">
            <w:pPr>
              <w:jc w:val="right"/>
              <w:rPr>
                <w:rFonts w:ascii="Calibri" w:hAnsi="Calibri" w:cs="Calibri"/>
                <w:color w:val="000000"/>
              </w:rPr>
            </w:pPr>
            <w:r>
              <w:rPr>
                <w:rFonts w:ascii="Calibri" w:hAnsi="Calibri" w:cs="Calibri"/>
                <w:color w:val="000000"/>
              </w:rPr>
              <w:t>147,757,563</w:t>
            </w:r>
          </w:p>
        </w:tc>
        <w:tc>
          <w:tcPr>
            <w:tcW w:w="1680" w:type="dxa"/>
            <w:tcBorders>
              <w:top w:val="nil"/>
              <w:left w:val="nil"/>
              <w:bottom w:val="single" w:sz="4" w:space="0" w:color="auto"/>
              <w:right w:val="single" w:sz="4" w:space="0" w:color="auto"/>
            </w:tcBorders>
            <w:shd w:val="clear" w:color="auto" w:fill="auto"/>
            <w:noWrap/>
            <w:hideMark/>
          </w:tcPr>
          <w:p w:rsidR="000732E9" w:rsidP="000732E9" w14:paraId="03341D69"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sz="4" w:space="0" w:color="auto"/>
              <w:right w:val="single" w:sz="4" w:space="0" w:color="auto"/>
            </w:tcBorders>
            <w:shd w:val="clear" w:color="auto" w:fill="auto"/>
            <w:noWrap/>
            <w:hideMark/>
          </w:tcPr>
          <w:p w:rsidR="000732E9" w:rsidP="000732E9" w14:paraId="0158EF2F" w14:textId="77777777">
            <w:pPr>
              <w:jc w:val="right"/>
              <w:rPr>
                <w:rFonts w:ascii="Calibri" w:hAnsi="Calibri" w:cs="Calibri"/>
                <w:b/>
                <w:bCs/>
                <w:color w:val="000000"/>
              </w:rPr>
            </w:pPr>
            <w:r>
              <w:rPr>
                <w:rFonts w:ascii="Calibri" w:hAnsi="Calibri" w:cs="Calibri"/>
                <w:b/>
                <w:bCs/>
                <w:color w:val="000000"/>
              </w:rPr>
              <w:t>—</w:t>
            </w:r>
          </w:p>
        </w:tc>
        <w:tc>
          <w:tcPr>
            <w:tcW w:w="1883" w:type="dxa"/>
            <w:tcBorders>
              <w:top w:val="nil"/>
              <w:left w:val="nil"/>
              <w:bottom w:val="single" w:sz="4" w:space="0" w:color="auto"/>
              <w:right w:val="single" w:sz="4" w:space="0" w:color="auto"/>
            </w:tcBorders>
            <w:shd w:val="clear" w:color="auto" w:fill="auto"/>
            <w:noWrap/>
            <w:hideMark/>
          </w:tcPr>
          <w:p w:rsidR="000732E9" w:rsidP="000732E9" w14:paraId="4BDC8DBB" w14:textId="77777777">
            <w:pPr>
              <w:jc w:val="right"/>
              <w:rPr>
                <w:rFonts w:ascii="Calibri" w:hAnsi="Calibri" w:cs="Calibri"/>
                <w:b/>
                <w:bCs/>
                <w:color w:val="000000"/>
              </w:rPr>
            </w:pPr>
            <w:r>
              <w:rPr>
                <w:rFonts w:ascii="Calibri" w:hAnsi="Calibri" w:cs="Calibri"/>
                <w:b/>
                <w:bCs/>
                <w:color w:val="000000"/>
              </w:rPr>
              <w:t>—</w:t>
            </w:r>
          </w:p>
        </w:tc>
        <w:tc>
          <w:tcPr>
            <w:tcW w:w="2247" w:type="dxa"/>
            <w:tcBorders>
              <w:top w:val="nil"/>
              <w:left w:val="nil"/>
              <w:bottom w:val="single" w:sz="4" w:space="0" w:color="auto"/>
              <w:right w:val="single" w:sz="4" w:space="0" w:color="auto"/>
            </w:tcBorders>
            <w:shd w:val="clear" w:color="auto" w:fill="auto"/>
            <w:noWrap/>
            <w:hideMark/>
          </w:tcPr>
          <w:p w:rsidR="000732E9" w:rsidRPr="001E3DF1" w:rsidP="000732E9" w14:paraId="221613FC" w14:textId="4C423535">
            <w:pPr>
              <w:jc w:val="right"/>
              <w:rPr>
                <w:rFonts w:ascii="Calibri" w:hAnsi="Calibri" w:cs="Calibri"/>
                <w:color w:val="000000"/>
              </w:rPr>
            </w:pPr>
            <w:r>
              <w:rPr>
                <w:rFonts w:ascii="Calibri" w:hAnsi="Calibri" w:cs="Calibri"/>
                <w:color w:val="000000"/>
              </w:rPr>
              <w:t>$12,411,636</w:t>
            </w:r>
          </w:p>
        </w:tc>
      </w:tr>
      <w:tr w14:paraId="0E425B89" w14:textId="77777777" w:rsidTr="00C90D6F">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0732E9" w:rsidRPr="0071745D" w:rsidP="000732E9" w14:paraId="3B98E21B"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2553" w:type="dxa"/>
            <w:tcBorders>
              <w:top w:val="nil"/>
              <w:left w:val="nil"/>
              <w:bottom w:val="single" w:sz="4" w:space="0" w:color="auto"/>
              <w:right w:val="single" w:sz="4" w:space="0" w:color="auto"/>
            </w:tcBorders>
            <w:shd w:val="clear" w:color="auto" w:fill="auto"/>
            <w:noWrap/>
            <w:hideMark/>
          </w:tcPr>
          <w:p w:rsidR="000732E9" w:rsidP="000732E9" w14:paraId="7326E711" w14:textId="7DCF7704">
            <w:pPr>
              <w:jc w:val="right"/>
              <w:rPr>
                <w:rFonts w:ascii="Calibri" w:hAnsi="Calibri" w:cs="Calibri"/>
                <w:color w:val="000000"/>
              </w:rPr>
            </w:pPr>
            <w:r>
              <w:rPr>
                <w:rFonts w:ascii="Calibri" w:hAnsi="Calibri" w:cs="Calibri"/>
                <w:color w:val="000000"/>
              </w:rPr>
              <w:t>223,842,438</w:t>
            </w:r>
          </w:p>
        </w:tc>
        <w:tc>
          <w:tcPr>
            <w:tcW w:w="1680" w:type="dxa"/>
            <w:tcBorders>
              <w:top w:val="nil"/>
              <w:left w:val="nil"/>
              <w:bottom w:val="single" w:sz="4" w:space="0" w:color="auto"/>
              <w:right w:val="single" w:sz="4" w:space="0" w:color="auto"/>
            </w:tcBorders>
            <w:shd w:val="clear" w:color="auto" w:fill="auto"/>
            <w:noWrap/>
            <w:hideMark/>
          </w:tcPr>
          <w:p w:rsidR="000732E9" w:rsidP="000732E9" w14:paraId="367B7F65"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sz="4" w:space="0" w:color="auto"/>
              <w:right w:val="single" w:sz="4" w:space="0" w:color="auto"/>
            </w:tcBorders>
            <w:shd w:val="clear" w:color="auto" w:fill="auto"/>
            <w:noWrap/>
            <w:hideMark/>
          </w:tcPr>
          <w:p w:rsidR="000732E9" w:rsidP="000732E9" w14:paraId="3AD32839" w14:textId="77777777">
            <w:pPr>
              <w:jc w:val="right"/>
              <w:rPr>
                <w:rFonts w:ascii="Calibri" w:hAnsi="Calibri" w:cs="Calibri"/>
                <w:b/>
                <w:bCs/>
                <w:color w:val="000000"/>
              </w:rPr>
            </w:pPr>
            <w:r>
              <w:rPr>
                <w:rFonts w:ascii="Calibri" w:hAnsi="Calibri" w:cs="Calibri"/>
                <w:b/>
                <w:bCs/>
                <w:color w:val="000000"/>
              </w:rPr>
              <w:t>—</w:t>
            </w:r>
          </w:p>
        </w:tc>
        <w:tc>
          <w:tcPr>
            <w:tcW w:w="1883" w:type="dxa"/>
            <w:tcBorders>
              <w:top w:val="nil"/>
              <w:left w:val="nil"/>
              <w:bottom w:val="single" w:sz="4" w:space="0" w:color="auto"/>
              <w:right w:val="single" w:sz="4" w:space="0" w:color="auto"/>
            </w:tcBorders>
            <w:shd w:val="clear" w:color="auto" w:fill="auto"/>
            <w:noWrap/>
            <w:hideMark/>
          </w:tcPr>
          <w:p w:rsidR="000732E9" w:rsidP="000732E9" w14:paraId="51BAE713" w14:textId="77777777">
            <w:pPr>
              <w:jc w:val="right"/>
              <w:rPr>
                <w:rFonts w:ascii="Calibri" w:hAnsi="Calibri" w:cs="Calibri"/>
                <w:b/>
                <w:bCs/>
                <w:color w:val="000000"/>
              </w:rPr>
            </w:pPr>
            <w:r>
              <w:rPr>
                <w:rFonts w:ascii="Calibri" w:hAnsi="Calibri" w:cs="Calibri"/>
                <w:b/>
                <w:bCs/>
                <w:color w:val="000000"/>
              </w:rPr>
              <w:t>—</w:t>
            </w:r>
          </w:p>
        </w:tc>
        <w:tc>
          <w:tcPr>
            <w:tcW w:w="2247" w:type="dxa"/>
            <w:tcBorders>
              <w:top w:val="nil"/>
              <w:left w:val="nil"/>
              <w:bottom w:val="single" w:sz="4" w:space="0" w:color="auto"/>
              <w:right w:val="single" w:sz="4" w:space="0" w:color="auto"/>
            </w:tcBorders>
            <w:shd w:val="clear" w:color="auto" w:fill="auto"/>
            <w:noWrap/>
            <w:hideMark/>
          </w:tcPr>
          <w:p w:rsidR="000732E9" w:rsidRPr="001E3DF1" w:rsidP="000732E9" w14:paraId="489B70C7" w14:textId="555B1530">
            <w:pPr>
              <w:jc w:val="right"/>
              <w:rPr>
                <w:rFonts w:ascii="Calibri" w:hAnsi="Calibri" w:cs="Calibri"/>
                <w:color w:val="000000"/>
              </w:rPr>
            </w:pPr>
            <w:r>
              <w:rPr>
                <w:rFonts w:ascii="Calibri" w:hAnsi="Calibri" w:cs="Calibri"/>
                <w:color w:val="000000"/>
              </w:rPr>
              <w:t>$5,148,376</w:t>
            </w:r>
          </w:p>
        </w:tc>
      </w:tr>
      <w:tr w14:paraId="466E376D" w14:textId="77777777" w:rsidTr="00C90D6F">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auto"/>
            <w:noWrap/>
            <w:hideMark/>
          </w:tcPr>
          <w:p w:rsidR="000732E9" w:rsidRPr="0071745D" w:rsidP="000732E9" w14:paraId="22BE570F"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2553" w:type="dxa"/>
            <w:tcBorders>
              <w:top w:val="nil"/>
              <w:left w:val="nil"/>
              <w:bottom w:val="single" w:sz="4" w:space="0" w:color="auto"/>
              <w:right w:val="single" w:sz="4" w:space="0" w:color="auto"/>
            </w:tcBorders>
            <w:shd w:val="clear" w:color="auto" w:fill="auto"/>
            <w:noWrap/>
            <w:hideMark/>
          </w:tcPr>
          <w:p w:rsidR="000732E9" w:rsidP="000732E9" w14:paraId="7B1EAE71" w14:textId="3174ACCB">
            <w:pPr>
              <w:jc w:val="right"/>
              <w:rPr>
                <w:rFonts w:ascii="Calibri" w:hAnsi="Calibri" w:cs="Calibri"/>
                <w:color w:val="000000"/>
              </w:rPr>
            </w:pPr>
            <w:r>
              <w:rPr>
                <w:rFonts w:ascii="Calibri" w:hAnsi="Calibri" w:cs="Calibri"/>
                <w:color w:val="000000"/>
              </w:rPr>
              <w:t>1,765,107,899</w:t>
            </w:r>
          </w:p>
        </w:tc>
        <w:tc>
          <w:tcPr>
            <w:tcW w:w="1680" w:type="dxa"/>
            <w:tcBorders>
              <w:top w:val="nil"/>
              <w:left w:val="nil"/>
              <w:bottom w:val="single" w:sz="4" w:space="0" w:color="auto"/>
              <w:right w:val="single" w:sz="4" w:space="0" w:color="auto"/>
            </w:tcBorders>
            <w:shd w:val="clear" w:color="auto" w:fill="auto"/>
            <w:noWrap/>
            <w:hideMark/>
          </w:tcPr>
          <w:p w:rsidR="000732E9" w:rsidP="000732E9" w14:paraId="631716A4"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sz="4" w:space="0" w:color="auto"/>
              <w:right w:val="single" w:sz="4" w:space="0" w:color="auto"/>
            </w:tcBorders>
            <w:shd w:val="clear" w:color="auto" w:fill="auto"/>
            <w:noWrap/>
            <w:hideMark/>
          </w:tcPr>
          <w:p w:rsidR="000732E9" w:rsidP="000732E9" w14:paraId="07CC7982" w14:textId="77777777">
            <w:pPr>
              <w:jc w:val="right"/>
              <w:rPr>
                <w:rFonts w:ascii="Calibri" w:hAnsi="Calibri" w:cs="Calibri"/>
                <w:b/>
                <w:bCs/>
                <w:color w:val="000000"/>
              </w:rPr>
            </w:pPr>
            <w:r>
              <w:rPr>
                <w:rFonts w:ascii="Calibri" w:hAnsi="Calibri" w:cs="Calibri"/>
                <w:b/>
                <w:bCs/>
                <w:color w:val="000000"/>
              </w:rPr>
              <w:t>—</w:t>
            </w:r>
          </w:p>
        </w:tc>
        <w:tc>
          <w:tcPr>
            <w:tcW w:w="1883" w:type="dxa"/>
            <w:tcBorders>
              <w:top w:val="nil"/>
              <w:left w:val="nil"/>
              <w:bottom w:val="single" w:sz="4" w:space="0" w:color="auto"/>
              <w:right w:val="single" w:sz="4" w:space="0" w:color="auto"/>
            </w:tcBorders>
            <w:shd w:val="clear" w:color="auto" w:fill="auto"/>
            <w:noWrap/>
            <w:hideMark/>
          </w:tcPr>
          <w:p w:rsidR="000732E9" w:rsidP="000732E9" w14:paraId="4A5E213B" w14:textId="77777777">
            <w:pPr>
              <w:jc w:val="right"/>
              <w:rPr>
                <w:rFonts w:ascii="Calibri" w:hAnsi="Calibri" w:cs="Calibri"/>
                <w:b/>
                <w:bCs/>
                <w:color w:val="000000"/>
              </w:rPr>
            </w:pPr>
            <w:r>
              <w:rPr>
                <w:rFonts w:ascii="Calibri" w:hAnsi="Calibri" w:cs="Calibri"/>
                <w:b/>
                <w:bCs/>
                <w:color w:val="000000"/>
              </w:rPr>
              <w:t>—</w:t>
            </w:r>
          </w:p>
        </w:tc>
        <w:tc>
          <w:tcPr>
            <w:tcW w:w="2247" w:type="dxa"/>
            <w:tcBorders>
              <w:top w:val="nil"/>
              <w:left w:val="nil"/>
              <w:bottom w:val="single" w:sz="4" w:space="0" w:color="auto"/>
              <w:right w:val="single" w:sz="4" w:space="0" w:color="auto"/>
            </w:tcBorders>
            <w:shd w:val="clear" w:color="auto" w:fill="auto"/>
            <w:noWrap/>
            <w:hideMark/>
          </w:tcPr>
          <w:p w:rsidR="000732E9" w:rsidRPr="001E3DF1" w:rsidP="000732E9" w14:paraId="2A52D2D0" w14:textId="5D0DE309">
            <w:pPr>
              <w:jc w:val="right"/>
              <w:rPr>
                <w:rFonts w:ascii="Calibri" w:hAnsi="Calibri" w:cs="Calibri"/>
                <w:color w:val="000000"/>
              </w:rPr>
            </w:pPr>
            <w:r>
              <w:rPr>
                <w:rFonts w:ascii="Calibri" w:hAnsi="Calibri" w:cs="Calibri"/>
                <w:color w:val="000000"/>
              </w:rPr>
              <w:t>$43,245,144</w:t>
            </w:r>
          </w:p>
        </w:tc>
      </w:tr>
      <w:tr w14:paraId="6DD2990B" w14:textId="77777777" w:rsidTr="00C90D6F">
        <w:tblPrEx>
          <w:tblW w:w="11782" w:type="dxa"/>
          <w:jc w:val="center"/>
          <w:tblLook w:val="04A0"/>
        </w:tblPrEx>
        <w:trPr>
          <w:trHeight w:val="255"/>
          <w:jc w:val="center"/>
        </w:trPr>
        <w:tc>
          <w:tcPr>
            <w:tcW w:w="1220" w:type="dxa"/>
            <w:tcBorders>
              <w:top w:val="nil"/>
              <w:left w:val="single" w:sz="4" w:space="0" w:color="auto"/>
              <w:bottom w:val="single" w:sz="4" w:space="0" w:color="auto"/>
              <w:right w:val="single" w:sz="4" w:space="0" w:color="auto"/>
            </w:tcBorders>
            <w:shd w:val="clear" w:color="auto" w:fill="E2EFD9" w:themeFill="accent6" w:themeFillTint="33"/>
            <w:noWrap/>
            <w:hideMark/>
          </w:tcPr>
          <w:p w:rsidR="000732E9" w:rsidRPr="0071745D" w:rsidP="000732E9" w14:paraId="0D511D7A" w14:textId="77777777">
            <w:pPr>
              <w:widowControl/>
              <w:overflowPunct/>
              <w:autoSpaceDE/>
              <w:autoSpaceDN/>
              <w:adjustRightInd/>
              <w:rPr>
                <w:rFonts w:ascii="Calibri" w:hAnsi="Calibri" w:cs="Calibri"/>
                <w:b/>
                <w:bCs/>
                <w:color w:val="000000"/>
                <w:kern w:val="0"/>
              </w:rPr>
            </w:pPr>
            <w:r w:rsidRPr="0071745D">
              <w:rPr>
                <w:rFonts w:ascii="Calibri" w:hAnsi="Calibri" w:cs="Calibri"/>
                <w:b/>
                <w:bCs/>
                <w:color w:val="000000"/>
                <w:kern w:val="0"/>
              </w:rPr>
              <w:t>Total</w:t>
            </w:r>
          </w:p>
        </w:tc>
        <w:tc>
          <w:tcPr>
            <w:tcW w:w="2553" w:type="dxa"/>
            <w:tcBorders>
              <w:top w:val="nil"/>
              <w:left w:val="nil"/>
              <w:bottom w:val="single" w:sz="4" w:space="0" w:color="auto"/>
              <w:right w:val="single" w:sz="4" w:space="0" w:color="auto"/>
            </w:tcBorders>
            <w:shd w:val="clear" w:color="auto" w:fill="E2EFD9" w:themeFill="accent6" w:themeFillTint="33"/>
            <w:noWrap/>
            <w:hideMark/>
          </w:tcPr>
          <w:p w:rsidR="000732E9" w:rsidP="000732E9" w14:paraId="7BE492BB" w14:textId="31294F3E">
            <w:pPr>
              <w:jc w:val="right"/>
              <w:rPr>
                <w:rFonts w:ascii="Calibri" w:hAnsi="Calibri" w:cs="Calibri"/>
                <w:b/>
                <w:bCs/>
                <w:color w:val="000000"/>
              </w:rPr>
            </w:pPr>
            <w:r>
              <w:rPr>
                <w:rFonts w:ascii="Calibri" w:hAnsi="Calibri" w:cs="Calibri"/>
                <w:b/>
                <w:bCs/>
                <w:color w:val="000000"/>
              </w:rPr>
              <w:t>2,219,599,486</w:t>
            </w:r>
          </w:p>
        </w:tc>
        <w:tc>
          <w:tcPr>
            <w:tcW w:w="1680" w:type="dxa"/>
            <w:tcBorders>
              <w:top w:val="nil"/>
              <w:left w:val="nil"/>
              <w:bottom w:val="single" w:sz="4" w:space="0" w:color="auto"/>
              <w:right w:val="single" w:sz="4" w:space="0" w:color="auto"/>
            </w:tcBorders>
            <w:shd w:val="clear" w:color="auto" w:fill="E2EFD9" w:themeFill="accent6" w:themeFillTint="33"/>
            <w:noWrap/>
            <w:hideMark/>
          </w:tcPr>
          <w:p w:rsidR="000732E9" w:rsidP="000732E9" w14:paraId="0ADDFFBB"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sz="4" w:space="0" w:color="auto"/>
              <w:right w:val="single" w:sz="4" w:space="0" w:color="auto"/>
            </w:tcBorders>
            <w:shd w:val="clear" w:color="auto" w:fill="E2EFD9" w:themeFill="accent6" w:themeFillTint="33"/>
            <w:noWrap/>
            <w:hideMark/>
          </w:tcPr>
          <w:p w:rsidR="000732E9" w:rsidP="000732E9" w14:paraId="01A85CB7" w14:textId="77777777">
            <w:pPr>
              <w:jc w:val="right"/>
              <w:rPr>
                <w:rFonts w:ascii="Calibri" w:hAnsi="Calibri" w:cs="Calibri"/>
                <w:b/>
                <w:bCs/>
                <w:color w:val="000000"/>
              </w:rPr>
            </w:pPr>
            <w:r>
              <w:rPr>
                <w:rFonts w:ascii="Calibri" w:hAnsi="Calibri" w:cs="Calibri"/>
                <w:b/>
                <w:bCs/>
                <w:color w:val="000000"/>
              </w:rPr>
              <w:t>—</w:t>
            </w:r>
          </w:p>
        </w:tc>
        <w:tc>
          <w:tcPr>
            <w:tcW w:w="1883" w:type="dxa"/>
            <w:tcBorders>
              <w:top w:val="nil"/>
              <w:left w:val="nil"/>
              <w:bottom w:val="single" w:sz="4" w:space="0" w:color="auto"/>
              <w:right w:val="single" w:sz="4" w:space="0" w:color="auto"/>
            </w:tcBorders>
            <w:shd w:val="clear" w:color="auto" w:fill="E2EFD9" w:themeFill="accent6" w:themeFillTint="33"/>
            <w:noWrap/>
            <w:hideMark/>
          </w:tcPr>
          <w:p w:rsidR="000732E9" w:rsidP="000732E9" w14:paraId="32F9794D" w14:textId="77777777">
            <w:pPr>
              <w:jc w:val="right"/>
              <w:rPr>
                <w:rFonts w:ascii="Calibri" w:hAnsi="Calibri" w:cs="Calibri"/>
                <w:b/>
                <w:bCs/>
                <w:color w:val="000000"/>
              </w:rPr>
            </w:pPr>
            <w:r>
              <w:rPr>
                <w:rFonts w:ascii="Calibri" w:hAnsi="Calibri" w:cs="Calibri"/>
                <w:b/>
                <w:bCs/>
                <w:color w:val="000000"/>
              </w:rPr>
              <w:t>—</w:t>
            </w:r>
          </w:p>
        </w:tc>
        <w:tc>
          <w:tcPr>
            <w:tcW w:w="2247" w:type="dxa"/>
            <w:tcBorders>
              <w:top w:val="nil"/>
              <w:left w:val="nil"/>
              <w:bottom w:val="single" w:sz="4" w:space="0" w:color="auto"/>
              <w:right w:val="single" w:sz="4" w:space="0" w:color="auto"/>
            </w:tcBorders>
            <w:shd w:val="clear" w:color="auto" w:fill="E2EFD9" w:themeFill="accent6" w:themeFillTint="33"/>
            <w:noWrap/>
            <w:hideMark/>
          </w:tcPr>
          <w:p w:rsidR="000732E9" w:rsidRPr="001E3DF1" w:rsidP="000732E9" w14:paraId="0A655DF8" w14:textId="3AB989C8">
            <w:pPr>
              <w:jc w:val="right"/>
              <w:rPr>
                <w:rFonts w:ascii="Calibri" w:hAnsi="Calibri" w:cs="Calibri"/>
                <w:b/>
                <w:bCs/>
                <w:color w:val="000000"/>
              </w:rPr>
            </w:pPr>
            <w:r>
              <w:rPr>
                <w:rFonts w:ascii="Calibri" w:hAnsi="Calibri" w:cs="Calibri"/>
                <w:b/>
                <w:bCs/>
                <w:color w:val="000000"/>
              </w:rPr>
              <w:t>$68,099,616</w:t>
            </w:r>
          </w:p>
        </w:tc>
      </w:tr>
    </w:tbl>
    <w:p w:rsidR="003D087E" w:rsidRPr="00150D7E" w:rsidP="00781E36" w14:paraId="757B7647" w14:textId="4A11D2E5">
      <w:pPr>
        <w:ind w:left="720"/>
      </w:pPr>
      <w:r w:rsidRPr="00150D7E">
        <w:t>1 – Includes the cost of printers annualized over five years and the cost of printing supplies incurred over a 20-year period beginning four years after the rule is published</w:t>
      </w:r>
      <w:r w:rsidR="002B0873">
        <w:t>.</w:t>
      </w:r>
      <w:r w:rsidRPr="00150D7E">
        <w:t xml:space="preserve"> - </w:t>
      </w:r>
      <w:r w:rsidR="002B0873">
        <w:t>E</w:t>
      </w:r>
      <w:r w:rsidRPr="00150D7E">
        <w:t xml:space="preserve">ntries indicated </w:t>
      </w:r>
      <w:r w:rsidR="0002250B">
        <w:t>with “</w:t>
      </w:r>
      <w:r w:rsidRPr="0071745D" w:rsidR="0002250B">
        <w:rPr>
          <w:rFonts w:ascii="Calibri" w:hAnsi="Calibri" w:cs="Calibri"/>
          <w:b/>
          <w:bCs/>
          <w:i/>
          <w:iCs/>
          <w:color w:val="000000"/>
          <w:kern w:val="0"/>
        </w:rPr>
        <w:t>—</w:t>
      </w:r>
      <w:r w:rsidR="0002250B">
        <w:rPr>
          <w:bCs/>
          <w:iCs/>
          <w:color w:val="000000"/>
          <w:kern w:val="0"/>
        </w:rPr>
        <w:t>“</w:t>
      </w:r>
      <w:r w:rsidR="00AD017A">
        <w:rPr>
          <w:bCs/>
          <w:iCs/>
          <w:color w:val="000000"/>
          <w:kern w:val="0"/>
        </w:rPr>
        <w:t xml:space="preserve"> </w:t>
      </w:r>
      <w:r w:rsidRPr="003A15DB" w:rsidR="0002250B">
        <w:rPr>
          <w:bCs/>
          <w:iCs/>
          <w:color w:val="000000"/>
          <w:kern w:val="0"/>
        </w:rPr>
        <w:t>reflect</w:t>
      </w:r>
      <w:r w:rsidR="0002250B">
        <w:rPr>
          <w:rFonts w:ascii="Calibri" w:hAnsi="Calibri" w:cs="Calibri"/>
          <w:b/>
          <w:bCs/>
          <w:i/>
          <w:iCs/>
          <w:color w:val="000000"/>
          <w:kern w:val="0"/>
        </w:rPr>
        <w:t xml:space="preserve"> </w:t>
      </w:r>
      <w:r w:rsidRPr="00150D7E">
        <w:t>no costs, while $0.000 entries are non-zero fractions of a penny</w:t>
      </w:r>
      <w:r w:rsidR="00AB0B90">
        <w:t>.</w:t>
      </w:r>
    </w:p>
    <w:p w:rsidR="003D087E" w:rsidRPr="00150D7E" w:rsidP="003D087E" w14:paraId="1C756FCA" w14:textId="77777777"/>
    <w:p w:rsidR="00374C4D" w:rsidP="003D087E" w14:paraId="75B4C0AB" w14:textId="77777777"/>
    <w:p w:rsidR="0083307A" w:rsidP="00036417" w14:paraId="6174F7D5" w14:textId="0AA87E91">
      <w:pPr>
        <w:pStyle w:val="Default"/>
        <w:ind w:left="720"/>
        <w:rPr>
          <w:u w:val="single"/>
        </w:rPr>
      </w:pPr>
      <w:r w:rsidRPr="00773140">
        <w:rPr>
          <w:u w:val="single"/>
        </w:rPr>
        <w:t>Total Cost</w:t>
      </w:r>
    </w:p>
    <w:p w:rsidR="00475A22" w:rsidRPr="00475A22" w:rsidP="00036417" w14:paraId="1BDF51C1" w14:textId="77777777">
      <w:pPr>
        <w:pStyle w:val="Default"/>
        <w:ind w:left="720"/>
      </w:pPr>
    </w:p>
    <w:p w:rsidR="00577078" w:rsidP="00773140" w14:paraId="29C4DC4F" w14:textId="300826FF">
      <w:pPr>
        <w:pStyle w:val="Default"/>
        <w:ind w:left="720"/>
      </w:pPr>
      <w:r w:rsidRPr="003B60D1">
        <w:t xml:space="preserve">The </w:t>
      </w:r>
      <w:r w:rsidRPr="00577078">
        <w:rPr>
          <w:b/>
        </w:rPr>
        <w:t>total cost</w:t>
      </w:r>
      <w:r w:rsidRPr="003B60D1">
        <w:t xml:space="preserve"> for producing and transmitting SDS </w:t>
      </w:r>
      <w:r w:rsidRPr="003B60D1" w:rsidR="0087774D">
        <w:t>and</w:t>
      </w:r>
      <w:r w:rsidRPr="003B60D1">
        <w:t xml:space="preserve"> developing color labels is</w:t>
      </w:r>
      <w:r w:rsidR="00DE5B01">
        <w:t>:</w:t>
      </w:r>
    </w:p>
    <w:p w:rsidR="004F39FD" w:rsidP="003D087E" w14:paraId="00449A38" w14:textId="77777777">
      <w:pPr>
        <w:rPr>
          <w:b/>
        </w:rPr>
      </w:pPr>
    </w:p>
    <w:p w:rsidR="004F39FD" w:rsidRPr="00A22C65" w:rsidP="003D087E" w14:paraId="62DD0FD0" w14:textId="078080BF">
      <w:pPr>
        <w:rPr>
          <w:b/>
          <w:sz w:val="24"/>
          <w:szCs w:val="24"/>
        </w:rPr>
      </w:pPr>
      <w:r>
        <w:rPr>
          <w:b/>
        </w:rPr>
        <w:t xml:space="preserve"> </w:t>
      </w:r>
      <w:r w:rsidR="00E300D3">
        <w:rPr>
          <w:b/>
        </w:rPr>
        <w:tab/>
      </w:r>
      <w:r w:rsidRPr="00A22C65">
        <w:rPr>
          <w:b/>
          <w:sz w:val="24"/>
          <w:szCs w:val="24"/>
        </w:rPr>
        <w:t xml:space="preserve"> </w:t>
      </w:r>
      <w:r w:rsidRPr="00A22C65" w:rsidR="00577078">
        <w:rPr>
          <w:b/>
          <w:sz w:val="24"/>
          <w:szCs w:val="24"/>
        </w:rPr>
        <w:t xml:space="preserve">Table </w:t>
      </w:r>
      <w:r w:rsidRPr="00A22C65" w:rsidR="002F093D">
        <w:rPr>
          <w:b/>
          <w:sz w:val="24"/>
          <w:szCs w:val="24"/>
        </w:rPr>
        <w:t>6</w:t>
      </w:r>
      <w:r w:rsidRPr="00A22C65" w:rsidR="00577078">
        <w:rPr>
          <w:b/>
          <w:sz w:val="24"/>
          <w:szCs w:val="24"/>
        </w:rPr>
        <w:t xml:space="preserve"> – </w:t>
      </w:r>
      <w:r w:rsidRPr="00A22C65">
        <w:rPr>
          <w:b/>
          <w:sz w:val="24"/>
          <w:szCs w:val="24"/>
        </w:rPr>
        <w:t xml:space="preserve">Total Itemized </w:t>
      </w:r>
      <w:r w:rsidRPr="00A22C65" w:rsidR="00577078">
        <w:rPr>
          <w:b/>
          <w:sz w:val="24"/>
          <w:szCs w:val="24"/>
        </w:rPr>
        <w:t xml:space="preserve">Cost </w:t>
      </w:r>
    </w:p>
    <w:tbl>
      <w:tblPr>
        <w:tblW w:w="5286" w:type="dxa"/>
        <w:tblInd w:w="682" w:type="dxa"/>
        <w:tblLook w:val="04A0"/>
      </w:tblPr>
      <w:tblGrid>
        <w:gridCol w:w="3140"/>
        <w:gridCol w:w="2146"/>
      </w:tblGrid>
      <w:tr w14:paraId="6E417417" w14:textId="77777777" w:rsidTr="00781E36">
        <w:tblPrEx>
          <w:tblW w:w="5286" w:type="dxa"/>
          <w:tblInd w:w="682" w:type="dxa"/>
          <w:tblLook w:val="04A0"/>
        </w:tblPrEx>
        <w:trPr>
          <w:trHeight w:val="255"/>
        </w:trPr>
        <w:tc>
          <w:tcPr>
            <w:tcW w:w="3140" w:type="dxa"/>
            <w:tcBorders>
              <w:top w:val="single" w:sz="4" w:space="0" w:color="auto"/>
              <w:left w:val="single" w:sz="4" w:space="0" w:color="auto"/>
              <w:bottom w:val="single" w:sz="4" w:space="0" w:color="auto"/>
              <w:right w:val="single" w:sz="4" w:space="0" w:color="auto"/>
            </w:tcBorders>
            <w:shd w:val="clear" w:color="auto" w:fill="C5E0B3"/>
            <w:noWrap/>
            <w:hideMark/>
          </w:tcPr>
          <w:p w:rsidR="004F39FD" w:rsidRPr="004F39FD" w:rsidP="004F39FD" w14:paraId="55B4849E" w14:textId="77777777">
            <w:pPr>
              <w:widowControl/>
              <w:overflowPunct/>
              <w:autoSpaceDE/>
              <w:autoSpaceDN/>
              <w:adjustRightInd/>
              <w:jc w:val="center"/>
              <w:rPr>
                <w:rFonts w:ascii="Calibri" w:hAnsi="Calibri" w:cs="Calibri"/>
                <w:b/>
                <w:bCs/>
                <w:color w:val="000000"/>
                <w:kern w:val="0"/>
              </w:rPr>
            </w:pPr>
            <w:r w:rsidRPr="004F39FD">
              <w:rPr>
                <w:rFonts w:ascii="Calibri" w:hAnsi="Calibri" w:cs="Calibri"/>
                <w:b/>
                <w:bCs/>
                <w:color w:val="000000"/>
                <w:kern w:val="0"/>
              </w:rPr>
              <w:t>Item</w:t>
            </w:r>
          </w:p>
        </w:tc>
        <w:tc>
          <w:tcPr>
            <w:tcW w:w="2146" w:type="dxa"/>
            <w:tcBorders>
              <w:top w:val="single" w:sz="4" w:space="0" w:color="auto"/>
              <w:left w:val="nil"/>
              <w:bottom w:val="single" w:sz="4" w:space="0" w:color="auto"/>
              <w:right w:val="single" w:sz="4" w:space="0" w:color="auto"/>
            </w:tcBorders>
            <w:shd w:val="clear" w:color="auto" w:fill="C5E0B3"/>
            <w:noWrap/>
            <w:hideMark/>
          </w:tcPr>
          <w:p w:rsidR="004F39FD" w:rsidRPr="004F39FD" w:rsidP="004F39FD" w14:paraId="09507266" w14:textId="77777777">
            <w:pPr>
              <w:widowControl/>
              <w:overflowPunct/>
              <w:autoSpaceDE/>
              <w:autoSpaceDN/>
              <w:adjustRightInd/>
              <w:jc w:val="center"/>
              <w:rPr>
                <w:rFonts w:ascii="Calibri" w:hAnsi="Calibri" w:cs="Calibri"/>
                <w:b/>
                <w:bCs/>
                <w:color w:val="000000"/>
                <w:kern w:val="0"/>
              </w:rPr>
            </w:pPr>
            <w:r w:rsidRPr="004F39FD">
              <w:rPr>
                <w:rFonts w:ascii="Calibri" w:hAnsi="Calibri" w:cs="Calibri"/>
                <w:b/>
                <w:bCs/>
                <w:color w:val="000000"/>
                <w:kern w:val="0"/>
              </w:rPr>
              <w:t>Cost</w:t>
            </w:r>
          </w:p>
        </w:tc>
      </w:tr>
      <w:tr w14:paraId="4C9E10D4" w14:textId="77777777" w:rsidTr="00781E36">
        <w:tblPrEx>
          <w:tblW w:w="5286" w:type="dxa"/>
          <w:tblInd w:w="682" w:type="dxa"/>
          <w:tblLook w:val="04A0"/>
        </w:tblPrEx>
        <w:trPr>
          <w:trHeight w:val="255"/>
        </w:trPr>
        <w:tc>
          <w:tcPr>
            <w:tcW w:w="3140" w:type="dxa"/>
            <w:tcBorders>
              <w:top w:val="nil"/>
              <w:left w:val="single" w:sz="4" w:space="0" w:color="auto"/>
              <w:bottom w:val="single" w:sz="4" w:space="0" w:color="auto"/>
              <w:right w:val="single" w:sz="4" w:space="0" w:color="auto"/>
            </w:tcBorders>
            <w:shd w:val="clear" w:color="auto" w:fill="auto"/>
            <w:noWrap/>
            <w:hideMark/>
          </w:tcPr>
          <w:p w:rsidR="004F39FD" w:rsidRPr="004F39FD" w:rsidP="004F39FD" w14:paraId="600F89AB"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Transmitting SDSs</w:t>
            </w:r>
          </w:p>
        </w:tc>
        <w:tc>
          <w:tcPr>
            <w:tcW w:w="2146" w:type="dxa"/>
            <w:tcBorders>
              <w:top w:val="nil"/>
              <w:left w:val="nil"/>
              <w:bottom w:val="single" w:sz="4" w:space="0" w:color="auto"/>
              <w:right w:val="single" w:sz="4" w:space="0" w:color="auto"/>
            </w:tcBorders>
            <w:shd w:val="clear" w:color="auto" w:fill="auto"/>
            <w:noWrap/>
            <w:hideMark/>
          </w:tcPr>
          <w:p w:rsidR="004F39FD" w:rsidRPr="004F39FD" w:rsidP="004E114C" w14:paraId="4F2153F0" w14:textId="13584C31">
            <w:pPr>
              <w:widowControl/>
              <w:overflowPunct/>
              <w:autoSpaceDE/>
              <w:autoSpaceDN/>
              <w:adjustRightInd/>
              <w:jc w:val="right"/>
              <w:rPr>
                <w:rFonts w:ascii="Calibri" w:hAnsi="Calibri" w:cs="Calibri"/>
                <w:color w:val="000000"/>
                <w:kern w:val="0"/>
              </w:rPr>
            </w:pPr>
            <w:r w:rsidRPr="004F39FD">
              <w:rPr>
                <w:rFonts w:ascii="Calibri" w:hAnsi="Calibri" w:cs="Calibri"/>
                <w:color w:val="000000"/>
                <w:kern w:val="0"/>
              </w:rPr>
              <w:t>$</w:t>
            </w:r>
            <w:r w:rsidR="004E114C">
              <w:rPr>
                <w:rFonts w:ascii="Calibri" w:hAnsi="Calibri" w:cs="Calibri"/>
                <w:color w:val="000000"/>
                <w:kern w:val="0"/>
              </w:rPr>
              <w:t>1,</w:t>
            </w:r>
            <w:r w:rsidR="00C53228">
              <w:rPr>
                <w:rFonts w:ascii="Calibri" w:hAnsi="Calibri" w:cs="Calibri"/>
                <w:color w:val="000000"/>
                <w:kern w:val="0"/>
              </w:rPr>
              <w:t>107,980</w:t>
            </w:r>
          </w:p>
        </w:tc>
      </w:tr>
      <w:tr w14:paraId="44793EDA" w14:textId="77777777" w:rsidTr="00781E36">
        <w:tblPrEx>
          <w:tblW w:w="5286" w:type="dxa"/>
          <w:tblInd w:w="682" w:type="dxa"/>
          <w:tblLook w:val="04A0"/>
        </w:tblPrEx>
        <w:trPr>
          <w:trHeight w:val="255"/>
        </w:trPr>
        <w:tc>
          <w:tcPr>
            <w:tcW w:w="3140" w:type="dxa"/>
            <w:tcBorders>
              <w:top w:val="nil"/>
              <w:left w:val="single" w:sz="4" w:space="0" w:color="auto"/>
              <w:bottom w:val="single" w:sz="4" w:space="0" w:color="auto"/>
              <w:right w:val="single" w:sz="4" w:space="0" w:color="auto"/>
            </w:tcBorders>
            <w:shd w:val="clear" w:color="auto" w:fill="auto"/>
            <w:noWrap/>
            <w:hideMark/>
          </w:tcPr>
          <w:p w:rsidR="004F39FD" w:rsidRPr="004F39FD" w:rsidP="004F39FD" w14:paraId="66F86B68"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Printing Cost for Labels</w:t>
            </w:r>
          </w:p>
        </w:tc>
        <w:tc>
          <w:tcPr>
            <w:tcW w:w="2146" w:type="dxa"/>
            <w:tcBorders>
              <w:top w:val="nil"/>
              <w:left w:val="nil"/>
              <w:bottom w:val="single" w:sz="4" w:space="0" w:color="auto"/>
              <w:right w:val="single" w:sz="4" w:space="0" w:color="auto"/>
            </w:tcBorders>
            <w:shd w:val="clear" w:color="auto" w:fill="auto"/>
            <w:noWrap/>
            <w:hideMark/>
          </w:tcPr>
          <w:p w:rsidR="004F39FD" w:rsidRPr="000732E9" w:rsidP="00CB1472" w14:paraId="633D5F2D" w14:textId="46B30E17">
            <w:pPr>
              <w:widowControl/>
              <w:overflowPunct/>
              <w:autoSpaceDE/>
              <w:autoSpaceDN/>
              <w:adjustRightInd/>
              <w:jc w:val="right"/>
              <w:rPr>
                <w:rFonts w:ascii="Calibri" w:hAnsi="Calibri" w:cs="Calibri"/>
                <w:color w:val="000000"/>
                <w:kern w:val="0"/>
              </w:rPr>
            </w:pPr>
            <w:r w:rsidRPr="000732E9">
              <w:rPr>
                <w:rFonts w:ascii="Calibri" w:hAnsi="Calibri" w:cs="Calibri"/>
                <w:color w:val="000000"/>
              </w:rPr>
              <w:t>$68,099,616</w:t>
            </w:r>
          </w:p>
        </w:tc>
      </w:tr>
      <w:tr w14:paraId="143D6422" w14:textId="77777777" w:rsidTr="00781E36">
        <w:tblPrEx>
          <w:tblW w:w="5286" w:type="dxa"/>
          <w:tblInd w:w="682" w:type="dxa"/>
          <w:tblLook w:val="04A0"/>
        </w:tblPrEx>
        <w:trPr>
          <w:trHeight w:val="255"/>
        </w:trPr>
        <w:tc>
          <w:tcPr>
            <w:tcW w:w="3140" w:type="dxa"/>
            <w:tcBorders>
              <w:top w:val="nil"/>
              <w:left w:val="single" w:sz="4" w:space="0" w:color="auto"/>
              <w:bottom w:val="single" w:sz="4" w:space="0" w:color="auto"/>
              <w:right w:val="single" w:sz="4" w:space="0" w:color="auto"/>
            </w:tcBorders>
            <w:shd w:val="clear" w:color="auto" w:fill="auto"/>
            <w:noWrap/>
            <w:hideMark/>
          </w:tcPr>
          <w:p w:rsidR="004F39FD" w:rsidRPr="004F39FD" w:rsidP="004F39FD" w14:paraId="7A6D148C"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Software Cost</w:t>
            </w:r>
          </w:p>
        </w:tc>
        <w:tc>
          <w:tcPr>
            <w:tcW w:w="2146" w:type="dxa"/>
            <w:tcBorders>
              <w:top w:val="nil"/>
              <w:left w:val="nil"/>
              <w:bottom w:val="single" w:sz="4" w:space="0" w:color="auto"/>
              <w:right w:val="single" w:sz="4" w:space="0" w:color="auto"/>
            </w:tcBorders>
            <w:shd w:val="clear" w:color="auto" w:fill="auto"/>
            <w:noWrap/>
            <w:hideMark/>
          </w:tcPr>
          <w:p w:rsidR="004F39FD" w:rsidRPr="004F39FD" w:rsidP="004F39FD" w14:paraId="45BA3984" w14:textId="77777777">
            <w:pPr>
              <w:widowControl/>
              <w:overflowPunct/>
              <w:autoSpaceDE/>
              <w:autoSpaceDN/>
              <w:adjustRightInd/>
              <w:jc w:val="right"/>
              <w:rPr>
                <w:rFonts w:ascii="Calibri" w:hAnsi="Calibri" w:cs="Calibri"/>
                <w:color w:val="000000"/>
                <w:kern w:val="0"/>
              </w:rPr>
            </w:pPr>
            <w:r w:rsidRPr="004F39FD">
              <w:rPr>
                <w:rFonts w:ascii="Calibri" w:hAnsi="Calibri" w:cs="Calibri"/>
                <w:color w:val="000000"/>
                <w:kern w:val="0"/>
              </w:rPr>
              <w:t>$0</w:t>
            </w:r>
          </w:p>
        </w:tc>
      </w:tr>
      <w:tr w14:paraId="7F8F49A7" w14:textId="77777777" w:rsidTr="00781E36">
        <w:tblPrEx>
          <w:tblW w:w="5286" w:type="dxa"/>
          <w:tblInd w:w="682" w:type="dxa"/>
          <w:tblLook w:val="04A0"/>
        </w:tblPrEx>
        <w:trPr>
          <w:trHeight w:val="255"/>
        </w:trPr>
        <w:tc>
          <w:tcPr>
            <w:tcW w:w="3140" w:type="dxa"/>
            <w:tcBorders>
              <w:top w:val="nil"/>
              <w:left w:val="single" w:sz="4" w:space="0" w:color="auto"/>
              <w:bottom w:val="single" w:sz="4" w:space="0" w:color="auto"/>
              <w:right w:val="single" w:sz="4" w:space="0" w:color="auto"/>
            </w:tcBorders>
            <w:shd w:val="clear" w:color="auto" w:fill="auto"/>
            <w:noWrap/>
            <w:hideMark/>
          </w:tcPr>
          <w:p w:rsidR="004F39FD" w:rsidRPr="004F39FD" w:rsidP="004F39FD" w14:paraId="12372467" w14:textId="77777777">
            <w:pPr>
              <w:widowControl/>
              <w:overflowPunct/>
              <w:autoSpaceDE/>
              <w:autoSpaceDN/>
              <w:adjustRightInd/>
              <w:rPr>
                <w:rFonts w:ascii="Calibri" w:hAnsi="Calibri" w:cs="Calibri"/>
                <w:b/>
                <w:bCs/>
                <w:color w:val="000000"/>
                <w:kern w:val="0"/>
              </w:rPr>
            </w:pPr>
            <w:r w:rsidRPr="004F39FD">
              <w:rPr>
                <w:rFonts w:ascii="Calibri" w:hAnsi="Calibri" w:cs="Calibri"/>
                <w:b/>
                <w:bCs/>
                <w:color w:val="000000"/>
                <w:kern w:val="0"/>
              </w:rPr>
              <w:t>Total</w:t>
            </w:r>
          </w:p>
        </w:tc>
        <w:tc>
          <w:tcPr>
            <w:tcW w:w="2146" w:type="dxa"/>
            <w:tcBorders>
              <w:top w:val="nil"/>
              <w:left w:val="nil"/>
              <w:bottom w:val="single" w:sz="4" w:space="0" w:color="auto"/>
              <w:right w:val="single" w:sz="4" w:space="0" w:color="auto"/>
            </w:tcBorders>
            <w:shd w:val="clear" w:color="auto" w:fill="auto"/>
            <w:noWrap/>
            <w:hideMark/>
          </w:tcPr>
          <w:p w:rsidR="004F39FD" w:rsidRPr="004F39FD" w:rsidP="004F5D70" w14:paraId="687C31CC" w14:textId="71E9D34F">
            <w:pPr>
              <w:widowControl/>
              <w:overflowPunct/>
              <w:autoSpaceDE/>
              <w:autoSpaceDN/>
              <w:adjustRightInd/>
              <w:jc w:val="right"/>
              <w:rPr>
                <w:rFonts w:ascii="Calibri" w:hAnsi="Calibri" w:cs="Calibri"/>
                <w:b/>
                <w:bCs/>
                <w:color w:val="000000"/>
                <w:kern w:val="0"/>
              </w:rPr>
            </w:pPr>
            <w:r>
              <w:rPr>
                <w:rFonts w:ascii="Calibri" w:hAnsi="Calibri" w:cs="Calibri"/>
                <w:b/>
                <w:bCs/>
                <w:color w:val="000000"/>
              </w:rPr>
              <w:t>$69,207,596</w:t>
            </w:r>
          </w:p>
        </w:tc>
      </w:tr>
    </w:tbl>
    <w:p w:rsidR="004F39FD" w:rsidRPr="004F39FD" w:rsidP="003D087E" w14:paraId="3709971C" w14:textId="77777777">
      <w:pPr>
        <w:rPr>
          <w:b/>
        </w:rPr>
      </w:pPr>
    </w:p>
    <w:p w:rsidR="00861D67" w:rsidP="00EC1DAF" w14:paraId="05F6E85D" w14:textId="77777777">
      <w:pPr>
        <w:pStyle w:val="Default"/>
      </w:pPr>
    </w:p>
    <w:p w:rsidR="00BE024D" w:rsidP="00EC1DAF" w14:paraId="6F2A5980" w14:textId="77777777">
      <w:pPr>
        <w:pStyle w:val="Default"/>
      </w:pPr>
    </w:p>
    <w:p w:rsidR="00BE024D" w:rsidP="00EC1DAF" w14:paraId="7C7878B5" w14:textId="77777777">
      <w:pPr>
        <w:pStyle w:val="Default"/>
      </w:pPr>
    </w:p>
    <w:p w:rsidR="00BE024D" w:rsidP="00EC1DAF" w14:paraId="309D175D" w14:textId="77777777">
      <w:pPr>
        <w:pStyle w:val="Default"/>
      </w:pPr>
    </w:p>
    <w:p w:rsidR="00BE024D" w:rsidP="00EC1DAF" w14:paraId="5B2036DB" w14:textId="77777777">
      <w:pPr>
        <w:pStyle w:val="Default"/>
      </w:pPr>
    </w:p>
    <w:p w:rsidR="000B38C9" w:rsidP="00EC1DAF" w14:paraId="48461FB7" w14:textId="77777777">
      <w:pPr>
        <w:pStyle w:val="Default"/>
        <w:sectPr w:rsidSect="005412EE">
          <w:pgSz w:w="15840" w:h="12240" w:orient="landscape"/>
          <w:pgMar w:top="1800" w:right="1440" w:bottom="1800" w:left="1440" w:header="720" w:footer="720" w:gutter="0"/>
          <w:cols w:space="720"/>
          <w:docGrid w:linePitch="360"/>
        </w:sectPr>
      </w:pPr>
    </w:p>
    <w:p w:rsidR="00BE024D" w:rsidRPr="00150D7E" w:rsidP="00EC1DAF" w14:paraId="09FD1D85" w14:textId="77777777">
      <w:pPr>
        <w:pStyle w:val="Default"/>
      </w:pPr>
    </w:p>
    <w:p w:rsidR="00D80711" w:rsidRPr="003B60D1" w:rsidP="00D80711" w14:paraId="6C3CED6E"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sz w:val="24"/>
          <w:szCs w:val="24"/>
        </w:rPr>
      </w:pPr>
      <w:r w:rsidRPr="003B60D1">
        <w:rPr>
          <w:b/>
          <w:bCs/>
          <w:color w:val="000000"/>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w:t>
      </w:r>
      <w:r w:rsidRPr="003B60D1" w:rsidR="00DB1BB4">
        <w:rPr>
          <w:b/>
          <w:bCs/>
          <w:color w:val="000000"/>
          <w:sz w:val="24"/>
          <w:szCs w:val="24"/>
        </w:rPr>
        <w:t>m</w:t>
      </w:r>
      <w:r w:rsidRPr="003B60D1">
        <w:rPr>
          <w:b/>
          <w:bCs/>
          <w:color w:val="000000"/>
          <w:sz w:val="24"/>
          <w:szCs w:val="24"/>
        </w:rPr>
        <w:t>ay other expense that would not have been incurred without this collection of information.  Agencies also may aggregate cost estimates from Items 12, 13, and 14 in a single table.</w:t>
      </w:r>
    </w:p>
    <w:p w:rsidR="00DB1BB4" w:rsidRPr="003B60D1" w:rsidP="00D80711" w14:paraId="786D974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sz w:val="24"/>
          <w:szCs w:val="24"/>
        </w:rPr>
      </w:pPr>
    </w:p>
    <w:p w:rsidR="00EC1DAF" w:rsidRPr="003B60D1" w:rsidP="00AB0B90" w14:paraId="1F50BA63" w14:textId="7EEB7627">
      <w:pPr>
        <w:shd w:val="solid" w:color="FFFFFF" w:fill="FFFFFF"/>
        <w:tabs>
          <w:tab w:val="left" w:pos="0"/>
          <w:tab w:val="left" w:pos="720"/>
          <w:tab w:val="left" w:pos="1440"/>
          <w:tab w:val="left" w:pos="2160"/>
          <w:tab w:val="left" w:pos="2880"/>
          <w:tab w:val="left" w:pos="3600"/>
          <w:tab w:val="left" w:pos="4320"/>
          <w:tab w:val="left" w:pos="5040"/>
          <w:tab w:val="left" w:pos="5760"/>
          <w:tab w:val="left" w:pos="6570"/>
          <w:tab w:val="left" w:pos="7200"/>
          <w:tab w:val="left" w:pos="7830"/>
          <w:tab w:val="left" w:pos="7920"/>
          <w:tab w:val="left" w:pos="8640"/>
          <w:tab w:val="left" w:pos="9360"/>
        </w:tabs>
        <w:ind w:hanging="1800"/>
        <w:rPr>
          <w:color w:val="000000"/>
          <w:sz w:val="24"/>
          <w:szCs w:val="24"/>
        </w:rPr>
      </w:pPr>
      <w:r w:rsidRPr="003B60D1">
        <w:rPr>
          <w:color w:val="000000"/>
          <w:sz w:val="24"/>
          <w:szCs w:val="24"/>
        </w:rPr>
        <w:tab/>
      </w:r>
      <w:r w:rsidRPr="003B60D1" w:rsidR="00DB1BB4">
        <w:rPr>
          <w:color w:val="000000"/>
          <w:sz w:val="24"/>
          <w:szCs w:val="24"/>
        </w:rPr>
        <w:t>Usually, OSHA requests access to records during an inspection.  Information collected by</w:t>
      </w:r>
      <w:r w:rsidRPr="003B60D1" w:rsidR="00714621">
        <w:rPr>
          <w:color w:val="000000"/>
          <w:sz w:val="24"/>
          <w:szCs w:val="24"/>
        </w:rPr>
        <w:t xml:space="preserve"> </w:t>
      </w:r>
      <w:r w:rsidRPr="003B60D1" w:rsidR="00DB1BB4">
        <w:rPr>
          <w:color w:val="000000"/>
          <w:sz w:val="24"/>
          <w:szCs w:val="24"/>
        </w:rPr>
        <w:t xml:space="preserve">the </w:t>
      </w:r>
      <w:r w:rsidRPr="003B60D1" w:rsidR="004D5224">
        <w:rPr>
          <w:color w:val="000000"/>
          <w:sz w:val="24"/>
          <w:szCs w:val="24"/>
        </w:rPr>
        <w:t xml:space="preserve">agency </w:t>
      </w:r>
      <w:r w:rsidRPr="003B60D1" w:rsidR="00DB1BB4">
        <w:rPr>
          <w:color w:val="000000"/>
          <w:sz w:val="24"/>
          <w:szCs w:val="24"/>
        </w:rPr>
        <w:t>during the investigation is not subject to the PRA under 5 CFR 1320.4(a)(2).  Therefore, OSHA takes no burden or cost in Item 14 of this Supporting Statement.</w:t>
      </w:r>
      <w:r w:rsidRPr="003B60D1" w:rsidR="00D80711">
        <w:rPr>
          <w:color w:val="000000"/>
          <w:sz w:val="24"/>
          <w:szCs w:val="24"/>
        </w:rPr>
        <w:tab/>
      </w:r>
    </w:p>
    <w:p w:rsidR="00876AE4" w:rsidRPr="003B60D1" w:rsidP="00EC1DAF" w14:paraId="770B21B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3B60D1" w:rsidP="00D80711" w14:paraId="011A04DD" w14:textId="77777777">
      <w:pPr>
        <w:ind w:left="720" w:hanging="720"/>
        <w:rPr>
          <w:b/>
          <w:bCs/>
          <w:color w:val="000000"/>
          <w:sz w:val="24"/>
          <w:szCs w:val="24"/>
          <w:lang w:val="en-JM"/>
        </w:rPr>
      </w:pPr>
      <w:r w:rsidRPr="003B60D1">
        <w:rPr>
          <w:b/>
          <w:bCs/>
          <w:color w:val="000000"/>
          <w:sz w:val="24"/>
          <w:szCs w:val="24"/>
        </w:rPr>
        <w:t xml:space="preserve">15.  </w:t>
      </w:r>
      <w:r w:rsidRPr="003B60D1">
        <w:rPr>
          <w:b/>
          <w:bCs/>
          <w:color w:val="000000"/>
          <w:sz w:val="24"/>
          <w:szCs w:val="24"/>
          <w:lang w:val="en-JM"/>
        </w:rPr>
        <w:t>Explain the reasons for any program changes or adjustments.</w:t>
      </w:r>
    </w:p>
    <w:p w:rsidR="00394F69" w:rsidRPr="003B60D1" w:rsidP="00D80711" w14:paraId="5E39448F" w14:textId="77777777">
      <w:pPr>
        <w:ind w:left="720" w:hanging="720"/>
        <w:rPr>
          <w:color w:val="000000"/>
          <w:sz w:val="24"/>
          <w:szCs w:val="24"/>
        </w:rPr>
      </w:pPr>
    </w:p>
    <w:p w:rsidR="006A780C" w:rsidRPr="006A780C" w:rsidP="006A780C" w14:paraId="2F5515FA" w14:textId="729178FC">
      <w:pPr>
        <w:rPr>
          <w:sz w:val="24"/>
          <w:szCs w:val="24"/>
        </w:rPr>
      </w:pPr>
      <w:r w:rsidRPr="006A780C">
        <w:rPr>
          <w:sz w:val="24"/>
          <w:szCs w:val="24"/>
        </w:rPr>
        <w:t xml:space="preserve">OSHA is requesting an adjustment </w:t>
      </w:r>
      <w:r w:rsidR="00A21820">
        <w:rPr>
          <w:sz w:val="24"/>
          <w:szCs w:val="24"/>
        </w:rPr>
        <w:t xml:space="preserve">increase </w:t>
      </w:r>
      <w:r w:rsidRPr="006A780C">
        <w:rPr>
          <w:sz w:val="24"/>
          <w:szCs w:val="24"/>
        </w:rPr>
        <w:t xml:space="preserve">and a program change of the existing burden hours from 6,557,766 hours to </w:t>
      </w:r>
      <w:r w:rsidR="00EE1EAE">
        <w:rPr>
          <w:sz w:val="24"/>
          <w:szCs w:val="24"/>
        </w:rPr>
        <w:t>7,</w:t>
      </w:r>
      <w:r w:rsidR="00602EA3">
        <w:rPr>
          <w:sz w:val="24"/>
          <w:szCs w:val="24"/>
        </w:rPr>
        <w:t>20</w:t>
      </w:r>
      <w:r w:rsidR="00127590">
        <w:rPr>
          <w:sz w:val="24"/>
          <w:szCs w:val="24"/>
        </w:rPr>
        <w:t>6</w:t>
      </w:r>
      <w:r w:rsidR="00155BAD">
        <w:rPr>
          <w:sz w:val="24"/>
          <w:szCs w:val="24"/>
        </w:rPr>
        <w:t>,569</w:t>
      </w:r>
      <w:r w:rsidR="004D2265">
        <w:rPr>
          <w:sz w:val="24"/>
          <w:szCs w:val="24"/>
        </w:rPr>
        <w:t xml:space="preserve"> </w:t>
      </w:r>
      <w:r w:rsidRPr="006A780C" w:rsidR="00927250">
        <w:rPr>
          <w:sz w:val="24"/>
          <w:szCs w:val="24"/>
        </w:rPr>
        <w:t>hours, a differen</w:t>
      </w:r>
      <w:r w:rsidR="00927250">
        <w:rPr>
          <w:sz w:val="24"/>
          <w:szCs w:val="24"/>
        </w:rPr>
        <w:t xml:space="preserve">ce of </w:t>
      </w:r>
      <w:r w:rsidR="00541F21">
        <w:rPr>
          <w:sz w:val="24"/>
          <w:szCs w:val="24"/>
        </w:rPr>
        <w:t>648</w:t>
      </w:r>
      <w:r w:rsidR="005B4DD9">
        <w:rPr>
          <w:sz w:val="24"/>
          <w:szCs w:val="24"/>
        </w:rPr>
        <w:t>,803</w:t>
      </w:r>
      <w:r w:rsidR="00C74AB7">
        <w:rPr>
          <w:sz w:val="24"/>
          <w:szCs w:val="24"/>
        </w:rPr>
        <w:t xml:space="preserve"> </w:t>
      </w:r>
      <w:r w:rsidR="00927250">
        <w:rPr>
          <w:sz w:val="24"/>
          <w:szCs w:val="24"/>
        </w:rPr>
        <w:t xml:space="preserve">hours.  This first year burden is annualized over a </w:t>
      </w:r>
      <w:r w:rsidR="008805A2">
        <w:rPr>
          <w:sz w:val="24"/>
          <w:szCs w:val="24"/>
        </w:rPr>
        <w:t>three-year</w:t>
      </w:r>
      <w:r w:rsidR="00927250">
        <w:rPr>
          <w:sz w:val="24"/>
          <w:szCs w:val="24"/>
        </w:rPr>
        <w:t xml:space="preserve"> period</w:t>
      </w:r>
      <w:r w:rsidRPr="006A780C">
        <w:rPr>
          <w:sz w:val="24"/>
          <w:szCs w:val="24"/>
        </w:rPr>
        <w:t xml:space="preserve"> to compensate for the first year’s cost.  Also, the</w:t>
      </w:r>
      <w:r w:rsidR="00927250">
        <w:rPr>
          <w:sz w:val="24"/>
          <w:szCs w:val="24"/>
        </w:rPr>
        <w:t xml:space="preserve"> increase is due to</w:t>
      </w:r>
      <w:r w:rsidRPr="006A780C">
        <w:rPr>
          <w:sz w:val="24"/>
          <w:szCs w:val="24"/>
        </w:rPr>
        <w:t xml:space="preserve"> an increase in the number of establishments and in the number of employees affected, and new burden for</w:t>
      </w:r>
      <w:r w:rsidR="001B17DC">
        <w:rPr>
          <w:sz w:val="24"/>
          <w:szCs w:val="24"/>
        </w:rPr>
        <w:t xml:space="preserve"> revision and</w:t>
      </w:r>
      <w:r w:rsidRPr="006A780C">
        <w:rPr>
          <w:sz w:val="24"/>
          <w:szCs w:val="24"/>
        </w:rPr>
        <w:t xml:space="preserve"> re</w:t>
      </w:r>
      <w:r w:rsidR="001B17DC">
        <w:rPr>
          <w:sz w:val="24"/>
          <w:szCs w:val="24"/>
        </w:rPr>
        <w:t>classification</w:t>
      </w:r>
      <w:r w:rsidRPr="006A780C">
        <w:rPr>
          <w:sz w:val="24"/>
          <w:szCs w:val="24"/>
        </w:rPr>
        <w:t xml:space="preserve"> of SDSs and labels. </w:t>
      </w:r>
      <w:r w:rsidRPr="006A780C" w:rsidR="001771EC">
        <w:rPr>
          <w:sz w:val="24"/>
          <w:szCs w:val="24"/>
        </w:rPr>
        <w:t>Also,</w:t>
      </w:r>
      <w:r w:rsidRPr="006A780C">
        <w:rPr>
          <w:sz w:val="24"/>
          <w:szCs w:val="24"/>
        </w:rPr>
        <w:t xml:space="preserve"> as part of the updates to the HCS, OSHA is adding the reclassification of hazard chemicals in the first year and time associated with familiarization related to the rule.   </w:t>
      </w:r>
    </w:p>
    <w:p w:rsidR="006A780C" w:rsidRPr="006A780C" w:rsidP="006A780C" w14:paraId="6E38D1E3" w14:textId="77777777">
      <w:pPr>
        <w:rPr>
          <w:sz w:val="24"/>
          <w:szCs w:val="24"/>
        </w:rPr>
      </w:pPr>
    </w:p>
    <w:p w:rsidR="006A780C" w:rsidP="006A780C" w14:paraId="4B306548" w14:textId="7E8126E8">
      <w:pPr>
        <w:rPr>
          <w:sz w:val="24"/>
          <w:szCs w:val="24"/>
        </w:rPr>
      </w:pPr>
      <w:r w:rsidRPr="006A780C">
        <w:rPr>
          <w:sz w:val="24"/>
          <w:szCs w:val="24"/>
        </w:rPr>
        <w:t>The agency is also requesting a cost increase of $</w:t>
      </w:r>
      <w:r w:rsidR="00317A94">
        <w:rPr>
          <w:sz w:val="24"/>
          <w:szCs w:val="24"/>
        </w:rPr>
        <w:t>4</w:t>
      </w:r>
      <w:r w:rsidR="00D027BB">
        <w:rPr>
          <w:sz w:val="24"/>
          <w:szCs w:val="24"/>
        </w:rPr>
        <w:t>4,136</w:t>
      </w:r>
      <w:r w:rsidR="003A3074">
        <w:rPr>
          <w:sz w:val="24"/>
          <w:szCs w:val="24"/>
        </w:rPr>
        <w:t>,640</w:t>
      </w:r>
      <w:r w:rsidRPr="006A780C" w:rsidR="0029075D">
        <w:rPr>
          <w:sz w:val="24"/>
          <w:szCs w:val="24"/>
        </w:rPr>
        <w:t xml:space="preserve"> </w:t>
      </w:r>
      <w:r w:rsidRPr="006A780C">
        <w:rPr>
          <w:sz w:val="24"/>
          <w:szCs w:val="24"/>
        </w:rPr>
        <w:t xml:space="preserve">from $25,070,956 to </w:t>
      </w:r>
      <w:r w:rsidRPr="00864F58" w:rsidR="00864F58">
        <w:rPr>
          <w:color w:val="000000"/>
          <w:sz w:val="24"/>
          <w:szCs w:val="24"/>
        </w:rPr>
        <w:t>$69,207,596</w:t>
      </w:r>
      <w:r w:rsidRPr="006A780C">
        <w:rPr>
          <w:sz w:val="24"/>
          <w:szCs w:val="24"/>
        </w:rPr>
        <w:t>.  The cost increase results from the increase in the number of SDSs and in the price of the pre-printed labels.</w:t>
      </w:r>
    </w:p>
    <w:p w:rsidR="006A780C" w:rsidP="006A780C" w14:paraId="3675D0B6" w14:textId="77777777">
      <w:pPr>
        <w:rPr>
          <w:sz w:val="24"/>
          <w:szCs w:val="24"/>
        </w:rPr>
      </w:pPr>
    </w:p>
    <w:p w:rsidR="00E720BE" w:rsidP="00401AC9" w14:paraId="71076822" w14:textId="6F5FF5A5">
      <w:pPr>
        <w:rPr>
          <w:b/>
          <w:sz w:val="24"/>
          <w:szCs w:val="24"/>
        </w:rPr>
      </w:pPr>
      <w:r w:rsidRPr="003B60D1">
        <w:rPr>
          <w:b/>
          <w:sz w:val="24"/>
          <w:szCs w:val="24"/>
        </w:rPr>
        <w:t xml:space="preserve">Table </w:t>
      </w:r>
      <w:r w:rsidR="00C75702">
        <w:rPr>
          <w:b/>
          <w:sz w:val="24"/>
          <w:szCs w:val="24"/>
        </w:rPr>
        <w:t>7</w:t>
      </w:r>
      <w:r w:rsidRPr="003B60D1">
        <w:rPr>
          <w:b/>
          <w:sz w:val="24"/>
          <w:szCs w:val="24"/>
        </w:rPr>
        <w:t xml:space="preserve"> – </w:t>
      </w:r>
      <w:r w:rsidR="00B66004">
        <w:rPr>
          <w:b/>
          <w:sz w:val="24"/>
          <w:szCs w:val="24"/>
        </w:rPr>
        <w:t xml:space="preserve">The </w:t>
      </w:r>
      <w:r w:rsidRPr="003B60D1">
        <w:rPr>
          <w:b/>
          <w:sz w:val="24"/>
          <w:szCs w:val="24"/>
        </w:rPr>
        <w:t xml:space="preserve">Adjustment </w:t>
      </w:r>
      <w:r w:rsidR="001C7BA2">
        <w:rPr>
          <w:b/>
          <w:sz w:val="24"/>
          <w:szCs w:val="24"/>
        </w:rPr>
        <w:t xml:space="preserve">and Program Change </w:t>
      </w:r>
      <w:r w:rsidRPr="003B60D1">
        <w:rPr>
          <w:b/>
          <w:sz w:val="24"/>
          <w:szCs w:val="24"/>
        </w:rPr>
        <w:t>of the Requested Burden</w:t>
      </w:r>
      <w:r>
        <w:rPr>
          <w:b/>
          <w:sz w:val="24"/>
          <w:szCs w:val="24"/>
        </w:rPr>
        <w:t xml:space="preserve"> </w:t>
      </w:r>
      <w:r w:rsidR="00B70B1D">
        <w:rPr>
          <w:b/>
          <w:sz w:val="24"/>
          <w:szCs w:val="24"/>
        </w:rPr>
        <w:t>Hours</w:t>
      </w:r>
    </w:p>
    <w:p w:rsidR="003B60D1" w:rsidRPr="003B60D1" w:rsidP="00E720BE" w14:paraId="075E7F0E" w14:textId="4F5FB0E1">
      <w:pPr>
        <w:ind w:left="1440" w:firstLine="720"/>
        <w:rPr>
          <w:b/>
          <w:sz w:val="24"/>
          <w:szCs w:val="24"/>
        </w:rPr>
      </w:pPr>
      <w:r>
        <w:rPr>
          <w:b/>
          <w:sz w:val="24"/>
          <w:szCs w:val="24"/>
        </w:rPr>
        <w:t>(</w:t>
      </w:r>
      <w:r>
        <w:rPr>
          <w:b/>
          <w:sz w:val="24"/>
          <w:szCs w:val="24"/>
        </w:rPr>
        <w:t>not</w:t>
      </w:r>
      <w:r>
        <w:rPr>
          <w:b/>
          <w:sz w:val="24"/>
          <w:szCs w:val="24"/>
        </w:rPr>
        <w:t xml:space="preserve"> annualized over a three</w:t>
      </w:r>
      <w:r w:rsidR="00794C28">
        <w:rPr>
          <w:b/>
          <w:sz w:val="24"/>
          <w:szCs w:val="24"/>
        </w:rPr>
        <w:t xml:space="preserve">-year </w:t>
      </w:r>
      <w:r>
        <w:rPr>
          <w:b/>
          <w:sz w:val="24"/>
          <w:szCs w:val="24"/>
        </w:rPr>
        <w:t>period)</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1"/>
        <w:gridCol w:w="2047"/>
        <w:gridCol w:w="1891"/>
        <w:gridCol w:w="1866"/>
        <w:gridCol w:w="1800"/>
      </w:tblGrid>
      <w:tr w14:paraId="53147F06" w14:textId="3BACB787" w:rsidTr="00781E3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center"/>
        </w:trPr>
        <w:tc>
          <w:tcPr>
            <w:tcW w:w="3281" w:type="dxa"/>
            <w:tcBorders>
              <w:bottom w:val="thinThickMediumGap" w:sz="24" w:space="0" w:color="auto"/>
            </w:tcBorders>
            <w:shd w:val="clear" w:color="auto" w:fill="FCFCD0"/>
          </w:tcPr>
          <w:p w:rsidR="00515087" w:rsidRPr="003B60D1" w:rsidP="003B60D1" w14:paraId="4F3CFD59" w14:textId="77777777">
            <w:pPr>
              <w:jc w:val="center"/>
              <w:rPr>
                <w:b/>
                <w:color w:val="000000"/>
                <w:sz w:val="24"/>
                <w:szCs w:val="24"/>
              </w:rPr>
            </w:pPr>
            <w:r w:rsidRPr="003B60D1">
              <w:rPr>
                <w:b/>
                <w:color w:val="000000"/>
                <w:sz w:val="24"/>
                <w:szCs w:val="24"/>
              </w:rPr>
              <w:t>Information Collection Requirement</w:t>
            </w:r>
          </w:p>
        </w:tc>
        <w:tc>
          <w:tcPr>
            <w:tcW w:w="2047" w:type="dxa"/>
            <w:tcBorders>
              <w:bottom w:val="thinThickMediumGap" w:sz="24" w:space="0" w:color="auto"/>
            </w:tcBorders>
            <w:shd w:val="clear" w:color="auto" w:fill="FCFCD0"/>
          </w:tcPr>
          <w:p w:rsidR="00515087" w:rsidRPr="003B60D1" w:rsidP="003B60D1" w14:paraId="71D02130" w14:textId="77777777">
            <w:pPr>
              <w:jc w:val="center"/>
              <w:rPr>
                <w:b/>
                <w:color w:val="000000"/>
                <w:sz w:val="24"/>
                <w:szCs w:val="24"/>
              </w:rPr>
            </w:pPr>
            <w:r w:rsidRPr="003B60D1">
              <w:rPr>
                <w:b/>
                <w:color w:val="000000"/>
                <w:sz w:val="24"/>
                <w:szCs w:val="24"/>
              </w:rPr>
              <w:t>Existing Burden Hours</w:t>
            </w:r>
          </w:p>
        </w:tc>
        <w:tc>
          <w:tcPr>
            <w:tcW w:w="1891" w:type="dxa"/>
            <w:tcBorders>
              <w:bottom w:val="thinThickMediumGap" w:sz="24" w:space="0" w:color="auto"/>
            </w:tcBorders>
            <w:shd w:val="clear" w:color="auto" w:fill="FCFCD0"/>
          </w:tcPr>
          <w:p w:rsidR="00515087" w:rsidRPr="003B60D1" w:rsidP="003B60D1" w14:paraId="589610D1" w14:textId="77777777">
            <w:pPr>
              <w:jc w:val="center"/>
              <w:rPr>
                <w:b/>
                <w:color w:val="000000"/>
                <w:sz w:val="24"/>
                <w:szCs w:val="24"/>
              </w:rPr>
            </w:pPr>
            <w:r w:rsidRPr="003B60D1">
              <w:rPr>
                <w:b/>
                <w:color w:val="000000"/>
                <w:sz w:val="24"/>
                <w:szCs w:val="24"/>
              </w:rPr>
              <w:t>Requested Burden Hours</w:t>
            </w:r>
          </w:p>
        </w:tc>
        <w:tc>
          <w:tcPr>
            <w:tcW w:w="1866" w:type="dxa"/>
            <w:tcBorders>
              <w:bottom w:val="thinThickMediumGap" w:sz="24" w:space="0" w:color="auto"/>
            </w:tcBorders>
            <w:shd w:val="clear" w:color="auto" w:fill="FCFCD0"/>
          </w:tcPr>
          <w:p w:rsidR="00515087" w:rsidRPr="003B60D1" w:rsidP="003B60D1" w14:paraId="10100ECD" w14:textId="77777777">
            <w:pPr>
              <w:jc w:val="center"/>
              <w:rPr>
                <w:b/>
                <w:color w:val="000000"/>
                <w:sz w:val="24"/>
                <w:szCs w:val="24"/>
              </w:rPr>
            </w:pPr>
            <w:r w:rsidRPr="003B60D1">
              <w:rPr>
                <w:b/>
                <w:color w:val="000000"/>
                <w:sz w:val="24"/>
                <w:szCs w:val="24"/>
              </w:rPr>
              <w:t>Adjustment Change</w:t>
            </w:r>
          </w:p>
        </w:tc>
        <w:tc>
          <w:tcPr>
            <w:tcW w:w="1800" w:type="dxa"/>
            <w:tcBorders>
              <w:bottom w:val="thinThickMediumGap" w:sz="24" w:space="0" w:color="auto"/>
            </w:tcBorders>
            <w:shd w:val="clear" w:color="auto" w:fill="FCFCD0"/>
          </w:tcPr>
          <w:p w:rsidR="00515087" w:rsidRPr="003B60D1" w:rsidP="003B60D1" w14:paraId="6C097881" w14:textId="4D580B0D">
            <w:pPr>
              <w:jc w:val="center"/>
              <w:rPr>
                <w:b/>
                <w:color w:val="000000"/>
                <w:sz w:val="24"/>
                <w:szCs w:val="24"/>
              </w:rPr>
            </w:pPr>
            <w:r>
              <w:rPr>
                <w:b/>
                <w:color w:val="000000"/>
                <w:sz w:val="24"/>
                <w:szCs w:val="24"/>
              </w:rPr>
              <w:t>Program Change</w:t>
            </w:r>
          </w:p>
        </w:tc>
      </w:tr>
      <w:tr w14:paraId="555C859E" w14:textId="150F9B7F" w:rsidTr="00781E36">
        <w:tblPrEx>
          <w:tblW w:w="10885" w:type="dxa"/>
          <w:jc w:val="center"/>
          <w:tblLayout w:type="fixed"/>
          <w:tblLook w:val="01E0"/>
        </w:tblPrEx>
        <w:trPr>
          <w:jc w:val="center"/>
        </w:trPr>
        <w:tc>
          <w:tcPr>
            <w:tcW w:w="3281" w:type="dxa"/>
            <w:tcBorders>
              <w:top w:val="thinThickMediumGap" w:sz="24" w:space="0" w:color="auto"/>
            </w:tcBorders>
            <w:shd w:val="clear" w:color="auto" w:fill="auto"/>
          </w:tcPr>
          <w:p w:rsidR="00515087" w:rsidRPr="003B60D1" w:rsidP="00AC761E" w14:paraId="5459FDFE" w14:textId="77777777">
            <w:pPr>
              <w:rPr>
                <w:color w:val="000000"/>
                <w:sz w:val="24"/>
                <w:szCs w:val="24"/>
              </w:rPr>
            </w:pPr>
            <w:r w:rsidRPr="003B60D1">
              <w:rPr>
                <w:color w:val="000000"/>
                <w:sz w:val="24"/>
                <w:szCs w:val="24"/>
              </w:rPr>
              <w:t>1.Written Hazard Communication Program (New Establishments)</w:t>
            </w:r>
          </w:p>
        </w:tc>
        <w:tc>
          <w:tcPr>
            <w:tcW w:w="2047" w:type="dxa"/>
            <w:tcBorders>
              <w:top w:val="thinThickMediumGap" w:sz="24" w:space="0" w:color="auto"/>
            </w:tcBorders>
            <w:shd w:val="clear" w:color="auto" w:fill="auto"/>
            <w:vAlign w:val="center"/>
          </w:tcPr>
          <w:p w:rsidR="00515087" w:rsidRPr="002B4213" w:rsidP="00781E36" w14:paraId="1B71D9EF" w14:textId="1BBD91D1">
            <w:pPr>
              <w:jc w:val="center"/>
              <w:rPr>
                <w:sz w:val="24"/>
                <w:szCs w:val="24"/>
              </w:rPr>
            </w:pPr>
            <w:r w:rsidRPr="002B4213">
              <w:rPr>
                <w:sz w:val="24"/>
                <w:szCs w:val="24"/>
              </w:rPr>
              <w:t>638,770</w:t>
            </w:r>
          </w:p>
        </w:tc>
        <w:tc>
          <w:tcPr>
            <w:tcW w:w="1891" w:type="dxa"/>
            <w:tcBorders>
              <w:top w:val="thinThickMediumGap" w:sz="24" w:space="0" w:color="auto"/>
            </w:tcBorders>
            <w:shd w:val="clear" w:color="auto" w:fill="auto"/>
            <w:vAlign w:val="center"/>
          </w:tcPr>
          <w:p w:rsidR="00515087" w:rsidRPr="003B60D1" w:rsidP="00781E36" w14:paraId="79C2656F" w14:textId="25117DFC">
            <w:pPr>
              <w:widowControl/>
              <w:overflowPunct/>
              <w:autoSpaceDE/>
              <w:autoSpaceDN/>
              <w:adjustRightInd/>
              <w:jc w:val="center"/>
              <w:rPr>
                <w:bCs/>
                <w:color w:val="000000"/>
                <w:kern w:val="0"/>
                <w:sz w:val="24"/>
                <w:szCs w:val="24"/>
              </w:rPr>
            </w:pPr>
            <w:r>
              <w:rPr>
                <w:bCs/>
                <w:color w:val="000000"/>
                <w:sz w:val="24"/>
                <w:szCs w:val="24"/>
              </w:rPr>
              <w:t>710,088</w:t>
            </w:r>
          </w:p>
        </w:tc>
        <w:tc>
          <w:tcPr>
            <w:tcW w:w="1866" w:type="dxa"/>
            <w:tcBorders>
              <w:top w:val="thinThickMediumGap" w:sz="24" w:space="0" w:color="auto"/>
            </w:tcBorders>
            <w:shd w:val="clear" w:color="auto" w:fill="auto"/>
            <w:vAlign w:val="center"/>
          </w:tcPr>
          <w:p w:rsidR="00515087" w:rsidRPr="003B60D1" w:rsidP="00781E36" w14:paraId="31BA5BB2" w14:textId="2B1AE2A6">
            <w:pPr>
              <w:widowControl/>
              <w:overflowPunct/>
              <w:autoSpaceDE/>
              <w:autoSpaceDN/>
              <w:adjustRightInd/>
              <w:jc w:val="center"/>
              <w:rPr>
                <w:color w:val="000000"/>
                <w:kern w:val="0"/>
                <w:sz w:val="24"/>
                <w:szCs w:val="24"/>
              </w:rPr>
            </w:pPr>
            <w:r>
              <w:rPr>
                <w:color w:val="000000"/>
                <w:sz w:val="24"/>
                <w:szCs w:val="24"/>
              </w:rPr>
              <w:t>71,318</w:t>
            </w:r>
          </w:p>
        </w:tc>
        <w:tc>
          <w:tcPr>
            <w:tcW w:w="1800" w:type="dxa"/>
            <w:tcBorders>
              <w:top w:val="thinThickMediumGap" w:sz="24" w:space="0" w:color="auto"/>
            </w:tcBorders>
            <w:vAlign w:val="center"/>
          </w:tcPr>
          <w:p w:rsidR="00515087" w:rsidP="00781E36" w14:paraId="12CD0CDD" w14:textId="653E7922">
            <w:pPr>
              <w:widowControl/>
              <w:overflowPunct/>
              <w:autoSpaceDE/>
              <w:autoSpaceDN/>
              <w:adjustRightInd/>
              <w:jc w:val="center"/>
              <w:rPr>
                <w:color w:val="000000"/>
                <w:sz w:val="24"/>
                <w:szCs w:val="24"/>
              </w:rPr>
            </w:pPr>
            <w:r>
              <w:rPr>
                <w:color w:val="000000"/>
                <w:sz w:val="24"/>
                <w:szCs w:val="24"/>
              </w:rPr>
              <w:t>0</w:t>
            </w:r>
          </w:p>
        </w:tc>
      </w:tr>
      <w:tr w14:paraId="4BDBB144" w14:textId="62D17EBF" w:rsidTr="00781E36">
        <w:tblPrEx>
          <w:tblW w:w="10885" w:type="dxa"/>
          <w:jc w:val="center"/>
          <w:tblLayout w:type="fixed"/>
          <w:tblLook w:val="01E0"/>
        </w:tblPrEx>
        <w:trPr>
          <w:jc w:val="center"/>
        </w:trPr>
        <w:tc>
          <w:tcPr>
            <w:tcW w:w="3281" w:type="dxa"/>
            <w:shd w:val="clear" w:color="auto" w:fill="auto"/>
          </w:tcPr>
          <w:p w:rsidR="00515087" w:rsidRPr="003B60D1" w:rsidP="00AC761E" w14:paraId="597EE2F3" w14:textId="77777777">
            <w:pPr>
              <w:rPr>
                <w:color w:val="000000"/>
                <w:sz w:val="24"/>
                <w:szCs w:val="24"/>
              </w:rPr>
            </w:pPr>
            <w:r w:rsidRPr="003B60D1">
              <w:rPr>
                <w:color w:val="000000"/>
                <w:sz w:val="24"/>
                <w:szCs w:val="24"/>
              </w:rPr>
              <w:t>2. Written Hazard Communication Program (Existing Establishments)</w:t>
            </w:r>
          </w:p>
        </w:tc>
        <w:tc>
          <w:tcPr>
            <w:tcW w:w="2047" w:type="dxa"/>
            <w:shd w:val="clear" w:color="auto" w:fill="auto"/>
            <w:vAlign w:val="center"/>
          </w:tcPr>
          <w:p w:rsidR="00515087" w:rsidRPr="002B4213" w:rsidP="00781E36" w14:paraId="70AD0934" w14:textId="77777777">
            <w:pPr>
              <w:jc w:val="center"/>
              <w:rPr>
                <w:sz w:val="24"/>
                <w:szCs w:val="24"/>
              </w:rPr>
            </w:pPr>
          </w:p>
          <w:p w:rsidR="00515087" w:rsidRPr="002B4213" w:rsidP="00781E36" w14:paraId="73D57B56" w14:textId="39470A19">
            <w:pPr>
              <w:jc w:val="center"/>
              <w:rPr>
                <w:sz w:val="24"/>
                <w:szCs w:val="24"/>
              </w:rPr>
            </w:pPr>
            <w:r w:rsidRPr="002B4213">
              <w:rPr>
                <w:sz w:val="24"/>
                <w:szCs w:val="24"/>
              </w:rPr>
              <w:t>892,925</w:t>
            </w:r>
          </w:p>
        </w:tc>
        <w:tc>
          <w:tcPr>
            <w:tcW w:w="1891" w:type="dxa"/>
            <w:shd w:val="clear" w:color="auto" w:fill="auto"/>
            <w:vAlign w:val="center"/>
          </w:tcPr>
          <w:p w:rsidR="00515087" w:rsidRPr="003B60D1" w:rsidP="00781E36" w14:paraId="5FE98422" w14:textId="4175B353">
            <w:pPr>
              <w:jc w:val="center"/>
              <w:rPr>
                <w:bCs/>
                <w:color w:val="000000"/>
                <w:sz w:val="24"/>
                <w:szCs w:val="24"/>
              </w:rPr>
            </w:pPr>
            <w:r>
              <w:rPr>
                <w:bCs/>
                <w:color w:val="000000"/>
                <w:sz w:val="24"/>
                <w:szCs w:val="24"/>
              </w:rPr>
              <w:t>989,593</w:t>
            </w:r>
          </w:p>
        </w:tc>
        <w:tc>
          <w:tcPr>
            <w:tcW w:w="1866" w:type="dxa"/>
            <w:shd w:val="clear" w:color="auto" w:fill="auto"/>
            <w:vAlign w:val="center"/>
          </w:tcPr>
          <w:p w:rsidR="00515087" w:rsidRPr="003B60D1" w:rsidP="00781E36" w14:paraId="1C7EE9CA" w14:textId="5B6D59C2">
            <w:pPr>
              <w:jc w:val="center"/>
              <w:rPr>
                <w:color w:val="000000"/>
                <w:sz w:val="24"/>
                <w:szCs w:val="24"/>
              </w:rPr>
            </w:pPr>
            <w:r>
              <w:rPr>
                <w:color w:val="000000"/>
                <w:sz w:val="24"/>
                <w:szCs w:val="24"/>
              </w:rPr>
              <w:t>96,668</w:t>
            </w:r>
          </w:p>
        </w:tc>
        <w:tc>
          <w:tcPr>
            <w:tcW w:w="1800" w:type="dxa"/>
            <w:vAlign w:val="center"/>
          </w:tcPr>
          <w:p w:rsidR="00515087" w:rsidP="00781E36" w14:paraId="19F860F2" w14:textId="601C1DA7">
            <w:pPr>
              <w:jc w:val="center"/>
              <w:rPr>
                <w:color w:val="000000"/>
                <w:sz w:val="24"/>
                <w:szCs w:val="24"/>
              </w:rPr>
            </w:pPr>
            <w:r>
              <w:rPr>
                <w:color w:val="000000"/>
                <w:sz w:val="24"/>
                <w:szCs w:val="24"/>
              </w:rPr>
              <w:t>0</w:t>
            </w:r>
          </w:p>
        </w:tc>
      </w:tr>
      <w:tr w14:paraId="46985A72" w14:textId="6A5EC2FA" w:rsidTr="00781E36">
        <w:tblPrEx>
          <w:tblW w:w="10885" w:type="dxa"/>
          <w:jc w:val="center"/>
          <w:tblLayout w:type="fixed"/>
          <w:tblLook w:val="01E0"/>
        </w:tblPrEx>
        <w:trPr>
          <w:trHeight w:val="347"/>
          <w:jc w:val="center"/>
        </w:trPr>
        <w:tc>
          <w:tcPr>
            <w:tcW w:w="3281" w:type="dxa"/>
            <w:shd w:val="clear" w:color="auto" w:fill="auto"/>
          </w:tcPr>
          <w:p w:rsidR="00515087" w:rsidRPr="003B60D1" w:rsidP="00AC761E" w14:paraId="462C5119" w14:textId="6BCAF58E">
            <w:pPr>
              <w:rPr>
                <w:color w:val="000000"/>
                <w:sz w:val="24"/>
                <w:szCs w:val="24"/>
              </w:rPr>
            </w:pPr>
            <w:r w:rsidRPr="003B60D1">
              <w:rPr>
                <w:color w:val="000000"/>
                <w:sz w:val="24"/>
                <w:szCs w:val="24"/>
              </w:rPr>
              <w:t>3.</w:t>
            </w:r>
            <w:r>
              <w:rPr>
                <w:color w:val="000000"/>
                <w:sz w:val="24"/>
                <w:szCs w:val="24"/>
              </w:rPr>
              <w:t xml:space="preserve"> </w:t>
            </w:r>
            <w:r w:rsidRPr="003B60D1">
              <w:rPr>
                <w:color w:val="000000"/>
                <w:sz w:val="24"/>
                <w:szCs w:val="24"/>
              </w:rPr>
              <w:t>Hazard Classification</w:t>
            </w:r>
          </w:p>
        </w:tc>
        <w:tc>
          <w:tcPr>
            <w:tcW w:w="2047" w:type="dxa"/>
            <w:shd w:val="clear" w:color="auto" w:fill="auto"/>
            <w:vAlign w:val="center"/>
          </w:tcPr>
          <w:p w:rsidR="00515087" w:rsidRPr="002B4213" w:rsidP="00781E36" w14:paraId="2D300C4B" w14:textId="496BB056">
            <w:pPr>
              <w:jc w:val="center"/>
              <w:rPr>
                <w:sz w:val="24"/>
                <w:szCs w:val="24"/>
              </w:rPr>
            </w:pPr>
            <w:r w:rsidRPr="002B4213">
              <w:rPr>
                <w:sz w:val="24"/>
                <w:szCs w:val="24"/>
              </w:rPr>
              <w:t>358,184</w:t>
            </w:r>
          </w:p>
        </w:tc>
        <w:tc>
          <w:tcPr>
            <w:tcW w:w="1891" w:type="dxa"/>
            <w:shd w:val="clear" w:color="auto" w:fill="auto"/>
            <w:vAlign w:val="center"/>
          </w:tcPr>
          <w:p w:rsidR="00515087" w:rsidRPr="003B60D1" w:rsidP="00781E36" w14:paraId="2754556A" w14:textId="1D250F83">
            <w:pPr>
              <w:jc w:val="center"/>
              <w:rPr>
                <w:bCs/>
                <w:color w:val="000000"/>
                <w:sz w:val="24"/>
                <w:szCs w:val="24"/>
              </w:rPr>
            </w:pPr>
            <w:r>
              <w:rPr>
                <w:bCs/>
                <w:color w:val="000000"/>
                <w:sz w:val="24"/>
                <w:szCs w:val="24"/>
              </w:rPr>
              <w:t>372,168</w:t>
            </w:r>
          </w:p>
        </w:tc>
        <w:tc>
          <w:tcPr>
            <w:tcW w:w="1866" w:type="dxa"/>
            <w:shd w:val="clear" w:color="auto" w:fill="auto"/>
            <w:vAlign w:val="center"/>
          </w:tcPr>
          <w:p w:rsidR="00515087" w:rsidRPr="003B60D1" w:rsidP="00781E36" w14:paraId="695D97E0" w14:textId="31D0E849">
            <w:pPr>
              <w:jc w:val="center"/>
              <w:rPr>
                <w:color w:val="000000"/>
                <w:sz w:val="24"/>
                <w:szCs w:val="24"/>
              </w:rPr>
            </w:pPr>
            <w:r>
              <w:rPr>
                <w:color w:val="000000"/>
                <w:sz w:val="24"/>
                <w:szCs w:val="24"/>
              </w:rPr>
              <w:t>13,984</w:t>
            </w:r>
          </w:p>
        </w:tc>
        <w:tc>
          <w:tcPr>
            <w:tcW w:w="1800" w:type="dxa"/>
            <w:vAlign w:val="center"/>
          </w:tcPr>
          <w:p w:rsidR="00515087" w:rsidP="00781E36" w14:paraId="506AD719" w14:textId="5B438CB3">
            <w:pPr>
              <w:jc w:val="center"/>
              <w:rPr>
                <w:color w:val="000000"/>
                <w:sz w:val="24"/>
                <w:szCs w:val="24"/>
              </w:rPr>
            </w:pPr>
            <w:r>
              <w:rPr>
                <w:color w:val="000000"/>
                <w:sz w:val="24"/>
                <w:szCs w:val="24"/>
              </w:rPr>
              <w:t>0</w:t>
            </w:r>
          </w:p>
        </w:tc>
      </w:tr>
      <w:tr w14:paraId="77E3121B" w14:textId="77777777" w:rsidTr="00781E36">
        <w:tblPrEx>
          <w:tblW w:w="10885" w:type="dxa"/>
          <w:jc w:val="center"/>
          <w:tblLayout w:type="fixed"/>
          <w:tblLook w:val="01E0"/>
        </w:tblPrEx>
        <w:trPr>
          <w:jc w:val="center"/>
        </w:trPr>
        <w:tc>
          <w:tcPr>
            <w:tcW w:w="3281" w:type="dxa"/>
            <w:shd w:val="clear" w:color="auto" w:fill="auto"/>
          </w:tcPr>
          <w:p w:rsidR="002455E2" w:rsidRPr="003B60D1" w:rsidP="002455E2" w14:paraId="085D63EE" w14:textId="17CDA7F8">
            <w:pPr>
              <w:rPr>
                <w:sz w:val="24"/>
                <w:szCs w:val="24"/>
              </w:rPr>
            </w:pPr>
            <w:r>
              <w:rPr>
                <w:color w:val="000000"/>
                <w:sz w:val="24"/>
                <w:szCs w:val="24"/>
              </w:rPr>
              <w:t>4</w:t>
            </w:r>
            <w:r w:rsidRPr="003B60D1">
              <w:rPr>
                <w:color w:val="000000"/>
                <w:sz w:val="24"/>
                <w:szCs w:val="24"/>
              </w:rPr>
              <w:t xml:space="preserve">. </w:t>
            </w:r>
            <w:r w:rsidRPr="003B60D1">
              <w:rPr>
                <w:sz w:val="24"/>
                <w:szCs w:val="24"/>
              </w:rPr>
              <w:t xml:space="preserve"> </w:t>
            </w:r>
            <w:r w:rsidRPr="003B60D1">
              <w:rPr>
                <w:color w:val="000000"/>
                <w:sz w:val="24"/>
                <w:szCs w:val="24"/>
              </w:rPr>
              <w:t>Revisi</w:t>
            </w:r>
            <w:r w:rsidR="002B6951">
              <w:rPr>
                <w:color w:val="000000"/>
                <w:sz w:val="24"/>
                <w:szCs w:val="24"/>
              </w:rPr>
              <w:t>ng</w:t>
            </w:r>
            <w:r w:rsidRPr="003B60D1">
              <w:rPr>
                <w:color w:val="000000"/>
                <w:sz w:val="24"/>
                <w:szCs w:val="24"/>
              </w:rPr>
              <w:t xml:space="preserve"> the Safety Data Sheets and Label</w:t>
            </w:r>
            <w:r w:rsidR="003B61AF">
              <w:rPr>
                <w:color w:val="000000"/>
                <w:sz w:val="24"/>
                <w:szCs w:val="24"/>
              </w:rPr>
              <w:t>s</w:t>
            </w:r>
            <w:r w:rsidRPr="003B60D1">
              <w:rPr>
                <w:color w:val="000000"/>
                <w:sz w:val="24"/>
                <w:szCs w:val="24"/>
              </w:rPr>
              <w:t xml:space="preserve"> </w:t>
            </w:r>
          </w:p>
        </w:tc>
        <w:tc>
          <w:tcPr>
            <w:tcW w:w="2047" w:type="dxa"/>
            <w:shd w:val="clear" w:color="auto" w:fill="auto"/>
            <w:vAlign w:val="center"/>
          </w:tcPr>
          <w:p w:rsidR="002455E2" w:rsidRPr="002B4213" w:rsidP="00781E36" w14:paraId="01CF58D6" w14:textId="465177ED">
            <w:pPr>
              <w:jc w:val="center"/>
              <w:rPr>
                <w:sz w:val="24"/>
                <w:szCs w:val="24"/>
              </w:rPr>
            </w:pPr>
            <w:r>
              <w:rPr>
                <w:sz w:val="24"/>
                <w:szCs w:val="24"/>
              </w:rPr>
              <w:t>320</w:t>
            </w:r>
            <w:r w:rsidR="000B0461">
              <w:rPr>
                <w:sz w:val="24"/>
                <w:szCs w:val="24"/>
              </w:rPr>
              <w:t>,861</w:t>
            </w:r>
          </w:p>
        </w:tc>
        <w:tc>
          <w:tcPr>
            <w:tcW w:w="1891" w:type="dxa"/>
            <w:shd w:val="clear" w:color="auto" w:fill="auto"/>
            <w:vAlign w:val="center"/>
          </w:tcPr>
          <w:p w:rsidR="002455E2" w:rsidP="00781E36" w14:paraId="0A8FC623" w14:textId="4E12CEFF">
            <w:pPr>
              <w:jc w:val="center"/>
              <w:rPr>
                <w:bCs/>
                <w:color w:val="000000"/>
                <w:sz w:val="24"/>
                <w:szCs w:val="24"/>
              </w:rPr>
            </w:pPr>
            <w:r>
              <w:rPr>
                <w:bCs/>
                <w:color w:val="000000"/>
                <w:sz w:val="24"/>
                <w:szCs w:val="24"/>
              </w:rPr>
              <w:t>309,146</w:t>
            </w:r>
          </w:p>
        </w:tc>
        <w:tc>
          <w:tcPr>
            <w:tcW w:w="1866" w:type="dxa"/>
            <w:shd w:val="clear" w:color="auto" w:fill="auto"/>
            <w:vAlign w:val="center"/>
          </w:tcPr>
          <w:p w:rsidR="002455E2" w:rsidP="00781E36" w14:paraId="48B0EFA1" w14:textId="27CD60DC">
            <w:pPr>
              <w:jc w:val="center"/>
              <w:rPr>
                <w:color w:val="000000"/>
                <w:sz w:val="24"/>
                <w:szCs w:val="24"/>
              </w:rPr>
            </w:pPr>
            <w:r>
              <w:rPr>
                <w:color w:val="000000"/>
                <w:sz w:val="24"/>
                <w:szCs w:val="24"/>
              </w:rPr>
              <w:t>0</w:t>
            </w:r>
          </w:p>
        </w:tc>
        <w:tc>
          <w:tcPr>
            <w:tcW w:w="1800" w:type="dxa"/>
            <w:vAlign w:val="center"/>
          </w:tcPr>
          <w:p w:rsidR="002455E2" w:rsidP="00781E36" w14:paraId="46E5C5D3" w14:textId="2187BCB7">
            <w:pPr>
              <w:jc w:val="center"/>
              <w:rPr>
                <w:color w:val="000000"/>
                <w:sz w:val="24"/>
                <w:szCs w:val="24"/>
              </w:rPr>
            </w:pPr>
            <w:r w:rsidRPr="003B60D1">
              <w:rPr>
                <w:color w:val="000000"/>
                <w:sz w:val="24"/>
                <w:szCs w:val="24"/>
              </w:rPr>
              <w:t>-</w:t>
            </w:r>
            <w:r w:rsidR="00EE3542">
              <w:rPr>
                <w:color w:val="000000"/>
                <w:sz w:val="24"/>
                <w:szCs w:val="24"/>
              </w:rPr>
              <w:t>11,715</w:t>
            </w:r>
          </w:p>
        </w:tc>
      </w:tr>
      <w:tr w14:paraId="1827AA68" w14:textId="6F5E3A8F" w:rsidTr="00781E36">
        <w:tblPrEx>
          <w:tblW w:w="10885" w:type="dxa"/>
          <w:jc w:val="center"/>
          <w:tblLayout w:type="fixed"/>
          <w:tblLook w:val="01E0"/>
        </w:tblPrEx>
        <w:trPr>
          <w:jc w:val="center"/>
        </w:trPr>
        <w:tc>
          <w:tcPr>
            <w:tcW w:w="3281" w:type="dxa"/>
            <w:shd w:val="clear" w:color="auto" w:fill="auto"/>
          </w:tcPr>
          <w:p w:rsidR="00515087" w:rsidRPr="003B60D1" w:rsidP="00AC761E" w14:paraId="5DD29ABC" w14:textId="0D1A5025">
            <w:pPr>
              <w:rPr>
                <w:color w:val="000000"/>
                <w:sz w:val="24"/>
                <w:szCs w:val="24"/>
              </w:rPr>
            </w:pPr>
            <w:r>
              <w:rPr>
                <w:sz w:val="24"/>
                <w:szCs w:val="24"/>
              </w:rPr>
              <w:t>5</w:t>
            </w:r>
            <w:r w:rsidRPr="003B60D1">
              <w:rPr>
                <w:sz w:val="24"/>
                <w:szCs w:val="24"/>
              </w:rPr>
              <w:t xml:space="preserve">. Sending SDSs for </w:t>
            </w:r>
            <w:r w:rsidR="008F012D">
              <w:rPr>
                <w:sz w:val="24"/>
                <w:szCs w:val="24"/>
              </w:rPr>
              <w:t>N</w:t>
            </w:r>
            <w:r w:rsidRPr="003B60D1">
              <w:rPr>
                <w:sz w:val="24"/>
                <w:szCs w:val="24"/>
              </w:rPr>
              <w:t xml:space="preserve">ew </w:t>
            </w:r>
            <w:r w:rsidR="008F012D">
              <w:rPr>
                <w:sz w:val="24"/>
                <w:szCs w:val="24"/>
              </w:rPr>
              <w:t>H</w:t>
            </w:r>
            <w:r w:rsidRPr="003B60D1">
              <w:rPr>
                <w:sz w:val="24"/>
                <w:szCs w:val="24"/>
              </w:rPr>
              <w:t xml:space="preserve">azardous </w:t>
            </w:r>
            <w:r w:rsidR="008F012D">
              <w:rPr>
                <w:sz w:val="24"/>
                <w:szCs w:val="24"/>
              </w:rPr>
              <w:t>C</w:t>
            </w:r>
            <w:r w:rsidRPr="003B60D1">
              <w:rPr>
                <w:sz w:val="24"/>
                <w:szCs w:val="24"/>
              </w:rPr>
              <w:t xml:space="preserve">hemicals </w:t>
            </w:r>
            <w:r w:rsidR="008F012D">
              <w:rPr>
                <w:sz w:val="24"/>
                <w:szCs w:val="24"/>
              </w:rPr>
              <w:t>(E</w:t>
            </w:r>
            <w:r w:rsidRPr="003B60D1">
              <w:rPr>
                <w:sz w:val="24"/>
                <w:szCs w:val="24"/>
              </w:rPr>
              <w:t xml:space="preserve">xisting </w:t>
            </w:r>
            <w:r w:rsidR="008F012D">
              <w:rPr>
                <w:sz w:val="24"/>
                <w:szCs w:val="24"/>
              </w:rPr>
              <w:t>E</w:t>
            </w:r>
            <w:r w:rsidRPr="003B60D1">
              <w:rPr>
                <w:sz w:val="24"/>
                <w:szCs w:val="24"/>
              </w:rPr>
              <w:t>stablishments</w:t>
            </w:r>
            <w:r w:rsidR="008F012D">
              <w:rPr>
                <w:sz w:val="24"/>
                <w:szCs w:val="24"/>
              </w:rPr>
              <w:t>)</w:t>
            </w:r>
          </w:p>
        </w:tc>
        <w:tc>
          <w:tcPr>
            <w:tcW w:w="2047" w:type="dxa"/>
            <w:shd w:val="clear" w:color="auto" w:fill="auto"/>
            <w:vAlign w:val="center"/>
          </w:tcPr>
          <w:p w:rsidR="00515087" w:rsidRPr="002B4213" w:rsidP="00781E36" w14:paraId="7386F789" w14:textId="3AE0DCB7">
            <w:pPr>
              <w:jc w:val="center"/>
              <w:rPr>
                <w:sz w:val="24"/>
                <w:szCs w:val="24"/>
              </w:rPr>
            </w:pPr>
            <w:r w:rsidRPr="002B4213">
              <w:rPr>
                <w:sz w:val="24"/>
                <w:szCs w:val="24"/>
              </w:rPr>
              <w:t>297,193</w:t>
            </w:r>
          </w:p>
        </w:tc>
        <w:tc>
          <w:tcPr>
            <w:tcW w:w="1891" w:type="dxa"/>
            <w:shd w:val="clear" w:color="auto" w:fill="auto"/>
            <w:vAlign w:val="center"/>
          </w:tcPr>
          <w:p w:rsidR="00515087" w:rsidRPr="003B60D1" w:rsidP="00781E36" w14:paraId="1BD3296D" w14:textId="6A6B0C34">
            <w:pPr>
              <w:jc w:val="center"/>
              <w:rPr>
                <w:bCs/>
                <w:color w:val="000000"/>
                <w:sz w:val="24"/>
                <w:szCs w:val="24"/>
              </w:rPr>
            </w:pPr>
            <w:r>
              <w:rPr>
                <w:bCs/>
                <w:color w:val="000000"/>
                <w:sz w:val="24"/>
                <w:szCs w:val="24"/>
              </w:rPr>
              <w:t>329,938</w:t>
            </w:r>
          </w:p>
        </w:tc>
        <w:tc>
          <w:tcPr>
            <w:tcW w:w="1866" w:type="dxa"/>
            <w:shd w:val="clear" w:color="auto" w:fill="auto"/>
            <w:vAlign w:val="center"/>
          </w:tcPr>
          <w:p w:rsidR="00515087" w:rsidRPr="003B60D1" w:rsidP="00781E36" w14:paraId="0EE8E862" w14:textId="36E40A83">
            <w:pPr>
              <w:jc w:val="center"/>
              <w:rPr>
                <w:color w:val="000000"/>
                <w:sz w:val="24"/>
                <w:szCs w:val="24"/>
              </w:rPr>
            </w:pPr>
            <w:r>
              <w:rPr>
                <w:color w:val="000000"/>
                <w:sz w:val="24"/>
                <w:szCs w:val="24"/>
              </w:rPr>
              <w:t>32,745</w:t>
            </w:r>
          </w:p>
        </w:tc>
        <w:tc>
          <w:tcPr>
            <w:tcW w:w="1800" w:type="dxa"/>
            <w:vAlign w:val="center"/>
          </w:tcPr>
          <w:p w:rsidR="00515087" w:rsidP="00781E36" w14:paraId="0CF968ED" w14:textId="2B255F19">
            <w:pPr>
              <w:jc w:val="center"/>
              <w:rPr>
                <w:color w:val="000000"/>
                <w:sz w:val="24"/>
                <w:szCs w:val="24"/>
              </w:rPr>
            </w:pPr>
            <w:r>
              <w:rPr>
                <w:color w:val="000000"/>
                <w:sz w:val="24"/>
                <w:szCs w:val="24"/>
              </w:rPr>
              <w:t>0</w:t>
            </w:r>
          </w:p>
        </w:tc>
      </w:tr>
      <w:tr w14:paraId="2BB7AC5D" w14:textId="672D7F65" w:rsidTr="00781E36">
        <w:tblPrEx>
          <w:tblW w:w="10885" w:type="dxa"/>
          <w:jc w:val="center"/>
          <w:tblLayout w:type="fixed"/>
          <w:tblLook w:val="01E0"/>
        </w:tblPrEx>
        <w:trPr>
          <w:jc w:val="center"/>
        </w:trPr>
        <w:tc>
          <w:tcPr>
            <w:tcW w:w="3281" w:type="dxa"/>
            <w:shd w:val="clear" w:color="auto" w:fill="auto"/>
          </w:tcPr>
          <w:p w:rsidR="00515087" w:rsidRPr="003B60D1" w:rsidP="00AC761E" w14:paraId="44C1111A" w14:textId="65742452">
            <w:pPr>
              <w:rPr>
                <w:color w:val="000000"/>
                <w:sz w:val="24"/>
                <w:szCs w:val="24"/>
              </w:rPr>
            </w:pPr>
            <w:r>
              <w:rPr>
                <w:color w:val="000000"/>
                <w:sz w:val="24"/>
                <w:szCs w:val="24"/>
              </w:rPr>
              <w:t>6</w:t>
            </w:r>
            <w:r w:rsidRPr="003B60D1">
              <w:rPr>
                <w:color w:val="000000"/>
                <w:sz w:val="24"/>
                <w:szCs w:val="24"/>
              </w:rPr>
              <w:t xml:space="preserve">. Sending SDSs (New </w:t>
            </w:r>
            <w:r w:rsidRPr="003B60D1">
              <w:rPr>
                <w:color w:val="000000"/>
                <w:sz w:val="24"/>
                <w:szCs w:val="24"/>
              </w:rPr>
              <w:t>Establishments)</w:t>
            </w:r>
          </w:p>
        </w:tc>
        <w:tc>
          <w:tcPr>
            <w:tcW w:w="2047" w:type="dxa"/>
            <w:shd w:val="clear" w:color="auto" w:fill="auto"/>
            <w:vAlign w:val="center"/>
          </w:tcPr>
          <w:p w:rsidR="00515087" w:rsidRPr="002B4213" w:rsidP="00781E36" w14:paraId="3DB9EA90" w14:textId="55D1F18B">
            <w:pPr>
              <w:jc w:val="center"/>
              <w:rPr>
                <w:sz w:val="24"/>
                <w:szCs w:val="24"/>
              </w:rPr>
            </w:pPr>
            <w:r w:rsidRPr="002B4213">
              <w:rPr>
                <w:sz w:val="24"/>
                <w:szCs w:val="24"/>
              </w:rPr>
              <w:t>576,529</w:t>
            </w:r>
          </w:p>
        </w:tc>
        <w:tc>
          <w:tcPr>
            <w:tcW w:w="1891" w:type="dxa"/>
            <w:shd w:val="clear" w:color="auto" w:fill="auto"/>
            <w:vAlign w:val="center"/>
          </w:tcPr>
          <w:p w:rsidR="00515087" w:rsidRPr="003B60D1" w:rsidP="00781E36" w14:paraId="2068612B" w14:textId="54C77D5F">
            <w:pPr>
              <w:jc w:val="center"/>
              <w:rPr>
                <w:bCs/>
                <w:color w:val="000000"/>
                <w:sz w:val="24"/>
                <w:szCs w:val="24"/>
              </w:rPr>
            </w:pPr>
            <w:r>
              <w:rPr>
                <w:bCs/>
                <w:color w:val="000000"/>
                <w:sz w:val="24"/>
                <w:szCs w:val="24"/>
              </w:rPr>
              <w:t>641,503</w:t>
            </w:r>
          </w:p>
        </w:tc>
        <w:tc>
          <w:tcPr>
            <w:tcW w:w="1866" w:type="dxa"/>
            <w:shd w:val="clear" w:color="auto" w:fill="auto"/>
            <w:vAlign w:val="center"/>
          </w:tcPr>
          <w:p w:rsidR="00515087" w:rsidRPr="003B60D1" w:rsidP="00781E36" w14:paraId="5F6473B4" w14:textId="04217A69">
            <w:pPr>
              <w:jc w:val="center"/>
              <w:rPr>
                <w:color w:val="000000"/>
                <w:sz w:val="24"/>
                <w:szCs w:val="24"/>
              </w:rPr>
            </w:pPr>
            <w:r>
              <w:rPr>
                <w:color w:val="000000"/>
                <w:sz w:val="24"/>
                <w:szCs w:val="24"/>
              </w:rPr>
              <w:t>64,974</w:t>
            </w:r>
          </w:p>
        </w:tc>
        <w:tc>
          <w:tcPr>
            <w:tcW w:w="1800" w:type="dxa"/>
            <w:vAlign w:val="center"/>
          </w:tcPr>
          <w:p w:rsidR="00515087" w:rsidP="00781E36" w14:paraId="577D235A" w14:textId="1CE56541">
            <w:pPr>
              <w:jc w:val="center"/>
              <w:rPr>
                <w:color w:val="000000"/>
                <w:sz w:val="24"/>
                <w:szCs w:val="24"/>
              </w:rPr>
            </w:pPr>
            <w:r>
              <w:rPr>
                <w:color w:val="000000"/>
                <w:sz w:val="24"/>
                <w:szCs w:val="24"/>
              </w:rPr>
              <w:t>0</w:t>
            </w:r>
          </w:p>
        </w:tc>
      </w:tr>
      <w:tr w14:paraId="6B5E50FB" w14:textId="518D1399" w:rsidTr="00781E36">
        <w:tblPrEx>
          <w:tblW w:w="10885" w:type="dxa"/>
          <w:jc w:val="center"/>
          <w:tblLayout w:type="fixed"/>
          <w:tblLook w:val="01E0"/>
        </w:tblPrEx>
        <w:trPr>
          <w:trHeight w:val="857"/>
          <w:jc w:val="center"/>
        </w:trPr>
        <w:tc>
          <w:tcPr>
            <w:tcW w:w="3281" w:type="dxa"/>
            <w:shd w:val="clear" w:color="auto" w:fill="auto"/>
          </w:tcPr>
          <w:p w:rsidR="00515087" w:rsidRPr="003B60D1" w:rsidP="00AC761E" w14:paraId="405C3BCF" w14:textId="075EAA62">
            <w:pPr>
              <w:rPr>
                <w:color w:val="000000"/>
                <w:sz w:val="24"/>
                <w:szCs w:val="24"/>
              </w:rPr>
            </w:pPr>
            <w:r>
              <w:rPr>
                <w:color w:val="000000"/>
                <w:sz w:val="24"/>
                <w:szCs w:val="24"/>
              </w:rPr>
              <w:t>7.</w:t>
            </w:r>
            <w:r w:rsidRPr="003B60D1">
              <w:rPr>
                <w:color w:val="000000"/>
                <w:sz w:val="24"/>
                <w:szCs w:val="24"/>
              </w:rPr>
              <w:t xml:space="preserve">  Sending SDS</w:t>
            </w:r>
            <w:r w:rsidR="0001737C">
              <w:rPr>
                <w:color w:val="000000"/>
                <w:sz w:val="24"/>
                <w:szCs w:val="24"/>
              </w:rPr>
              <w:t>s</w:t>
            </w:r>
            <w:r w:rsidRPr="003B60D1">
              <w:rPr>
                <w:color w:val="000000"/>
                <w:sz w:val="24"/>
                <w:szCs w:val="24"/>
              </w:rPr>
              <w:t xml:space="preserve"> (Existing Establishments)</w:t>
            </w:r>
          </w:p>
        </w:tc>
        <w:tc>
          <w:tcPr>
            <w:tcW w:w="2047" w:type="dxa"/>
            <w:shd w:val="clear" w:color="auto" w:fill="auto"/>
            <w:vAlign w:val="center"/>
          </w:tcPr>
          <w:p w:rsidR="00515087" w:rsidRPr="002B4213" w:rsidP="00781E36" w14:paraId="2D6F4DBD" w14:textId="287C866E">
            <w:pPr>
              <w:jc w:val="center"/>
              <w:rPr>
                <w:color w:val="000000"/>
                <w:sz w:val="24"/>
                <w:szCs w:val="24"/>
              </w:rPr>
            </w:pPr>
            <w:r w:rsidRPr="002B4213">
              <w:rPr>
                <w:color w:val="000000"/>
                <w:sz w:val="24"/>
                <w:szCs w:val="24"/>
              </w:rPr>
              <w:t>122,799</w:t>
            </w:r>
          </w:p>
        </w:tc>
        <w:tc>
          <w:tcPr>
            <w:tcW w:w="1891" w:type="dxa"/>
            <w:shd w:val="clear" w:color="auto" w:fill="auto"/>
            <w:vAlign w:val="center"/>
          </w:tcPr>
          <w:p w:rsidR="00515087" w:rsidRPr="003B60D1" w:rsidP="00781E36" w14:paraId="220627D3" w14:textId="1F7A1A48">
            <w:pPr>
              <w:jc w:val="center"/>
              <w:rPr>
                <w:bCs/>
                <w:color w:val="000000"/>
                <w:sz w:val="24"/>
                <w:szCs w:val="24"/>
              </w:rPr>
            </w:pPr>
            <w:r>
              <w:rPr>
                <w:bCs/>
                <w:color w:val="000000"/>
                <w:sz w:val="24"/>
                <w:szCs w:val="24"/>
              </w:rPr>
              <w:t>136,539</w:t>
            </w:r>
          </w:p>
        </w:tc>
        <w:tc>
          <w:tcPr>
            <w:tcW w:w="1866" w:type="dxa"/>
            <w:shd w:val="clear" w:color="auto" w:fill="auto"/>
            <w:vAlign w:val="center"/>
          </w:tcPr>
          <w:p w:rsidR="00515087" w:rsidRPr="003B60D1" w:rsidP="00781E36" w14:paraId="61328D29" w14:textId="2A4EFCF9">
            <w:pPr>
              <w:jc w:val="center"/>
              <w:rPr>
                <w:color w:val="000000"/>
                <w:sz w:val="24"/>
                <w:szCs w:val="24"/>
              </w:rPr>
            </w:pPr>
            <w:r>
              <w:rPr>
                <w:color w:val="000000"/>
                <w:sz w:val="24"/>
                <w:szCs w:val="24"/>
              </w:rPr>
              <w:t>13,740</w:t>
            </w:r>
          </w:p>
        </w:tc>
        <w:tc>
          <w:tcPr>
            <w:tcW w:w="1800" w:type="dxa"/>
            <w:vAlign w:val="center"/>
          </w:tcPr>
          <w:p w:rsidR="00515087" w:rsidP="00781E36" w14:paraId="2C35AC8D" w14:textId="4A33FC83">
            <w:pPr>
              <w:jc w:val="center"/>
              <w:rPr>
                <w:color w:val="000000"/>
                <w:sz w:val="24"/>
                <w:szCs w:val="24"/>
              </w:rPr>
            </w:pPr>
            <w:r>
              <w:rPr>
                <w:color w:val="000000"/>
                <w:sz w:val="24"/>
                <w:szCs w:val="24"/>
              </w:rPr>
              <w:t>0</w:t>
            </w:r>
          </w:p>
        </w:tc>
      </w:tr>
      <w:tr w14:paraId="643601B9" w14:textId="4C650683" w:rsidTr="00781E36">
        <w:tblPrEx>
          <w:tblW w:w="10885" w:type="dxa"/>
          <w:jc w:val="center"/>
          <w:tblLayout w:type="fixed"/>
          <w:tblLook w:val="01E0"/>
        </w:tblPrEx>
        <w:trPr>
          <w:trHeight w:val="857"/>
          <w:jc w:val="center"/>
        </w:trPr>
        <w:tc>
          <w:tcPr>
            <w:tcW w:w="3281" w:type="dxa"/>
            <w:shd w:val="clear" w:color="auto" w:fill="auto"/>
          </w:tcPr>
          <w:p w:rsidR="00515087" w:rsidRPr="003B60D1" w:rsidP="00AC761E" w14:paraId="1C55AD63" w14:textId="156785C0">
            <w:pPr>
              <w:rPr>
                <w:color w:val="000000"/>
                <w:sz w:val="24"/>
                <w:szCs w:val="24"/>
              </w:rPr>
            </w:pPr>
            <w:r w:rsidRPr="003B60D1">
              <w:rPr>
                <w:sz w:val="24"/>
                <w:szCs w:val="24"/>
              </w:rPr>
              <w:t>7. Revising SDSs (Existing Establishments)</w:t>
            </w:r>
            <w:r w:rsidR="001E038F">
              <w:rPr>
                <w:sz w:val="24"/>
                <w:szCs w:val="24"/>
              </w:rPr>
              <w:t xml:space="preserve"> </w:t>
            </w:r>
          </w:p>
        </w:tc>
        <w:tc>
          <w:tcPr>
            <w:tcW w:w="2047" w:type="dxa"/>
            <w:shd w:val="clear" w:color="auto" w:fill="auto"/>
            <w:vAlign w:val="center"/>
          </w:tcPr>
          <w:p w:rsidR="00515087" w:rsidRPr="002B4213" w:rsidP="00781E36" w14:paraId="1DE980B7" w14:textId="76DC6245">
            <w:pPr>
              <w:jc w:val="center"/>
              <w:rPr>
                <w:color w:val="000000"/>
                <w:sz w:val="24"/>
                <w:szCs w:val="24"/>
              </w:rPr>
            </w:pPr>
            <w:r w:rsidRPr="002B4213">
              <w:rPr>
                <w:sz w:val="24"/>
                <w:szCs w:val="24"/>
              </w:rPr>
              <w:t>1,749</w:t>
            </w:r>
          </w:p>
        </w:tc>
        <w:tc>
          <w:tcPr>
            <w:tcW w:w="1891" w:type="dxa"/>
            <w:shd w:val="clear" w:color="auto" w:fill="auto"/>
            <w:vAlign w:val="center"/>
          </w:tcPr>
          <w:p w:rsidR="00515087" w:rsidRPr="003B60D1" w:rsidP="00781E36" w14:paraId="21FBA67A" w14:textId="281DAC4B">
            <w:pPr>
              <w:jc w:val="center"/>
              <w:rPr>
                <w:bCs/>
                <w:color w:val="000000"/>
                <w:sz w:val="24"/>
                <w:szCs w:val="24"/>
              </w:rPr>
            </w:pPr>
            <w:r>
              <w:rPr>
                <w:bCs/>
                <w:color w:val="000000"/>
                <w:sz w:val="24"/>
                <w:szCs w:val="24"/>
              </w:rPr>
              <w:t>0</w:t>
            </w:r>
          </w:p>
        </w:tc>
        <w:tc>
          <w:tcPr>
            <w:tcW w:w="1866" w:type="dxa"/>
            <w:shd w:val="clear" w:color="auto" w:fill="auto"/>
            <w:vAlign w:val="center"/>
          </w:tcPr>
          <w:p w:rsidR="00515087" w:rsidRPr="003B60D1" w:rsidP="00781E36" w14:paraId="4E2E606D" w14:textId="17C2E441">
            <w:pPr>
              <w:jc w:val="center"/>
              <w:rPr>
                <w:color w:val="000000"/>
                <w:sz w:val="24"/>
                <w:szCs w:val="24"/>
              </w:rPr>
            </w:pPr>
            <w:r>
              <w:rPr>
                <w:color w:val="000000"/>
                <w:sz w:val="24"/>
                <w:szCs w:val="24"/>
              </w:rPr>
              <w:t>-1,749</w:t>
            </w:r>
          </w:p>
        </w:tc>
        <w:tc>
          <w:tcPr>
            <w:tcW w:w="1800" w:type="dxa"/>
            <w:vAlign w:val="center"/>
          </w:tcPr>
          <w:p w:rsidR="00515087" w:rsidP="00781E36" w14:paraId="4F2020A5" w14:textId="2ABB5BF2">
            <w:pPr>
              <w:jc w:val="center"/>
              <w:rPr>
                <w:color w:val="000000"/>
                <w:sz w:val="24"/>
                <w:szCs w:val="24"/>
              </w:rPr>
            </w:pPr>
            <w:r>
              <w:rPr>
                <w:color w:val="000000"/>
                <w:sz w:val="24"/>
                <w:szCs w:val="24"/>
              </w:rPr>
              <w:t>0</w:t>
            </w:r>
          </w:p>
        </w:tc>
      </w:tr>
      <w:tr w14:paraId="03C4ABD1" w14:textId="38A2ED30" w:rsidTr="00781E36">
        <w:tblPrEx>
          <w:tblW w:w="10885" w:type="dxa"/>
          <w:jc w:val="center"/>
          <w:tblLayout w:type="fixed"/>
          <w:tblLook w:val="01E0"/>
        </w:tblPrEx>
        <w:trPr>
          <w:trHeight w:val="857"/>
          <w:jc w:val="center"/>
        </w:trPr>
        <w:tc>
          <w:tcPr>
            <w:tcW w:w="3281" w:type="dxa"/>
            <w:shd w:val="clear" w:color="auto" w:fill="auto"/>
          </w:tcPr>
          <w:p w:rsidR="00515087" w:rsidRPr="003B60D1" w:rsidP="00AC761E" w14:paraId="06ED0508" w14:textId="77777777">
            <w:pPr>
              <w:rPr>
                <w:color w:val="000000"/>
                <w:sz w:val="24"/>
                <w:szCs w:val="24"/>
              </w:rPr>
            </w:pPr>
            <w:r w:rsidRPr="003B60D1">
              <w:rPr>
                <w:color w:val="000000"/>
                <w:sz w:val="24"/>
                <w:szCs w:val="24"/>
              </w:rPr>
              <w:t>8. Obtaining and Maintaining SDSs (Existing Establishments)</w:t>
            </w:r>
          </w:p>
        </w:tc>
        <w:tc>
          <w:tcPr>
            <w:tcW w:w="2047" w:type="dxa"/>
            <w:shd w:val="clear" w:color="auto" w:fill="auto"/>
            <w:vAlign w:val="center"/>
          </w:tcPr>
          <w:p w:rsidR="00515087" w:rsidRPr="002B4213" w:rsidP="00781E36" w14:paraId="4DE6A9D2" w14:textId="380242C6">
            <w:pPr>
              <w:jc w:val="center"/>
              <w:rPr>
                <w:color w:val="000000"/>
                <w:sz w:val="24"/>
                <w:szCs w:val="24"/>
              </w:rPr>
            </w:pPr>
            <w:r w:rsidRPr="002B4213">
              <w:rPr>
                <w:color w:val="000000"/>
                <w:sz w:val="24"/>
                <w:szCs w:val="24"/>
              </w:rPr>
              <w:t>1,754,268</w:t>
            </w:r>
          </w:p>
        </w:tc>
        <w:tc>
          <w:tcPr>
            <w:tcW w:w="1891" w:type="dxa"/>
            <w:shd w:val="clear" w:color="auto" w:fill="auto"/>
            <w:vAlign w:val="center"/>
          </w:tcPr>
          <w:p w:rsidR="00515087" w:rsidRPr="003B60D1" w:rsidP="00781E36" w14:paraId="250DB3AF" w14:textId="78607E7D">
            <w:pPr>
              <w:jc w:val="center"/>
              <w:rPr>
                <w:bCs/>
                <w:color w:val="000000"/>
                <w:sz w:val="24"/>
                <w:szCs w:val="24"/>
              </w:rPr>
            </w:pPr>
            <w:r>
              <w:rPr>
                <w:bCs/>
                <w:color w:val="000000"/>
                <w:sz w:val="24"/>
                <w:szCs w:val="24"/>
              </w:rPr>
              <w:t>1,950,550</w:t>
            </w:r>
          </w:p>
        </w:tc>
        <w:tc>
          <w:tcPr>
            <w:tcW w:w="1866" w:type="dxa"/>
            <w:shd w:val="clear" w:color="auto" w:fill="auto"/>
            <w:vAlign w:val="center"/>
          </w:tcPr>
          <w:p w:rsidR="00515087" w:rsidRPr="003B60D1" w:rsidP="00781E36" w14:paraId="19B3049D" w14:textId="6B9873FD">
            <w:pPr>
              <w:jc w:val="center"/>
              <w:rPr>
                <w:color w:val="000000"/>
                <w:sz w:val="24"/>
                <w:szCs w:val="24"/>
              </w:rPr>
            </w:pPr>
            <w:r>
              <w:rPr>
                <w:color w:val="000000"/>
                <w:sz w:val="24"/>
                <w:szCs w:val="24"/>
              </w:rPr>
              <w:t>196,282</w:t>
            </w:r>
          </w:p>
        </w:tc>
        <w:tc>
          <w:tcPr>
            <w:tcW w:w="1800" w:type="dxa"/>
            <w:vAlign w:val="center"/>
          </w:tcPr>
          <w:p w:rsidR="00515087" w:rsidP="00781E36" w14:paraId="5D722566" w14:textId="5FB1393E">
            <w:pPr>
              <w:jc w:val="center"/>
              <w:rPr>
                <w:color w:val="000000"/>
                <w:sz w:val="24"/>
                <w:szCs w:val="24"/>
              </w:rPr>
            </w:pPr>
            <w:r>
              <w:rPr>
                <w:color w:val="000000"/>
                <w:sz w:val="24"/>
                <w:szCs w:val="24"/>
              </w:rPr>
              <w:t>0</w:t>
            </w:r>
          </w:p>
        </w:tc>
      </w:tr>
      <w:tr w14:paraId="7C424FA6" w14:textId="41BD1C07" w:rsidTr="00781E36">
        <w:tblPrEx>
          <w:tblW w:w="10885" w:type="dxa"/>
          <w:jc w:val="center"/>
          <w:tblLayout w:type="fixed"/>
          <w:tblLook w:val="01E0"/>
        </w:tblPrEx>
        <w:trPr>
          <w:jc w:val="center"/>
        </w:trPr>
        <w:tc>
          <w:tcPr>
            <w:tcW w:w="3281" w:type="dxa"/>
            <w:shd w:val="clear" w:color="auto" w:fill="auto"/>
          </w:tcPr>
          <w:p w:rsidR="00515087" w:rsidRPr="003B60D1" w:rsidP="00AC761E" w14:paraId="2B002DEB" w14:textId="3D26037A">
            <w:pPr>
              <w:rPr>
                <w:color w:val="000000"/>
                <w:sz w:val="24"/>
                <w:szCs w:val="24"/>
              </w:rPr>
            </w:pPr>
            <w:r w:rsidRPr="003B60D1">
              <w:rPr>
                <w:color w:val="000000"/>
                <w:sz w:val="24"/>
                <w:szCs w:val="24"/>
              </w:rPr>
              <w:t xml:space="preserve">9. </w:t>
            </w:r>
            <w:r w:rsidRPr="003B60D1">
              <w:rPr>
                <w:sz w:val="24"/>
                <w:szCs w:val="24"/>
              </w:rPr>
              <w:t xml:space="preserve"> </w:t>
            </w:r>
            <w:r w:rsidRPr="003B60D1">
              <w:rPr>
                <w:color w:val="000000"/>
                <w:sz w:val="24"/>
                <w:szCs w:val="24"/>
              </w:rPr>
              <w:t>Obtaining and Maintaining</w:t>
            </w:r>
            <w:r w:rsidR="0001737C">
              <w:rPr>
                <w:color w:val="000000"/>
                <w:sz w:val="24"/>
                <w:szCs w:val="24"/>
              </w:rPr>
              <w:t xml:space="preserve"> SDSs</w:t>
            </w:r>
            <w:r w:rsidRPr="003B60D1">
              <w:rPr>
                <w:color w:val="000000"/>
                <w:sz w:val="24"/>
                <w:szCs w:val="24"/>
              </w:rPr>
              <w:t xml:space="preserve"> (New Establishments)</w:t>
            </w:r>
          </w:p>
        </w:tc>
        <w:tc>
          <w:tcPr>
            <w:tcW w:w="2047" w:type="dxa"/>
            <w:shd w:val="clear" w:color="auto" w:fill="auto"/>
            <w:vAlign w:val="center"/>
          </w:tcPr>
          <w:p w:rsidR="00515087" w:rsidRPr="002B4213" w:rsidP="00781E36" w14:paraId="40EE64AA" w14:textId="27E987A2">
            <w:pPr>
              <w:jc w:val="center"/>
              <w:rPr>
                <w:color w:val="000000"/>
                <w:sz w:val="24"/>
                <w:szCs w:val="24"/>
              </w:rPr>
            </w:pPr>
            <w:r w:rsidRPr="002B4213">
              <w:rPr>
                <w:color w:val="000000"/>
                <w:sz w:val="24"/>
                <w:szCs w:val="24"/>
              </w:rPr>
              <w:t>576,529</w:t>
            </w:r>
          </w:p>
        </w:tc>
        <w:tc>
          <w:tcPr>
            <w:tcW w:w="1891" w:type="dxa"/>
            <w:shd w:val="clear" w:color="auto" w:fill="auto"/>
            <w:vAlign w:val="center"/>
          </w:tcPr>
          <w:p w:rsidR="00515087" w:rsidRPr="003B60D1" w:rsidP="00781E36" w14:paraId="1498B4DD" w14:textId="52A6995C">
            <w:pPr>
              <w:jc w:val="center"/>
              <w:rPr>
                <w:bCs/>
                <w:color w:val="000000"/>
                <w:sz w:val="24"/>
                <w:szCs w:val="24"/>
              </w:rPr>
            </w:pPr>
            <w:r>
              <w:rPr>
                <w:bCs/>
                <w:color w:val="000000"/>
                <w:sz w:val="24"/>
                <w:szCs w:val="24"/>
              </w:rPr>
              <w:t>641,503</w:t>
            </w:r>
          </w:p>
        </w:tc>
        <w:tc>
          <w:tcPr>
            <w:tcW w:w="1866" w:type="dxa"/>
            <w:shd w:val="clear" w:color="auto" w:fill="auto"/>
            <w:vAlign w:val="center"/>
          </w:tcPr>
          <w:p w:rsidR="00515087" w:rsidRPr="003B60D1" w:rsidP="00781E36" w14:paraId="415F335D" w14:textId="5C56405A">
            <w:pPr>
              <w:jc w:val="center"/>
              <w:rPr>
                <w:color w:val="000000"/>
                <w:sz w:val="24"/>
                <w:szCs w:val="24"/>
              </w:rPr>
            </w:pPr>
            <w:r>
              <w:rPr>
                <w:color w:val="000000"/>
                <w:sz w:val="24"/>
                <w:szCs w:val="24"/>
              </w:rPr>
              <w:t>64,974</w:t>
            </w:r>
          </w:p>
        </w:tc>
        <w:tc>
          <w:tcPr>
            <w:tcW w:w="1800" w:type="dxa"/>
            <w:vAlign w:val="center"/>
          </w:tcPr>
          <w:p w:rsidR="00515087" w:rsidP="00781E36" w14:paraId="0EE91C33" w14:textId="5F155A41">
            <w:pPr>
              <w:jc w:val="center"/>
              <w:rPr>
                <w:color w:val="000000"/>
                <w:sz w:val="24"/>
                <w:szCs w:val="24"/>
              </w:rPr>
            </w:pPr>
            <w:r>
              <w:rPr>
                <w:color w:val="000000"/>
                <w:sz w:val="24"/>
                <w:szCs w:val="24"/>
              </w:rPr>
              <w:t>0</w:t>
            </w:r>
          </w:p>
        </w:tc>
      </w:tr>
      <w:tr w14:paraId="5CD1038C" w14:textId="25EA3214" w:rsidTr="00781E36">
        <w:tblPrEx>
          <w:tblW w:w="10885" w:type="dxa"/>
          <w:jc w:val="center"/>
          <w:tblLayout w:type="fixed"/>
          <w:tblLook w:val="01E0"/>
        </w:tblPrEx>
        <w:trPr>
          <w:jc w:val="center"/>
        </w:trPr>
        <w:tc>
          <w:tcPr>
            <w:tcW w:w="3281" w:type="dxa"/>
            <w:shd w:val="clear" w:color="auto" w:fill="auto"/>
          </w:tcPr>
          <w:p w:rsidR="00515087" w:rsidRPr="003B60D1" w:rsidP="00AC761E" w14:paraId="16F67D7B" w14:textId="77777777">
            <w:pPr>
              <w:rPr>
                <w:color w:val="000000"/>
                <w:sz w:val="24"/>
                <w:szCs w:val="24"/>
              </w:rPr>
            </w:pPr>
            <w:r w:rsidRPr="003B60D1">
              <w:rPr>
                <w:color w:val="000000"/>
                <w:sz w:val="24"/>
                <w:szCs w:val="24"/>
              </w:rPr>
              <w:t>10.  Labeling Shipped Containers</w:t>
            </w:r>
            <w:r w:rsidRPr="003B60D1">
              <w:rPr>
                <w:color w:val="000000"/>
                <w:sz w:val="24"/>
                <w:szCs w:val="24"/>
              </w:rPr>
              <w:t xml:space="preserve"> </w:t>
            </w:r>
          </w:p>
        </w:tc>
        <w:tc>
          <w:tcPr>
            <w:tcW w:w="2047" w:type="dxa"/>
            <w:shd w:val="clear" w:color="auto" w:fill="auto"/>
            <w:vAlign w:val="center"/>
          </w:tcPr>
          <w:p w:rsidR="00515087" w:rsidRPr="002B4213" w:rsidP="00781E36" w14:paraId="09389A00" w14:textId="70A6AB46">
            <w:pPr>
              <w:jc w:val="center"/>
              <w:rPr>
                <w:color w:val="000000"/>
                <w:sz w:val="24"/>
                <w:szCs w:val="24"/>
              </w:rPr>
            </w:pPr>
            <w:r w:rsidRPr="002B4213">
              <w:rPr>
                <w:color w:val="000000"/>
                <w:sz w:val="24"/>
                <w:szCs w:val="24"/>
              </w:rPr>
              <w:t>0</w:t>
            </w:r>
          </w:p>
        </w:tc>
        <w:tc>
          <w:tcPr>
            <w:tcW w:w="1891" w:type="dxa"/>
            <w:shd w:val="clear" w:color="auto" w:fill="auto"/>
            <w:vAlign w:val="center"/>
          </w:tcPr>
          <w:p w:rsidR="00515087" w:rsidRPr="003B60D1" w:rsidP="00781E36" w14:paraId="5B789BF5" w14:textId="77777777">
            <w:pPr>
              <w:jc w:val="center"/>
              <w:rPr>
                <w:color w:val="000000"/>
                <w:sz w:val="24"/>
                <w:szCs w:val="24"/>
              </w:rPr>
            </w:pPr>
            <w:r w:rsidRPr="003B60D1">
              <w:rPr>
                <w:color w:val="000000"/>
                <w:sz w:val="24"/>
                <w:szCs w:val="24"/>
              </w:rPr>
              <w:t>0</w:t>
            </w:r>
          </w:p>
        </w:tc>
        <w:tc>
          <w:tcPr>
            <w:tcW w:w="1866" w:type="dxa"/>
            <w:shd w:val="clear" w:color="auto" w:fill="auto"/>
            <w:vAlign w:val="center"/>
          </w:tcPr>
          <w:p w:rsidR="00515087" w:rsidRPr="003B60D1" w:rsidP="00781E36" w14:paraId="3D03FB6B" w14:textId="7D3BA61A">
            <w:pPr>
              <w:jc w:val="center"/>
              <w:rPr>
                <w:color w:val="000000"/>
                <w:sz w:val="24"/>
                <w:szCs w:val="24"/>
              </w:rPr>
            </w:pPr>
            <w:r w:rsidRPr="003B60D1">
              <w:rPr>
                <w:color w:val="000000"/>
                <w:sz w:val="24"/>
                <w:szCs w:val="24"/>
              </w:rPr>
              <w:t>0</w:t>
            </w:r>
          </w:p>
        </w:tc>
        <w:tc>
          <w:tcPr>
            <w:tcW w:w="1800" w:type="dxa"/>
            <w:vAlign w:val="center"/>
          </w:tcPr>
          <w:p w:rsidR="00515087" w:rsidRPr="003B60D1" w:rsidP="00781E36" w14:paraId="248FF40C" w14:textId="42F0B353">
            <w:pPr>
              <w:jc w:val="center"/>
              <w:rPr>
                <w:color w:val="000000"/>
                <w:sz w:val="24"/>
                <w:szCs w:val="24"/>
              </w:rPr>
            </w:pPr>
            <w:r>
              <w:rPr>
                <w:color w:val="000000"/>
                <w:sz w:val="24"/>
                <w:szCs w:val="24"/>
              </w:rPr>
              <w:t>0</w:t>
            </w:r>
          </w:p>
        </w:tc>
      </w:tr>
      <w:tr w14:paraId="20227D0D" w14:textId="4BC06A5F" w:rsidTr="00781E36">
        <w:tblPrEx>
          <w:tblW w:w="10885" w:type="dxa"/>
          <w:jc w:val="center"/>
          <w:tblLayout w:type="fixed"/>
          <w:tblLook w:val="01E0"/>
        </w:tblPrEx>
        <w:trPr>
          <w:trHeight w:val="455"/>
          <w:jc w:val="center"/>
        </w:trPr>
        <w:tc>
          <w:tcPr>
            <w:tcW w:w="3281" w:type="dxa"/>
            <w:shd w:val="clear" w:color="auto" w:fill="auto"/>
          </w:tcPr>
          <w:p w:rsidR="00515087" w:rsidRPr="003B60D1" w:rsidP="00AC761E" w14:paraId="5981FD3B" w14:textId="77777777">
            <w:pPr>
              <w:rPr>
                <w:color w:val="000000"/>
                <w:sz w:val="24"/>
                <w:szCs w:val="24"/>
              </w:rPr>
            </w:pPr>
            <w:r w:rsidRPr="003B60D1">
              <w:rPr>
                <w:color w:val="000000"/>
                <w:sz w:val="24"/>
                <w:szCs w:val="24"/>
              </w:rPr>
              <w:t xml:space="preserve">11. </w:t>
            </w:r>
            <w:r w:rsidRPr="003B60D1">
              <w:rPr>
                <w:sz w:val="24"/>
                <w:szCs w:val="24"/>
              </w:rPr>
              <w:t xml:space="preserve"> </w:t>
            </w:r>
            <w:r w:rsidRPr="003B60D1">
              <w:rPr>
                <w:color w:val="000000"/>
                <w:sz w:val="24"/>
                <w:szCs w:val="24"/>
              </w:rPr>
              <w:t>Labeling of In-Plant Containers</w:t>
            </w:r>
            <w:r w:rsidRPr="003B60D1">
              <w:rPr>
                <w:color w:val="000000"/>
                <w:sz w:val="24"/>
                <w:szCs w:val="24"/>
              </w:rPr>
              <w:t xml:space="preserve"> </w:t>
            </w:r>
          </w:p>
        </w:tc>
        <w:tc>
          <w:tcPr>
            <w:tcW w:w="2047" w:type="dxa"/>
            <w:shd w:val="clear" w:color="auto" w:fill="auto"/>
            <w:vAlign w:val="center"/>
          </w:tcPr>
          <w:p w:rsidR="00515087" w:rsidRPr="002B4213" w:rsidP="00781E36" w14:paraId="6ADCA56F" w14:textId="027F2E3A">
            <w:pPr>
              <w:jc w:val="center"/>
              <w:rPr>
                <w:color w:val="000000"/>
                <w:sz w:val="24"/>
                <w:szCs w:val="24"/>
              </w:rPr>
            </w:pPr>
            <w:r w:rsidRPr="002B4213">
              <w:rPr>
                <w:color w:val="000000"/>
                <w:sz w:val="24"/>
                <w:szCs w:val="24"/>
              </w:rPr>
              <w:t>176,484</w:t>
            </w:r>
          </w:p>
        </w:tc>
        <w:tc>
          <w:tcPr>
            <w:tcW w:w="1891" w:type="dxa"/>
            <w:shd w:val="clear" w:color="auto" w:fill="auto"/>
            <w:vAlign w:val="center"/>
          </w:tcPr>
          <w:p w:rsidR="00515087" w:rsidRPr="003B60D1" w:rsidP="00781E36" w14:paraId="2DC38DD5" w14:textId="73EFA60B">
            <w:pPr>
              <w:widowControl/>
              <w:overflowPunct/>
              <w:autoSpaceDE/>
              <w:autoSpaceDN/>
              <w:adjustRightInd/>
              <w:jc w:val="center"/>
              <w:rPr>
                <w:bCs/>
                <w:color w:val="000000"/>
                <w:kern w:val="0"/>
                <w:sz w:val="24"/>
                <w:szCs w:val="24"/>
              </w:rPr>
            </w:pPr>
            <w:r>
              <w:rPr>
                <w:bCs/>
                <w:color w:val="000000"/>
                <w:sz w:val="24"/>
                <w:szCs w:val="24"/>
              </w:rPr>
              <w:t>257,402</w:t>
            </w:r>
          </w:p>
        </w:tc>
        <w:tc>
          <w:tcPr>
            <w:tcW w:w="1866" w:type="dxa"/>
            <w:shd w:val="clear" w:color="auto" w:fill="auto"/>
            <w:vAlign w:val="center"/>
          </w:tcPr>
          <w:p w:rsidR="00515087" w:rsidRPr="003B60D1" w:rsidP="00781E36" w14:paraId="4224FD9E" w14:textId="5EF08B2C">
            <w:pPr>
              <w:jc w:val="center"/>
              <w:rPr>
                <w:color w:val="000000"/>
                <w:sz w:val="24"/>
                <w:szCs w:val="24"/>
              </w:rPr>
            </w:pPr>
            <w:r>
              <w:rPr>
                <w:color w:val="000000"/>
                <w:sz w:val="24"/>
                <w:szCs w:val="24"/>
              </w:rPr>
              <w:t>17</w:t>
            </w:r>
          </w:p>
        </w:tc>
        <w:tc>
          <w:tcPr>
            <w:tcW w:w="1800" w:type="dxa"/>
            <w:vAlign w:val="center"/>
          </w:tcPr>
          <w:p w:rsidR="00515087" w:rsidP="00781E36" w14:paraId="2FBD9B93" w14:textId="0C97139E">
            <w:pPr>
              <w:jc w:val="center"/>
              <w:rPr>
                <w:color w:val="000000"/>
                <w:sz w:val="24"/>
                <w:szCs w:val="24"/>
              </w:rPr>
            </w:pPr>
            <w:r>
              <w:rPr>
                <w:color w:val="000000"/>
                <w:sz w:val="24"/>
                <w:szCs w:val="24"/>
              </w:rPr>
              <w:t>0</w:t>
            </w:r>
          </w:p>
        </w:tc>
      </w:tr>
      <w:tr w14:paraId="0A6F5AA2" w14:textId="3BE6FE14" w:rsidTr="00781E36">
        <w:tblPrEx>
          <w:tblW w:w="10885" w:type="dxa"/>
          <w:jc w:val="center"/>
          <w:tblLayout w:type="fixed"/>
          <w:tblLook w:val="01E0"/>
        </w:tblPrEx>
        <w:trPr>
          <w:jc w:val="center"/>
        </w:trPr>
        <w:tc>
          <w:tcPr>
            <w:tcW w:w="3281" w:type="dxa"/>
            <w:shd w:val="clear" w:color="auto" w:fill="auto"/>
          </w:tcPr>
          <w:p w:rsidR="00515087" w:rsidRPr="003B60D1" w:rsidP="00AC761E" w14:paraId="66242FB7" w14:textId="77777777">
            <w:pPr>
              <w:rPr>
                <w:color w:val="000000"/>
                <w:sz w:val="24"/>
                <w:szCs w:val="24"/>
              </w:rPr>
            </w:pPr>
            <w:r w:rsidRPr="003B60D1">
              <w:rPr>
                <w:color w:val="000000"/>
                <w:sz w:val="24"/>
                <w:szCs w:val="24"/>
              </w:rPr>
              <w:t>12. Access to Trade Secrets</w:t>
            </w:r>
            <w:r w:rsidRPr="003B60D1">
              <w:rPr>
                <w:color w:val="000000"/>
                <w:sz w:val="24"/>
                <w:szCs w:val="24"/>
              </w:rPr>
              <w:t xml:space="preserve"> </w:t>
            </w:r>
          </w:p>
        </w:tc>
        <w:tc>
          <w:tcPr>
            <w:tcW w:w="2047" w:type="dxa"/>
            <w:shd w:val="clear" w:color="auto" w:fill="auto"/>
            <w:vAlign w:val="center"/>
          </w:tcPr>
          <w:p w:rsidR="00515087" w:rsidRPr="002B4213" w:rsidP="00781E36" w14:paraId="15477113" w14:textId="4BD25B8F">
            <w:pPr>
              <w:jc w:val="center"/>
              <w:rPr>
                <w:color w:val="000000"/>
                <w:sz w:val="24"/>
                <w:szCs w:val="24"/>
              </w:rPr>
            </w:pPr>
            <w:r w:rsidRPr="002B4213">
              <w:rPr>
                <w:color w:val="000000"/>
                <w:sz w:val="24"/>
                <w:szCs w:val="24"/>
              </w:rPr>
              <w:t>338,640</w:t>
            </w:r>
          </w:p>
        </w:tc>
        <w:tc>
          <w:tcPr>
            <w:tcW w:w="1891" w:type="dxa"/>
            <w:shd w:val="clear" w:color="auto" w:fill="auto"/>
            <w:vAlign w:val="center"/>
          </w:tcPr>
          <w:p w:rsidR="00515087" w:rsidRPr="003B60D1" w:rsidP="00781E36" w14:paraId="70C9A776" w14:textId="4BC1DCAC">
            <w:pPr>
              <w:jc w:val="center"/>
              <w:rPr>
                <w:bCs/>
                <w:color w:val="000000"/>
                <w:sz w:val="24"/>
                <w:szCs w:val="24"/>
              </w:rPr>
            </w:pPr>
            <w:r>
              <w:rPr>
                <w:bCs/>
                <w:color w:val="000000"/>
                <w:sz w:val="24"/>
                <w:szCs w:val="24"/>
              </w:rPr>
              <w:t>426,544</w:t>
            </w:r>
          </w:p>
        </w:tc>
        <w:tc>
          <w:tcPr>
            <w:tcW w:w="1866" w:type="dxa"/>
            <w:shd w:val="clear" w:color="auto" w:fill="auto"/>
            <w:vAlign w:val="center"/>
          </w:tcPr>
          <w:p w:rsidR="00515087" w:rsidRPr="003B60D1" w:rsidP="00781E36" w14:paraId="032A579A" w14:textId="15833E22">
            <w:pPr>
              <w:jc w:val="center"/>
              <w:rPr>
                <w:color w:val="000000"/>
                <w:sz w:val="24"/>
                <w:szCs w:val="24"/>
              </w:rPr>
            </w:pPr>
            <w:r>
              <w:rPr>
                <w:color w:val="000000"/>
                <w:sz w:val="24"/>
                <w:szCs w:val="24"/>
              </w:rPr>
              <w:t>75,772</w:t>
            </w:r>
          </w:p>
        </w:tc>
        <w:tc>
          <w:tcPr>
            <w:tcW w:w="1800" w:type="dxa"/>
            <w:vAlign w:val="center"/>
          </w:tcPr>
          <w:p w:rsidR="00515087" w:rsidP="00781E36" w14:paraId="27AE130B" w14:textId="2EAEBFDE">
            <w:pPr>
              <w:jc w:val="center"/>
              <w:rPr>
                <w:color w:val="000000"/>
                <w:sz w:val="24"/>
                <w:szCs w:val="24"/>
              </w:rPr>
            </w:pPr>
            <w:r>
              <w:rPr>
                <w:color w:val="000000"/>
                <w:sz w:val="24"/>
                <w:szCs w:val="24"/>
              </w:rPr>
              <w:t>0</w:t>
            </w:r>
          </w:p>
        </w:tc>
      </w:tr>
      <w:tr w14:paraId="11EB507C" w14:textId="79237E7B" w:rsidTr="00781E36">
        <w:tblPrEx>
          <w:tblW w:w="10885" w:type="dxa"/>
          <w:jc w:val="center"/>
          <w:tblLayout w:type="fixed"/>
          <w:tblLook w:val="01E0"/>
        </w:tblPrEx>
        <w:trPr>
          <w:jc w:val="center"/>
        </w:trPr>
        <w:tc>
          <w:tcPr>
            <w:tcW w:w="3281" w:type="dxa"/>
            <w:shd w:val="clear" w:color="auto" w:fill="auto"/>
          </w:tcPr>
          <w:p w:rsidR="00515087" w:rsidRPr="003B60D1" w:rsidP="00AC761E" w14:paraId="6CF4A85B" w14:textId="77777777">
            <w:pPr>
              <w:tabs>
                <w:tab w:val="center" w:pos="1017"/>
              </w:tabs>
              <w:rPr>
                <w:color w:val="000000"/>
                <w:sz w:val="24"/>
                <w:szCs w:val="24"/>
              </w:rPr>
            </w:pPr>
            <w:r w:rsidRPr="003B60D1">
              <w:rPr>
                <w:color w:val="000000"/>
                <w:sz w:val="24"/>
                <w:szCs w:val="24"/>
              </w:rPr>
              <w:t>13.</w:t>
            </w:r>
            <w:r w:rsidRPr="003B60D1">
              <w:rPr>
                <w:color w:val="000000"/>
                <w:sz w:val="24"/>
                <w:szCs w:val="24"/>
              </w:rPr>
              <w:tab/>
            </w:r>
            <w:r w:rsidRPr="003B60D1">
              <w:rPr>
                <w:sz w:val="24"/>
                <w:szCs w:val="24"/>
              </w:rPr>
              <w:t xml:space="preserve"> </w:t>
            </w:r>
            <w:r w:rsidRPr="003B60D1">
              <w:rPr>
                <w:color w:val="000000"/>
                <w:sz w:val="24"/>
                <w:szCs w:val="24"/>
              </w:rPr>
              <w:t>Employee Access</w:t>
            </w:r>
          </w:p>
        </w:tc>
        <w:tc>
          <w:tcPr>
            <w:tcW w:w="2047" w:type="dxa"/>
            <w:shd w:val="clear" w:color="auto" w:fill="auto"/>
            <w:vAlign w:val="center"/>
          </w:tcPr>
          <w:p w:rsidR="00515087" w:rsidRPr="002B4213" w:rsidP="00781E36" w14:paraId="00EBA20A" w14:textId="482DCD4C">
            <w:pPr>
              <w:jc w:val="center"/>
              <w:rPr>
                <w:color w:val="000000"/>
                <w:sz w:val="24"/>
                <w:szCs w:val="24"/>
              </w:rPr>
            </w:pPr>
            <w:r w:rsidRPr="002B4213">
              <w:rPr>
                <w:color w:val="000000"/>
                <w:sz w:val="24"/>
                <w:szCs w:val="24"/>
              </w:rPr>
              <w:t>502,835</w:t>
            </w:r>
          </w:p>
        </w:tc>
        <w:tc>
          <w:tcPr>
            <w:tcW w:w="1891" w:type="dxa"/>
            <w:shd w:val="clear" w:color="auto" w:fill="auto"/>
            <w:vAlign w:val="center"/>
          </w:tcPr>
          <w:p w:rsidR="00515087" w:rsidRPr="003B60D1" w:rsidP="00781E36" w14:paraId="6AB40F0E" w14:textId="673B82E1">
            <w:pPr>
              <w:jc w:val="center"/>
              <w:rPr>
                <w:bCs/>
                <w:color w:val="000000"/>
                <w:sz w:val="24"/>
                <w:szCs w:val="24"/>
              </w:rPr>
            </w:pPr>
            <w:r>
              <w:rPr>
                <w:bCs/>
                <w:color w:val="000000"/>
                <w:sz w:val="24"/>
                <w:szCs w:val="24"/>
              </w:rPr>
              <w:t>559,207</w:t>
            </w:r>
          </w:p>
        </w:tc>
        <w:tc>
          <w:tcPr>
            <w:tcW w:w="1866" w:type="dxa"/>
            <w:shd w:val="clear" w:color="auto" w:fill="auto"/>
            <w:vAlign w:val="center"/>
          </w:tcPr>
          <w:p w:rsidR="00515087" w:rsidRPr="003B60D1" w:rsidP="00781E36" w14:paraId="18B2797C" w14:textId="0050E0B4">
            <w:pPr>
              <w:jc w:val="center"/>
              <w:rPr>
                <w:color w:val="000000"/>
                <w:sz w:val="24"/>
                <w:szCs w:val="24"/>
              </w:rPr>
            </w:pPr>
            <w:r>
              <w:rPr>
                <w:color w:val="000000"/>
                <w:sz w:val="24"/>
                <w:szCs w:val="24"/>
              </w:rPr>
              <w:t>49,943</w:t>
            </w:r>
          </w:p>
        </w:tc>
        <w:tc>
          <w:tcPr>
            <w:tcW w:w="1800" w:type="dxa"/>
            <w:vAlign w:val="center"/>
          </w:tcPr>
          <w:p w:rsidR="00515087" w:rsidP="00781E36" w14:paraId="61B81E68" w14:textId="64105DAC">
            <w:pPr>
              <w:jc w:val="center"/>
              <w:rPr>
                <w:color w:val="000000"/>
                <w:sz w:val="24"/>
                <w:szCs w:val="24"/>
              </w:rPr>
            </w:pPr>
            <w:r>
              <w:rPr>
                <w:color w:val="000000"/>
                <w:sz w:val="24"/>
                <w:szCs w:val="24"/>
              </w:rPr>
              <w:t>0</w:t>
            </w:r>
          </w:p>
        </w:tc>
      </w:tr>
      <w:tr w14:paraId="19767164" w14:textId="7409093E" w:rsidTr="00781E36">
        <w:tblPrEx>
          <w:tblW w:w="10885" w:type="dxa"/>
          <w:jc w:val="center"/>
          <w:tblLayout w:type="fixed"/>
          <w:tblLook w:val="01E0"/>
        </w:tblPrEx>
        <w:trPr>
          <w:trHeight w:val="293"/>
          <w:jc w:val="center"/>
        </w:trPr>
        <w:tc>
          <w:tcPr>
            <w:tcW w:w="3281" w:type="dxa"/>
            <w:shd w:val="clear" w:color="auto" w:fill="auto"/>
          </w:tcPr>
          <w:p w:rsidR="00515087" w:rsidRPr="003B60D1" w:rsidP="00AC761E" w14:paraId="0B7B4EA3" w14:textId="77777777">
            <w:pPr>
              <w:rPr>
                <w:color w:val="000000"/>
                <w:sz w:val="24"/>
                <w:szCs w:val="24"/>
              </w:rPr>
            </w:pPr>
            <w:r w:rsidRPr="003B60D1">
              <w:rPr>
                <w:color w:val="000000"/>
                <w:sz w:val="24"/>
                <w:szCs w:val="24"/>
              </w:rPr>
              <w:t>14.  Federal Access</w:t>
            </w:r>
          </w:p>
        </w:tc>
        <w:tc>
          <w:tcPr>
            <w:tcW w:w="2047" w:type="dxa"/>
            <w:shd w:val="clear" w:color="auto" w:fill="auto"/>
            <w:vAlign w:val="center"/>
          </w:tcPr>
          <w:p w:rsidR="00515087" w:rsidRPr="002B4213" w:rsidP="00781E36" w14:paraId="14846F6D" w14:textId="5DF82A0A">
            <w:pPr>
              <w:jc w:val="center"/>
              <w:rPr>
                <w:color w:val="000000"/>
                <w:sz w:val="24"/>
                <w:szCs w:val="24"/>
              </w:rPr>
            </w:pPr>
            <w:r>
              <w:rPr>
                <w:color w:val="000000"/>
                <w:sz w:val="24"/>
                <w:szCs w:val="24"/>
              </w:rPr>
              <w:t>0</w:t>
            </w:r>
          </w:p>
        </w:tc>
        <w:tc>
          <w:tcPr>
            <w:tcW w:w="1891" w:type="dxa"/>
            <w:shd w:val="clear" w:color="auto" w:fill="auto"/>
            <w:vAlign w:val="center"/>
          </w:tcPr>
          <w:p w:rsidR="00515087" w:rsidRPr="003B60D1" w:rsidP="00781E36" w14:paraId="37B36285" w14:textId="0E8066DF">
            <w:pPr>
              <w:jc w:val="center"/>
              <w:rPr>
                <w:bCs/>
                <w:color w:val="000000"/>
                <w:sz w:val="24"/>
                <w:szCs w:val="24"/>
              </w:rPr>
            </w:pPr>
            <w:r>
              <w:rPr>
                <w:bCs/>
                <w:color w:val="000000"/>
                <w:sz w:val="24"/>
                <w:szCs w:val="24"/>
              </w:rPr>
              <w:t>0</w:t>
            </w:r>
          </w:p>
        </w:tc>
        <w:tc>
          <w:tcPr>
            <w:tcW w:w="1866" w:type="dxa"/>
            <w:shd w:val="clear" w:color="auto" w:fill="auto"/>
            <w:vAlign w:val="center"/>
          </w:tcPr>
          <w:p w:rsidR="00515087" w:rsidRPr="003B60D1" w:rsidP="00781E36" w14:paraId="77D74B73" w14:textId="42CCC8B1">
            <w:pPr>
              <w:jc w:val="center"/>
              <w:rPr>
                <w:color w:val="000000"/>
                <w:sz w:val="24"/>
                <w:szCs w:val="24"/>
              </w:rPr>
            </w:pPr>
            <w:r w:rsidRPr="003B60D1">
              <w:rPr>
                <w:color w:val="000000"/>
                <w:sz w:val="24"/>
                <w:szCs w:val="24"/>
              </w:rPr>
              <w:t>0</w:t>
            </w:r>
          </w:p>
        </w:tc>
        <w:tc>
          <w:tcPr>
            <w:tcW w:w="1800" w:type="dxa"/>
            <w:vAlign w:val="center"/>
          </w:tcPr>
          <w:p w:rsidR="00515087" w:rsidRPr="003B60D1" w:rsidP="00781E36" w14:paraId="19B47E45" w14:textId="738851B0">
            <w:pPr>
              <w:jc w:val="center"/>
              <w:rPr>
                <w:color w:val="000000"/>
                <w:sz w:val="24"/>
                <w:szCs w:val="24"/>
              </w:rPr>
            </w:pPr>
            <w:r>
              <w:rPr>
                <w:color w:val="000000"/>
                <w:sz w:val="24"/>
                <w:szCs w:val="24"/>
              </w:rPr>
              <w:t>0</w:t>
            </w:r>
          </w:p>
        </w:tc>
      </w:tr>
      <w:tr w14:paraId="574EA252" w14:textId="79FF7AE3" w:rsidTr="00781E36">
        <w:tblPrEx>
          <w:tblW w:w="10885" w:type="dxa"/>
          <w:jc w:val="center"/>
          <w:tblLayout w:type="fixed"/>
          <w:tblLook w:val="01E0"/>
        </w:tblPrEx>
        <w:trPr>
          <w:jc w:val="center"/>
        </w:trPr>
        <w:tc>
          <w:tcPr>
            <w:tcW w:w="3281" w:type="dxa"/>
            <w:shd w:val="clear" w:color="auto" w:fill="auto"/>
          </w:tcPr>
          <w:p w:rsidR="00D2409B" w:rsidRPr="003B60D1" w:rsidP="00802BD0" w14:paraId="1956CA4D" w14:textId="4C3565B3">
            <w:pPr>
              <w:rPr>
                <w:color w:val="000000"/>
                <w:sz w:val="24"/>
                <w:szCs w:val="24"/>
              </w:rPr>
            </w:pPr>
            <w:r w:rsidRPr="003B60D1">
              <w:rPr>
                <w:color w:val="000000"/>
                <w:sz w:val="24"/>
                <w:szCs w:val="24"/>
              </w:rPr>
              <w:t>1</w:t>
            </w:r>
            <w:r w:rsidR="004B18A1">
              <w:rPr>
                <w:color w:val="000000"/>
                <w:sz w:val="24"/>
                <w:szCs w:val="24"/>
              </w:rPr>
              <w:t>5</w:t>
            </w:r>
            <w:r w:rsidRPr="003B60D1">
              <w:rPr>
                <w:color w:val="000000"/>
                <w:sz w:val="24"/>
                <w:szCs w:val="24"/>
              </w:rPr>
              <w:t>. Reclassification</w:t>
            </w:r>
          </w:p>
        </w:tc>
        <w:tc>
          <w:tcPr>
            <w:tcW w:w="2047" w:type="dxa"/>
            <w:shd w:val="clear" w:color="auto" w:fill="auto"/>
            <w:vAlign w:val="center"/>
          </w:tcPr>
          <w:p w:rsidR="00D2409B" w:rsidRPr="002B4213" w:rsidP="00781E36" w14:paraId="319BB1BB" w14:textId="77777777">
            <w:pPr>
              <w:jc w:val="center"/>
              <w:rPr>
                <w:sz w:val="24"/>
                <w:szCs w:val="24"/>
              </w:rPr>
            </w:pPr>
            <w:r w:rsidRPr="002B4213">
              <w:rPr>
                <w:sz w:val="24"/>
                <w:szCs w:val="24"/>
              </w:rPr>
              <w:t>0</w:t>
            </w:r>
          </w:p>
        </w:tc>
        <w:tc>
          <w:tcPr>
            <w:tcW w:w="1891" w:type="dxa"/>
            <w:shd w:val="clear" w:color="auto" w:fill="auto"/>
            <w:vAlign w:val="center"/>
          </w:tcPr>
          <w:p w:rsidR="00D2409B" w:rsidRPr="003B60D1" w:rsidP="00781E36" w14:paraId="3CFE30E5" w14:textId="7B741E99">
            <w:pPr>
              <w:jc w:val="center"/>
              <w:rPr>
                <w:bCs/>
                <w:color w:val="000000"/>
                <w:sz w:val="24"/>
                <w:szCs w:val="24"/>
              </w:rPr>
            </w:pPr>
            <w:r>
              <w:rPr>
                <w:bCs/>
                <w:color w:val="000000"/>
                <w:sz w:val="24"/>
                <w:szCs w:val="24"/>
              </w:rPr>
              <w:t>134,191</w:t>
            </w:r>
          </w:p>
        </w:tc>
        <w:tc>
          <w:tcPr>
            <w:tcW w:w="1866" w:type="dxa"/>
            <w:shd w:val="clear" w:color="auto" w:fill="auto"/>
            <w:vAlign w:val="center"/>
          </w:tcPr>
          <w:p w:rsidR="00D2409B" w:rsidRPr="003B60D1" w:rsidP="00781E36" w14:paraId="7EA6927C" w14:textId="55A0C463">
            <w:pPr>
              <w:jc w:val="center"/>
              <w:rPr>
                <w:color w:val="000000"/>
                <w:sz w:val="24"/>
                <w:szCs w:val="24"/>
              </w:rPr>
            </w:pPr>
            <w:r>
              <w:rPr>
                <w:color w:val="000000"/>
                <w:sz w:val="24"/>
                <w:szCs w:val="24"/>
              </w:rPr>
              <w:t>0</w:t>
            </w:r>
          </w:p>
        </w:tc>
        <w:tc>
          <w:tcPr>
            <w:tcW w:w="1800" w:type="dxa"/>
            <w:vAlign w:val="center"/>
          </w:tcPr>
          <w:p w:rsidR="00D2409B" w:rsidP="00781E36" w14:paraId="591A4B5A" w14:textId="5AB403F0">
            <w:pPr>
              <w:jc w:val="center"/>
              <w:rPr>
                <w:color w:val="000000"/>
                <w:sz w:val="24"/>
                <w:szCs w:val="24"/>
              </w:rPr>
            </w:pPr>
            <w:r>
              <w:rPr>
                <w:bCs/>
                <w:color w:val="000000"/>
                <w:sz w:val="24"/>
                <w:szCs w:val="24"/>
              </w:rPr>
              <w:t>134,191</w:t>
            </w:r>
          </w:p>
        </w:tc>
      </w:tr>
      <w:tr w14:paraId="0D0FFC3D" w14:textId="28543653" w:rsidTr="00781E36">
        <w:tblPrEx>
          <w:tblW w:w="10885" w:type="dxa"/>
          <w:jc w:val="center"/>
          <w:tblLayout w:type="fixed"/>
          <w:tblLook w:val="01E0"/>
        </w:tblPrEx>
        <w:trPr>
          <w:trHeight w:val="382"/>
          <w:jc w:val="center"/>
        </w:trPr>
        <w:tc>
          <w:tcPr>
            <w:tcW w:w="3281" w:type="dxa"/>
            <w:vMerge w:val="restart"/>
            <w:shd w:val="clear" w:color="auto" w:fill="auto"/>
          </w:tcPr>
          <w:p w:rsidR="00D2409B" w:rsidRPr="003B60D1" w:rsidP="00D2409B" w14:paraId="7EB6069E" w14:textId="139ADB0A">
            <w:pPr>
              <w:rPr>
                <w:color w:val="000000"/>
                <w:sz w:val="24"/>
                <w:szCs w:val="24"/>
              </w:rPr>
            </w:pPr>
            <w:r w:rsidRPr="003B60D1">
              <w:rPr>
                <w:color w:val="000000"/>
                <w:sz w:val="24"/>
                <w:szCs w:val="24"/>
              </w:rPr>
              <w:t>1</w:t>
            </w:r>
            <w:r w:rsidR="004B18A1">
              <w:rPr>
                <w:color w:val="000000"/>
                <w:sz w:val="24"/>
                <w:szCs w:val="24"/>
              </w:rPr>
              <w:t>6</w:t>
            </w:r>
            <w:r w:rsidRPr="003B60D1">
              <w:rPr>
                <w:color w:val="000000"/>
                <w:sz w:val="24"/>
                <w:szCs w:val="24"/>
              </w:rPr>
              <w:t>.  Familiarization and implementation of the revisions to the hazard communication program.</w:t>
            </w:r>
          </w:p>
        </w:tc>
        <w:tc>
          <w:tcPr>
            <w:tcW w:w="2047" w:type="dxa"/>
            <w:shd w:val="clear" w:color="auto" w:fill="auto"/>
            <w:vAlign w:val="center"/>
          </w:tcPr>
          <w:p w:rsidR="00D2409B" w:rsidRPr="002B4213" w:rsidP="00781E36" w14:paraId="2828CBA5" w14:textId="77777777">
            <w:pPr>
              <w:jc w:val="center"/>
              <w:rPr>
                <w:color w:val="000000"/>
                <w:sz w:val="24"/>
                <w:szCs w:val="24"/>
              </w:rPr>
            </w:pPr>
            <w:r w:rsidRPr="002B4213">
              <w:rPr>
                <w:color w:val="000000"/>
                <w:sz w:val="24"/>
                <w:szCs w:val="24"/>
              </w:rPr>
              <w:t>0</w:t>
            </w:r>
          </w:p>
          <w:p w:rsidR="00D2409B" w:rsidRPr="002B4213" w:rsidP="00781E36" w14:paraId="40193050" w14:textId="77777777">
            <w:pPr>
              <w:jc w:val="center"/>
              <w:rPr>
                <w:b/>
                <w:color w:val="000000"/>
                <w:sz w:val="24"/>
                <w:szCs w:val="24"/>
              </w:rPr>
            </w:pPr>
          </w:p>
        </w:tc>
        <w:tc>
          <w:tcPr>
            <w:tcW w:w="1891" w:type="dxa"/>
            <w:shd w:val="clear" w:color="auto" w:fill="auto"/>
            <w:vAlign w:val="center"/>
          </w:tcPr>
          <w:p w:rsidR="00D2409B" w:rsidRPr="003B60D1" w:rsidP="00781E36" w14:paraId="215F4FD2" w14:textId="23FD4F9C">
            <w:pPr>
              <w:jc w:val="center"/>
              <w:rPr>
                <w:bCs/>
                <w:color w:val="000000"/>
                <w:sz w:val="24"/>
                <w:szCs w:val="24"/>
              </w:rPr>
            </w:pPr>
            <w:r>
              <w:rPr>
                <w:bCs/>
                <w:color w:val="000000"/>
                <w:sz w:val="24"/>
                <w:szCs w:val="24"/>
              </w:rPr>
              <w:t>86</w:t>
            </w:r>
            <w:r w:rsidR="00FB31FA">
              <w:rPr>
                <w:bCs/>
                <w:color w:val="000000"/>
                <w:sz w:val="24"/>
                <w:szCs w:val="24"/>
              </w:rPr>
              <w:t>,990</w:t>
            </w:r>
          </w:p>
        </w:tc>
        <w:tc>
          <w:tcPr>
            <w:tcW w:w="1866" w:type="dxa"/>
            <w:shd w:val="clear" w:color="auto" w:fill="auto"/>
            <w:vAlign w:val="center"/>
          </w:tcPr>
          <w:p w:rsidR="00D2409B" w:rsidRPr="003B60D1" w:rsidP="00781E36" w14:paraId="6085EE33" w14:textId="2B241A69">
            <w:pPr>
              <w:jc w:val="center"/>
              <w:rPr>
                <w:color w:val="000000"/>
                <w:sz w:val="24"/>
                <w:szCs w:val="24"/>
              </w:rPr>
            </w:pPr>
            <w:r>
              <w:rPr>
                <w:color w:val="000000"/>
                <w:sz w:val="24"/>
                <w:szCs w:val="24"/>
              </w:rPr>
              <w:t>0</w:t>
            </w:r>
          </w:p>
        </w:tc>
        <w:tc>
          <w:tcPr>
            <w:tcW w:w="1800" w:type="dxa"/>
            <w:vAlign w:val="center"/>
          </w:tcPr>
          <w:p w:rsidR="00D2409B" w:rsidP="00781E36" w14:paraId="41B4D496" w14:textId="47E3CDD1">
            <w:pPr>
              <w:jc w:val="center"/>
              <w:rPr>
                <w:bCs/>
                <w:color w:val="000000"/>
                <w:sz w:val="24"/>
                <w:szCs w:val="24"/>
              </w:rPr>
            </w:pPr>
            <w:r>
              <w:rPr>
                <w:bCs/>
                <w:color w:val="000000"/>
                <w:sz w:val="24"/>
                <w:szCs w:val="24"/>
              </w:rPr>
              <w:t>86,990</w:t>
            </w:r>
          </w:p>
        </w:tc>
      </w:tr>
      <w:tr w14:paraId="546BA934" w14:textId="3C190F0C" w:rsidTr="00781E36">
        <w:tblPrEx>
          <w:tblW w:w="10885" w:type="dxa"/>
          <w:jc w:val="center"/>
          <w:tblLayout w:type="fixed"/>
          <w:tblLook w:val="01E0"/>
        </w:tblPrEx>
        <w:trPr>
          <w:trHeight w:val="382"/>
          <w:jc w:val="center"/>
        </w:trPr>
        <w:tc>
          <w:tcPr>
            <w:tcW w:w="3281" w:type="dxa"/>
            <w:vMerge/>
            <w:shd w:val="clear" w:color="auto" w:fill="auto"/>
          </w:tcPr>
          <w:p w:rsidR="00D2409B" w:rsidRPr="003B60D1" w:rsidP="00D2409B" w14:paraId="394C5E3E" w14:textId="77777777">
            <w:pPr>
              <w:rPr>
                <w:color w:val="000000"/>
                <w:sz w:val="24"/>
                <w:szCs w:val="24"/>
              </w:rPr>
            </w:pPr>
          </w:p>
        </w:tc>
        <w:tc>
          <w:tcPr>
            <w:tcW w:w="2047" w:type="dxa"/>
            <w:shd w:val="clear" w:color="auto" w:fill="auto"/>
            <w:vAlign w:val="center"/>
          </w:tcPr>
          <w:p w:rsidR="00D2409B" w:rsidRPr="002B4213" w:rsidP="00781E36" w14:paraId="41C83F33" w14:textId="77777777">
            <w:pPr>
              <w:jc w:val="center"/>
              <w:rPr>
                <w:color w:val="000000"/>
                <w:sz w:val="24"/>
                <w:szCs w:val="24"/>
              </w:rPr>
            </w:pPr>
            <w:r w:rsidRPr="002B4213">
              <w:rPr>
                <w:color w:val="000000"/>
                <w:sz w:val="24"/>
                <w:szCs w:val="24"/>
              </w:rPr>
              <w:t>0</w:t>
            </w:r>
          </w:p>
        </w:tc>
        <w:tc>
          <w:tcPr>
            <w:tcW w:w="1891" w:type="dxa"/>
            <w:shd w:val="clear" w:color="auto" w:fill="auto"/>
            <w:vAlign w:val="center"/>
          </w:tcPr>
          <w:p w:rsidR="00D2409B" w:rsidRPr="003B60D1" w:rsidP="00781E36" w14:paraId="3A2D56BA" w14:textId="095BA2F8">
            <w:pPr>
              <w:jc w:val="center"/>
              <w:rPr>
                <w:bCs/>
                <w:color w:val="000000"/>
                <w:sz w:val="24"/>
                <w:szCs w:val="24"/>
              </w:rPr>
            </w:pPr>
            <w:r>
              <w:rPr>
                <w:bCs/>
                <w:color w:val="000000"/>
                <w:sz w:val="24"/>
                <w:szCs w:val="24"/>
              </w:rPr>
              <w:t>44,276</w:t>
            </w:r>
          </w:p>
        </w:tc>
        <w:tc>
          <w:tcPr>
            <w:tcW w:w="1866" w:type="dxa"/>
            <w:shd w:val="clear" w:color="auto" w:fill="auto"/>
            <w:vAlign w:val="center"/>
          </w:tcPr>
          <w:p w:rsidR="00D2409B" w:rsidRPr="003B60D1" w:rsidP="00781E36" w14:paraId="7864F72E" w14:textId="3094D54B">
            <w:pPr>
              <w:jc w:val="center"/>
              <w:rPr>
                <w:color w:val="000000"/>
                <w:sz w:val="24"/>
                <w:szCs w:val="24"/>
              </w:rPr>
            </w:pPr>
            <w:r>
              <w:rPr>
                <w:color w:val="000000"/>
                <w:sz w:val="24"/>
                <w:szCs w:val="24"/>
              </w:rPr>
              <w:t>0</w:t>
            </w:r>
          </w:p>
        </w:tc>
        <w:tc>
          <w:tcPr>
            <w:tcW w:w="1800" w:type="dxa"/>
            <w:vAlign w:val="center"/>
          </w:tcPr>
          <w:p w:rsidR="00D2409B" w:rsidP="00781E36" w14:paraId="28630292" w14:textId="1B87C7FB">
            <w:pPr>
              <w:jc w:val="center"/>
              <w:rPr>
                <w:bCs/>
                <w:color w:val="000000"/>
                <w:sz w:val="24"/>
                <w:szCs w:val="24"/>
              </w:rPr>
            </w:pPr>
            <w:r>
              <w:rPr>
                <w:bCs/>
                <w:color w:val="000000"/>
                <w:sz w:val="24"/>
                <w:szCs w:val="24"/>
              </w:rPr>
              <w:t>44,276</w:t>
            </w:r>
          </w:p>
        </w:tc>
      </w:tr>
      <w:tr w14:paraId="41A41868" w14:textId="50CEF46F" w:rsidTr="00781E36">
        <w:tblPrEx>
          <w:tblW w:w="10885" w:type="dxa"/>
          <w:jc w:val="center"/>
          <w:tblLayout w:type="fixed"/>
          <w:tblLook w:val="01E0"/>
        </w:tblPrEx>
        <w:trPr>
          <w:trHeight w:val="386"/>
          <w:jc w:val="center"/>
        </w:trPr>
        <w:tc>
          <w:tcPr>
            <w:tcW w:w="3281" w:type="dxa"/>
            <w:shd w:val="clear" w:color="auto" w:fill="F2F2F2"/>
            <w:vAlign w:val="bottom"/>
          </w:tcPr>
          <w:p w:rsidR="00515087" w:rsidRPr="003B60D1" w:rsidP="003B60D1" w14:paraId="414715B8" w14:textId="77777777">
            <w:pPr>
              <w:rPr>
                <w:b/>
                <w:color w:val="000000"/>
                <w:sz w:val="24"/>
                <w:szCs w:val="24"/>
              </w:rPr>
            </w:pPr>
            <w:r w:rsidRPr="003B60D1">
              <w:rPr>
                <w:b/>
                <w:color w:val="000000"/>
                <w:sz w:val="24"/>
                <w:szCs w:val="24"/>
              </w:rPr>
              <w:t>TOTAL</w:t>
            </w:r>
          </w:p>
        </w:tc>
        <w:tc>
          <w:tcPr>
            <w:tcW w:w="2047" w:type="dxa"/>
            <w:shd w:val="clear" w:color="auto" w:fill="F2F2F2"/>
            <w:vAlign w:val="center"/>
          </w:tcPr>
          <w:p w:rsidR="00515087" w:rsidRPr="002B4213" w:rsidP="00781E36" w14:paraId="5F1907E9" w14:textId="3FD54266">
            <w:pPr>
              <w:jc w:val="center"/>
              <w:rPr>
                <w:b/>
                <w:color w:val="000000"/>
                <w:sz w:val="24"/>
                <w:szCs w:val="24"/>
              </w:rPr>
            </w:pPr>
            <w:r w:rsidRPr="002B4213">
              <w:rPr>
                <w:b/>
                <w:color w:val="000000"/>
                <w:sz w:val="24"/>
                <w:szCs w:val="24"/>
              </w:rPr>
              <w:t>6,557,766</w:t>
            </w:r>
          </w:p>
        </w:tc>
        <w:tc>
          <w:tcPr>
            <w:tcW w:w="1891" w:type="dxa"/>
            <w:shd w:val="clear" w:color="auto" w:fill="F2F2F2"/>
            <w:vAlign w:val="center"/>
          </w:tcPr>
          <w:p w:rsidR="00515087" w:rsidRPr="003B60D1" w:rsidP="00781E36" w14:paraId="5E516E34" w14:textId="430FB164">
            <w:pPr>
              <w:jc w:val="center"/>
              <w:rPr>
                <w:b/>
                <w:color w:val="000000"/>
                <w:sz w:val="24"/>
                <w:szCs w:val="24"/>
              </w:rPr>
            </w:pPr>
            <w:r>
              <w:rPr>
                <w:b/>
                <w:color w:val="000000"/>
                <w:sz w:val="24"/>
                <w:szCs w:val="24"/>
              </w:rPr>
              <w:t>7,</w:t>
            </w:r>
            <w:r w:rsidR="0010796C">
              <w:rPr>
                <w:b/>
                <w:color w:val="000000"/>
                <w:sz w:val="24"/>
                <w:szCs w:val="24"/>
              </w:rPr>
              <w:t>58</w:t>
            </w:r>
            <w:r w:rsidR="004B0D86">
              <w:rPr>
                <w:b/>
                <w:color w:val="000000"/>
                <w:sz w:val="24"/>
                <w:szCs w:val="24"/>
              </w:rPr>
              <w:t>9,638</w:t>
            </w:r>
          </w:p>
        </w:tc>
        <w:tc>
          <w:tcPr>
            <w:tcW w:w="1866" w:type="dxa"/>
            <w:shd w:val="clear" w:color="auto" w:fill="F2F2F2"/>
            <w:vAlign w:val="center"/>
          </w:tcPr>
          <w:p w:rsidR="00515087" w:rsidRPr="003B60D1" w:rsidP="00781E36" w14:paraId="74FDA4B1" w14:textId="6C06A6DE">
            <w:pPr>
              <w:widowControl/>
              <w:overflowPunct/>
              <w:autoSpaceDE/>
              <w:autoSpaceDN/>
              <w:adjustRightInd/>
              <w:jc w:val="center"/>
              <w:rPr>
                <w:b/>
                <w:color w:val="000000"/>
                <w:sz w:val="24"/>
                <w:szCs w:val="24"/>
              </w:rPr>
            </w:pPr>
            <w:r>
              <w:rPr>
                <w:b/>
                <w:color w:val="000000"/>
                <w:sz w:val="24"/>
                <w:szCs w:val="24"/>
              </w:rPr>
              <w:t>77</w:t>
            </w:r>
            <w:r w:rsidR="00813E80">
              <w:rPr>
                <w:b/>
                <w:color w:val="000000"/>
                <w:sz w:val="24"/>
                <w:szCs w:val="24"/>
              </w:rPr>
              <w:t>8,130</w:t>
            </w:r>
          </w:p>
        </w:tc>
        <w:tc>
          <w:tcPr>
            <w:tcW w:w="1800" w:type="dxa"/>
            <w:shd w:val="clear" w:color="auto" w:fill="F2F2F2"/>
            <w:vAlign w:val="center"/>
          </w:tcPr>
          <w:p w:rsidR="00515087" w:rsidP="00781E36" w14:paraId="2E8434C5" w14:textId="511082FF">
            <w:pPr>
              <w:widowControl/>
              <w:overflowPunct/>
              <w:autoSpaceDE/>
              <w:autoSpaceDN/>
              <w:adjustRightInd/>
              <w:jc w:val="center"/>
              <w:rPr>
                <w:b/>
                <w:color w:val="000000"/>
                <w:sz w:val="24"/>
                <w:szCs w:val="24"/>
              </w:rPr>
            </w:pPr>
            <w:r>
              <w:rPr>
                <w:b/>
                <w:color w:val="000000"/>
                <w:sz w:val="24"/>
                <w:szCs w:val="24"/>
              </w:rPr>
              <w:t>25</w:t>
            </w:r>
            <w:r w:rsidR="00226913">
              <w:rPr>
                <w:b/>
                <w:color w:val="000000"/>
                <w:sz w:val="24"/>
                <w:szCs w:val="24"/>
              </w:rPr>
              <w:t>3,742</w:t>
            </w:r>
          </w:p>
        </w:tc>
      </w:tr>
    </w:tbl>
    <w:p w:rsidR="006E31D2" w:rsidP="00401AC9" w14:paraId="4F491C3B" w14:textId="77777777">
      <w:pPr>
        <w:rPr>
          <w:sz w:val="24"/>
          <w:szCs w:val="24"/>
        </w:rPr>
      </w:pPr>
    </w:p>
    <w:p w:rsidR="00522B65" w:rsidRPr="00FF1F12" w:rsidP="00463004" w14:paraId="42CCE417" w14:textId="77777777">
      <w:pPr>
        <w:shd w:val="solid" w:color="FFFFFF" w:fill="FFFFFF"/>
        <w:tabs>
          <w:tab w:val="left" w:pos="0"/>
          <w:tab w:val="left" w:pos="720"/>
          <w:tab w:val="left" w:pos="1440"/>
          <w:tab w:val="left" w:pos="2160"/>
          <w:tab w:val="left" w:pos="2880"/>
          <w:tab w:val="left" w:pos="3600"/>
          <w:tab w:val="left" w:pos="4320"/>
        </w:tabs>
        <w:rPr>
          <w:sz w:val="24"/>
          <w:szCs w:val="24"/>
        </w:rPr>
      </w:pPr>
    </w:p>
    <w:p w:rsidR="00D80711" w:rsidRPr="00AB0B90" w:rsidP="00D80711" w14:paraId="49572C55" w14:textId="77777777">
      <w:pPr>
        <w:shd w:val="solid" w:color="FFFFFF" w:fill="FFFFFF"/>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sz w:val="24"/>
          <w:szCs w:val="24"/>
        </w:rPr>
      </w:pPr>
      <w:r w:rsidRPr="00AB0B90">
        <w:rPr>
          <w:b/>
          <w:bCs/>
          <w:color w:val="000000"/>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0711" w:rsidRPr="00CB5054" w:rsidP="00D80711" w14:paraId="304C9AE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CB5054" w:rsidP="00D80711" w14:paraId="05DEC06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information required to be collected by the Hazard Communication Standard will not have results that will be published for statistical use.</w:t>
      </w:r>
    </w:p>
    <w:p w:rsidR="00D80711" w:rsidRPr="00CB5054" w:rsidP="00D80711" w14:paraId="4D88AD6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6A258B" w14:paraId="0F71FF4C" w14:textId="77777777">
      <w:pPr>
        <w:tabs>
          <w:tab w:val="left" w:pos="450"/>
        </w:tabs>
        <w:rPr>
          <w:b/>
          <w:bCs/>
          <w:color w:val="000000"/>
          <w:sz w:val="24"/>
          <w:szCs w:val="24"/>
        </w:rPr>
      </w:pPr>
      <w:r w:rsidRPr="00AB0B90">
        <w:rPr>
          <w:b/>
          <w:bCs/>
          <w:color w:val="000000"/>
          <w:sz w:val="24"/>
          <w:szCs w:val="24"/>
        </w:rPr>
        <w:t xml:space="preserve">17.  </w:t>
      </w:r>
      <w:r w:rsidRPr="00AB0B90">
        <w:rPr>
          <w:b/>
          <w:bCs/>
          <w:color w:val="000000"/>
          <w:sz w:val="24"/>
          <w:szCs w:val="24"/>
        </w:rPr>
        <w:t>If</w:t>
      </w:r>
      <w:r w:rsidRPr="00AB0B90">
        <w:rPr>
          <w:b/>
          <w:bCs/>
          <w:color w:val="000000"/>
          <w:sz w:val="24"/>
          <w:szCs w:val="24"/>
        </w:rPr>
        <w:t xml:space="preserve"> </w:t>
      </w:r>
      <w:r w:rsidRPr="00AB0B90">
        <w:rPr>
          <w:b/>
          <w:bCs/>
          <w:color w:val="000000"/>
          <w:sz w:val="24"/>
          <w:szCs w:val="24"/>
        </w:rPr>
        <w:t>seeking approval to not display the expiration date for OMB approval of t</w:t>
      </w:r>
      <w:r w:rsidRPr="00AB0B90">
        <w:rPr>
          <w:b/>
          <w:bCs/>
          <w:color w:val="000000"/>
          <w:sz w:val="24"/>
          <w:szCs w:val="24"/>
        </w:rPr>
        <w:t xml:space="preserve">he information </w:t>
      </w:r>
      <w:r w:rsidRPr="00AB0B90">
        <w:rPr>
          <w:b/>
          <w:bCs/>
          <w:color w:val="000000"/>
          <w:sz w:val="24"/>
          <w:szCs w:val="24"/>
        </w:rPr>
        <w:t>collection, explain the reasons that display would be inappropriate.</w:t>
      </w:r>
    </w:p>
    <w:p w:rsidR="00D80711" w:rsidRPr="00CB5054" w:rsidP="00D80711" w14:paraId="235BD22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CB5054" w:rsidP="00D80711" w14:paraId="14996627" w14:textId="77777777">
      <w:pPr>
        <w:rPr>
          <w:color w:val="000000"/>
          <w:sz w:val="24"/>
          <w:szCs w:val="24"/>
        </w:rPr>
      </w:pPr>
      <w:r w:rsidRPr="00CB5054">
        <w:rPr>
          <w:color w:val="000000"/>
          <w:sz w:val="24"/>
          <w:szCs w:val="24"/>
        </w:rPr>
        <w:t>There are no forms associated with this collection of inf</w:t>
      </w:r>
      <w:r w:rsidRPr="00CB5054" w:rsidR="00564917">
        <w:rPr>
          <w:color w:val="000000"/>
          <w:sz w:val="24"/>
          <w:szCs w:val="24"/>
        </w:rPr>
        <w:t xml:space="preserve">ormation on which to display </w:t>
      </w:r>
      <w:r w:rsidRPr="00CB5054" w:rsidR="00F14192">
        <w:rPr>
          <w:color w:val="000000"/>
          <w:sz w:val="24"/>
          <w:szCs w:val="24"/>
        </w:rPr>
        <w:t>expiration</w:t>
      </w:r>
      <w:r w:rsidRPr="00CB5054">
        <w:rPr>
          <w:color w:val="000000"/>
          <w:sz w:val="24"/>
          <w:szCs w:val="24"/>
        </w:rPr>
        <w:t xml:space="preserve"> date.</w:t>
      </w:r>
    </w:p>
    <w:p w:rsidR="00D80711" w:rsidRPr="00CB5054" w:rsidP="00D80711" w14:paraId="5BF0AD0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AB0B90" w:rsidP="00D80711" w14:paraId="3B2B9F1E"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AB0B90">
        <w:rPr>
          <w:b/>
          <w:bCs/>
          <w:color w:val="000000"/>
          <w:sz w:val="24"/>
          <w:szCs w:val="24"/>
        </w:rPr>
        <w:t>18.  Explain each exception to the certification statement.</w:t>
      </w:r>
      <w:r w:rsidRPr="00AB0B90">
        <w:rPr>
          <w:b/>
          <w:bCs/>
          <w:color w:val="000000"/>
          <w:sz w:val="24"/>
          <w:szCs w:val="24"/>
          <w:lang w:val="en-JM"/>
        </w:rPr>
        <w:t> </w:t>
      </w:r>
    </w:p>
    <w:p w:rsidR="00D80711" w:rsidRPr="00FF1F12" w:rsidP="00D80711" w14:paraId="1384221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80711" w:rsidRPr="00CB5054" w:rsidP="00D80711" w14:paraId="4F1D4857" w14:textId="77777777">
      <w:pPr>
        <w:rPr>
          <w:color w:val="000000"/>
          <w:sz w:val="24"/>
          <w:szCs w:val="24"/>
          <w:lang w:val="en-JM"/>
        </w:rPr>
      </w:pPr>
      <w:r w:rsidRPr="00CB5054">
        <w:rPr>
          <w:color w:val="000000"/>
          <w:sz w:val="24"/>
          <w:szCs w:val="24"/>
          <w:lang w:val="en-JM"/>
        </w:rPr>
        <w:t>OSHA is not requesting an exception to the certification statement.</w:t>
      </w:r>
    </w:p>
    <w:p w:rsidR="00223B17" w:rsidRPr="00CB5054" w:rsidP="00D80711" w14:paraId="316D05FA" w14:textId="77777777">
      <w:pPr>
        <w:rPr>
          <w:color w:val="000000"/>
          <w:sz w:val="24"/>
          <w:szCs w:val="24"/>
          <w:lang w:val="en-JM"/>
        </w:rPr>
      </w:pPr>
    </w:p>
    <w:p w:rsidR="00223B17" w:rsidRPr="00CB5054" w:rsidP="00223B17" w14:paraId="3E8B0F87" w14:textId="77777777">
      <w:pPr>
        <w:outlineLvl w:val="0"/>
        <w:rPr>
          <w:b/>
          <w:color w:val="000000"/>
          <w:sz w:val="24"/>
          <w:szCs w:val="24"/>
        </w:rPr>
      </w:pPr>
      <w:r w:rsidRPr="00CB5054">
        <w:rPr>
          <w:b/>
          <w:color w:val="000000"/>
          <w:sz w:val="24"/>
          <w:szCs w:val="24"/>
        </w:rPr>
        <w:t>B. COLLECTION OF INFORMATION EMPLOYING STATISTICAL METHODS</w:t>
      </w:r>
    </w:p>
    <w:p w:rsidR="00223B17" w:rsidRPr="00CB5054" w:rsidP="00223B17" w14:paraId="77DF815C" w14:textId="77777777">
      <w:pPr>
        <w:rPr>
          <w:b/>
          <w:color w:val="000000"/>
          <w:sz w:val="24"/>
          <w:szCs w:val="24"/>
        </w:rPr>
      </w:pPr>
    </w:p>
    <w:p w:rsidR="00223B17" w:rsidRPr="00CB5054" w:rsidP="00223B17" w14:paraId="5472A606" w14:textId="77777777">
      <w:pPr>
        <w:rPr>
          <w:color w:val="000000"/>
        </w:rPr>
      </w:pPr>
      <w:r w:rsidRPr="00CB5054">
        <w:rPr>
          <w:color w:val="000000"/>
          <w:sz w:val="24"/>
          <w:szCs w:val="24"/>
        </w:rPr>
        <w:t>The</w:t>
      </w:r>
      <w:r w:rsidRPr="00CB5054" w:rsidR="006D0C19">
        <w:rPr>
          <w:color w:val="000000"/>
          <w:sz w:val="24"/>
          <w:szCs w:val="24"/>
        </w:rPr>
        <w:t>se collection of information requirements</w:t>
      </w:r>
      <w:r w:rsidRPr="00CB5054">
        <w:rPr>
          <w:color w:val="000000"/>
          <w:sz w:val="24"/>
          <w:szCs w:val="24"/>
        </w:rPr>
        <w:t xml:space="preserve"> employ</w:t>
      </w:r>
      <w:r w:rsidRPr="00CB5054" w:rsidR="006D0C19">
        <w:rPr>
          <w:color w:val="000000"/>
          <w:sz w:val="24"/>
          <w:szCs w:val="24"/>
        </w:rPr>
        <w:t xml:space="preserve"> no</w:t>
      </w:r>
      <w:r w:rsidRPr="00CB5054">
        <w:rPr>
          <w:color w:val="000000"/>
          <w:sz w:val="24"/>
          <w:szCs w:val="24"/>
        </w:rPr>
        <w:t xml:space="preserve"> statistical methods</w:t>
      </w:r>
      <w:r w:rsidRPr="00CB5054">
        <w:rPr>
          <w:color w:val="000000"/>
        </w:rPr>
        <w:t>.</w:t>
      </w:r>
    </w:p>
    <w:sectPr w:rsidSect="00EE1E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5AC" w:rsidP="00957BC2" w14:paraId="4ECA10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45AC" w14:paraId="38EF3A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5AC" w:rsidP="00957BC2" w14:paraId="42B69829" w14:textId="7A8C1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26E">
      <w:rPr>
        <w:rStyle w:val="PageNumber"/>
        <w:noProof/>
      </w:rPr>
      <w:t>17</w:t>
    </w:r>
    <w:r>
      <w:rPr>
        <w:rStyle w:val="PageNumber"/>
      </w:rPr>
      <w:fldChar w:fldCharType="end"/>
    </w:r>
  </w:p>
  <w:p w:rsidR="00A845AC" w14:paraId="71F838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166F" w14:paraId="4AC4C563" w14:textId="77777777">
      <w:r>
        <w:separator/>
      </w:r>
    </w:p>
  </w:footnote>
  <w:footnote w:type="continuationSeparator" w:id="1">
    <w:p w:rsidR="00E2166F" w14:paraId="04777845" w14:textId="77777777">
      <w:r>
        <w:continuationSeparator/>
      </w:r>
    </w:p>
  </w:footnote>
  <w:footnote w:id="2">
    <w:p w:rsidR="00A845AC" w:rsidRPr="00933BFC" w:rsidP="0012496E" w14:paraId="231AD0ED" w14:textId="17CB91E4">
      <w:pPr>
        <w:ind w:left="180" w:hanging="180"/>
        <w:rPr>
          <w:kern w:val="0"/>
        </w:rPr>
      </w:pPr>
      <w:r>
        <w:rPr>
          <w:kern w:val="0"/>
        </w:rPr>
        <w:t xml:space="preserve">       </w:t>
      </w:r>
      <w:r w:rsidRPr="00933BFC">
        <w:rPr>
          <w:kern w:val="0"/>
          <w:vertAlign w:val="superscript"/>
        </w:rPr>
        <w:footnoteRef/>
      </w:r>
      <w:r w:rsidRPr="00933BFC">
        <w:rPr>
          <w:kern w:val="0"/>
        </w:rPr>
        <w:t xml:space="preserve"> </w:t>
      </w:r>
      <w:r w:rsidRPr="000D0FB0">
        <w:rPr>
          <w:kern w:val="0"/>
        </w:rPr>
        <w:t>The purpose of this Supporting Statement is to analyze and describe the burden hours and costs associated with the proposed revisions to the existing Hazard Communication</w:t>
      </w:r>
      <w:r w:rsidR="00EA40C9">
        <w:rPr>
          <w:kern w:val="0"/>
        </w:rPr>
        <w:t xml:space="preserve"> Standard</w:t>
      </w:r>
      <w:r w:rsidRPr="000D0FB0">
        <w:rPr>
          <w:kern w:val="0"/>
        </w:rPr>
        <w:t xml:space="preserve"> information collection request</w:t>
      </w:r>
      <w:r>
        <w:rPr>
          <w:kern w:val="0"/>
        </w:rPr>
        <w:t xml:space="preserve">. </w:t>
      </w:r>
    </w:p>
  </w:footnote>
  <w:footnote w:id="3">
    <w:p w:rsidR="00A845AC" w:rsidRPr="005C093B" w:rsidP="005F2A2E" w14:paraId="544D70FC" w14:textId="0AF80A06">
      <w:pPr>
        <w:ind w:firstLine="180"/>
      </w:pPr>
      <w:r>
        <w:t xml:space="preserve">   </w:t>
      </w:r>
      <w:r>
        <w:rPr>
          <w:rStyle w:val="FootnoteReference"/>
        </w:rPr>
        <w:footnoteRef/>
      </w:r>
      <w:r>
        <w:t xml:space="preserve"> This supporting statement also covers sections </w:t>
      </w:r>
      <w:r w:rsidRPr="003A15DB">
        <w:rPr>
          <w:color w:val="000000"/>
        </w:rPr>
        <w:t xml:space="preserve">1915.1200, 1917.28, 1918.90, 1926.59, </w:t>
      </w:r>
      <w:r w:rsidRPr="005C093B">
        <w:rPr>
          <w:color w:val="000000"/>
        </w:rPr>
        <w:t>and</w:t>
      </w:r>
      <w:r w:rsidRPr="003A15DB">
        <w:rPr>
          <w:color w:val="000000"/>
        </w:rPr>
        <w:t xml:space="preserve"> 1928.21</w:t>
      </w:r>
      <w:r>
        <w:rPr>
          <w:color w:val="000000"/>
        </w:rPr>
        <w:t>.</w:t>
      </w:r>
    </w:p>
  </w:footnote>
  <w:footnote w:id="4">
    <w:p w:rsidR="00A845AC" w:rsidP="003A15DB" w14:paraId="23BFB488" w14:textId="4D187792">
      <w:pPr>
        <w:pStyle w:val="block1"/>
      </w:pPr>
      <w:r>
        <w:rPr>
          <w:rStyle w:val="FootnoteReference"/>
        </w:rPr>
        <w:footnoteRef/>
      </w:r>
      <w:r>
        <w:t xml:space="preserve"> </w:t>
      </w:r>
      <w:r w:rsidRPr="00287D85">
        <w:rPr>
          <w:color w:val="000000"/>
          <w:sz w:val="20"/>
          <w:szCs w:val="20"/>
        </w:rPr>
        <w:t xml:space="preserve">OSHA is not taking a burden for </w:t>
      </w:r>
      <w:r>
        <w:rPr>
          <w:color w:val="000000"/>
          <w:sz w:val="20"/>
          <w:szCs w:val="20"/>
        </w:rPr>
        <w:t xml:space="preserve">the </w:t>
      </w:r>
      <w:r w:rsidRPr="00287D85">
        <w:rPr>
          <w:color w:val="000000"/>
          <w:sz w:val="20"/>
          <w:szCs w:val="20"/>
        </w:rPr>
        <w:t>training requirements specified by paragraph (h) of the HCS because these requirements are no longer considered collection of information requirements.</w:t>
      </w:r>
    </w:p>
  </w:footnote>
  <w:footnote w:id="5">
    <w:p w:rsidR="00A845AC" w14:paraId="1E817F90" w14:textId="3493253A">
      <w:pPr>
        <w:pStyle w:val="FootnoteText"/>
      </w:pPr>
      <w:r>
        <w:rPr>
          <w:rStyle w:val="FootnoteReference"/>
        </w:rPr>
        <w:footnoteRef/>
      </w:r>
      <w:r>
        <w:t xml:space="preserve"> Hazardous chemical means </w:t>
      </w:r>
      <w:r w:rsidRPr="003A2837">
        <w:t>any chemical which is classified as a physical hazard or a health hazard, a simple asphyxiant, combustible dust, or hazard not otherwise classified</w:t>
      </w:r>
      <w:r>
        <w:t>.</w:t>
      </w:r>
    </w:p>
  </w:footnote>
  <w:footnote w:id="6">
    <w:p w:rsidR="00C066FE" w:rsidP="00505993" w14:paraId="5B1158D2" w14:textId="77777777">
      <w:pPr>
        <w:pStyle w:val="FootnoteText"/>
      </w:pPr>
      <w:r>
        <w:rPr>
          <w:rStyle w:val="FootnoteReference"/>
        </w:rPr>
        <w:footnoteRef/>
      </w:r>
      <w:r>
        <w:t xml:space="preserve"> This estimate includes those instances when chemical manufacturers, importers, </w:t>
      </w:r>
      <w:r>
        <w:t>distributors</w:t>
      </w:r>
      <w:r>
        <w:t xml:space="preserve"> or employers become aware of any significant information regarding the hazards of a chemical and they are required to revise labels for the chemical.</w:t>
      </w:r>
    </w:p>
  </w:footnote>
  <w:footnote w:id="7">
    <w:p w:rsidR="009F1F54" w:rsidRPr="00E04C60" w14:paraId="0241C6C2" w14:textId="7B581016">
      <w:pPr>
        <w:pStyle w:val="FootnoteText"/>
      </w:pPr>
      <w:r>
        <w:rPr>
          <w:rStyle w:val="FootnoteReference"/>
        </w:rPr>
        <w:footnoteRef/>
      </w:r>
      <w:r>
        <w:t xml:space="preserve"> </w:t>
      </w:r>
      <w:r w:rsidRPr="00FB43DB" w:rsidR="00981F5A">
        <w:t xml:space="preserve">The </w:t>
      </w:r>
      <w:r w:rsidRPr="00FB43DB" w:rsidR="00BB021E">
        <w:rPr>
          <w:sz w:val="19"/>
          <w:szCs w:val="19"/>
        </w:rPr>
        <w:t>number of shipped containers of hazardous chemicals</w:t>
      </w:r>
      <w:r w:rsidRPr="00FB43DB" w:rsidR="00E04C60">
        <w:rPr>
          <w:b/>
          <w:bCs/>
          <w:sz w:val="19"/>
          <w:szCs w:val="19"/>
        </w:rPr>
        <w:t xml:space="preserve"> </w:t>
      </w:r>
      <w:r w:rsidRPr="00FB43DB" w:rsidR="00E04C60">
        <w:rPr>
          <w:sz w:val="19"/>
          <w:szCs w:val="19"/>
        </w:rPr>
        <w:t>is b</w:t>
      </w:r>
      <w:r w:rsidRPr="00FB43DB" w:rsidR="00981F5A">
        <w:rPr>
          <w:sz w:val="19"/>
          <w:szCs w:val="19"/>
        </w:rPr>
        <w:t>ased on data supporting the FEA (see Document ID 0481, tab “ICR”, cell B27</w:t>
      </w:r>
      <w:r w:rsidR="00584E04">
        <w:rPr>
          <w:sz w:val="19"/>
          <w:szCs w:val="19"/>
        </w:rPr>
        <w:t>)</w:t>
      </w:r>
      <w:r w:rsidR="00FB43DB">
        <w:rPr>
          <w:sz w:val="19"/>
          <w:szCs w:val="19"/>
        </w:rPr>
        <w:t>.</w:t>
      </w:r>
    </w:p>
  </w:footnote>
  <w:footnote w:id="8">
    <w:p w:rsidR="007B296C" w:rsidP="007B296C" w14:paraId="626E68FE" w14:textId="77777777">
      <w:pPr>
        <w:pStyle w:val="FootnoteText"/>
      </w:pPr>
      <w:r>
        <w:rPr>
          <w:rStyle w:val="FootnoteReference"/>
        </w:rPr>
        <w:footnoteRef/>
      </w:r>
      <w:r>
        <w:t xml:space="preserve"> For purposes of this ICR, the number of establishments and workers include manufacturers and non-manufacturers that are not affected by the rule.</w:t>
      </w:r>
    </w:p>
  </w:footnote>
  <w:footnote w:id="9">
    <w:p w:rsidR="00357CC3" w:rsidRPr="00E625B9" w14:paraId="2347F5DE" w14:textId="37D565EF">
      <w:pPr>
        <w:pStyle w:val="FootnoteText"/>
      </w:pPr>
      <w:r w:rsidRPr="00E625B9">
        <w:rPr>
          <w:rStyle w:val="FootnoteReference"/>
        </w:rPr>
        <w:footnoteRef/>
      </w:r>
      <w:r w:rsidRPr="00E625B9">
        <w:t xml:space="preserve"> </w:t>
      </w:r>
      <w:r w:rsidRPr="00E625B9" w:rsidR="0002597B">
        <w:rPr>
          <w:color w:val="000000"/>
        </w:rPr>
        <w:t>Figures in these columns for two-digit and three-digit NAICS codes represent totals for the entire industry at the specified level and may exceed the total sum of the data for the affected six-digit NAICS industries that fall within the aggregated levels. This occurs because two-digit and three-digit NAICS codes may encompass some six-digit NAICS industries not covered by OSHA. (For example, NAICS 21 encompasses Mining, which is not covered by OSHA regulations.)</w:t>
      </w:r>
    </w:p>
  </w:footnote>
  <w:footnote w:id="10">
    <w:p w:rsidR="007B296C" w:rsidP="007B296C" w14:paraId="40BEBA5B" w14:textId="77777777">
      <w:pPr>
        <w:pStyle w:val="FootnoteText"/>
      </w:pPr>
      <w:r>
        <w:rPr>
          <w:rStyle w:val="FootnoteReference"/>
        </w:rPr>
        <w:footnoteRef/>
      </w:r>
      <w:r>
        <w:t xml:space="preserve"> The agency uses 40% in burden hour and cost equations to reflect that 60% of the establishments are already in compliance with state law.  </w:t>
      </w:r>
    </w:p>
  </w:footnote>
  <w:footnote w:id="11">
    <w:p w:rsidR="00A845AC" w14:paraId="30BE8ECB" w14:textId="2571D000">
      <w:pPr>
        <w:pStyle w:val="FootnoteText"/>
      </w:pPr>
      <w:r>
        <w:rPr>
          <w:rStyle w:val="FootnoteReference"/>
        </w:rPr>
        <w:footnoteRef/>
      </w:r>
      <w:r>
        <w:t xml:space="preserve">  Existing manufacturing establishments receive a total of </w:t>
      </w:r>
      <w:r w:rsidR="00EE1BC5">
        <w:t>50,399</w:t>
      </w:r>
      <w:r>
        <w:t xml:space="preserve"> SDSs (</w:t>
      </w:r>
      <w:r w:rsidR="001C3675">
        <w:t>28,636</w:t>
      </w:r>
      <w:r w:rsidRPr="00CB5054">
        <w:t xml:space="preserve"> </w:t>
      </w:r>
      <w:r>
        <w:t xml:space="preserve">establishments x 1.76 new/revised SDSs). </w:t>
      </w:r>
    </w:p>
  </w:footnote>
  <w:footnote w:id="12">
    <w:p w:rsidR="00A845AC" w14:paraId="1978DCB6" w14:textId="4B875BAE">
      <w:pPr>
        <w:pStyle w:val="FootnoteText"/>
      </w:pPr>
      <w:r>
        <w:rPr>
          <w:rStyle w:val="FootnoteReference"/>
        </w:rPr>
        <w:footnoteRef/>
      </w:r>
      <w:r>
        <w:t xml:space="preserve"> Existing non-manufacturing establishments receive a total of </w:t>
      </w:r>
      <w:r w:rsidR="00B0482D">
        <w:t>2,306,</w:t>
      </w:r>
      <w:r w:rsidR="00BD359A">
        <w:t xml:space="preserve">297 </w:t>
      </w:r>
      <w:r>
        <w:t>SDSs (</w:t>
      </w:r>
      <w:r w:rsidR="00B0482D">
        <w:t>1,921,914</w:t>
      </w:r>
      <w:r w:rsidRPr="00CB5054">
        <w:t xml:space="preserve"> </w:t>
      </w:r>
      <w:r>
        <w:t>establishments x 1.2 new/revised SDSs).</w:t>
      </w:r>
    </w:p>
  </w:footnote>
  <w:footnote w:id="13">
    <w:p w:rsidR="00A845AC" w14:paraId="4CB7F939" w14:textId="5F21388A">
      <w:pPr>
        <w:pStyle w:val="FootnoteText"/>
      </w:pPr>
      <w:r>
        <w:rPr>
          <w:rStyle w:val="FootnoteReference"/>
        </w:rPr>
        <w:footnoteRef/>
      </w:r>
      <w:r>
        <w:t xml:space="preserve"> New manufacturing establishments receive a total of</w:t>
      </w:r>
      <w:r w:rsidRPr="002A453F">
        <w:t xml:space="preserve"> </w:t>
      </w:r>
      <w:r w:rsidR="004047A6">
        <w:t>52,785</w:t>
      </w:r>
      <w:r w:rsidRPr="00FE6D92">
        <w:t xml:space="preserve"> SDSs </w:t>
      </w:r>
      <w:r>
        <w:rPr>
          <w:sz w:val="23"/>
          <w:szCs w:val="23"/>
        </w:rPr>
        <w:t>(</w:t>
      </w:r>
      <w:r w:rsidR="00822332">
        <w:rPr>
          <w:bCs/>
        </w:rPr>
        <w:t>2,222</w:t>
      </w:r>
      <w:r w:rsidRPr="00AB0B90">
        <w:rPr>
          <w:bCs/>
        </w:rPr>
        <w:t xml:space="preserve"> new establishments x 23.76</w:t>
      </w:r>
      <w:r>
        <w:rPr>
          <w:bCs/>
        </w:rPr>
        <w:t xml:space="preserve"> SDSs = </w:t>
      </w:r>
      <w:r w:rsidR="004047A6">
        <w:rPr>
          <w:bCs/>
        </w:rPr>
        <w:t>52,785</w:t>
      </w:r>
      <w:r>
        <w:rPr>
          <w:bCs/>
        </w:rPr>
        <w:t>)</w:t>
      </w:r>
      <w:r>
        <w:t xml:space="preserve"> and new non-manufacturing establishments receive a total </w:t>
      </w:r>
      <w:r w:rsidRPr="00042AA9">
        <w:t xml:space="preserve">of </w:t>
      </w:r>
      <w:r w:rsidRPr="00B4645A">
        <w:t>4,</w:t>
      </w:r>
      <w:r w:rsidR="00445833">
        <w:t>529</w:t>
      </w:r>
      <w:r w:rsidR="005B6260">
        <w:t>,374</w:t>
      </w:r>
      <w:r w:rsidRPr="00B4645A">
        <w:t xml:space="preserve"> SDSs (</w:t>
      </w:r>
      <w:r w:rsidRPr="00042AA9" w:rsidR="00822332">
        <w:t>279</w:t>
      </w:r>
      <w:r w:rsidR="00822332">
        <w:t>,591</w:t>
      </w:r>
      <w:r w:rsidRPr="00AB0B90">
        <w:rPr>
          <w:bCs/>
        </w:rPr>
        <w:t xml:space="preserve"> new non-manufacturing establishments x 16.2 </w:t>
      </w:r>
      <w:r>
        <w:rPr>
          <w:bCs/>
        </w:rPr>
        <w:t>SDSs = 4,</w:t>
      </w:r>
      <w:r w:rsidR="005B6260">
        <w:t>529,374</w:t>
      </w:r>
      <w:r>
        <w:rPr>
          <w:bCs/>
        </w:rPr>
        <w:t>)</w:t>
      </w:r>
      <w:r>
        <w:t>.</w:t>
      </w:r>
    </w:p>
  </w:footnote>
  <w:footnote w:id="14">
    <w:p w:rsidR="00A845AC" w:rsidP="008D055F" w14:paraId="48E0E802" w14:textId="602A5010">
      <w:pPr>
        <w:pStyle w:val="FootnoteText"/>
      </w:pPr>
      <w:r>
        <w:rPr>
          <w:rStyle w:val="FootnoteReference"/>
        </w:rPr>
        <w:footnoteRef/>
      </w:r>
      <w:r>
        <w:t xml:space="preserve"> Existing manufacturing establishments receive a total of 14,</w:t>
      </w:r>
      <w:r w:rsidR="00A42F9C">
        <w:t xml:space="preserve">318 </w:t>
      </w:r>
      <w:r>
        <w:t>SDSs (</w:t>
      </w:r>
      <w:r w:rsidR="0013061F">
        <w:rPr>
          <w:bCs/>
        </w:rPr>
        <w:t>28,636</w:t>
      </w:r>
      <w:r>
        <w:t xml:space="preserve"> establishments x .5 SDSs) and new non-manufacturing establishments receive a total of </w:t>
      </w:r>
      <w:r w:rsidR="001A71BA">
        <w:t>960,957</w:t>
      </w:r>
      <w:r>
        <w:t xml:space="preserve"> SDSs (</w:t>
      </w:r>
      <w:r w:rsidR="004047A6">
        <w:t>1,921,914</w:t>
      </w:r>
      <w:r>
        <w:t xml:space="preserve"> establishments x .5 SDSs).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5AC" w:rsidRPr="00C47F2C" w:rsidP="00252B13" w14:paraId="0823E804" w14:textId="77777777">
    <w:pPr>
      <w:rPr>
        <w:b/>
        <w:bCs/>
        <w:color w:val="000000"/>
        <w:sz w:val="24"/>
        <w:szCs w:val="24"/>
      </w:rPr>
    </w:pPr>
    <w:r w:rsidRPr="00C47F2C">
      <w:rPr>
        <w:b/>
        <w:bCs/>
        <w:color w:val="000000"/>
        <w:sz w:val="24"/>
        <w:szCs w:val="24"/>
      </w:rPr>
      <w:t>HAZARD COMMUNICATION</w:t>
    </w:r>
    <w:r>
      <w:rPr>
        <w:b/>
        <w:bCs/>
        <w:color w:val="000000"/>
        <w:sz w:val="24"/>
        <w:szCs w:val="24"/>
      </w:rPr>
      <w:t xml:space="preserve"> STANDARD</w:t>
    </w:r>
  </w:p>
  <w:p w:rsidR="00A845AC" w:rsidRPr="00C47F2C" w:rsidP="00252B13" w14:paraId="648895AD" w14:textId="6BDA0D28">
    <w:pPr>
      <w:rPr>
        <w:b/>
        <w:bCs/>
        <w:color w:val="000000"/>
        <w:sz w:val="24"/>
        <w:szCs w:val="24"/>
      </w:rPr>
    </w:pPr>
    <w:r>
      <w:rPr>
        <w:b/>
        <w:bCs/>
        <w:color w:val="000000"/>
        <w:sz w:val="24"/>
        <w:szCs w:val="24"/>
      </w:rPr>
      <w:t xml:space="preserve">OMB Control Number: </w:t>
    </w:r>
    <w:r w:rsidRPr="00C47F2C">
      <w:rPr>
        <w:b/>
        <w:bCs/>
        <w:color w:val="000000"/>
        <w:sz w:val="24"/>
        <w:szCs w:val="24"/>
      </w:rPr>
      <w:t>1218-0072</w:t>
    </w:r>
  </w:p>
  <w:p w:rsidR="00A845AC" w:rsidRPr="00C47F2C" w:rsidP="00252B13" w14:paraId="66E2FED6" w14:textId="7D0C4109">
    <w:pPr>
      <w:rPr>
        <w:b/>
        <w:bCs/>
        <w:color w:val="000000"/>
        <w:sz w:val="24"/>
        <w:szCs w:val="24"/>
      </w:rPr>
    </w:pPr>
    <w:r>
      <w:rPr>
        <w:b/>
        <w:bCs/>
        <w:color w:val="000000"/>
        <w:sz w:val="24"/>
        <w:szCs w:val="24"/>
      </w:rPr>
      <w:t>Expir</w:t>
    </w:r>
    <w:r w:rsidR="001B5514">
      <w:rPr>
        <w:b/>
        <w:bCs/>
        <w:color w:val="000000"/>
        <w:sz w:val="24"/>
        <w:szCs w:val="24"/>
      </w:rPr>
      <w:t>ation Dat</w:t>
    </w:r>
    <w:r>
      <w:rPr>
        <w:b/>
        <w:bCs/>
        <w:color w:val="000000"/>
        <w:sz w:val="24"/>
        <w:szCs w:val="24"/>
      </w:rPr>
      <w:t>e: February 29, 2024</w:t>
    </w:r>
  </w:p>
  <w:p w:rsidR="00A845AC" w14:paraId="2D5754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93C6DF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ED2F69"/>
    <w:multiLevelType w:val="hybridMultilevel"/>
    <w:tmpl w:val="AC1417E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10E1A"/>
    <w:multiLevelType w:val="hybridMultilevel"/>
    <w:tmpl w:val="496C3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33BE1"/>
    <w:multiLevelType w:val="hybridMultilevel"/>
    <w:tmpl w:val="9088144A"/>
    <w:lvl w:ilvl="0">
      <w:start w:val="1"/>
      <w:numFmt w:val="upperLetter"/>
      <w:lvlText w:val="%1."/>
      <w:lvlJc w:val="left"/>
      <w:pPr>
        <w:tabs>
          <w:tab w:val="num" w:pos="1080"/>
        </w:tabs>
        <w:ind w:left="1080" w:hanging="72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491016"/>
    <w:multiLevelType w:val="hybridMultilevel"/>
    <w:tmpl w:val="80E44D96"/>
    <w:lvl w:ilvl="0">
      <w:start w:val="3"/>
      <w:numFmt w:val="upperLetter"/>
      <w:lvlText w:val="(%1)"/>
      <w:lvlJc w:val="left"/>
      <w:pPr>
        <w:ind w:left="806" w:hanging="292"/>
      </w:pPr>
      <w:rPr>
        <w:rFonts w:ascii="Times New Roman" w:eastAsia="Times New Roman" w:hAnsi="Times New Roman" w:cs="Times New Roman" w:hint="default"/>
        <w:b w:val="0"/>
        <w:bCs w:val="0"/>
        <w:i w:val="0"/>
        <w:iCs w:val="0"/>
        <w:color w:val="B5082D"/>
        <w:spacing w:val="-2"/>
        <w:w w:val="101"/>
        <w:sz w:val="18"/>
        <w:szCs w:val="18"/>
        <w:u w:val="single" w:color="B5082D"/>
        <w:lang w:val="en-US" w:eastAsia="en-US" w:bidi="ar-SA"/>
      </w:rPr>
    </w:lvl>
    <w:lvl w:ilvl="1">
      <w:start w:val="0"/>
      <w:numFmt w:val="bullet"/>
      <w:lvlText w:val="•"/>
      <w:lvlJc w:val="left"/>
      <w:pPr>
        <w:ind w:left="1886" w:hanging="292"/>
      </w:pPr>
      <w:rPr>
        <w:rFonts w:hint="default"/>
        <w:lang w:val="en-US" w:eastAsia="en-US" w:bidi="ar-SA"/>
      </w:rPr>
    </w:lvl>
    <w:lvl w:ilvl="2">
      <w:start w:val="0"/>
      <w:numFmt w:val="bullet"/>
      <w:lvlText w:val="•"/>
      <w:lvlJc w:val="left"/>
      <w:pPr>
        <w:ind w:left="2972" w:hanging="292"/>
      </w:pPr>
      <w:rPr>
        <w:rFonts w:hint="default"/>
        <w:lang w:val="en-US" w:eastAsia="en-US" w:bidi="ar-SA"/>
      </w:rPr>
    </w:lvl>
    <w:lvl w:ilvl="3">
      <w:start w:val="0"/>
      <w:numFmt w:val="bullet"/>
      <w:lvlText w:val="•"/>
      <w:lvlJc w:val="left"/>
      <w:pPr>
        <w:ind w:left="4058" w:hanging="292"/>
      </w:pPr>
      <w:rPr>
        <w:rFonts w:hint="default"/>
        <w:lang w:val="en-US" w:eastAsia="en-US" w:bidi="ar-SA"/>
      </w:rPr>
    </w:lvl>
    <w:lvl w:ilvl="4">
      <w:start w:val="0"/>
      <w:numFmt w:val="bullet"/>
      <w:lvlText w:val="•"/>
      <w:lvlJc w:val="left"/>
      <w:pPr>
        <w:ind w:left="5144" w:hanging="292"/>
      </w:pPr>
      <w:rPr>
        <w:rFonts w:hint="default"/>
        <w:lang w:val="en-US" w:eastAsia="en-US" w:bidi="ar-SA"/>
      </w:rPr>
    </w:lvl>
    <w:lvl w:ilvl="5">
      <w:start w:val="0"/>
      <w:numFmt w:val="bullet"/>
      <w:lvlText w:val="•"/>
      <w:lvlJc w:val="left"/>
      <w:pPr>
        <w:ind w:left="6230" w:hanging="292"/>
      </w:pPr>
      <w:rPr>
        <w:rFonts w:hint="default"/>
        <w:lang w:val="en-US" w:eastAsia="en-US" w:bidi="ar-SA"/>
      </w:rPr>
    </w:lvl>
    <w:lvl w:ilvl="6">
      <w:start w:val="0"/>
      <w:numFmt w:val="bullet"/>
      <w:lvlText w:val="•"/>
      <w:lvlJc w:val="left"/>
      <w:pPr>
        <w:ind w:left="7316" w:hanging="292"/>
      </w:pPr>
      <w:rPr>
        <w:rFonts w:hint="default"/>
        <w:lang w:val="en-US" w:eastAsia="en-US" w:bidi="ar-SA"/>
      </w:rPr>
    </w:lvl>
    <w:lvl w:ilvl="7">
      <w:start w:val="0"/>
      <w:numFmt w:val="bullet"/>
      <w:lvlText w:val="•"/>
      <w:lvlJc w:val="left"/>
      <w:pPr>
        <w:ind w:left="8402" w:hanging="292"/>
      </w:pPr>
      <w:rPr>
        <w:rFonts w:hint="default"/>
        <w:lang w:val="en-US" w:eastAsia="en-US" w:bidi="ar-SA"/>
      </w:rPr>
    </w:lvl>
    <w:lvl w:ilvl="8">
      <w:start w:val="0"/>
      <w:numFmt w:val="bullet"/>
      <w:lvlText w:val="•"/>
      <w:lvlJc w:val="left"/>
      <w:pPr>
        <w:ind w:left="9488" w:hanging="292"/>
      </w:pPr>
      <w:rPr>
        <w:rFonts w:hint="default"/>
        <w:lang w:val="en-US" w:eastAsia="en-US" w:bidi="ar-SA"/>
      </w:rPr>
    </w:lvl>
  </w:abstractNum>
  <w:abstractNum w:abstractNumId="5">
    <w:nsid w:val="0ECA1607"/>
    <w:multiLevelType w:val="hybridMultilevel"/>
    <w:tmpl w:val="7AD0EA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ED39BB"/>
    <w:multiLevelType w:val="hybridMultilevel"/>
    <w:tmpl w:val="6D7A7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9622AE"/>
    <w:multiLevelType w:val="multilevel"/>
    <w:tmpl w:val="62A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95CAE"/>
    <w:multiLevelType w:val="hybridMultilevel"/>
    <w:tmpl w:val="670E17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FB6ABB"/>
    <w:multiLevelType w:val="hybridMultilevel"/>
    <w:tmpl w:val="1F9862C8"/>
    <w:lvl w:ilvl="0">
      <w:start w:val="2"/>
      <w:numFmt w:val="decimal"/>
      <w:lvlText w:val="%1."/>
      <w:lvlJc w:val="left"/>
      <w:pPr>
        <w:tabs>
          <w:tab w:val="num" w:pos="720"/>
        </w:tabs>
        <w:ind w:left="720" w:hanging="360"/>
      </w:pPr>
      <w:rPr>
        <w:rFonts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3194F"/>
    <w:multiLevelType w:val="multilevel"/>
    <w:tmpl w:val="465A69F4"/>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8B5742"/>
    <w:multiLevelType w:val="hybridMultilevel"/>
    <w:tmpl w:val="7A7A3B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DB1F6F"/>
    <w:multiLevelType w:val="hybridMultilevel"/>
    <w:tmpl w:val="3A0A1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8E72B4"/>
    <w:multiLevelType w:val="hybridMultilevel"/>
    <w:tmpl w:val="3D400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234414"/>
    <w:multiLevelType w:val="hybridMultilevel"/>
    <w:tmpl w:val="C8B8B49E"/>
    <w:lvl w:ilvl="0">
      <w:start w:val="1"/>
      <w:numFmt w:val="lowerRoman"/>
      <w:lvlText w:val="(%1)"/>
      <w:lvlJc w:val="left"/>
      <w:pPr>
        <w:ind w:left="1284" w:hanging="223"/>
      </w:pPr>
      <w:rPr>
        <w:rFonts w:ascii="Times New Roman" w:eastAsia="Times New Roman" w:hAnsi="Times New Roman" w:cs="Times New Roman" w:hint="default"/>
        <w:b w:val="0"/>
        <w:bCs w:val="0"/>
        <w:i w:val="0"/>
        <w:iCs w:val="0"/>
        <w:w w:val="101"/>
        <w:sz w:val="18"/>
        <w:szCs w:val="18"/>
        <w:lang w:val="en-US" w:eastAsia="en-US" w:bidi="ar-SA"/>
      </w:rPr>
    </w:lvl>
    <w:lvl w:ilvl="1">
      <w:start w:val="1"/>
      <w:numFmt w:val="decimal"/>
      <w:lvlText w:val="(%2)"/>
      <w:lvlJc w:val="left"/>
      <w:pPr>
        <w:ind w:left="514" w:hanging="264"/>
      </w:pPr>
      <w:rPr>
        <w:rFonts w:ascii="Times New Roman" w:eastAsia="Times New Roman" w:hAnsi="Times New Roman" w:cs="Times New Roman" w:hint="default"/>
        <w:b w:val="0"/>
        <w:bCs w:val="0"/>
        <w:i w:val="0"/>
        <w:iCs w:val="0"/>
        <w:w w:val="101"/>
        <w:sz w:val="18"/>
        <w:szCs w:val="18"/>
        <w:lang w:val="en-US" w:eastAsia="en-US" w:bidi="ar-SA"/>
      </w:rPr>
    </w:lvl>
    <w:lvl w:ilvl="2">
      <w:start w:val="1"/>
      <w:numFmt w:val="lowerRoman"/>
      <w:lvlText w:val="(%3)"/>
      <w:lvlJc w:val="left"/>
      <w:pPr>
        <w:ind w:left="1283" w:hanging="222"/>
      </w:pPr>
      <w:rPr>
        <w:rFonts w:hint="default"/>
        <w:w w:val="101"/>
        <w:lang w:val="en-US" w:eastAsia="en-US" w:bidi="ar-SA"/>
      </w:rPr>
    </w:lvl>
    <w:lvl w:ilvl="3">
      <w:start w:val="0"/>
      <w:numFmt w:val="bullet"/>
      <w:lvlText w:val="•"/>
      <w:lvlJc w:val="left"/>
      <w:pPr>
        <w:ind w:left="3586" w:hanging="222"/>
      </w:pPr>
      <w:rPr>
        <w:rFonts w:hint="default"/>
        <w:lang w:val="en-US" w:eastAsia="en-US" w:bidi="ar-SA"/>
      </w:rPr>
    </w:lvl>
    <w:lvl w:ilvl="4">
      <w:start w:val="0"/>
      <w:numFmt w:val="bullet"/>
      <w:lvlText w:val="•"/>
      <w:lvlJc w:val="left"/>
      <w:pPr>
        <w:ind w:left="4740" w:hanging="222"/>
      </w:pPr>
      <w:rPr>
        <w:rFonts w:hint="default"/>
        <w:lang w:val="en-US" w:eastAsia="en-US" w:bidi="ar-SA"/>
      </w:rPr>
    </w:lvl>
    <w:lvl w:ilvl="5">
      <w:start w:val="0"/>
      <w:numFmt w:val="bullet"/>
      <w:lvlText w:val="•"/>
      <w:lvlJc w:val="left"/>
      <w:pPr>
        <w:ind w:left="5893" w:hanging="222"/>
      </w:pPr>
      <w:rPr>
        <w:rFonts w:hint="default"/>
        <w:lang w:val="en-US" w:eastAsia="en-US" w:bidi="ar-SA"/>
      </w:rPr>
    </w:lvl>
    <w:lvl w:ilvl="6">
      <w:start w:val="0"/>
      <w:numFmt w:val="bullet"/>
      <w:lvlText w:val="•"/>
      <w:lvlJc w:val="left"/>
      <w:pPr>
        <w:ind w:left="7046" w:hanging="222"/>
      </w:pPr>
      <w:rPr>
        <w:rFonts w:hint="default"/>
        <w:lang w:val="en-US" w:eastAsia="en-US" w:bidi="ar-SA"/>
      </w:rPr>
    </w:lvl>
    <w:lvl w:ilvl="7">
      <w:start w:val="0"/>
      <w:numFmt w:val="bullet"/>
      <w:lvlText w:val="•"/>
      <w:lvlJc w:val="left"/>
      <w:pPr>
        <w:ind w:left="8200" w:hanging="222"/>
      </w:pPr>
      <w:rPr>
        <w:rFonts w:hint="default"/>
        <w:lang w:val="en-US" w:eastAsia="en-US" w:bidi="ar-SA"/>
      </w:rPr>
    </w:lvl>
    <w:lvl w:ilvl="8">
      <w:start w:val="0"/>
      <w:numFmt w:val="bullet"/>
      <w:lvlText w:val="•"/>
      <w:lvlJc w:val="left"/>
      <w:pPr>
        <w:ind w:left="9353" w:hanging="222"/>
      </w:pPr>
      <w:rPr>
        <w:rFonts w:hint="default"/>
        <w:lang w:val="en-US" w:eastAsia="en-US" w:bidi="ar-SA"/>
      </w:rPr>
    </w:lvl>
  </w:abstractNum>
  <w:abstractNum w:abstractNumId="15">
    <w:nsid w:val="4793136B"/>
    <w:multiLevelType w:val="hybridMultilevel"/>
    <w:tmpl w:val="DFD451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58D633F"/>
    <w:multiLevelType w:val="hybridMultilevel"/>
    <w:tmpl w:val="7A2A27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39807452">
    <w:abstractNumId w:val="3"/>
  </w:num>
  <w:num w:numId="2" w16cid:durableId="1317801904">
    <w:abstractNumId w:val="9"/>
  </w:num>
  <w:num w:numId="3" w16cid:durableId="893969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463201">
    <w:abstractNumId w:val="7"/>
  </w:num>
  <w:num w:numId="5" w16cid:durableId="178324451">
    <w:abstractNumId w:val="10"/>
  </w:num>
  <w:num w:numId="6" w16cid:durableId="1068649867">
    <w:abstractNumId w:val="0"/>
  </w:num>
  <w:num w:numId="7" w16cid:durableId="2076198540">
    <w:abstractNumId w:val="16"/>
  </w:num>
  <w:num w:numId="8" w16cid:durableId="91585085">
    <w:abstractNumId w:val="15"/>
  </w:num>
  <w:num w:numId="9" w16cid:durableId="1580824285">
    <w:abstractNumId w:val="5"/>
  </w:num>
  <w:num w:numId="10" w16cid:durableId="288903193">
    <w:abstractNumId w:val="6"/>
  </w:num>
  <w:num w:numId="11" w16cid:durableId="236525477">
    <w:abstractNumId w:val="11"/>
  </w:num>
  <w:num w:numId="12" w16cid:durableId="1739939922">
    <w:abstractNumId w:val="8"/>
  </w:num>
  <w:num w:numId="13" w16cid:durableId="920409615">
    <w:abstractNumId w:val="2"/>
  </w:num>
  <w:num w:numId="14" w16cid:durableId="1842812534">
    <w:abstractNumId w:val="12"/>
  </w:num>
  <w:num w:numId="15" w16cid:durableId="813446369">
    <w:abstractNumId w:val="4"/>
  </w:num>
  <w:num w:numId="16" w16cid:durableId="1726835385">
    <w:abstractNumId w:val="14"/>
  </w:num>
  <w:num w:numId="17" w16cid:durableId="991788260">
    <w:abstractNumId w:val="1"/>
  </w:num>
  <w:num w:numId="18" w16cid:durableId="1785734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11"/>
    <w:rsid w:val="00000BD7"/>
    <w:rsid w:val="00001251"/>
    <w:rsid w:val="00001CE2"/>
    <w:rsid w:val="00001FEF"/>
    <w:rsid w:val="00003EAB"/>
    <w:rsid w:val="000054AB"/>
    <w:rsid w:val="00005764"/>
    <w:rsid w:val="0000597F"/>
    <w:rsid w:val="00006DE8"/>
    <w:rsid w:val="00006F7A"/>
    <w:rsid w:val="000077CE"/>
    <w:rsid w:val="00007881"/>
    <w:rsid w:val="00011133"/>
    <w:rsid w:val="0001208B"/>
    <w:rsid w:val="000131A6"/>
    <w:rsid w:val="00013713"/>
    <w:rsid w:val="0001403F"/>
    <w:rsid w:val="00014EB1"/>
    <w:rsid w:val="00015398"/>
    <w:rsid w:val="00015952"/>
    <w:rsid w:val="00016AD3"/>
    <w:rsid w:val="0001732F"/>
    <w:rsid w:val="0001737C"/>
    <w:rsid w:val="00017D09"/>
    <w:rsid w:val="000204D5"/>
    <w:rsid w:val="00021563"/>
    <w:rsid w:val="00021B9A"/>
    <w:rsid w:val="00021BD2"/>
    <w:rsid w:val="0002250B"/>
    <w:rsid w:val="00023A08"/>
    <w:rsid w:val="00023CB7"/>
    <w:rsid w:val="00023D0C"/>
    <w:rsid w:val="0002597B"/>
    <w:rsid w:val="000268E6"/>
    <w:rsid w:val="00027A90"/>
    <w:rsid w:val="0003154E"/>
    <w:rsid w:val="00031B1C"/>
    <w:rsid w:val="00031E61"/>
    <w:rsid w:val="00032744"/>
    <w:rsid w:val="000332C3"/>
    <w:rsid w:val="00033CCB"/>
    <w:rsid w:val="00033E1D"/>
    <w:rsid w:val="000349C3"/>
    <w:rsid w:val="0003536A"/>
    <w:rsid w:val="000354B4"/>
    <w:rsid w:val="000356EE"/>
    <w:rsid w:val="00035C91"/>
    <w:rsid w:val="00036417"/>
    <w:rsid w:val="00037028"/>
    <w:rsid w:val="00037BE6"/>
    <w:rsid w:val="00037C14"/>
    <w:rsid w:val="00037FE5"/>
    <w:rsid w:val="00041587"/>
    <w:rsid w:val="00041950"/>
    <w:rsid w:val="00042AA9"/>
    <w:rsid w:val="00042E20"/>
    <w:rsid w:val="00042EC6"/>
    <w:rsid w:val="00043EDB"/>
    <w:rsid w:val="000451FD"/>
    <w:rsid w:val="00045359"/>
    <w:rsid w:val="00047153"/>
    <w:rsid w:val="000476F2"/>
    <w:rsid w:val="00047891"/>
    <w:rsid w:val="000502F5"/>
    <w:rsid w:val="000504BE"/>
    <w:rsid w:val="00051549"/>
    <w:rsid w:val="00051E5E"/>
    <w:rsid w:val="00052BA5"/>
    <w:rsid w:val="0005353E"/>
    <w:rsid w:val="0005481C"/>
    <w:rsid w:val="000550F8"/>
    <w:rsid w:val="0005529A"/>
    <w:rsid w:val="0005790F"/>
    <w:rsid w:val="0006027D"/>
    <w:rsid w:val="00062AA3"/>
    <w:rsid w:val="00062B56"/>
    <w:rsid w:val="000633CD"/>
    <w:rsid w:val="00064638"/>
    <w:rsid w:val="00064754"/>
    <w:rsid w:val="00064C1A"/>
    <w:rsid w:val="00066C18"/>
    <w:rsid w:val="00067478"/>
    <w:rsid w:val="0006747A"/>
    <w:rsid w:val="00067F04"/>
    <w:rsid w:val="00070126"/>
    <w:rsid w:val="000710C7"/>
    <w:rsid w:val="000711BC"/>
    <w:rsid w:val="000714C4"/>
    <w:rsid w:val="00071F29"/>
    <w:rsid w:val="00072323"/>
    <w:rsid w:val="00072E23"/>
    <w:rsid w:val="000732E9"/>
    <w:rsid w:val="00074F95"/>
    <w:rsid w:val="00075D41"/>
    <w:rsid w:val="000766D7"/>
    <w:rsid w:val="000767AF"/>
    <w:rsid w:val="00076D53"/>
    <w:rsid w:val="000771B9"/>
    <w:rsid w:val="00081C0A"/>
    <w:rsid w:val="00081DCE"/>
    <w:rsid w:val="0008295D"/>
    <w:rsid w:val="000833E3"/>
    <w:rsid w:val="00083D03"/>
    <w:rsid w:val="00084501"/>
    <w:rsid w:val="000857C6"/>
    <w:rsid w:val="00085D6A"/>
    <w:rsid w:val="00087BD0"/>
    <w:rsid w:val="00087C41"/>
    <w:rsid w:val="00087DB4"/>
    <w:rsid w:val="000907E2"/>
    <w:rsid w:val="00091169"/>
    <w:rsid w:val="00092382"/>
    <w:rsid w:val="000923C5"/>
    <w:rsid w:val="00092470"/>
    <w:rsid w:val="0009340A"/>
    <w:rsid w:val="00094272"/>
    <w:rsid w:val="0009509A"/>
    <w:rsid w:val="00095B4B"/>
    <w:rsid w:val="00095B6E"/>
    <w:rsid w:val="00096714"/>
    <w:rsid w:val="000970C9"/>
    <w:rsid w:val="00097DD4"/>
    <w:rsid w:val="000A01ED"/>
    <w:rsid w:val="000A1263"/>
    <w:rsid w:val="000A12EC"/>
    <w:rsid w:val="000A169E"/>
    <w:rsid w:val="000A186E"/>
    <w:rsid w:val="000A3C06"/>
    <w:rsid w:val="000A3D61"/>
    <w:rsid w:val="000A3E4B"/>
    <w:rsid w:val="000A4AE3"/>
    <w:rsid w:val="000A6C27"/>
    <w:rsid w:val="000A71D1"/>
    <w:rsid w:val="000A7676"/>
    <w:rsid w:val="000B01A7"/>
    <w:rsid w:val="000B0461"/>
    <w:rsid w:val="000B0935"/>
    <w:rsid w:val="000B24DE"/>
    <w:rsid w:val="000B2593"/>
    <w:rsid w:val="000B2A21"/>
    <w:rsid w:val="000B2B73"/>
    <w:rsid w:val="000B34FB"/>
    <w:rsid w:val="000B38C9"/>
    <w:rsid w:val="000B3FD9"/>
    <w:rsid w:val="000B4AE0"/>
    <w:rsid w:val="000B518E"/>
    <w:rsid w:val="000B51BA"/>
    <w:rsid w:val="000B593B"/>
    <w:rsid w:val="000B5D4F"/>
    <w:rsid w:val="000B6B8B"/>
    <w:rsid w:val="000B6CC6"/>
    <w:rsid w:val="000B74A7"/>
    <w:rsid w:val="000C140C"/>
    <w:rsid w:val="000C2916"/>
    <w:rsid w:val="000C2CFC"/>
    <w:rsid w:val="000C3AE5"/>
    <w:rsid w:val="000C3EED"/>
    <w:rsid w:val="000C4457"/>
    <w:rsid w:val="000C5097"/>
    <w:rsid w:val="000C6F6E"/>
    <w:rsid w:val="000C79B3"/>
    <w:rsid w:val="000C7E2A"/>
    <w:rsid w:val="000D02D4"/>
    <w:rsid w:val="000D071D"/>
    <w:rsid w:val="000D0FB0"/>
    <w:rsid w:val="000D155F"/>
    <w:rsid w:val="000D1F03"/>
    <w:rsid w:val="000D2994"/>
    <w:rsid w:val="000D2A35"/>
    <w:rsid w:val="000D3563"/>
    <w:rsid w:val="000D3BC7"/>
    <w:rsid w:val="000D5507"/>
    <w:rsid w:val="000D561C"/>
    <w:rsid w:val="000D5980"/>
    <w:rsid w:val="000D5E5F"/>
    <w:rsid w:val="000D64D4"/>
    <w:rsid w:val="000D7ACE"/>
    <w:rsid w:val="000E150D"/>
    <w:rsid w:val="000E28B2"/>
    <w:rsid w:val="000E40C1"/>
    <w:rsid w:val="000E421E"/>
    <w:rsid w:val="000E58C0"/>
    <w:rsid w:val="000E6650"/>
    <w:rsid w:val="000E7491"/>
    <w:rsid w:val="000E7D42"/>
    <w:rsid w:val="000F120A"/>
    <w:rsid w:val="000F187B"/>
    <w:rsid w:val="000F20C3"/>
    <w:rsid w:val="000F2413"/>
    <w:rsid w:val="000F4BC5"/>
    <w:rsid w:val="000F5F02"/>
    <w:rsid w:val="000F6B7D"/>
    <w:rsid w:val="000F71BD"/>
    <w:rsid w:val="00100224"/>
    <w:rsid w:val="0010025E"/>
    <w:rsid w:val="001003C8"/>
    <w:rsid w:val="001005BE"/>
    <w:rsid w:val="001026A4"/>
    <w:rsid w:val="00102B72"/>
    <w:rsid w:val="00102C3F"/>
    <w:rsid w:val="00102D9A"/>
    <w:rsid w:val="0010348F"/>
    <w:rsid w:val="00105B2F"/>
    <w:rsid w:val="0010652C"/>
    <w:rsid w:val="00106D89"/>
    <w:rsid w:val="0010793E"/>
    <w:rsid w:val="0010796C"/>
    <w:rsid w:val="00107AA3"/>
    <w:rsid w:val="0011039E"/>
    <w:rsid w:val="001109FF"/>
    <w:rsid w:val="001119B3"/>
    <w:rsid w:val="0011327D"/>
    <w:rsid w:val="00114E95"/>
    <w:rsid w:val="001161CA"/>
    <w:rsid w:val="0011689E"/>
    <w:rsid w:val="00116ADD"/>
    <w:rsid w:val="00121144"/>
    <w:rsid w:val="00121739"/>
    <w:rsid w:val="00121D07"/>
    <w:rsid w:val="001221BA"/>
    <w:rsid w:val="00122BE8"/>
    <w:rsid w:val="001238D3"/>
    <w:rsid w:val="00124085"/>
    <w:rsid w:val="001244B8"/>
    <w:rsid w:val="0012496E"/>
    <w:rsid w:val="00126E47"/>
    <w:rsid w:val="0012721A"/>
    <w:rsid w:val="00127590"/>
    <w:rsid w:val="00130094"/>
    <w:rsid w:val="001304D5"/>
    <w:rsid w:val="0013061F"/>
    <w:rsid w:val="001309E9"/>
    <w:rsid w:val="00132071"/>
    <w:rsid w:val="00132696"/>
    <w:rsid w:val="00132B11"/>
    <w:rsid w:val="00133C1F"/>
    <w:rsid w:val="00133FA4"/>
    <w:rsid w:val="00134FDA"/>
    <w:rsid w:val="001354F9"/>
    <w:rsid w:val="001356F7"/>
    <w:rsid w:val="00136259"/>
    <w:rsid w:val="001368A6"/>
    <w:rsid w:val="00137C87"/>
    <w:rsid w:val="00140122"/>
    <w:rsid w:val="0014134F"/>
    <w:rsid w:val="00141DAB"/>
    <w:rsid w:val="00142C0E"/>
    <w:rsid w:val="0014584A"/>
    <w:rsid w:val="00145DD2"/>
    <w:rsid w:val="001471C7"/>
    <w:rsid w:val="00147845"/>
    <w:rsid w:val="0014790A"/>
    <w:rsid w:val="00147BBD"/>
    <w:rsid w:val="00147D63"/>
    <w:rsid w:val="00150D7E"/>
    <w:rsid w:val="001512F4"/>
    <w:rsid w:val="00152B75"/>
    <w:rsid w:val="0015393E"/>
    <w:rsid w:val="00153E7E"/>
    <w:rsid w:val="001545C4"/>
    <w:rsid w:val="00155BAD"/>
    <w:rsid w:val="001568F8"/>
    <w:rsid w:val="00161AD8"/>
    <w:rsid w:val="00162639"/>
    <w:rsid w:val="00162AF3"/>
    <w:rsid w:val="00164217"/>
    <w:rsid w:val="001644CA"/>
    <w:rsid w:val="00167354"/>
    <w:rsid w:val="0016750C"/>
    <w:rsid w:val="00172F2C"/>
    <w:rsid w:val="00173586"/>
    <w:rsid w:val="001737A4"/>
    <w:rsid w:val="001754C2"/>
    <w:rsid w:val="001760FB"/>
    <w:rsid w:val="00176A8A"/>
    <w:rsid w:val="001771EC"/>
    <w:rsid w:val="00177548"/>
    <w:rsid w:val="001779BD"/>
    <w:rsid w:val="00177BA1"/>
    <w:rsid w:val="00180636"/>
    <w:rsid w:val="00180C92"/>
    <w:rsid w:val="00180FA8"/>
    <w:rsid w:val="001810D8"/>
    <w:rsid w:val="00183434"/>
    <w:rsid w:val="00185097"/>
    <w:rsid w:val="001866E2"/>
    <w:rsid w:val="00186C95"/>
    <w:rsid w:val="001878EC"/>
    <w:rsid w:val="00187C87"/>
    <w:rsid w:val="001900B4"/>
    <w:rsid w:val="00190B71"/>
    <w:rsid w:val="0019156F"/>
    <w:rsid w:val="00191CEE"/>
    <w:rsid w:val="001923C5"/>
    <w:rsid w:val="0019386E"/>
    <w:rsid w:val="00193D27"/>
    <w:rsid w:val="00196075"/>
    <w:rsid w:val="0019612E"/>
    <w:rsid w:val="00196BBA"/>
    <w:rsid w:val="0019757B"/>
    <w:rsid w:val="0019793A"/>
    <w:rsid w:val="001A07EB"/>
    <w:rsid w:val="001A0B59"/>
    <w:rsid w:val="001A0E0B"/>
    <w:rsid w:val="001A21AA"/>
    <w:rsid w:val="001A32E7"/>
    <w:rsid w:val="001A3BC1"/>
    <w:rsid w:val="001A3DFD"/>
    <w:rsid w:val="001A4492"/>
    <w:rsid w:val="001A4B02"/>
    <w:rsid w:val="001A5591"/>
    <w:rsid w:val="001A71BA"/>
    <w:rsid w:val="001A743A"/>
    <w:rsid w:val="001B081E"/>
    <w:rsid w:val="001B087A"/>
    <w:rsid w:val="001B0A95"/>
    <w:rsid w:val="001B111C"/>
    <w:rsid w:val="001B17DC"/>
    <w:rsid w:val="001B1DB6"/>
    <w:rsid w:val="001B2479"/>
    <w:rsid w:val="001B28CE"/>
    <w:rsid w:val="001B36B2"/>
    <w:rsid w:val="001B3AB3"/>
    <w:rsid w:val="001B4831"/>
    <w:rsid w:val="001B508D"/>
    <w:rsid w:val="001B50B1"/>
    <w:rsid w:val="001B51A1"/>
    <w:rsid w:val="001B5225"/>
    <w:rsid w:val="001B5514"/>
    <w:rsid w:val="001B5756"/>
    <w:rsid w:val="001B6F30"/>
    <w:rsid w:val="001B7550"/>
    <w:rsid w:val="001C048F"/>
    <w:rsid w:val="001C04C9"/>
    <w:rsid w:val="001C04E6"/>
    <w:rsid w:val="001C1590"/>
    <w:rsid w:val="001C252B"/>
    <w:rsid w:val="001C2550"/>
    <w:rsid w:val="001C313E"/>
    <w:rsid w:val="001C3615"/>
    <w:rsid w:val="001C3675"/>
    <w:rsid w:val="001C3A49"/>
    <w:rsid w:val="001C4006"/>
    <w:rsid w:val="001C448A"/>
    <w:rsid w:val="001C59F1"/>
    <w:rsid w:val="001C63EC"/>
    <w:rsid w:val="001C6C2C"/>
    <w:rsid w:val="001C6E3B"/>
    <w:rsid w:val="001C7BA2"/>
    <w:rsid w:val="001D080C"/>
    <w:rsid w:val="001D1435"/>
    <w:rsid w:val="001D1658"/>
    <w:rsid w:val="001D16BC"/>
    <w:rsid w:val="001D18B4"/>
    <w:rsid w:val="001D1BBC"/>
    <w:rsid w:val="001D20D7"/>
    <w:rsid w:val="001D34E1"/>
    <w:rsid w:val="001D36CA"/>
    <w:rsid w:val="001D5B06"/>
    <w:rsid w:val="001D75EC"/>
    <w:rsid w:val="001D7A2B"/>
    <w:rsid w:val="001E038F"/>
    <w:rsid w:val="001E14B0"/>
    <w:rsid w:val="001E1695"/>
    <w:rsid w:val="001E21D1"/>
    <w:rsid w:val="001E22B9"/>
    <w:rsid w:val="001E3494"/>
    <w:rsid w:val="001E3DF1"/>
    <w:rsid w:val="001E41CD"/>
    <w:rsid w:val="001E4D2A"/>
    <w:rsid w:val="001E6473"/>
    <w:rsid w:val="001E6CAE"/>
    <w:rsid w:val="001F033F"/>
    <w:rsid w:val="001F1563"/>
    <w:rsid w:val="001F179E"/>
    <w:rsid w:val="001F1B51"/>
    <w:rsid w:val="001F26AC"/>
    <w:rsid w:val="001F29DA"/>
    <w:rsid w:val="001F320C"/>
    <w:rsid w:val="001F5ACB"/>
    <w:rsid w:val="001F60A7"/>
    <w:rsid w:val="001F7297"/>
    <w:rsid w:val="001F7B3A"/>
    <w:rsid w:val="001F7D0C"/>
    <w:rsid w:val="002009F5"/>
    <w:rsid w:val="002015FD"/>
    <w:rsid w:val="00203312"/>
    <w:rsid w:val="0020436F"/>
    <w:rsid w:val="0021053C"/>
    <w:rsid w:val="0021164D"/>
    <w:rsid w:val="00212F26"/>
    <w:rsid w:val="00212F30"/>
    <w:rsid w:val="00213530"/>
    <w:rsid w:val="002145AC"/>
    <w:rsid w:val="00214740"/>
    <w:rsid w:val="0021574A"/>
    <w:rsid w:val="00216270"/>
    <w:rsid w:val="0021673B"/>
    <w:rsid w:val="00216DCE"/>
    <w:rsid w:val="002174E1"/>
    <w:rsid w:val="00217542"/>
    <w:rsid w:val="0021763E"/>
    <w:rsid w:val="002208FB"/>
    <w:rsid w:val="00220966"/>
    <w:rsid w:val="00220A98"/>
    <w:rsid w:val="00220BC5"/>
    <w:rsid w:val="002219DC"/>
    <w:rsid w:val="00221BAE"/>
    <w:rsid w:val="00222C92"/>
    <w:rsid w:val="00223B17"/>
    <w:rsid w:val="00224556"/>
    <w:rsid w:val="002246B2"/>
    <w:rsid w:val="002247FE"/>
    <w:rsid w:val="00225C46"/>
    <w:rsid w:val="00226733"/>
    <w:rsid w:val="00226913"/>
    <w:rsid w:val="00226CCA"/>
    <w:rsid w:val="00227062"/>
    <w:rsid w:val="002311EB"/>
    <w:rsid w:val="002314F7"/>
    <w:rsid w:val="00232045"/>
    <w:rsid w:val="00234A13"/>
    <w:rsid w:val="002363BE"/>
    <w:rsid w:val="00236C1B"/>
    <w:rsid w:val="002371BA"/>
    <w:rsid w:val="0024071C"/>
    <w:rsid w:val="00240910"/>
    <w:rsid w:val="0024104A"/>
    <w:rsid w:val="00244F02"/>
    <w:rsid w:val="002455E2"/>
    <w:rsid w:val="002471FF"/>
    <w:rsid w:val="00247698"/>
    <w:rsid w:val="00250370"/>
    <w:rsid w:val="00250CB9"/>
    <w:rsid w:val="00252B13"/>
    <w:rsid w:val="0025445D"/>
    <w:rsid w:val="00254A7D"/>
    <w:rsid w:val="002553D4"/>
    <w:rsid w:val="00255512"/>
    <w:rsid w:val="0025584F"/>
    <w:rsid w:val="00256411"/>
    <w:rsid w:val="002567E2"/>
    <w:rsid w:val="00256C1E"/>
    <w:rsid w:val="00256D1F"/>
    <w:rsid w:val="00256E71"/>
    <w:rsid w:val="00257C14"/>
    <w:rsid w:val="0026158D"/>
    <w:rsid w:val="002626D8"/>
    <w:rsid w:val="00262A26"/>
    <w:rsid w:val="002667C1"/>
    <w:rsid w:val="00267BFA"/>
    <w:rsid w:val="00270954"/>
    <w:rsid w:val="0027122F"/>
    <w:rsid w:val="00272265"/>
    <w:rsid w:val="00272BC2"/>
    <w:rsid w:val="00272C27"/>
    <w:rsid w:val="002732BA"/>
    <w:rsid w:val="00273D4D"/>
    <w:rsid w:val="002740B4"/>
    <w:rsid w:val="002747EB"/>
    <w:rsid w:val="002749AB"/>
    <w:rsid w:val="00274AA1"/>
    <w:rsid w:val="00275AF7"/>
    <w:rsid w:val="00275CD4"/>
    <w:rsid w:val="00276811"/>
    <w:rsid w:val="00277814"/>
    <w:rsid w:val="00277971"/>
    <w:rsid w:val="00277F05"/>
    <w:rsid w:val="0028072E"/>
    <w:rsid w:val="00280B11"/>
    <w:rsid w:val="00280BA0"/>
    <w:rsid w:val="002829B0"/>
    <w:rsid w:val="00283768"/>
    <w:rsid w:val="00283CC8"/>
    <w:rsid w:val="00284087"/>
    <w:rsid w:val="0028497F"/>
    <w:rsid w:val="00284F65"/>
    <w:rsid w:val="002854E3"/>
    <w:rsid w:val="00286B1D"/>
    <w:rsid w:val="00286D2A"/>
    <w:rsid w:val="00287072"/>
    <w:rsid w:val="00287D85"/>
    <w:rsid w:val="0029075D"/>
    <w:rsid w:val="002908C9"/>
    <w:rsid w:val="00290D13"/>
    <w:rsid w:val="0029259B"/>
    <w:rsid w:val="00293266"/>
    <w:rsid w:val="00293833"/>
    <w:rsid w:val="0029563D"/>
    <w:rsid w:val="00295680"/>
    <w:rsid w:val="00296677"/>
    <w:rsid w:val="002970E6"/>
    <w:rsid w:val="002A0AF4"/>
    <w:rsid w:val="002A1136"/>
    <w:rsid w:val="002A119D"/>
    <w:rsid w:val="002A18D2"/>
    <w:rsid w:val="002A1E1D"/>
    <w:rsid w:val="002A1FA3"/>
    <w:rsid w:val="002A23B4"/>
    <w:rsid w:val="002A24B4"/>
    <w:rsid w:val="002A2F79"/>
    <w:rsid w:val="002A453F"/>
    <w:rsid w:val="002A57F2"/>
    <w:rsid w:val="002A5E8B"/>
    <w:rsid w:val="002A6677"/>
    <w:rsid w:val="002A6DBE"/>
    <w:rsid w:val="002A77DD"/>
    <w:rsid w:val="002A7DB6"/>
    <w:rsid w:val="002B06AF"/>
    <w:rsid w:val="002B0873"/>
    <w:rsid w:val="002B25A8"/>
    <w:rsid w:val="002B2EF7"/>
    <w:rsid w:val="002B3B7E"/>
    <w:rsid w:val="002B4213"/>
    <w:rsid w:val="002B4725"/>
    <w:rsid w:val="002B4A1B"/>
    <w:rsid w:val="002B5259"/>
    <w:rsid w:val="002B54B3"/>
    <w:rsid w:val="002B5664"/>
    <w:rsid w:val="002B663D"/>
    <w:rsid w:val="002B6951"/>
    <w:rsid w:val="002B7E43"/>
    <w:rsid w:val="002B7EDA"/>
    <w:rsid w:val="002C0B15"/>
    <w:rsid w:val="002C1A61"/>
    <w:rsid w:val="002C1E66"/>
    <w:rsid w:val="002C1FBB"/>
    <w:rsid w:val="002C3627"/>
    <w:rsid w:val="002C441C"/>
    <w:rsid w:val="002C4962"/>
    <w:rsid w:val="002C4A49"/>
    <w:rsid w:val="002C5092"/>
    <w:rsid w:val="002C63F4"/>
    <w:rsid w:val="002C699F"/>
    <w:rsid w:val="002C6FE4"/>
    <w:rsid w:val="002C702A"/>
    <w:rsid w:val="002C7C8B"/>
    <w:rsid w:val="002C7D1E"/>
    <w:rsid w:val="002D07A0"/>
    <w:rsid w:val="002D1D46"/>
    <w:rsid w:val="002D268D"/>
    <w:rsid w:val="002D2779"/>
    <w:rsid w:val="002D3F25"/>
    <w:rsid w:val="002D5FD0"/>
    <w:rsid w:val="002D6570"/>
    <w:rsid w:val="002D67A0"/>
    <w:rsid w:val="002D6BAF"/>
    <w:rsid w:val="002D7018"/>
    <w:rsid w:val="002E0414"/>
    <w:rsid w:val="002E079C"/>
    <w:rsid w:val="002E100E"/>
    <w:rsid w:val="002E32F3"/>
    <w:rsid w:val="002E3937"/>
    <w:rsid w:val="002E3FAB"/>
    <w:rsid w:val="002E471B"/>
    <w:rsid w:val="002E4815"/>
    <w:rsid w:val="002E4CF2"/>
    <w:rsid w:val="002E5F12"/>
    <w:rsid w:val="002E6153"/>
    <w:rsid w:val="002E7D04"/>
    <w:rsid w:val="002E7FF1"/>
    <w:rsid w:val="002F021F"/>
    <w:rsid w:val="002F02F7"/>
    <w:rsid w:val="002F093D"/>
    <w:rsid w:val="002F111C"/>
    <w:rsid w:val="002F1256"/>
    <w:rsid w:val="002F160F"/>
    <w:rsid w:val="002F1C1A"/>
    <w:rsid w:val="002F234F"/>
    <w:rsid w:val="002F24B7"/>
    <w:rsid w:val="002F39B7"/>
    <w:rsid w:val="002F3A6A"/>
    <w:rsid w:val="002F4030"/>
    <w:rsid w:val="002F467B"/>
    <w:rsid w:val="002F6D2B"/>
    <w:rsid w:val="002F7605"/>
    <w:rsid w:val="002F7B86"/>
    <w:rsid w:val="002F7B95"/>
    <w:rsid w:val="0030045F"/>
    <w:rsid w:val="003005F3"/>
    <w:rsid w:val="00300781"/>
    <w:rsid w:val="00303E74"/>
    <w:rsid w:val="00304897"/>
    <w:rsid w:val="00305404"/>
    <w:rsid w:val="00307FE7"/>
    <w:rsid w:val="00310327"/>
    <w:rsid w:val="0031060A"/>
    <w:rsid w:val="00314828"/>
    <w:rsid w:val="00314C1A"/>
    <w:rsid w:val="00315CA5"/>
    <w:rsid w:val="00315F81"/>
    <w:rsid w:val="00316285"/>
    <w:rsid w:val="0031763D"/>
    <w:rsid w:val="003178DB"/>
    <w:rsid w:val="00317A94"/>
    <w:rsid w:val="00321B92"/>
    <w:rsid w:val="00322181"/>
    <w:rsid w:val="00322F44"/>
    <w:rsid w:val="00322F5F"/>
    <w:rsid w:val="003230FE"/>
    <w:rsid w:val="00324247"/>
    <w:rsid w:val="00324BCE"/>
    <w:rsid w:val="00325888"/>
    <w:rsid w:val="00325C28"/>
    <w:rsid w:val="00325C2B"/>
    <w:rsid w:val="00325C3C"/>
    <w:rsid w:val="0032685D"/>
    <w:rsid w:val="00326DA3"/>
    <w:rsid w:val="00327146"/>
    <w:rsid w:val="00327942"/>
    <w:rsid w:val="00327A60"/>
    <w:rsid w:val="0033042F"/>
    <w:rsid w:val="003304D4"/>
    <w:rsid w:val="00330700"/>
    <w:rsid w:val="00331B75"/>
    <w:rsid w:val="0033253E"/>
    <w:rsid w:val="00332A0C"/>
    <w:rsid w:val="00332BBD"/>
    <w:rsid w:val="00333809"/>
    <w:rsid w:val="00333E1F"/>
    <w:rsid w:val="00334211"/>
    <w:rsid w:val="003348F7"/>
    <w:rsid w:val="00334BF8"/>
    <w:rsid w:val="003369EC"/>
    <w:rsid w:val="00336C25"/>
    <w:rsid w:val="00336DA7"/>
    <w:rsid w:val="0033741F"/>
    <w:rsid w:val="00337901"/>
    <w:rsid w:val="0034142F"/>
    <w:rsid w:val="003417CC"/>
    <w:rsid w:val="00342E8F"/>
    <w:rsid w:val="00343FA2"/>
    <w:rsid w:val="00350626"/>
    <w:rsid w:val="00350C1A"/>
    <w:rsid w:val="003520F1"/>
    <w:rsid w:val="00352B5F"/>
    <w:rsid w:val="003532BF"/>
    <w:rsid w:val="00354B3B"/>
    <w:rsid w:val="00357CC3"/>
    <w:rsid w:val="00360AE7"/>
    <w:rsid w:val="00361A47"/>
    <w:rsid w:val="0036208B"/>
    <w:rsid w:val="0036270A"/>
    <w:rsid w:val="00362E59"/>
    <w:rsid w:val="0036307A"/>
    <w:rsid w:val="003636BC"/>
    <w:rsid w:val="0036390D"/>
    <w:rsid w:val="00364059"/>
    <w:rsid w:val="003648B8"/>
    <w:rsid w:val="00364A27"/>
    <w:rsid w:val="0036533E"/>
    <w:rsid w:val="00365B95"/>
    <w:rsid w:val="003661E7"/>
    <w:rsid w:val="00366270"/>
    <w:rsid w:val="003670AD"/>
    <w:rsid w:val="00367968"/>
    <w:rsid w:val="00367ACC"/>
    <w:rsid w:val="00370C6C"/>
    <w:rsid w:val="00370DB3"/>
    <w:rsid w:val="003710C5"/>
    <w:rsid w:val="003720DC"/>
    <w:rsid w:val="00372156"/>
    <w:rsid w:val="003721C3"/>
    <w:rsid w:val="00372574"/>
    <w:rsid w:val="00372D1C"/>
    <w:rsid w:val="0037380C"/>
    <w:rsid w:val="00373ABB"/>
    <w:rsid w:val="00374C4D"/>
    <w:rsid w:val="00375189"/>
    <w:rsid w:val="00375527"/>
    <w:rsid w:val="003755A7"/>
    <w:rsid w:val="0037570A"/>
    <w:rsid w:val="003757D5"/>
    <w:rsid w:val="00375DF2"/>
    <w:rsid w:val="00377794"/>
    <w:rsid w:val="0038011B"/>
    <w:rsid w:val="00380663"/>
    <w:rsid w:val="00380B66"/>
    <w:rsid w:val="0038163E"/>
    <w:rsid w:val="00381B42"/>
    <w:rsid w:val="00382E68"/>
    <w:rsid w:val="0038350F"/>
    <w:rsid w:val="003840EB"/>
    <w:rsid w:val="00385F3F"/>
    <w:rsid w:val="00386785"/>
    <w:rsid w:val="00386D2E"/>
    <w:rsid w:val="00386ECD"/>
    <w:rsid w:val="00391844"/>
    <w:rsid w:val="00391B33"/>
    <w:rsid w:val="00394F69"/>
    <w:rsid w:val="003954D0"/>
    <w:rsid w:val="00395ACA"/>
    <w:rsid w:val="00397888"/>
    <w:rsid w:val="003A08B9"/>
    <w:rsid w:val="003A15DB"/>
    <w:rsid w:val="003A1614"/>
    <w:rsid w:val="003A2837"/>
    <w:rsid w:val="003A3074"/>
    <w:rsid w:val="003A3F95"/>
    <w:rsid w:val="003A4EE4"/>
    <w:rsid w:val="003A51D5"/>
    <w:rsid w:val="003A56D5"/>
    <w:rsid w:val="003A5900"/>
    <w:rsid w:val="003A6012"/>
    <w:rsid w:val="003A70FF"/>
    <w:rsid w:val="003A7438"/>
    <w:rsid w:val="003A76DF"/>
    <w:rsid w:val="003A7F06"/>
    <w:rsid w:val="003B08A7"/>
    <w:rsid w:val="003B0A11"/>
    <w:rsid w:val="003B1682"/>
    <w:rsid w:val="003B1B07"/>
    <w:rsid w:val="003B2967"/>
    <w:rsid w:val="003B345B"/>
    <w:rsid w:val="003B3EED"/>
    <w:rsid w:val="003B436C"/>
    <w:rsid w:val="003B44ED"/>
    <w:rsid w:val="003B4910"/>
    <w:rsid w:val="003B60D1"/>
    <w:rsid w:val="003B61AF"/>
    <w:rsid w:val="003B649D"/>
    <w:rsid w:val="003B6C8A"/>
    <w:rsid w:val="003C0432"/>
    <w:rsid w:val="003C0BAE"/>
    <w:rsid w:val="003C0F41"/>
    <w:rsid w:val="003C1B57"/>
    <w:rsid w:val="003C3519"/>
    <w:rsid w:val="003C3C34"/>
    <w:rsid w:val="003C4FEA"/>
    <w:rsid w:val="003C5F28"/>
    <w:rsid w:val="003C7025"/>
    <w:rsid w:val="003C758E"/>
    <w:rsid w:val="003D01B0"/>
    <w:rsid w:val="003D042C"/>
    <w:rsid w:val="003D087E"/>
    <w:rsid w:val="003D0E7F"/>
    <w:rsid w:val="003D0F21"/>
    <w:rsid w:val="003D38AA"/>
    <w:rsid w:val="003D3A63"/>
    <w:rsid w:val="003D3E17"/>
    <w:rsid w:val="003D4217"/>
    <w:rsid w:val="003D436B"/>
    <w:rsid w:val="003D6B46"/>
    <w:rsid w:val="003E070A"/>
    <w:rsid w:val="003E1209"/>
    <w:rsid w:val="003E1C4A"/>
    <w:rsid w:val="003E2A1A"/>
    <w:rsid w:val="003E3741"/>
    <w:rsid w:val="003E41B3"/>
    <w:rsid w:val="003E4295"/>
    <w:rsid w:val="003E5FA7"/>
    <w:rsid w:val="003E65D4"/>
    <w:rsid w:val="003E673A"/>
    <w:rsid w:val="003E73A8"/>
    <w:rsid w:val="003E7EB2"/>
    <w:rsid w:val="003F0B48"/>
    <w:rsid w:val="003F0E80"/>
    <w:rsid w:val="003F1223"/>
    <w:rsid w:val="003F290D"/>
    <w:rsid w:val="003F2F04"/>
    <w:rsid w:val="003F31F8"/>
    <w:rsid w:val="003F7371"/>
    <w:rsid w:val="003F746E"/>
    <w:rsid w:val="00400266"/>
    <w:rsid w:val="00400F01"/>
    <w:rsid w:val="00401304"/>
    <w:rsid w:val="0040187C"/>
    <w:rsid w:val="00401AC9"/>
    <w:rsid w:val="004023E0"/>
    <w:rsid w:val="00402543"/>
    <w:rsid w:val="00402DE9"/>
    <w:rsid w:val="00404106"/>
    <w:rsid w:val="004047A6"/>
    <w:rsid w:val="00405C19"/>
    <w:rsid w:val="00406720"/>
    <w:rsid w:val="0040736A"/>
    <w:rsid w:val="00407CD1"/>
    <w:rsid w:val="00411C4D"/>
    <w:rsid w:val="00411CCD"/>
    <w:rsid w:val="0041296B"/>
    <w:rsid w:val="00412A45"/>
    <w:rsid w:val="00412DB7"/>
    <w:rsid w:val="00413BC4"/>
    <w:rsid w:val="004148C2"/>
    <w:rsid w:val="00415074"/>
    <w:rsid w:val="0041508C"/>
    <w:rsid w:val="004159E9"/>
    <w:rsid w:val="00415BDB"/>
    <w:rsid w:val="004164AA"/>
    <w:rsid w:val="00416539"/>
    <w:rsid w:val="00420327"/>
    <w:rsid w:val="0042087C"/>
    <w:rsid w:val="0042120D"/>
    <w:rsid w:val="004221D0"/>
    <w:rsid w:val="0042270F"/>
    <w:rsid w:val="00422CEE"/>
    <w:rsid w:val="004230AE"/>
    <w:rsid w:val="00423E63"/>
    <w:rsid w:val="00424CD5"/>
    <w:rsid w:val="00425000"/>
    <w:rsid w:val="00425AFE"/>
    <w:rsid w:val="00427943"/>
    <w:rsid w:val="00427CF9"/>
    <w:rsid w:val="004328F1"/>
    <w:rsid w:val="00432A12"/>
    <w:rsid w:val="00432B87"/>
    <w:rsid w:val="0043387B"/>
    <w:rsid w:val="00434BBA"/>
    <w:rsid w:val="004358E8"/>
    <w:rsid w:val="004375C1"/>
    <w:rsid w:val="004376C0"/>
    <w:rsid w:val="00440AAE"/>
    <w:rsid w:val="00441287"/>
    <w:rsid w:val="00441535"/>
    <w:rsid w:val="00444CF8"/>
    <w:rsid w:val="00445223"/>
    <w:rsid w:val="00445833"/>
    <w:rsid w:val="00445881"/>
    <w:rsid w:val="00446564"/>
    <w:rsid w:val="00446F0E"/>
    <w:rsid w:val="00447023"/>
    <w:rsid w:val="004479D5"/>
    <w:rsid w:val="00450EDF"/>
    <w:rsid w:val="004514CC"/>
    <w:rsid w:val="00451ABD"/>
    <w:rsid w:val="00452335"/>
    <w:rsid w:val="004523C5"/>
    <w:rsid w:val="004538F2"/>
    <w:rsid w:val="00454A41"/>
    <w:rsid w:val="00454B17"/>
    <w:rsid w:val="00456878"/>
    <w:rsid w:val="00456E90"/>
    <w:rsid w:val="004577B3"/>
    <w:rsid w:val="00460052"/>
    <w:rsid w:val="004622CC"/>
    <w:rsid w:val="00463004"/>
    <w:rsid w:val="004630CA"/>
    <w:rsid w:val="00464B8F"/>
    <w:rsid w:val="004659E3"/>
    <w:rsid w:val="00466B30"/>
    <w:rsid w:val="00466C31"/>
    <w:rsid w:val="00470181"/>
    <w:rsid w:val="004705DA"/>
    <w:rsid w:val="00472BCF"/>
    <w:rsid w:val="00473043"/>
    <w:rsid w:val="004731A5"/>
    <w:rsid w:val="00473AA2"/>
    <w:rsid w:val="00475A22"/>
    <w:rsid w:val="00475D95"/>
    <w:rsid w:val="004769FB"/>
    <w:rsid w:val="00477383"/>
    <w:rsid w:val="004815D7"/>
    <w:rsid w:val="00482DD5"/>
    <w:rsid w:val="004839F7"/>
    <w:rsid w:val="00484CDF"/>
    <w:rsid w:val="00486CBD"/>
    <w:rsid w:val="00491BBD"/>
    <w:rsid w:val="00493086"/>
    <w:rsid w:val="0049327E"/>
    <w:rsid w:val="004937D0"/>
    <w:rsid w:val="004941DE"/>
    <w:rsid w:val="0049473B"/>
    <w:rsid w:val="00495844"/>
    <w:rsid w:val="00495BCE"/>
    <w:rsid w:val="00496C46"/>
    <w:rsid w:val="00497BC2"/>
    <w:rsid w:val="004A08B9"/>
    <w:rsid w:val="004A130E"/>
    <w:rsid w:val="004A1A97"/>
    <w:rsid w:val="004A1C2B"/>
    <w:rsid w:val="004A1DAB"/>
    <w:rsid w:val="004A1EEE"/>
    <w:rsid w:val="004A1F80"/>
    <w:rsid w:val="004A2467"/>
    <w:rsid w:val="004A2635"/>
    <w:rsid w:val="004A2BF7"/>
    <w:rsid w:val="004A3075"/>
    <w:rsid w:val="004A3B61"/>
    <w:rsid w:val="004A4B92"/>
    <w:rsid w:val="004A5F79"/>
    <w:rsid w:val="004A61A0"/>
    <w:rsid w:val="004A6861"/>
    <w:rsid w:val="004B0540"/>
    <w:rsid w:val="004B06F4"/>
    <w:rsid w:val="004B0D86"/>
    <w:rsid w:val="004B18A1"/>
    <w:rsid w:val="004B2A00"/>
    <w:rsid w:val="004B2BCE"/>
    <w:rsid w:val="004B4E6B"/>
    <w:rsid w:val="004B5397"/>
    <w:rsid w:val="004B5BB2"/>
    <w:rsid w:val="004B5F6A"/>
    <w:rsid w:val="004B5FA3"/>
    <w:rsid w:val="004B65C8"/>
    <w:rsid w:val="004B6680"/>
    <w:rsid w:val="004B6CE6"/>
    <w:rsid w:val="004C1901"/>
    <w:rsid w:val="004C1937"/>
    <w:rsid w:val="004C2365"/>
    <w:rsid w:val="004C24A4"/>
    <w:rsid w:val="004C27A3"/>
    <w:rsid w:val="004C2D06"/>
    <w:rsid w:val="004C3AB8"/>
    <w:rsid w:val="004C3D31"/>
    <w:rsid w:val="004C4533"/>
    <w:rsid w:val="004C5F83"/>
    <w:rsid w:val="004C5F94"/>
    <w:rsid w:val="004C602B"/>
    <w:rsid w:val="004C6CA8"/>
    <w:rsid w:val="004C6F02"/>
    <w:rsid w:val="004C78EB"/>
    <w:rsid w:val="004D0504"/>
    <w:rsid w:val="004D1385"/>
    <w:rsid w:val="004D2265"/>
    <w:rsid w:val="004D322A"/>
    <w:rsid w:val="004D4971"/>
    <w:rsid w:val="004D5224"/>
    <w:rsid w:val="004D5324"/>
    <w:rsid w:val="004D5463"/>
    <w:rsid w:val="004D583F"/>
    <w:rsid w:val="004D7BAE"/>
    <w:rsid w:val="004D7C2E"/>
    <w:rsid w:val="004D7EB7"/>
    <w:rsid w:val="004E0984"/>
    <w:rsid w:val="004E114C"/>
    <w:rsid w:val="004E156D"/>
    <w:rsid w:val="004E1BD2"/>
    <w:rsid w:val="004E28C3"/>
    <w:rsid w:val="004E3899"/>
    <w:rsid w:val="004E50D6"/>
    <w:rsid w:val="004E5888"/>
    <w:rsid w:val="004E71A7"/>
    <w:rsid w:val="004F24A1"/>
    <w:rsid w:val="004F327D"/>
    <w:rsid w:val="004F39FD"/>
    <w:rsid w:val="004F451A"/>
    <w:rsid w:val="004F47D9"/>
    <w:rsid w:val="004F4FF6"/>
    <w:rsid w:val="004F5D70"/>
    <w:rsid w:val="004F616B"/>
    <w:rsid w:val="004F651F"/>
    <w:rsid w:val="004F6A66"/>
    <w:rsid w:val="004F7B72"/>
    <w:rsid w:val="00500352"/>
    <w:rsid w:val="00501EA1"/>
    <w:rsid w:val="00502C05"/>
    <w:rsid w:val="00502ED3"/>
    <w:rsid w:val="005048C0"/>
    <w:rsid w:val="00505134"/>
    <w:rsid w:val="00505993"/>
    <w:rsid w:val="00505BA5"/>
    <w:rsid w:val="0050671A"/>
    <w:rsid w:val="005072DD"/>
    <w:rsid w:val="00507752"/>
    <w:rsid w:val="00507F08"/>
    <w:rsid w:val="00511FB6"/>
    <w:rsid w:val="005130C9"/>
    <w:rsid w:val="0051326E"/>
    <w:rsid w:val="00513F12"/>
    <w:rsid w:val="00515087"/>
    <w:rsid w:val="0051656A"/>
    <w:rsid w:val="00516CBB"/>
    <w:rsid w:val="00516CF1"/>
    <w:rsid w:val="005210C0"/>
    <w:rsid w:val="00521243"/>
    <w:rsid w:val="00521E7E"/>
    <w:rsid w:val="0052276B"/>
    <w:rsid w:val="005229AE"/>
    <w:rsid w:val="005229CC"/>
    <w:rsid w:val="00522B65"/>
    <w:rsid w:val="00522D04"/>
    <w:rsid w:val="005235D7"/>
    <w:rsid w:val="005235E8"/>
    <w:rsid w:val="005239DA"/>
    <w:rsid w:val="00524229"/>
    <w:rsid w:val="00524A8D"/>
    <w:rsid w:val="005256C1"/>
    <w:rsid w:val="00527A80"/>
    <w:rsid w:val="0053101F"/>
    <w:rsid w:val="00531523"/>
    <w:rsid w:val="005326FE"/>
    <w:rsid w:val="00533835"/>
    <w:rsid w:val="0053413E"/>
    <w:rsid w:val="00534DE0"/>
    <w:rsid w:val="00536380"/>
    <w:rsid w:val="005379DC"/>
    <w:rsid w:val="00540A6D"/>
    <w:rsid w:val="00540BBB"/>
    <w:rsid w:val="00540E94"/>
    <w:rsid w:val="005411F0"/>
    <w:rsid w:val="005412EE"/>
    <w:rsid w:val="00541F21"/>
    <w:rsid w:val="0054474D"/>
    <w:rsid w:val="00545282"/>
    <w:rsid w:val="00546C12"/>
    <w:rsid w:val="00547867"/>
    <w:rsid w:val="00551B8A"/>
    <w:rsid w:val="005542A9"/>
    <w:rsid w:val="005560A3"/>
    <w:rsid w:val="0055617D"/>
    <w:rsid w:val="00556B0F"/>
    <w:rsid w:val="0055719B"/>
    <w:rsid w:val="0055756A"/>
    <w:rsid w:val="0055772B"/>
    <w:rsid w:val="00557F16"/>
    <w:rsid w:val="00560491"/>
    <w:rsid w:val="00560978"/>
    <w:rsid w:val="00564917"/>
    <w:rsid w:val="00565288"/>
    <w:rsid w:val="005660D1"/>
    <w:rsid w:val="00567134"/>
    <w:rsid w:val="00571885"/>
    <w:rsid w:val="00572022"/>
    <w:rsid w:val="00572856"/>
    <w:rsid w:val="00572FAD"/>
    <w:rsid w:val="00573AFF"/>
    <w:rsid w:val="00573C4A"/>
    <w:rsid w:val="0057450D"/>
    <w:rsid w:val="005748C3"/>
    <w:rsid w:val="005752ED"/>
    <w:rsid w:val="005768E7"/>
    <w:rsid w:val="00577078"/>
    <w:rsid w:val="0057781A"/>
    <w:rsid w:val="00577AD5"/>
    <w:rsid w:val="00577DB3"/>
    <w:rsid w:val="00580194"/>
    <w:rsid w:val="00580A82"/>
    <w:rsid w:val="00580BF2"/>
    <w:rsid w:val="00580EF1"/>
    <w:rsid w:val="00581250"/>
    <w:rsid w:val="00581BBA"/>
    <w:rsid w:val="00581C6A"/>
    <w:rsid w:val="00582E56"/>
    <w:rsid w:val="0058307E"/>
    <w:rsid w:val="00583F19"/>
    <w:rsid w:val="005842D5"/>
    <w:rsid w:val="00584E04"/>
    <w:rsid w:val="00586C5B"/>
    <w:rsid w:val="0059044B"/>
    <w:rsid w:val="005904E6"/>
    <w:rsid w:val="0059208A"/>
    <w:rsid w:val="00592F82"/>
    <w:rsid w:val="00592FB4"/>
    <w:rsid w:val="00593A2F"/>
    <w:rsid w:val="00593C6A"/>
    <w:rsid w:val="00594515"/>
    <w:rsid w:val="00594731"/>
    <w:rsid w:val="00594C15"/>
    <w:rsid w:val="005957F2"/>
    <w:rsid w:val="005972F5"/>
    <w:rsid w:val="00597FEB"/>
    <w:rsid w:val="005A117F"/>
    <w:rsid w:val="005A24C2"/>
    <w:rsid w:val="005A2C7A"/>
    <w:rsid w:val="005A2D43"/>
    <w:rsid w:val="005A3233"/>
    <w:rsid w:val="005A3FED"/>
    <w:rsid w:val="005A4024"/>
    <w:rsid w:val="005A4814"/>
    <w:rsid w:val="005A5F65"/>
    <w:rsid w:val="005A6110"/>
    <w:rsid w:val="005A65AB"/>
    <w:rsid w:val="005A68C7"/>
    <w:rsid w:val="005A6E4C"/>
    <w:rsid w:val="005A7833"/>
    <w:rsid w:val="005A7F24"/>
    <w:rsid w:val="005B017F"/>
    <w:rsid w:val="005B043B"/>
    <w:rsid w:val="005B0809"/>
    <w:rsid w:val="005B33E8"/>
    <w:rsid w:val="005B3430"/>
    <w:rsid w:val="005B3593"/>
    <w:rsid w:val="005B3608"/>
    <w:rsid w:val="005B4DD9"/>
    <w:rsid w:val="005B5023"/>
    <w:rsid w:val="005B522C"/>
    <w:rsid w:val="005B5D3A"/>
    <w:rsid w:val="005B6260"/>
    <w:rsid w:val="005B6269"/>
    <w:rsid w:val="005B7A5D"/>
    <w:rsid w:val="005B7B38"/>
    <w:rsid w:val="005C093B"/>
    <w:rsid w:val="005C2632"/>
    <w:rsid w:val="005C39C8"/>
    <w:rsid w:val="005C3F5E"/>
    <w:rsid w:val="005C451B"/>
    <w:rsid w:val="005C4AF6"/>
    <w:rsid w:val="005C5010"/>
    <w:rsid w:val="005C7273"/>
    <w:rsid w:val="005C7655"/>
    <w:rsid w:val="005C7DBE"/>
    <w:rsid w:val="005D021B"/>
    <w:rsid w:val="005D028A"/>
    <w:rsid w:val="005D0814"/>
    <w:rsid w:val="005D16F6"/>
    <w:rsid w:val="005D1D88"/>
    <w:rsid w:val="005D1E33"/>
    <w:rsid w:val="005D2075"/>
    <w:rsid w:val="005D2BFB"/>
    <w:rsid w:val="005D31E8"/>
    <w:rsid w:val="005D3D77"/>
    <w:rsid w:val="005D4A49"/>
    <w:rsid w:val="005D635E"/>
    <w:rsid w:val="005D6367"/>
    <w:rsid w:val="005D6420"/>
    <w:rsid w:val="005D704D"/>
    <w:rsid w:val="005E0F73"/>
    <w:rsid w:val="005E1513"/>
    <w:rsid w:val="005E30F7"/>
    <w:rsid w:val="005E3CB4"/>
    <w:rsid w:val="005E5158"/>
    <w:rsid w:val="005E5366"/>
    <w:rsid w:val="005E656B"/>
    <w:rsid w:val="005E6CFA"/>
    <w:rsid w:val="005E7298"/>
    <w:rsid w:val="005F0116"/>
    <w:rsid w:val="005F15F0"/>
    <w:rsid w:val="005F2A2E"/>
    <w:rsid w:val="005F373F"/>
    <w:rsid w:val="005F3AE3"/>
    <w:rsid w:val="005F49BE"/>
    <w:rsid w:val="005F4AAA"/>
    <w:rsid w:val="005F6053"/>
    <w:rsid w:val="005F6668"/>
    <w:rsid w:val="00601BF2"/>
    <w:rsid w:val="00602EA3"/>
    <w:rsid w:val="00603223"/>
    <w:rsid w:val="00603FDD"/>
    <w:rsid w:val="006061ED"/>
    <w:rsid w:val="0060643B"/>
    <w:rsid w:val="006071DD"/>
    <w:rsid w:val="00610897"/>
    <w:rsid w:val="0061191F"/>
    <w:rsid w:val="00611F06"/>
    <w:rsid w:val="0061253C"/>
    <w:rsid w:val="00615A58"/>
    <w:rsid w:val="006163F4"/>
    <w:rsid w:val="00616792"/>
    <w:rsid w:val="00616C4B"/>
    <w:rsid w:val="006171F1"/>
    <w:rsid w:val="0061789D"/>
    <w:rsid w:val="006206C7"/>
    <w:rsid w:val="006234DF"/>
    <w:rsid w:val="00623B7C"/>
    <w:rsid w:val="00623F5C"/>
    <w:rsid w:val="006241BC"/>
    <w:rsid w:val="00624A24"/>
    <w:rsid w:val="00626309"/>
    <w:rsid w:val="006264A6"/>
    <w:rsid w:val="00626829"/>
    <w:rsid w:val="006307E4"/>
    <w:rsid w:val="00630A6C"/>
    <w:rsid w:val="00633FC2"/>
    <w:rsid w:val="00634044"/>
    <w:rsid w:val="006340D2"/>
    <w:rsid w:val="0063435D"/>
    <w:rsid w:val="00635777"/>
    <w:rsid w:val="00635E47"/>
    <w:rsid w:val="0063729A"/>
    <w:rsid w:val="00640380"/>
    <w:rsid w:val="00640C93"/>
    <w:rsid w:val="00641FDA"/>
    <w:rsid w:val="006421BC"/>
    <w:rsid w:val="00642297"/>
    <w:rsid w:val="0064273E"/>
    <w:rsid w:val="00644F68"/>
    <w:rsid w:val="00646424"/>
    <w:rsid w:val="00646993"/>
    <w:rsid w:val="00646D7E"/>
    <w:rsid w:val="00647491"/>
    <w:rsid w:val="006476DC"/>
    <w:rsid w:val="00647846"/>
    <w:rsid w:val="00647858"/>
    <w:rsid w:val="00647906"/>
    <w:rsid w:val="00647B40"/>
    <w:rsid w:val="00650C41"/>
    <w:rsid w:val="00651202"/>
    <w:rsid w:val="00651443"/>
    <w:rsid w:val="00651673"/>
    <w:rsid w:val="00652311"/>
    <w:rsid w:val="006524B6"/>
    <w:rsid w:val="00652D84"/>
    <w:rsid w:val="006546D8"/>
    <w:rsid w:val="0065586C"/>
    <w:rsid w:val="00656732"/>
    <w:rsid w:val="006569B7"/>
    <w:rsid w:val="00656ED3"/>
    <w:rsid w:val="00660007"/>
    <w:rsid w:val="0066176B"/>
    <w:rsid w:val="0066284C"/>
    <w:rsid w:val="0066291F"/>
    <w:rsid w:val="006635C2"/>
    <w:rsid w:val="00664556"/>
    <w:rsid w:val="0066534A"/>
    <w:rsid w:val="0066541E"/>
    <w:rsid w:val="00665861"/>
    <w:rsid w:val="0066647C"/>
    <w:rsid w:val="00667567"/>
    <w:rsid w:val="00667B77"/>
    <w:rsid w:val="00670AE8"/>
    <w:rsid w:val="00672174"/>
    <w:rsid w:val="00672721"/>
    <w:rsid w:val="0067275E"/>
    <w:rsid w:val="00672E5A"/>
    <w:rsid w:val="0067410D"/>
    <w:rsid w:val="006753D6"/>
    <w:rsid w:val="00675A99"/>
    <w:rsid w:val="00675EFE"/>
    <w:rsid w:val="006773C6"/>
    <w:rsid w:val="006777E9"/>
    <w:rsid w:val="00677FD7"/>
    <w:rsid w:val="00681731"/>
    <w:rsid w:val="00681750"/>
    <w:rsid w:val="00681F34"/>
    <w:rsid w:val="00682B31"/>
    <w:rsid w:val="006839C5"/>
    <w:rsid w:val="00683C34"/>
    <w:rsid w:val="0068441A"/>
    <w:rsid w:val="00684E62"/>
    <w:rsid w:val="00685CFC"/>
    <w:rsid w:val="006863E1"/>
    <w:rsid w:val="0068668C"/>
    <w:rsid w:val="0069009E"/>
    <w:rsid w:val="006902C2"/>
    <w:rsid w:val="0069140A"/>
    <w:rsid w:val="00692899"/>
    <w:rsid w:val="00693926"/>
    <w:rsid w:val="00693FF9"/>
    <w:rsid w:val="006944A6"/>
    <w:rsid w:val="006947C2"/>
    <w:rsid w:val="006950A9"/>
    <w:rsid w:val="006959EF"/>
    <w:rsid w:val="00696809"/>
    <w:rsid w:val="00696D65"/>
    <w:rsid w:val="00697942"/>
    <w:rsid w:val="00697B35"/>
    <w:rsid w:val="006A0EAC"/>
    <w:rsid w:val="006A19B8"/>
    <w:rsid w:val="006A258B"/>
    <w:rsid w:val="006A38C8"/>
    <w:rsid w:val="006A4190"/>
    <w:rsid w:val="006A4AE0"/>
    <w:rsid w:val="006A4CD1"/>
    <w:rsid w:val="006A59E3"/>
    <w:rsid w:val="006A780C"/>
    <w:rsid w:val="006B01A3"/>
    <w:rsid w:val="006B0E06"/>
    <w:rsid w:val="006B1648"/>
    <w:rsid w:val="006B18C2"/>
    <w:rsid w:val="006B1A7E"/>
    <w:rsid w:val="006B312E"/>
    <w:rsid w:val="006B3AE2"/>
    <w:rsid w:val="006B4346"/>
    <w:rsid w:val="006B4778"/>
    <w:rsid w:val="006B57C1"/>
    <w:rsid w:val="006B7BCB"/>
    <w:rsid w:val="006C0185"/>
    <w:rsid w:val="006C0C6F"/>
    <w:rsid w:val="006C259B"/>
    <w:rsid w:val="006C2603"/>
    <w:rsid w:val="006C2A59"/>
    <w:rsid w:val="006C39DC"/>
    <w:rsid w:val="006C3C49"/>
    <w:rsid w:val="006C458D"/>
    <w:rsid w:val="006C728F"/>
    <w:rsid w:val="006C7363"/>
    <w:rsid w:val="006D0250"/>
    <w:rsid w:val="006D0C19"/>
    <w:rsid w:val="006D0E08"/>
    <w:rsid w:val="006D1517"/>
    <w:rsid w:val="006D1DB5"/>
    <w:rsid w:val="006D2AF9"/>
    <w:rsid w:val="006D359D"/>
    <w:rsid w:val="006D3DAF"/>
    <w:rsid w:val="006D3E86"/>
    <w:rsid w:val="006D4645"/>
    <w:rsid w:val="006D51A5"/>
    <w:rsid w:val="006D5467"/>
    <w:rsid w:val="006D5497"/>
    <w:rsid w:val="006D57AB"/>
    <w:rsid w:val="006D5DB8"/>
    <w:rsid w:val="006D7773"/>
    <w:rsid w:val="006D781A"/>
    <w:rsid w:val="006D7EF1"/>
    <w:rsid w:val="006E07B1"/>
    <w:rsid w:val="006E1B06"/>
    <w:rsid w:val="006E31D2"/>
    <w:rsid w:val="006E3292"/>
    <w:rsid w:val="006E37A7"/>
    <w:rsid w:val="006E42CB"/>
    <w:rsid w:val="006E58A9"/>
    <w:rsid w:val="006E6068"/>
    <w:rsid w:val="006E6195"/>
    <w:rsid w:val="006F05A5"/>
    <w:rsid w:val="006F0BA2"/>
    <w:rsid w:val="006F0E54"/>
    <w:rsid w:val="006F0F17"/>
    <w:rsid w:val="006F13F6"/>
    <w:rsid w:val="006F1EF7"/>
    <w:rsid w:val="006F287D"/>
    <w:rsid w:val="006F2E4A"/>
    <w:rsid w:val="006F3110"/>
    <w:rsid w:val="006F3E45"/>
    <w:rsid w:val="006F3F0D"/>
    <w:rsid w:val="006F424F"/>
    <w:rsid w:val="006F4D2D"/>
    <w:rsid w:val="006F5296"/>
    <w:rsid w:val="006F59D1"/>
    <w:rsid w:val="006F7308"/>
    <w:rsid w:val="007031A5"/>
    <w:rsid w:val="00703FD2"/>
    <w:rsid w:val="0070406C"/>
    <w:rsid w:val="0070490C"/>
    <w:rsid w:val="007056ED"/>
    <w:rsid w:val="00706010"/>
    <w:rsid w:val="00706799"/>
    <w:rsid w:val="00707DCF"/>
    <w:rsid w:val="00711711"/>
    <w:rsid w:val="00714066"/>
    <w:rsid w:val="00714621"/>
    <w:rsid w:val="00714804"/>
    <w:rsid w:val="0071568B"/>
    <w:rsid w:val="007156F1"/>
    <w:rsid w:val="007159B3"/>
    <w:rsid w:val="00715B3A"/>
    <w:rsid w:val="00715B46"/>
    <w:rsid w:val="00715FE6"/>
    <w:rsid w:val="00716A40"/>
    <w:rsid w:val="0071745D"/>
    <w:rsid w:val="00720DCA"/>
    <w:rsid w:val="007210A0"/>
    <w:rsid w:val="00721936"/>
    <w:rsid w:val="0072228E"/>
    <w:rsid w:val="00722DED"/>
    <w:rsid w:val="00722F6B"/>
    <w:rsid w:val="00723131"/>
    <w:rsid w:val="00723B90"/>
    <w:rsid w:val="00724401"/>
    <w:rsid w:val="007250DA"/>
    <w:rsid w:val="00726FCD"/>
    <w:rsid w:val="00727073"/>
    <w:rsid w:val="007316E1"/>
    <w:rsid w:val="007320A3"/>
    <w:rsid w:val="0073254C"/>
    <w:rsid w:val="00732F4C"/>
    <w:rsid w:val="00733A7C"/>
    <w:rsid w:val="00733EAB"/>
    <w:rsid w:val="00733FBA"/>
    <w:rsid w:val="00734C05"/>
    <w:rsid w:val="00736B26"/>
    <w:rsid w:val="0074212C"/>
    <w:rsid w:val="007422F8"/>
    <w:rsid w:val="007423AA"/>
    <w:rsid w:val="00742CD1"/>
    <w:rsid w:val="0074314E"/>
    <w:rsid w:val="007442BB"/>
    <w:rsid w:val="00745959"/>
    <w:rsid w:val="00745AE8"/>
    <w:rsid w:val="00746C41"/>
    <w:rsid w:val="00746F0C"/>
    <w:rsid w:val="007474EA"/>
    <w:rsid w:val="007478C3"/>
    <w:rsid w:val="007517E0"/>
    <w:rsid w:val="007517F2"/>
    <w:rsid w:val="00751D82"/>
    <w:rsid w:val="00752146"/>
    <w:rsid w:val="00752440"/>
    <w:rsid w:val="00752E53"/>
    <w:rsid w:val="007533F6"/>
    <w:rsid w:val="00755577"/>
    <w:rsid w:val="00755A3B"/>
    <w:rsid w:val="0076068E"/>
    <w:rsid w:val="00760F17"/>
    <w:rsid w:val="00761407"/>
    <w:rsid w:val="00761DF4"/>
    <w:rsid w:val="00762D84"/>
    <w:rsid w:val="00763C64"/>
    <w:rsid w:val="00764009"/>
    <w:rsid w:val="00764996"/>
    <w:rsid w:val="00764C09"/>
    <w:rsid w:val="00764C4C"/>
    <w:rsid w:val="00764F05"/>
    <w:rsid w:val="00765515"/>
    <w:rsid w:val="00765E6A"/>
    <w:rsid w:val="0077152C"/>
    <w:rsid w:val="00771BB8"/>
    <w:rsid w:val="007721F3"/>
    <w:rsid w:val="0077245E"/>
    <w:rsid w:val="00772B15"/>
    <w:rsid w:val="00772C92"/>
    <w:rsid w:val="00773140"/>
    <w:rsid w:val="0077482E"/>
    <w:rsid w:val="007758B0"/>
    <w:rsid w:val="00776D10"/>
    <w:rsid w:val="00776FCD"/>
    <w:rsid w:val="00777C54"/>
    <w:rsid w:val="007801AB"/>
    <w:rsid w:val="00780E6F"/>
    <w:rsid w:val="00781D6E"/>
    <w:rsid w:val="00781E36"/>
    <w:rsid w:val="0078214D"/>
    <w:rsid w:val="00782813"/>
    <w:rsid w:val="00782A36"/>
    <w:rsid w:val="00784EC5"/>
    <w:rsid w:val="00785AF6"/>
    <w:rsid w:val="00787921"/>
    <w:rsid w:val="00787F80"/>
    <w:rsid w:val="00791B99"/>
    <w:rsid w:val="00792EB6"/>
    <w:rsid w:val="007941D5"/>
    <w:rsid w:val="0079465F"/>
    <w:rsid w:val="00794C28"/>
    <w:rsid w:val="00794DBD"/>
    <w:rsid w:val="00794E5F"/>
    <w:rsid w:val="007953EA"/>
    <w:rsid w:val="007960EF"/>
    <w:rsid w:val="0079725E"/>
    <w:rsid w:val="00797ADC"/>
    <w:rsid w:val="00797BCA"/>
    <w:rsid w:val="007A1941"/>
    <w:rsid w:val="007A1C2F"/>
    <w:rsid w:val="007A2F5C"/>
    <w:rsid w:val="007A518F"/>
    <w:rsid w:val="007A56BC"/>
    <w:rsid w:val="007A5F59"/>
    <w:rsid w:val="007A609A"/>
    <w:rsid w:val="007A67A3"/>
    <w:rsid w:val="007A68E4"/>
    <w:rsid w:val="007A6CDE"/>
    <w:rsid w:val="007A7505"/>
    <w:rsid w:val="007A76DD"/>
    <w:rsid w:val="007B0359"/>
    <w:rsid w:val="007B054B"/>
    <w:rsid w:val="007B0A21"/>
    <w:rsid w:val="007B0F04"/>
    <w:rsid w:val="007B296C"/>
    <w:rsid w:val="007B3234"/>
    <w:rsid w:val="007B33B2"/>
    <w:rsid w:val="007B3977"/>
    <w:rsid w:val="007B40B6"/>
    <w:rsid w:val="007B47B0"/>
    <w:rsid w:val="007B49B8"/>
    <w:rsid w:val="007B59F0"/>
    <w:rsid w:val="007B7561"/>
    <w:rsid w:val="007B76EF"/>
    <w:rsid w:val="007C362C"/>
    <w:rsid w:val="007C40B5"/>
    <w:rsid w:val="007C5AC5"/>
    <w:rsid w:val="007C5BDF"/>
    <w:rsid w:val="007C656A"/>
    <w:rsid w:val="007C68CC"/>
    <w:rsid w:val="007C79AB"/>
    <w:rsid w:val="007D1785"/>
    <w:rsid w:val="007D1EA1"/>
    <w:rsid w:val="007D2623"/>
    <w:rsid w:val="007D378D"/>
    <w:rsid w:val="007D390C"/>
    <w:rsid w:val="007D39B9"/>
    <w:rsid w:val="007D3A26"/>
    <w:rsid w:val="007D3C84"/>
    <w:rsid w:val="007D493A"/>
    <w:rsid w:val="007D5840"/>
    <w:rsid w:val="007D67C9"/>
    <w:rsid w:val="007D7317"/>
    <w:rsid w:val="007E1666"/>
    <w:rsid w:val="007E166A"/>
    <w:rsid w:val="007E26E6"/>
    <w:rsid w:val="007E290B"/>
    <w:rsid w:val="007E40FB"/>
    <w:rsid w:val="007E4C3F"/>
    <w:rsid w:val="007E5641"/>
    <w:rsid w:val="007E59D4"/>
    <w:rsid w:val="007E5D34"/>
    <w:rsid w:val="007E61D2"/>
    <w:rsid w:val="007E65AA"/>
    <w:rsid w:val="007E6BF8"/>
    <w:rsid w:val="007E72B9"/>
    <w:rsid w:val="007E779A"/>
    <w:rsid w:val="007E7B73"/>
    <w:rsid w:val="007E7BA2"/>
    <w:rsid w:val="007E7D82"/>
    <w:rsid w:val="007F0DA4"/>
    <w:rsid w:val="007F1206"/>
    <w:rsid w:val="007F1FB0"/>
    <w:rsid w:val="007F33A7"/>
    <w:rsid w:val="007F3658"/>
    <w:rsid w:val="007F3CEB"/>
    <w:rsid w:val="007F5281"/>
    <w:rsid w:val="007F54A1"/>
    <w:rsid w:val="007F588E"/>
    <w:rsid w:val="007F76CF"/>
    <w:rsid w:val="00802BD0"/>
    <w:rsid w:val="0080331B"/>
    <w:rsid w:val="008041CD"/>
    <w:rsid w:val="00804690"/>
    <w:rsid w:val="008047FB"/>
    <w:rsid w:val="00804DA2"/>
    <w:rsid w:val="00804F23"/>
    <w:rsid w:val="008065FB"/>
    <w:rsid w:val="0080666A"/>
    <w:rsid w:val="008066F3"/>
    <w:rsid w:val="00806E5F"/>
    <w:rsid w:val="008077CF"/>
    <w:rsid w:val="008100B3"/>
    <w:rsid w:val="0081042C"/>
    <w:rsid w:val="0081119B"/>
    <w:rsid w:val="008114DE"/>
    <w:rsid w:val="00812176"/>
    <w:rsid w:val="00812DFE"/>
    <w:rsid w:val="008135CA"/>
    <w:rsid w:val="008136CD"/>
    <w:rsid w:val="00813E80"/>
    <w:rsid w:val="00817B99"/>
    <w:rsid w:val="00821501"/>
    <w:rsid w:val="00821A19"/>
    <w:rsid w:val="008220A2"/>
    <w:rsid w:val="008220EA"/>
    <w:rsid w:val="00822332"/>
    <w:rsid w:val="00823873"/>
    <w:rsid w:val="008241EB"/>
    <w:rsid w:val="0082437F"/>
    <w:rsid w:val="00824ABE"/>
    <w:rsid w:val="00825486"/>
    <w:rsid w:val="00826DF7"/>
    <w:rsid w:val="00830B77"/>
    <w:rsid w:val="00830C21"/>
    <w:rsid w:val="00831D4B"/>
    <w:rsid w:val="00832C02"/>
    <w:rsid w:val="00832DA3"/>
    <w:rsid w:val="0083307A"/>
    <w:rsid w:val="008331BF"/>
    <w:rsid w:val="00833297"/>
    <w:rsid w:val="00834894"/>
    <w:rsid w:val="0083692A"/>
    <w:rsid w:val="008401C9"/>
    <w:rsid w:val="008408D1"/>
    <w:rsid w:val="00840930"/>
    <w:rsid w:val="00840A5F"/>
    <w:rsid w:val="0084136D"/>
    <w:rsid w:val="00841ECE"/>
    <w:rsid w:val="008438C4"/>
    <w:rsid w:val="00844911"/>
    <w:rsid w:val="00844FD9"/>
    <w:rsid w:val="00845C05"/>
    <w:rsid w:val="0084702B"/>
    <w:rsid w:val="00847355"/>
    <w:rsid w:val="0084770E"/>
    <w:rsid w:val="00847F67"/>
    <w:rsid w:val="00851A0D"/>
    <w:rsid w:val="0085210E"/>
    <w:rsid w:val="0085228E"/>
    <w:rsid w:val="0085256B"/>
    <w:rsid w:val="008529D5"/>
    <w:rsid w:val="0085329A"/>
    <w:rsid w:val="008532DB"/>
    <w:rsid w:val="0085395B"/>
    <w:rsid w:val="00853C7A"/>
    <w:rsid w:val="00853FE3"/>
    <w:rsid w:val="00854661"/>
    <w:rsid w:val="00854A4F"/>
    <w:rsid w:val="00854A6C"/>
    <w:rsid w:val="00855D8F"/>
    <w:rsid w:val="00856772"/>
    <w:rsid w:val="008577C7"/>
    <w:rsid w:val="0086054F"/>
    <w:rsid w:val="0086097D"/>
    <w:rsid w:val="008614F0"/>
    <w:rsid w:val="00861D13"/>
    <w:rsid w:val="00861D67"/>
    <w:rsid w:val="00862146"/>
    <w:rsid w:val="008624B6"/>
    <w:rsid w:val="00864F58"/>
    <w:rsid w:val="00865235"/>
    <w:rsid w:val="00865904"/>
    <w:rsid w:val="00866620"/>
    <w:rsid w:val="00866A16"/>
    <w:rsid w:val="0086737F"/>
    <w:rsid w:val="008676E1"/>
    <w:rsid w:val="00870780"/>
    <w:rsid w:val="008715D9"/>
    <w:rsid w:val="0087263B"/>
    <w:rsid w:val="008757B6"/>
    <w:rsid w:val="00875FC3"/>
    <w:rsid w:val="00876779"/>
    <w:rsid w:val="00876AE4"/>
    <w:rsid w:val="0087774D"/>
    <w:rsid w:val="008805A2"/>
    <w:rsid w:val="00880D8E"/>
    <w:rsid w:val="00881A90"/>
    <w:rsid w:val="008828FD"/>
    <w:rsid w:val="008832B2"/>
    <w:rsid w:val="00883440"/>
    <w:rsid w:val="0088494D"/>
    <w:rsid w:val="00884ADF"/>
    <w:rsid w:val="00891395"/>
    <w:rsid w:val="008916E5"/>
    <w:rsid w:val="008925F4"/>
    <w:rsid w:val="008927D6"/>
    <w:rsid w:val="008956BE"/>
    <w:rsid w:val="00896437"/>
    <w:rsid w:val="00896738"/>
    <w:rsid w:val="00896AF4"/>
    <w:rsid w:val="00896FFC"/>
    <w:rsid w:val="0089731A"/>
    <w:rsid w:val="008A02F3"/>
    <w:rsid w:val="008A075B"/>
    <w:rsid w:val="008A27AB"/>
    <w:rsid w:val="008A2D14"/>
    <w:rsid w:val="008A2D9C"/>
    <w:rsid w:val="008A3196"/>
    <w:rsid w:val="008A382B"/>
    <w:rsid w:val="008A3EFF"/>
    <w:rsid w:val="008A4C79"/>
    <w:rsid w:val="008A57CB"/>
    <w:rsid w:val="008A59DD"/>
    <w:rsid w:val="008A5F9E"/>
    <w:rsid w:val="008A61AF"/>
    <w:rsid w:val="008A62C5"/>
    <w:rsid w:val="008A6384"/>
    <w:rsid w:val="008A723D"/>
    <w:rsid w:val="008B1EE9"/>
    <w:rsid w:val="008B2589"/>
    <w:rsid w:val="008B2C1E"/>
    <w:rsid w:val="008B3229"/>
    <w:rsid w:val="008B3DDC"/>
    <w:rsid w:val="008B3E3B"/>
    <w:rsid w:val="008B5319"/>
    <w:rsid w:val="008B54B5"/>
    <w:rsid w:val="008B5743"/>
    <w:rsid w:val="008B5D99"/>
    <w:rsid w:val="008B6341"/>
    <w:rsid w:val="008B692C"/>
    <w:rsid w:val="008B6F61"/>
    <w:rsid w:val="008B7083"/>
    <w:rsid w:val="008B7E9F"/>
    <w:rsid w:val="008B7ED0"/>
    <w:rsid w:val="008C0BBD"/>
    <w:rsid w:val="008C0D38"/>
    <w:rsid w:val="008C28EC"/>
    <w:rsid w:val="008C2A5B"/>
    <w:rsid w:val="008C37FA"/>
    <w:rsid w:val="008C55AF"/>
    <w:rsid w:val="008C7294"/>
    <w:rsid w:val="008C72CF"/>
    <w:rsid w:val="008C7DCF"/>
    <w:rsid w:val="008D055F"/>
    <w:rsid w:val="008D098D"/>
    <w:rsid w:val="008D0B8C"/>
    <w:rsid w:val="008D11BC"/>
    <w:rsid w:val="008D13D2"/>
    <w:rsid w:val="008D15EE"/>
    <w:rsid w:val="008D1881"/>
    <w:rsid w:val="008D1DAF"/>
    <w:rsid w:val="008D2964"/>
    <w:rsid w:val="008D478C"/>
    <w:rsid w:val="008D4935"/>
    <w:rsid w:val="008D55AD"/>
    <w:rsid w:val="008D61BB"/>
    <w:rsid w:val="008D734C"/>
    <w:rsid w:val="008E1A07"/>
    <w:rsid w:val="008E1BAA"/>
    <w:rsid w:val="008E1D41"/>
    <w:rsid w:val="008E4282"/>
    <w:rsid w:val="008E44DF"/>
    <w:rsid w:val="008E4F4A"/>
    <w:rsid w:val="008E66FA"/>
    <w:rsid w:val="008E693F"/>
    <w:rsid w:val="008E6CA5"/>
    <w:rsid w:val="008E7C28"/>
    <w:rsid w:val="008F012D"/>
    <w:rsid w:val="008F15B4"/>
    <w:rsid w:val="008F23B6"/>
    <w:rsid w:val="008F2612"/>
    <w:rsid w:val="008F2FC0"/>
    <w:rsid w:val="008F4FD6"/>
    <w:rsid w:val="008F7220"/>
    <w:rsid w:val="008F7638"/>
    <w:rsid w:val="00900F96"/>
    <w:rsid w:val="00901114"/>
    <w:rsid w:val="00904104"/>
    <w:rsid w:val="00904600"/>
    <w:rsid w:val="009055E2"/>
    <w:rsid w:val="00906340"/>
    <w:rsid w:val="00911F26"/>
    <w:rsid w:val="009123F1"/>
    <w:rsid w:val="0091295D"/>
    <w:rsid w:val="0091399F"/>
    <w:rsid w:val="00913FA9"/>
    <w:rsid w:val="00914075"/>
    <w:rsid w:val="00914583"/>
    <w:rsid w:val="00914A41"/>
    <w:rsid w:val="009159C9"/>
    <w:rsid w:val="00916A33"/>
    <w:rsid w:val="00916F32"/>
    <w:rsid w:val="009200AE"/>
    <w:rsid w:val="009204EC"/>
    <w:rsid w:val="009205C5"/>
    <w:rsid w:val="00920AFF"/>
    <w:rsid w:val="00921B3B"/>
    <w:rsid w:val="00922C5A"/>
    <w:rsid w:val="0092344A"/>
    <w:rsid w:val="00925024"/>
    <w:rsid w:val="009251B1"/>
    <w:rsid w:val="009254D9"/>
    <w:rsid w:val="009256A3"/>
    <w:rsid w:val="00926A01"/>
    <w:rsid w:val="00926C97"/>
    <w:rsid w:val="009271A0"/>
    <w:rsid w:val="00927250"/>
    <w:rsid w:val="00927871"/>
    <w:rsid w:val="00930069"/>
    <w:rsid w:val="009302AA"/>
    <w:rsid w:val="00930327"/>
    <w:rsid w:val="00930612"/>
    <w:rsid w:val="00931208"/>
    <w:rsid w:val="00932F8A"/>
    <w:rsid w:val="00933BFC"/>
    <w:rsid w:val="00934A47"/>
    <w:rsid w:val="009370A3"/>
    <w:rsid w:val="0094090A"/>
    <w:rsid w:val="00940FF2"/>
    <w:rsid w:val="009415F8"/>
    <w:rsid w:val="00941BF8"/>
    <w:rsid w:val="0094268E"/>
    <w:rsid w:val="009427B3"/>
    <w:rsid w:val="00942AE9"/>
    <w:rsid w:val="00942DA1"/>
    <w:rsid w:val="00943475"/>
    <w:rsid w:val="00945199"/>
    <w:rsid w:val="009459BB"/>
    <w:rsid w:val="00945B11"/>
    <w:rsid w:val="00945B18"/>
    <w:rsid w:val="0094766F"/>
    <w:rsid w:val="00947CCE"/>
    <w:rsid w:val="009502AF"/>
    <w:rsid w:val="00950696"/>
    <w:rsid w:val="009509A9"/>
    <w:rsid w:val="0095436B"/>
    <w:rsid w:val="0095470C"/>
    <w:rsid w:val="00954797"/>
    <w:rsid w:val="0095547C"/>
    <w:rsid w:val="009570A6"/>
    <w:rsid w:val="0095737C"/>
    <w:rsid w:val="00957BC2"/>
    <w:rsid w:val="00957C0A"/>
    <w:rsid w:val="009600AF"/>
    <w:rsid w:val="00960B0C"/>
    <w:rsid w:val="00961AA4"/>
    <w:rsid w:val="00961E6F"/>
    <w:rsid w:val="009621CA"/>
    <w:rsid w:val="009627D1"/>
    <w:rsid w:val="00962DF6"/>
    <w:rsid w:val="00962FEA"/>
    <w:rsid w:val="0096318C"/>
    <w:rsid w:val="00963639"/>
    <w:rsid w:val="00964139"/>
    <w:rsid w:val="00964314"/>
    <w:rsid w:val="00965720"/>
    <w:rsid w:val="0096579D"/>
    <w:rsid w:val="00966618"/>
    <w:rsid w:val="00966F46"/>
    <w:rsid w:val="00966FB5"/>
    <w:rsid w:val="00967C74"/>
    <w:rsid w:val="00970CDE"/>
    <w:rsid w:val="0097113B"/>
    <w:rsid w:val="009726BE"/>
    <w:rsid w:val="0097294E"/>
    <w:rsid w:val="00974F67"/>
    <w:rsid w:val="0097566F"/>
    <w:rsid w:val="009756FE"/>
    <w:rsid w:val="00975EEB"/>
    <w:rsid w:val="0097611C"/>
    <w:rsid w:val="00976335"/>
    <w:rsid w:val="00977659"/>
    <w:rsid w:val="00977A42"/>
    <w:rsid w:val="00977E34"/>
    <w:rsid w:val="0098142B"/>
    <w:rsid w:val="00981F5A"/>
    <w:rsid w:val="00982565"/>
    <w:rsid w:val="00982C2A"/>
    <w:rsid w:val="0098303E"/>
    <w:rsid w:val="00983190"/>
    <w:rsid w:val="0098325F"/>
    <w:rsid w:val="00984324"/>
    <w:rsid w:val="009851D5"/>
    <w:rsid w:val="00986086"/>
    <w:rsid w:val="00986241"/>
    <w:rsid w:val="0098641A"/>
    <w:rsid w:val="00987386"/>
    <w:rsid w:val="00987904"/>
    <w:rsid w:val="00987E65"/>
    <w:rsid w:val="00990842"/>
    <w:rsid w:val="00992260"/>
    <w:rsid w:val="00993B58"/>
    <w:rsid w:val="009949CF"/>
    <w:rsid w:val="009965D1"/>
    <w:rsid w:val="00996A47"/>
    <w:rsid w:val="009A05D8"/>
    <w:rsid w:val="009A0ED1"/>
    <w:rsid w:val="009A2294"/>
    <w:rsid w:val="009A3071"/>
    <w:rsid w:val="009A4198"/>
    <w:rsid w:val="009A4222"/>
    <w:rsid w:val="009A476E"/>
    <w:rsid w:val="009A4812"/>
    <w:rsid w:val="009A4E73"/>
    <w:rsid w:val="009A52A3"/>
    <w:rsid w:val="009A5700"/>
    <w:rsid w:val="009A6553"/>
    <w:rsid w:val="009A6968"/>
    <w:rsid w:val="009A7691"/>
    <w:rsid w:val="009B00FD"/>
    <w:rsid w:val="009B0958"/>
    <w:rsid w:val="009B34F8"/>
    <w:rsid w:val="009B3F92"/>
    <w:rsid w:val="009B41A4"/>
    <w:rsid w:val="009B428C"/>
    <w:rsid w:val="009B4807"/>
    <w:rsid w:val="009B486A"/>
    <w:rsid w:val="009B54ED"/>
    <w:rsid w:val="009B577B"/>
    <w:rsid w:val="009B6D0C"/>
    <w:rsid w:val="009B6E71"/>
    <w:rsid w:val="009C085D"/>
    <w:rsid w:val="009C0B80"/>
    <w:rsid w:val="009C0BC4"/>
    <w:rsid w:val="009C2B0C"/>
    <w:rsid w:val="009C41B8"/>
    <w:rsid w:val="009C42AC"/>
    <w:rsid w:val="009C5821"/>
    <w:rsid w:val="009C730F"/>
    <w:rsid w:val="009C773B"/>
    <w:rsid w:val="009D047E"/>
    <w:rsid w:val="009D1128"/>
    <w:rsid w:val="009D18C2"/>
    <w:rsid w:val="009D1DB0"/>
    <w:rsid w:val="009D3134"/>
    <w:rsid w:val="009D3C6D"/>
    <w:rsid w:val="009D4603"/>
    <w:rsid w:val="009D51D4"/>
    <w:rsid w:val="009D6366"/>
    <w:rsid w:val="009D66D0"/>
    <w:rsid w:val="009E0821"/>
    <w:rsid w:val="009E0AA7"/>
    <w:rsid w:val="009E115B"/>
    <w:rsid w:val="009E1DF2"/>
    <w:rsid w:val="009E2C36"/>
    <w:rsid w:val="009E4671"/>
    <w:rsid w:val="009E6EC3"/>
    <w:rsid w:val="009E709E"/>
    <w:rsid w:val="009F1F54"/>
    <w:rsid w:val="009F2024"/>
    <w:rsid w:val="009F3979"/>
    <w:rsid w:val="009F3CEA"/>
    <w:rsid w:val="009F3E5C"/>
    <w:rsid w:val="009F4A03"/>
    <w:rsid w:val="009F5A75"/>
    <w:rsid w:val="009F600A"/>
    <w:rsid w:val="009F739B"/>
    <w:rsid w:val="009F7873"/>
    <w:rsid w:val="009F7BCE"/>
    <w:rsid w:val="00A0478D"/>
    <w:rsid w:val="00A04A10"/>
    <w:rsid w:val="00A05781"/>
    <w:rsid w:val="00A0578C"/>
    <w:rsid w:val="00A074DD"/>
    <w:rsid w:val="00A103E2"/>
    <w:rsid w:val="00A1068D"/>
    <w:rsid w:val="00A109ED"/>
    <w:rsid w:val="00A11953"/>
    <w:rsid w:val="00A11DE3"/>
    <w:rsid w:val="00A13429"/>
    <w:rsid w:val="00A14ABC"/>
    <w:rsid w:val="00A159D4"/>
    <w:rsid w:val="00A162EF"/>
    <w:rsid w:val="00A167DF"/>
    <w:rsid w:val="00A2102C"/>
    <w:rsid w:val="00A21820"/>
    <w:rsid w:val="00A22C65"/>
    <w:rsid w:val="00A23186"/>
    <w:rsid w:val="00A239C2"/>
    <w:rsid w:val="00A24239"/>
    <w:rsid w:val="00A275A9"/>
    <w:rsid w:val="00A30A10"/>
    <w:rsid w:val="00A30E32"/>
    <w:rsid w:val="00A32DD0"/>
    <w:rsid w:val="00A3378F"/>
    <w:rsid w:val="00A3588F"/>
    <w:rsid w:val="00A35B50"/>
    <w:rsid w:val="00A40148"/>
    <w:rsid w:val="00A406AE"/>
    <w:rsid w:val="00A419EC"/>
    <w:rsid w:val="00A41DAD"/>
    <w:rsid w:val="00A42143"/>
    <w:rsid w:val="00A4272C"/>
    <w:rsid w:val="00A42EBA"/>
    <w:rsid w:val="00A42F85"/>
    <w:rsid w:val="00A42F9C"/>
    <w:rsid w:val="00A4499E"/>
    <w:rsid w:val="00A453EB"/>
    <w:rsid w:val="00A46273"/>
    <w:rsid w:val="00A463B5"/>
    <w:rsid w:val="00A47020"/>
    <w:rsid w:val="00A47A53"/>
    <w:rsid w:val="00A54494"/>
    <w:rsid w:val="00A5595F"/>
    <w:rsid w:val="00A559FF"/>
    <w:rsid w:val="00A55FEA"/>
    <w:rsid w:val="00A56829"/>
    <w:rsid w:val="00A579E6"/>
    <w:rsid w:val="00A60373"/>
    <w:rsid w:val="00A61450"/>
    <w:rsid w:val="00A61EFD"/>
    <w:rsid w:val="00A62277"/>
    <w:rsid w:val="00A64B05"/>
    <w:rsid w:val="00A64D32"/>
    <w:rsid w:val="00A65089"/>
    <w:rsid w:val="00A652CB"/>
    <w:rsid w:val="00A663D9"/>
    <w:rsid w:val="00A677D1"/>
    <w:rsid w:val="00A67932"/>
    <w:rsid w:val="00A70302"/>
    <w:rsid w:val="00A70B50"/>
    <w:rsid w:val="00A7117A"/>
    <w:rsid w:val="00A71354"/>
    <w:rsid w:val="00A718F1"/>
    <w:rsid w:val="00A72FE5"/>
    <w:rsid w:val="00A730F5"/>
    <w:rsid w:val="00A73608"/>
    <w:rsid w:val="00A73CC4"/>
    <w:rsid w:val="00A74BDF"/>
    <w:rsid w:val="00A74E53"/>
    <w:rsid w:val="00A75DD7"/>
    <w:rsid w:val="00A776AF"/>
    <w:rsid w:val="00A7793D"/>
    <w:rsid w:val="00A828A2"/>
    <w:rsid w:val="00A83371"/>
    <w:rsid w:val="00A845AC"/>
    <w:rsid w:val="00A847D7"/>
    <w:rsid w:val="00A85611"/>
    <w:rsid w:val="00A860CD"/>
    <w:rsid w:val="00A87B9F"/>
    <w:rsid w:val="00A91641"/>
    <w:rsid w:val="00A916B0"/>
    <w:rsid w:val="00A918FA"/>
    <w:rsid w:val="00A91D69"/>
    <w:rsid w:val="00A92033"/>
    <w:rsid w:val="00A92CCF"/>
    <w:rsid w:val="00A932B7"/>
    <w:rsid w:val="00A94EAE"/>
    <w:rsid w:val="00A95C7C"/>
    <w:rsid w:val="00A96E0C"/>
    <w:rsid w:val="00A971BD"/>
    <w:rsid w:val="00A972AD"/>
    <w:rsid w:val="00A9799F"/>
    <w:rsid w:val="00AA0657"/>
    <w:rsid w:val="00AA08A4"/>
    <w:rsid w:val="00AA0D74"/>
    <w:rsid w:val="00AA18A1"/>
    <w:rsid w:val="00AA2B4F"/>
    <w:rsid w:val="00AA4E96"/>
    <w:rsid w:val="00AA4EFA"/>
    <w:rsid w:val="00AA5EEC"/>
    <w:rsid w:val="00AA6290"/>
    <w:rsid w:val="00AA62CD"/>
    <w:rsid w:val="00AA70E4"/>
    <w:rsid w:val="00AB0152"/>
    <w:rsid w:val="00AB0B90"/>
    <w:rsid w:val="00AB2D02"/>
    <w:rsid w:val="00AB2E9F"/>
    <w:rsid w:val="00AB34B8"/>
    <w:rsid w:val="00AB3F17"/>
    <w:rsid w:val="00AB63F5"/>
    <w:rsid w:val="00AB66FE"/>
    <w:rsid w:val="00AB6A4C"/>
    <w:rsid w:val="00AB74CE"/>
    <w:rsid w:val="00AB7FCF"/>
    <w:rsid w:val="00AC0B32"/>
    <w:rsid w:val="00AC1604"/>
    <w:rsid w:val="00AC1E4B"/>
    <w:rsid w:val="00AC2624"/>
    <w:rsid w:val="00AC3C0E"/>
    <w:rsid w:val="00AC4CC8"/>
    <w:rsid w:val="00AC4F2B"/>
    <w:rsid w:val="00AC54A5"/>
    <w:rsid w:val="00AC6765"/>
    <w:rsid w:val="00AC6D72"/>
    <w:rsid w:val="00AC6FA9"/>
    <w:rsid w:val="00AC74EA"/>
    <w:rsid w:val="00AC761E"/>
    <w:rsid w:val="00AC7740"/>
    <w:rsid w:val="00AC7FE7"/>
    <w:rsid w:val="00AD0165"/>
    <w:rsid w:val="00AD017A"/>
    <w:rsid w:val="00AD0258"/>
    <w:rsid w:val="00AD1097"/>
    <w:rsid w:val="00AD1196"/>
    <w:rsid w:val="00AD1932"/>
    <w:rsid w:val="00AD1E40"/>
    <w:rsid w:val="00AD2CB0"/>
    <w:rsid w:val="00AD43B1"/>
    <w:rsid w:val="00AD4AA0"/>
    <w:rsid w:val="00AD4B71"/>
    <w:rsid w:val="00AD58DB"/>
    <w:rsid w:val="00AD59A4"/>
    <w:rsid w:val="00AD5B64"/>
    <w:rsid w:val="00AD6D2A"/>
    <w:rsid w:val="00AE06BA"/>
    <w:rsid w:val="00AE0E23"/>
    <w:rsid w:val="00AE0E62"/>
    <w:rsid w:val="00AE312F"/>
    <w:rsid w:val="00AE3843"/>
    <w:rsid w:val="00AE48B6"/>
    <w:rsid w:val="00AE4B57"/>
    <w:rsid w:val="00AE6BA9"/>
    <w:rsid w:val="00AE70EA"/>
    <w:rsid w:val="00AE7667"/>
    <w:rsid w:val="00AF02F5"/>
    <w:rsid w:val="00AF07AE"/>
    <w:rsid w:val="00AF1863"/>
    <w:rsid w:val="00AF1F8A"/>
    <w:rsid w:val="00AF2188"/>
    <w:rsid w:val="00AF345F"/>
    <w:rsid w:val="00AF4E21"/>
    <w:rsid w:val="00AF6454"/>
    <w:rsid w:val="00AF6C03"/>
    <w:rsid w:val="00AF720D"/>
    <w:rsid w:val="00B010AD"/>
    <w:rsid w:val="00B029B1"/>
    <w:rsid w:val="00B0303C"/>
    <w:rsid w:val="00B0478C"/>
    <w:rsid w:val="00B0482D"/>
    <w:rsid w:val="00B04853"/>
    <w:rsid w:val="00B05269"/>
    <w:rsid w:val="00B056BD"/>
    <w:rsid w:val="00B059C5"/>
    <w:rsid w:val="00B1057B"/>
    <w:rsid w:val="00B10C7C"/>
    <w:rsid w:val="00B11862"/>
    <w:rsid w:val="00B11BB0"/>
    <w:rsid w:val="00B1372B"/>
    <w:rsid w:val="00B14C1C"/>
    <w:rsid w:val="00B166CC"/>
    <w:rsid w:val="00B21D72"/>
    <w:rsid w:val="00B22FCA"/>
    <w:rsid w:val="00B234D5"/>
    <w:rsid w:val="00B238EE"/>
    <w:rsid w:val="00B23ED9"/>
    <w:rsid w:val="00B25178"/>
    <w:rsid w:val="00B25C2C"/>
    <w:rsid w:val="00B25E3F"/>
    <w:rsid w:val="00B25F34"/>
    <w:rsid w:val="00B26DCB"/>
    <w:rsid w:val="00B27522"/>
    <w:rsid w:val="00B27A4E"/>
    <w:rsid w:val="00B321B1"/>
    <w:rsid w:val="00B33433"/>
    <w:rsid w:val="00B35062"/>
    <w:rsid w:val="00B35181"/>
    <w:rsid w:val="00B35892"/>
    <w:rsid w:val="00B35D0D"/>
    <w:rsid w:val="00B36D2C"/>
    <w:rsid w:val="00B37E30"/>
    <w:rsid w:val="00B37F34"/>
    <w:rsid w:val="00B40803"/>
    <w:rsid w:val="00B42028"/>
    <w:rsid w:val="00B433C1"/>
    <w:rsid w:val="00B4342C"/>
    <w:rsid w:val="00B43483"/>
    <w:rsid w:val="00B435F0"/>
    <w:rsid w:val="00B43DA9"/>
    <w:rsid w:val="00B45DBD"/>
    <w:rsid w:val="00B4645A"/>
    <w:rsid w:val="00B477DB"/>
    <w:rsid w:val="00B47902"/>
    <w:rsid w:val="00B47935"/>
    <w:rsid w:val="00B50282"/>
    <w:rsid w:val="00B502E2"/>
    <w:rsid w:val="00B53287"/>
    <w:rsid w:val="00B53461"/>
    <w:rsid w:val="00B543FF"/>
    <w:rsid w:val="00B54835"/>
    <w:rsid w:val="00B54C8F"/>
    <w:rsid w:val="00B5571E"/>
    <w:rsid w:val="00B55FAB"/>
    <w:rsid w:val="00B5647F"/>
    <w:rsid w:val="00B56DAD"/>
    <w:rsid w:val="00B60297"/>
    <w:rsid w:val="00B6224F"/>
    <w:rsid w:val="00B6300D"/>
    <w:rsid w:val="00B6388A"/>
    <w:rsid w:val="00B63C99"/>
    <w:rsid w:val="00B64836"/>
    <w:rsid w:val="00B66004"/>
    <w:rsid w:val="00B67968"/>
    <w:rsid w:val="00B67AF2"/>
    <w:rsid w:val="00B7028D"/>
    <w:rsid w:val="00B70A44"/>
    <w:rsid w:val="00B70B1D"/>
    <w:rsid w:val="00B717A0"/>
    <w:rsid w:val="00B719E0"/>
    <w:rsid w:val="00B71A7D"/>
    <w:rsid w:val="00B72466"/>
    <w:rsid w:val="00B72720"/>
    <w:rsid w:val="00B74194"/>
    <w:rsid w:val="00B75515"/>
    <w:rsid w:val="00B75664"/>
    <w:rsid w:val="00B75CD7"/>
    <w:rsid w:val="00B76D04"/>
    <w:rsid w:val="00B76F1C"/>
    <w:rsid w:val="00B771C9"/>
    <w:rsid w:val="00B81713"/>
    <w:rsid w:val="00B81F72"/>
    <w:rsid w:val="00B82897"/>
    <w:rsid w:val="00B82905"/>
    <w:rsid w:val="00B82D03"/>
    <w:rsid w:val="00B831C7"/>
    <w:rsid w:val="00B832E8"/>
    <w:rsid w:val="00B8331B"/>
    <w:rsid w:val="00B839C4"/>
    <w:rsid w:val="00B83B76"/>
    <w:rsid w:val="00B840A6"/>
    <w:rsid w:val="00B844BD"/>
    <w:rsid w:val="00B84757"/>
    <w:rsid w:val="00B8579E"/>
    <w:rsid w:val="00B8674E"/>
    <w:rsid w:val="00B86A81"/>
    <w:rsid w:val="00B86D14"/>
    <w:rsid w:val="00B87854"/>
    <w:rsid w:val="00B90322"/>
    <w:rsid w:val="00B906C3"/>
    <w:rsid w:val="00B90B16"/>
    <w:rsid w:val="00B91E8D"/>
    <w:rsid w:val="00B92092"/>
    <w:rsid w:val="00B925DF"/>
    <w:rsid w:val="00B9500B"/>
    <w:rsid w:val="00B953E0"/>
    <w:rsid w:val="00B95D19"/>
    <w:rsid w:val="00B96635"/>
    <w:rsid w:val="00B9686B"/>
    <w:rsid w:val="00B9781E"/>
    <w:rsid w:val="00B97AA5"/>
    <w:rsid w:val="00B97C1C"/>
    <w:rsid w:val="00B97E83"/>
    <w:rsid w:val="00BA11FE"/>
    <w:rsid w:val="00BA143D"/>
    <w:rsid w:val="00BA1573"/>
    <w:rsid w:val="00BA18E9"/>
    <w:rsid w:val="00BA2317"/>
    <w:rsid w:val="00BA24F6"/>
    <w:rsid w:val="00BA2619"/>
    <w:rsid w:val="00BA2815"/>
    <w:rsid w:val="00BA3B26"/>
    <w:rsid w:val="00BA3FA0"/>
    <w:rsid w:val="00BA431B"/>
    <w:rsid w:val="00BA4631"/>
    <w:rsid w:val="00BA54F7"/>
    <w:rsid w:val="00BA5881"/>
    <w:rsid w:val="00BA6391"/>
    <w:rsid w:val="00BA7466"/>
    <w:rsid w:val="00BB021E"/>
    <w:rsid w:val="00BB0CAF"/>
    <w:rsid w:val="00BB0FFC"/>
    <w:rsid w:val="00BB2689"/>
    <w:rsid w:val="00BB3A6E"/>
    <w:rsid w:val="00BB3C35"/>
    <w:rsid w:val="00BB3D8C"/>
    <w:rsid w:val="00BB518C"/>
    <w:rsid w:val="00BB52AE"/>
    <w:rsid w:val="00BB58A5"/>
    <w:rsid w:val="00BB5C63"/>
    <w:rsid w:val="00BB61C6"/>
    <w:rsid w:val="00BB7076"/>
    <w:rsid w:val="00BC1474"/>
    <w:rsid w:val="00BC2195"/>
    <w:rsid w:val="00BC252D"/>
    <w:rsid w:val="00BC2741"/>
    <w:rsid w:val="00BC2EA8"/>
    <w:rsid w:val="00BC3259"/>
    <w:rsid w:val="00BC3E07"/>
    <w:rsid w:val="00BC4115"/>
    <w:rsid w:val="00BC6EBE"/>
    <w:rsid w:val="00BC6F41"/>
    <w:rsid w:val="00BC6FC5"/>
    <w:rsid w:val="00BC7354"/>
    <w:rsid w:val="00BC777C"/>
    <w:rsid w:val="00BC7802"/>
    <w:rsid w:val="00BD076C"/>
    <w:rsid w:val="00BD127D"/>
    <w:rsid w:val="00BD1586"/>
    <w:rsid w:val="00BD19D4"/>
    <w:rsid w:val="00BD29E3"/>
    <w:rsid w:val="00BD2D56"/>
    <w:rsid w:val="00BD3120"/>
    <w:rsid w:val="00BD359A"/>
    <w:rsid w:val="00BD4037"/>
    <w:rsid w:val="00BD43A0"/>
    <w:rsid w:val="00BD4DCE"/>
    <w:rsid w:val="00BD52E7"/>
    <w:rsid w:val="00BD53FB"/>
    <w:rsid w:val="00BD599D"/>
    <w:rsid w:val="00BD5F99"/>
    <w:rsid w:val="00BD7AAE"/>
    <w:rsid w:val="00BE024D"/>
    <w:rsid w:val="00BE02FF"/>
    <w:rsid w:val="00BE11CF"/>
    <w:rsid w:val="00BE22E4"/>
    <w:rsid w:val="00BE2724"/>
    <w:rsid w:val="00BE2E56"/>
    <w:rsid w:val="00BE2EB3"/>
    <w:rsid w:val="00BE357C"/>
    <w:rsid w:val="00BE3D4E"/>
    <w:rsid w:val="00BE4489"/>
    <w:rsid w:val="00BE51D9"/>
    <w:rsid w:val="00BE6D9E"/>
    <w:rsid w:val="00BE70FB"/>
    <w:rsid w:val="00BE76D9"/>
    <w:rsid w:val="00BF0018"/>
    <w:rsid w:val="00BF039C"/>
    <w:rsid w:val="00BF184D"/>
    <w:rsid w:val="00BF1BF6"/>
    <w:rsid w:val="00BF3370"/>
    <w:rsid w:val="00BF3AF9"/>
    <w:rsid w:val="00BF57AD"/>
    <w:rsid w:val="00BF57D0"/>
    <w:rsid w:val="00BF596B"/>
    <w:rsid w:val="00BF5E4C"/>
    <w:rsid w:val="00BF60E6"/>
    <w:rsid w:val="00BF6B50"/>
    <w:rsid w:val="00BF6FBA"/>
    <w:rsid w:val="00BF75EE"/>
    <w:rsid w:val="00BF799A"/>
    <w:rsid w:val="00BF7E15"/>
    <w:rsid w:val="00C00788"/>
    <w:rsid w:val="00C00EBD"/>
    <w:rsid w:val="00C02469"/>
    <w:rsid w:val="00C02CF2"/>
    <w:rsid w:val="00C043FE"/>
    <w:rsid w:val="00C048FC"/>
    <w:rsid w:val="00C054E1"/>
    <w:rsid w:val="00C05A71"/>
    <w:rsid w:val="00C06396"/>
    <w:rsid w:val="00C066FE"/>
    <w:rsid w:val="00C0708D"/>
    <w:rsid w:val="00C10070"/>
    <w:rsid w:val="00C1177D"/>
    <w:rsid w:val="00C11E0E"/>
    <w:rsid w:val="00C12157"/>
    <w:rsid w:val="00C13F2F"/>
    <w:rsid w:val="00C205D1"/>
    <w:rsid w:val="00C21653"/>
    <w:rsid w:val="00C2204F"/>
    <w:rsid w:val="00C226D7"/>
    <w:rsid w:val="00C232F3"/>
    <w:rsid w:val="00C23B00"/>
    <w:rsid w:val="00C23D27"/>
    <w:rsid w:val="00C245A8"/>
    <w:rsid w:val="00C24F5C"/>
    <w:rsid w:val="00C253C6"/>
    <w:rsid w:val="00C2565B"/>
    <w:rsid w:val="00C25CF4"/>
    <w:rsid w:val="00C27CE3"/>
    <w:rsid w:val="00C30034"/>
    <w:rsid w:val="00C3064F"/>
    <w:rsid w:val="00C32EEE"/>
    <w:rsid w:val="00C33064"/>
    <w:rsid w:val="00C3464D"/>
    <w:rsid w:val="00C34E7C"/>
    <w:rsid w:val="00C35A94"/>
    <w:rsid w:val="00C36171"/>
    <w:rsid w:val="00C37F23"/>
    <w:rsid w:val="00C40D75"/>
    <w:rsid w:val="00C4350B"/>
    <w:rsid w:val="00C44F31"/>
    <w:rsid w:val="00C47CF3"/>
    <w:rsid w:val="00C47F2C"/>
    <w:rsid w:val="00C50140"/>
    <w:rsid w:val="00C50BA5"/>
    <w:rsid w:val="00C51178"/>
    <w:rsid w:val="00C512FD"/>
    <w:rsid w:val="00C513B4"/>
    <w:rsid w:val="00C51C4C"/>
    <w:rsid w:val="00C52B94"/>
    <w:rsid w:val="00C53228"/>
    <w:rsid w:val="00C5339D"/>
    <w:rsid w:val="00C53AA3"/>
    <w:rsid w:val="00C53C46"/>
    <w:rsid w:val="00C5403B"/>
    <w:rsid w:val="00C54442"/>
    <w:rsid w:val="00C5521C"/>
    <w:rsid w:val="00C55BA5"/>
    <w:rsid w:val="00C560A0"/>
    <w:rsid w:val="00C57317"/>
    <w:rsid w:val="00C60809"/>
    <w:rsid w:val="00C60B77"/>
    <w:rsid w:val="00C613FA"/>
    <w:rsid w:val="00C63AA4"/>
    <w:rsid w:val="00C649FA"/>
    <w:rsid w:val="00C64E2A"/>
    <w:rsid w:val="00C66AEA"/>
    <w:rsid w:val="00C66C77"/>
    <w:rsid w:val="00C67264"/>
    <w:rsid w:val="00C675F5"/>
    <w:rsid w:val="00C7079B"/>
    <w:rsid w:val="00C7145E"/>
    <w:rsid w:val="00C71B76"/>
    <w:rsid w:val="00C71C33"/>
    <w:rsid w:val="00C71C35"/>
    <w:rsid w:val="00C71DAB"/>
    <w:rsid w:val="00C721A7"/>
    <w:rsid w:val="00C73C3F"/>
    <w:rsid w:val="00C7405E"/>
    <w:rsid w:val="00C74A0A"/>
    <w:rsid w:val="00C74AB7"/>
    <w:rsid w:val="00C74E7D"/>
    <w:rsid w:val="00C75702"/>
    <w:rsid w:val="00C768B4"/>
    <w:rsid w:val="00C76CCD"/>
    <w:rsid w:val="00C77066"/>
    <w:rsid w:val="00C77A98"/>
    <w:rsid w:val="00C8065D"/>
    <w:rsid w:val="00C81CD0"/>
    <w:rsid w:val="00C8220F"/>
    <w:rsid w:val="00C829B3"/>
    <w:rsid w:val="00C84CB8"/>
    <w:rsid w:val="00C8517E"/>
    <w:rsid w:val="00C86733"/>
    <w:rsid w:val="00C86962"/>
    <w:rsid w:val="00C87580"/>
    <w:rsid w:val="00C87890"/>
    <w:rsid w:val="00C878BB"/>
    <w:rsid w:val="00C901A9"/>
    <w:rsid w:val="00C90559"/>
    <w:rsid w:val="00C90ACF"/>
    <w:rsid w:val="00C90B01"/>
    <w:rsid w:val="00C910B9"/>
    <w:rsid w:val="00C9132C"/>
    <w:rsid w:val="00C91650"/>
    <w:rsid w:val="00C9165C"/>
    <w:rsid w:val="00C91C1B"/>
    <w:rsid w:val="00C921F2"/>
    <w:rsid w:val="00C92E7A"/>
    <w:rsid w:val="00C93624"/>
    <w:rsid w:val="00C952EA"/>
    <w:rsid w:val="00C95FBF"/>
    <w:rsid w:val="00C97082"/>
    <w:rsid w:val="00C97E47"/>
    <w:rsid w:val="00C97F9E"/>
    <w:rsid w:val="00CA0652"/>
    <w:rsid w:val="00CA1129"/>
    <w:rsid w:val="00CA1410"/>
    <w:rsid w:val="00CA1791"/>
    <w:rsid w:val="00CA194C"/>
    <w:rsid w:val="00CA1D35"/>
    <w:rsid w:val="00CA1DF9"/>
    <w:rsid w:val="00CA2FAE"/>
    <w:rsid w:val="00CA3555"/>
    <w:rsid w:val="00CA35B1"/>
    <w:rsid w:val="00CA3EFE"/>
    <w:rsid w:val="00CA4754"/>
    <w:rsid w:val="00CA4D11"/>
    <w:rsid w:val="00CA6DD6"/>
    <w:rsid w:val="00CA6F91"/>
    <w:rsid w:val="00CA7B84"/>
    <w:rsid w:val="00CB1472"/>
    <w:rsid w:val="00CB1E30"/>
    <w:rsid w:val="00CB26D8"/>
    <w:rsid w:val="00CB2CAE"/>
    <w:rsid w:val="00CB3381"/>
    <w:rsid w:val="00CB3442"/>
    <w:rsid w:val="00CB4429"/>
    <w:rsid w:val="00CB5054"/>
    <w:rsid w:val="00CB5B00"/>
    <w:rsid w:val="00CB65BE"/>
    <w:rsid w:val="00CC0B57"/>
    <w:rsid w:val="00CC0DE8"/>
    <w:rsid w:val="00CC2AEF"/>
    <w:rsid w:val="00CC32B5"/>
    <w:rsid w:val="00CC4465"/>
    <w:rsid w:val="00CC7000"/>
    <w:rsid w:val="00CC72AD"/>
    <w:rsid w:val="00CC7499"/>
    <w:rsid w:val="00CD252D"/>
    <w:rsid w:val="00CD25B6"/>
    <w:rsid w:val="00CD2ED9"/>
    <w:rsid w:val="00CD3A80"/>
    <w:rsid w:val="00CD41A3"/>
    <w:rsid w:val="00CD4329"/>
    <w:rsid w:val="00CD5476"/>
    <w:rsid w:val="00CD56D3"/>
    <w:rsid w:val="00CD5D55"/>
    <w:rsid w:val="00CD5D64"/>
    <w:rsid w:val="00CD5E46"/>
    <w:rsid w:val="00CD607A"/>
    <w:rsid w:val="00CD6650"/>
    <w:rsid w:val="00CD670F"/>
    <w:rsid w:val="00CD67B2"/>
    <w:rsid w:val="00CD6EB2"/>
    <w:rsid w:val="00CE084E"/>
    <w:rsid w:val="00CE16A1"/>
    <w:rsid w:val="00CE2343"/>
    <w:rsid w:val="00CE3A71"/>
    <w:rsid w:val="00CE3FF7"/>
    <w:rsid w:val="00CE431D"/>
    <w:rsid w:val="00CE51B0"/>
    <w:rsid w:val="00CE5F6E"/>
    <w:rsid w:val="00CE5FBF"/>
    <w:rsid w:val="00CE78C3"/>
    <w:rsid w:val="00CF0526"/>
    <w:rsid w:val="00CF0D10"/>
    <w:rsid w:val="00CF1A68"/>
    <w:rsid w:val="00CF21CC"/>
    <w:rsid w:val="00CF2AC1"/>
    <w:rsid w:val="00CF383C"/>
    <w:rsid w:val="00CF511D"/>
    <w:rsid w:val="00CF526F"/>
    <w:rsid w:val="00CF60B3"/>
    <w:rsid w:val="00CF78D0"/>
    <w:rsid w:val="00CF78D3"/>
    <w:rsid w:val="00D00118"/>
    <w:rsid w:val="00D0045B"/>
    <w:rsid w:val="00D027BB"/>
    <w:rsid w:val="00D02BD9"/>
    <w:rsid w:val="00D035C0"/>
    <w:rsid w:val="00D0366C"/>
    <w:rsid w:val="00D03739"/>
    <w:rsid w:val="00D06FFD"/>
    <w:rsid w:val="00D0711B"/>
    <w:rsid w:val="00D073CD"/>
    <w:rsid w:val="00D1048C"/>
    <w:rsid w:val="00D10850"/>
    <w:rsid w:val="00D11B0C"/>
    <w:rsid w:val="00D1401B"/>
    <w:rsid w:val="00D1407A"/>
    <w:rsid w:val="00D1468B"/>
    <w:rsid w:val="00D14757"/>
    <w:rsid w:val="00D164A4"/>
    <w:rsid w:val="00D20A0C"/>
    <w:rsid w:val="00D20E35"/>
    <w:rsid w:val="00D214E3"/>
    <w:rsid w:val="00D2189A"/>
    <w:rsid w:val="00D22AC8"/>
    <w:rsid w:val="00D22BCE"/>
    <w:rsid w:val="00D23A10"/>
    <w:rsid w:val="00D23B46"/>
    <w:rsid w:val="00D23C20"/>
    <w:rsid w:val="00D2409B"/>
    <w:rsid w:val="00D244C4"/>
    <w:rsid w:val="00D2567D"/>
    <w:rsid w:val="00D25AC6"/>
    <w:rsid w:val="00D2621D"/>
    <w:rsid w:val="00D27418"/>
    <w:rsid w:val="00D31DD5"/>
    <w:rsid w:val="00D32C9D"/>
    <w:rsid w:val="00D33E30"/>
    <w:rsid w:val="00D34A91"/>
    <w:rsid w:val="00D36570"/>
    <w:rsid w:val="00D3747C"/>
    <w:rsid w:val="00D4086C"/>
    <w:rsid w:val="00D43539"/>
    <w:rsid w:val="00D44CF1"/>
    <w:rsid w:val="00D44E6C"/>
    <w:rsid w:val="00D454C3"/>
    <w:rsid w:val="00D4717B"/>
    <w:rsid w:val="00D50616"/>
    <w:rsid w:val="00D52A23"/>
    <w:rsid w:val="00D5355E"/>
    <w:rsid w:val="00D53724"/>
    <w:rsid w:val="00D54F89"/>
    <w:rsid w:val="00D55341"/>
    <w:rsid w:val="00D554C9"/>
    <w:rsid w:val="00D55F85"/>
    <w:rsid w:val="00D56BF4"/>
    <w:rsid w:val="00D57561"/>
    <w:rsid w:val="00D57D05"/>
    <w:rsid w:val="00D604A1"/>
    <w:rsid w:val="00D60F47"/>
    <w:rsid w:val="00D61484"/>
    <w:rsid w:val="00D61972"/>
    <w:rsid w:val="00D61ECF"/>
    <w:rsid w:val="00D62CFD"/>
    <w:rsid w:val="00D62D19"/>
    <w:rsid w:val="00D639B1"/>
    <w:rsid w:val="00D64626"/>
    <w:rsid w:val="00D6483D"/>
    <w:rsid w:val="00D650E6"/>
    <w:rsid w:val="00D65A7C"/>
    <w:rsid w:val="00D66017"/>
    <w:rsid w:val="00D6619B"/>
    <w:rsid w:val="00D663D6"/>
    <w:rsid w:val="00D66C68"/>
    <w:rsid w:val="00D700A0"/>
    <w:rsid w:val="00D70114"/>
    <w:rsid w:val="00D701A0"/>
    <w:rsid w:val="00D70AF7"/>
    <w:rsid w:val="00D710ED"/>
    <w:rsid w:val="00D720AD"/>
    <w:rsid w:val="00D72B0C"/>
    <w:rsid w:val="00D7346D"/>
    <w:rsid w:val="00D74F59"/>
    <w:rsid w:val="00D754BA"/>
    <w:rsid w:val="00D75A12"/>
    <w:rsid w:val="00D761B9"/>
    <w:rsid w:val="00D76D72"/>
    <w:rsid w:val="00D77195"/>
    <w:rsid w:val="00D802F2"/>
    <w:rsid w:val="00D80711"/>
    <w:rsid w:val="00D80CF3"/>
    <w:rsid w:val="00D81482"/>
    <w:rsid w:val="00D81C23"/>
    <w:rsid w:val="00D82424"/>
    <w:rsid w:val="00D8378B"/>
    <w:rsid w:val="00D85F68"/>
    <w:rsid w:val="00D86D22"/>
    <w:rsid w:val="00D86D90"/>
    <w:rsid w:val="00D871C8"/>
    <w:rsid w:val="00D900E0"/>
    <w:rsid w:val="00D9065D"/>
    <w:rsid w:val="00D9177B"/>
    <w:rsid w:val="00D930BE"/>
    <w:rsid w:val="00D93822"/>
    <w:rsid w:val="00D93A6F"/>
    <w:rsid w:val="00D95399"/>
    <w:rsid w:val="00D9604E"/>
    <w:rsid w:val="00D97895"/>
    <w:rsid w:val="00D97EC9"/>
    <w:rsid w:val="00DA02FA"/>
    <w:rsid w:val="00DA06E5"/>
    <w:rsid w:val="00DA08AE"/>
    <w:rsid w:val="00DA1583"/>
    <w:rsid w:val="00DA1790"/>
    <w:rsid w:val="00DA1A73"/>
    <w:rsid w:val="00DA2A14"/>
    <w:rsid w:val="00DA339F"/>
    <w:rsid w:val="00DA3568"/>
    <w:rsid w:val="00DA3A7D"/>
    <w:rsid w:val="00DA4698"/>
    <w:rsid w:val="00DA4CC1"/>
    <w:rsid w:val="00DA4CD1"/>
    <w:rsid w:val="00DA502C"/>
    <w:rsid w:val="00DA610F"/>
    <w:rsid w:val="00DA7756"/>
    <w:rsid w:val="00DA7E17"/>
    <w:rsid w:val="00DB00AE"/>
    <w:rsid w:val="00DB0AE7"/>
    <w:rsid w:val="00DB116E"/>
    <w:rsid w:val="00DB1BB4"/>
    <w:rsid w:val="00DB24EB"/>
    <w:rsid w:val="00DB2AE3"/>
    <w:rsid w:val="00DB3005"/>
    <w:rsid w:val="00DB3771"/>
    <w:rsid w:val="00DB3B43"/>
    <w:rsid w:val="00DB4AEA"/>
    <w:rsid w:val="00DB6EBA"/>
    <w:rsid w:val="00DB7019"/>
    <w:rsid w:val="00DB7356"/>
    <w:rsid w:val="00DC17B6"/>
    <w:rsid w:val="00DC1CE6"/>
    <w:rsid w:val="00DC3241"/>
    <w:rsid w:val="00DC3EE6"/>
    <w:rsid w:val="00DC45CB"/>
    <w:rsid w:val="00DC4C91"/>
    <w:rsid w:val="00DC4D15"/>
    <w:rsid w:val="00DC5038"/>
    <w:rsid w:val="00DC594B"/>
    <w:rsid w:val="00DC5B56"/>
    <w:rsid w:val="00DC5E0B"/>
    <w:rsid w:val="00DC6418"/>
    <w:rsid w:val="00DC668E"/>
    <w:rsid w:val="00DC6ACE"/>
    <w:rsid w:val="00DC756E"/>
    <w:rsid w:val="00DD0364"/>
    <w:rsid w:val="00DD0476"/>
    <w:rsid w:val="00DD0A9E"/>
    <w:rsid w:val="00DD2BDC"/>
    <w:rsid w:val="00DD30CC"/>
    <w:rsid w:val="00DD3574"/>
    <w:rsid w:val="00DD3ABD"/>
    <w:rsid w:val="00DD525F"/>
    <w:rsid w:val="00DD54B1"/>
    <w:rsid w:val="00DD64BA"/>
    <w:rsid w:val="00DD6F61"/>
    <w:rsid w:val="00DD79E5"/>
    <w:rsid w:val="00DD7BEC"/>
    <w:rsid w:val="00DE0334"/>
    <w:rsid w:val="00DE0E67"/>
    <w:rsid w:val="00DE1D5D"/>
    <w:rsid w:val="00DE49FC"/>
    <w:rsid w:val="00DE5B01"/>
    <w:rsid w:val="00DE6DA6"/>
    <w:rsid w:val="00DE7C95"/>
    <w:rsid w:val="00DF0A96"/>
    <w:rsid w:val="00DF11A8"/>
    <w:rsid w:val="00DF11B5"/>
    <w:rsid w:val="00DF2630"/>
    <w:rsid w:val="00DF30CC"/>
    <w:rsid w:val="00DF34E8"/>
    <w:rsid w:val="00DF3F17"/>
    <w:rsid w:val="00DF4E4B"/>
    <w:rsid w:val="00DF5B25"/>
    <w:rsid w:val="00DF5E9E"/>
    <w:rsid w:val="00DF62E4"/>
    <w:rsid w:val="00DF7AF0"/>
    <w:rsid w:val="00E0250A"/>
    <w:rsid w:val="00E04979"/>
    <w:rsid w:val="00E04C60"/>
    <w:rsid w:val="00E05401"/>
    <w:rsid w:val="00E05910"/>
    <w:rsid w:val="00E06F91"/>
    <w:rsid w:val="00E0724D"/>
    <w:rsid w:val="00E10C3D"/>
    <w:rsid w:val="00E124DB"/>
    <w:rsid w:val="00E15208"/>
    <w:rsid w:val="00E1596F"/>
    <w:rsid w:val="00E167F4"/>
    <w:rsid w:val="00E168AF"/>
    <w:rsid w:val="00E175AB"/>
    <w:rsid w:val="00E178B7"/>
    <w:rsid w:val="00E17F05"/>
    <w:rsid w:val="00E20517"/>
    <w:rsid w:val="00E207F5"/>
    <w:rsid w:val="00E2091C"/>
    <w:rsid w:val="00E21015"/>
    <w:rsid w:val="00E21078"/>
    <w:rsid w:val="00E21605"/>
    <w:rsid w:val="00E2166F"/>
    <w:rsid w:val="00E22C04"/>
    <w:rsid w:val="00E23288"/>
    <w:rsid w:val="00E23D4B"/>
    <w:rsid w:val="00E23DFD"/>
    <w:rsid w:val="00E258DA"/>
    <w:rsid w:val="00E26114"/>
    <w:rsid w:val="00E300D3"/>
    <w:rsid w:val="00E30104"/>
    <w:rsid w:val="00E30406"/>
    <w:rsid w:val="00E30477"/>
    <w:rsid w:val="00E31612"/>
    <w:rsid w:val="00E31EF1"/>
    <w:rsid w:val="00E33C05"/>
    <w:rsid w:val="00E341EA"/>
    <w:rsid w:val="00E344F3"/>
    <w:rsid w:val="00E35069"/>
    <w:rsid w:val="00E3594E"/>
    <w:rsid w:val="00E362FA"/>
    <w:rsid w:val="00E377CA"/>
    <w:rsid w:val="00E40A25"/>
    <w:rsid w:val="00E410B0"/>
    <w:rsid w:val="00E4163B"/>
    <w:rsid w:val="00E41BA6"/>
    <w:rsid w:val="00E41E26"/>
    <w:rsid w:val="00E41E3D"/>
    <w:rsid w:val="00E42FF2"/>
    <w:rsid w:val="00E44576"/>
    <w:rsid w:val="00E44C7D"/>
    <w:rsid w:val="00E450CF"/>
    <w:rsid w:val="00E46051"/>
    <w:rsid w:val="00E47363"/>
    <w:rsid w:val="00E4744C"/>
    <w:rsid w:val="00E50390"/>
    <w:rsid w:val="00E5057D"/>
    <w:rsid w:val="00E514C2"/>
    <w:rsid w:val="00E515AF"/>
    <w:rsid w:val="00E51B9D"/>
    <w:rsid w:val="00E51CED"/>
    <w:rsid w:val="00E52014"/>
    <w:rsid w:val="00E52D86"/>
    <w:rsid w:val="00E53431"/>
    <w:rsid w:val="00E563BC"/>
    <w:rsid w:val="00E56761"/>
    <w:rsid w:val="00E5707F"/>
    <w:rsid w:val="00E60296"/>
    <w:rsid w:val="00E61EDD"/>
    <w:rsid w:val="00E625B9"/>
    <w:rsid w:val="00E62E6E"/>
    <w:rsid w:val="00E640DF"/>
    <w:rsid w:val="00E65376"/>
    <w:rsid w:val="00E65FC1"/>
    <w:rsid w:val="00E67219"/>
    <w:rsid w:val="00E7101F"/>
    <w:rsid w:val="00E71295"/>
    <w:rsid w:val="00E720BE"/>
    <w:rsid w:val="00E72C0F"/>
    <w:rsid w:val="00E73084"/>
    <w:rsid w:val="00E749ED"/>
    <w:rsid w:val="00E76D9E"/>
    <w:rsid w:val="00E7741F"/>
    <w:rsid w:val="00E7755B"/>
    <w:rsid w:val="00E77A51"/>
    <w:rsid w:val="00E821A8"/>
    <w:rsid w:val="00E82371"/>
    <w:rsid w:val="00E8267A"/>
    <w:rsid w:val="00E82C5A"/>
    <w:rsid w:val="00E82E27"/>
    <w:rsid w:val="00E82ED1"/>
    <w:rsid w:val="00E8372D"/>
    <w:rsid w:val="00E83A30"/>
    <w:rsid w:val="00E86075"/>
    <w:rsid w:val="00E86C10"/>
    <w:rsid w:val="00E870A9"/>
    <w:rsid w:val="00E879FD"/>
    <w:rsid w:val="00E9020B"/>
    <w:rsid w:val="00E90B54"/>
    <w:rsid w:val="00E9200D"/>
    <w:rsid w:val="00E92645"/>
    <w:rsid w:val="00E946E9"/>
    <w:rsid w:val="00E95AD9"/>
    <w:rsid w:val="00E96C61"/>
    <w:rsid w:val="00E9742A"/>
    <w:rsid w:val="00E97521"/>
    <w:rsid w:val="00E97A15"/>
    <w:rsid w:val="00EA05D9"/>
    <w:rsid w:val="00EA1CCF"/>
    <w:rsid w:val="00EA20C2"/>
    <w:rsid w:val="00EA2AF5"/>
    <w:rsid w:val="00EA2EED"/>
    <w:rsid w:val="00EA35F3"/>
    <w:rsid w:val="00EA40C9"/>
    <w:rsid w:val="00EA5792"/>
    <w:rsid w:val="00EA73EF"/>
    <w:rsid w:val="00EA7748"/>
    <w:rsid w:val="00EA7E13"/>
    <w:rsid w:val="00EB1119"/>
    <w:rsid w:val="00EB1D45"/>
    <w:rsid w:val="00EB327D"/>
    <w:rsid w:val="00EB4D0A"/>
    <w:rsid w:val="00EB512B"/>
    <w:rsid w:val="00EB5B05"/>
    <w:rsid w:val="00EB5F45"/>
    <w:rsid w:val="00EB6743"/>
    <w:rsid w:val="00EC1598"/>
    <w:rsid w:val="00EC1DAF"/>
    <w:rsid w:val="00EC209A"/>
    <w:rsid w:val="00EC2D30"/>
    <w:rsid w:val="00EC30E5"/>
    <w:rsid w:val="00EC4542"/>
    <w:rsid w:val="00EC5565"/>
    <w:rsid w:val="00EC6AA4"/>
    <w:rsid w:val="00EC7F29"/>
    <w:rsid w:val="00ED068D"/>
    <w:rsid w:val="00ED08EF"/>
    <w:rsid w:val="00ED1370"/>
    <w:rsid w:val="00ED2580"/>
    <w:rsid w:val="00ED3402"/>
    <w:rsid w:val="00ED3415"/>
    <w:rsid w:val="00ED3458"/>
    <w:rsid w:val="00ED3A03"/>
    <w:rsid w:val="00ED41E0"/>
    <w:rsid w:val="00ED4BC4"/>
    <w:rsid w:val="00ED4BE4"/>
    <w:rsid w:val="00ED6179"/>
    <w:rsid w:val="00ED7305"/>
    <w:rsid w:val="00ED7EF3"/>
    <w:rsid w:val="00EE06CF"/>
    <w:rsid w:val="00EE07FE"/>
    <w:rsid w:val="00EE0D80"/>
    <w:rsid w:val="00EE1BC5"/>
    <w:rsid w:val="00EE1DD9"/>
    <w:rsid w:val="00EE1EAE"/>
    <w:rsid w:val="00EE3439"/>
    <w:rsid w:val="00EE3542"/>
    <w:rsid w:val="00EE426E"/>
    <w:rsid w:val="00EE4AC0"/>
    <w:rsid w:val="00EE63A1"/>
    <w:rsid w:val="00EE6A77"/>
    <w:rsid w:val="00EE7697"/>
    <w:rsid w:val="00EE7808"/>
    <w:rsid w:val="00EE7BDE"/>
    <w:rsid w:val="00EF0F3E"/>
    <w:rsid w:val="00EF0F99"/>
    <w:rsid w:val="00EF1D4E"/>
    <w:rsid w:val="00EF1E2D"/>
    <w:rsid w:val="00EF38BE"/>
    <w:rsid w:val="00EF472A"/>
    <w:rsid w:val="00EF480A"/>
    <w:rsid w:val="00EF52E1"/>
    <w:rsid w:val="00EF6460"/>
    <w:rsid w:val="00EF6832"/>
    <w:rsid w:val="00EF764F"/>
    <w:rsid w:val="00F001B5"/>
    <w:rsid w:val="00F012AC"/>
    <w:rsid w:val="00F012B1"/>
    <w:rsid w:val="00F012C6"/>
    <w:rsid w:val="00F01BB7"/>
    <w:rsid w:val="00F027BF"/>
    <w:rsid w:val="00F02A17"/>
    <w:rsid w:val="00F0388B"/>
    <w:rsid w:val="00F0452D"/>
    <w:rsid w:val="00F0498F"/>
    <w:rsid w:val="00F04BD7"/>
    <w:rsid w:val="00F05804"/>
    <w:rsid w:val="00F06150"/>
    <w:rsid w:val="00F07A09"/>
    <w:rsid w:val="00F103E5"/>
    <w:rsid w:val="00F104CA"/>
    <w:rsid w:val="00F10517"/>
    <w:rsid w:val="00F10580"/>
    <w:rsid w:val="00F117FB"/>
    <w:rsid w:val="00F11E8F"/>
    <w:rsid w:val="00F12084"/>
    <w:rsid w:val="00F12A2F"/>
    <w:rsid w:val="00F13CA5"/>
    <w:rsid w:val="00F14192"/>
    <w:rsid w:val="00F14AE8"/>
    <w:rsid w:val="00F15504"/>
    <w:rsid w:val="00F15AA1"/>
    <w:rsid w:val="00F164E0"/>
    <w:rsid w:val="00F164F0"/>
    <w:rsid w:val="00F17401"/>
    <w:rsid w:val="00F20330"/>
    <w:rsid w:val="00F203E3"/>
    <w:rsid w:val="00F2057E"/>
    <w:rsid w:val="00F2130D"/>
    <w:rsid w:val="00F22048"/>
    <w:rsid w:val="00F23932"/>
    <w:rsid w:val="00F256F2"/>
    <w:rsid w:val="00F27920"/>
    <w:rsid w:val="00F32E91"/>
    <w:rsid w:val="00F3412B"/>
    <w:rsid w:val="00F342F6"/>
    <w:rsid w:val="00F34AC8"/>
    <w:rsid w:val="00F34AF2"/>
    <w:rsid w:val="00F374E4"/>
    <w:rsid w:val="00F3767C"/>
    <w:rsid w:val="00F37DB2"/>
    <w:rsid w:val="00F37F29"/>
    <w:rsid w:val="00F4118F"/>
    <w:rsid w:val="00F41BEC"/>
    <w:rsid w:val="00F41CA6"/>
    <w:rsid w:val="00F420A2"/>
    <w:rsid w:val="00F42308"/>
    <w:rsid w:val="00F44D1C"/>
    <w:rsid w:val="00F46504"/>
    <w:rsid w:val="00F47DE2"/>
    <w:rsid w:val="00F50312"/>
    <w:rsid w:val="00F50881"/>
    <w:rsid w:val="00F50AFA"/>
    <w:rsid w:val="00F514C1"/>
    <w:rsid w:val="00F51D17"/>
    <w:rsid w:val="00F523ED"/>
    <w:rsid w:val="00F5356F"/>
    <w:rsid w:val="00F56045"/>
    <w:rsid w:val="00F5767E"/>
    <w:rsid w:val="00F57688"/>
    <w:rsid w:val="00F606B8"/>
    <w:rsid w:val="00F60EC6"/>
    <w:rsid w:val="00F60F06"/>
    <w:rsid w:val="00F61802"/>
    <w:rsid w:val="00F61BFE"/>
    <w:rsid w:val="00F62CC0"/>
    <w:rsid w:val="00F62E72"/>
    <w:rsid w:val="00F645DA"/>
    <w:rsid w:val="00F6544B"/>
    <w:rsid w:val="00F65546"/>
    <w:rsid w:val="00F66845"/>
    <w:rsid w:val="00F668D1"/>
    <w:rsid w:val="00F67147"/>
    <w:rsid w:val="00F675DB"/>
    <w:rsid w:val="00F67DA7"/>
    <w:rsid w:val="00F7022D"/>
    <w:rsid w:val="00F7276F"/>
    <w:rsid w:val="00F72923"/>
    <w:rsid w:val="00F72973"/>
    <w:rsid w:val="00F7424C"/>
    <w:rsid w:val="00F7537F"/>
    <w:rsid w:val="00F7559C"/>
    <w:rsid w:val="00F75D51"/>
    <w:rsid w:val="00F76A01"/>
    <w:rsid w:val="00F76A39"/>
    <w:rsid w:val="00F76C9E"/>
    <w:rsid w:val="00F7758C"/>
    <w:rsid w:val="00F777A0"/>
    <w:rsid w:val="00F77F5E"/>
    <w:rsid w:val="00F806FA"/>
    <w:rsid w:val="00F811C4"/>
    <w:rsid w:val="00F814AB"/>
    <w:rsid w:val="00F814DD"/>
    <w:rsid w:val="00F82558"/>
    <w:rsid w:val="00F82B54"/>
    <w:rsid w:val="00F834F2"/>
    <w:rsid w:val="00F83B17"/>
    <w:rsid w:val="00F84DAB"/>
    <w:rsid w:val="00F85104"/>
    <w:rsid w:val="00F8554A"/>
    <w:rsid w:val="00F85C5C"/>
    <w:rsid w:val="00F860E9"/>
    <w:rsid w:val="00F860FF"/>
    <w:rsid w:val="00F86AC7"/>
    <w:rsid w:val="00F876DD"/>
    <w:rsid w:val="00F87BD9"/>
    <w:rsid w:val="00F9104B"/>
    <w:rsid w:val="00F92202"/>
    <w:rsid w:val="00F92587"/>
    <w:rsid w:val="00F934FE"/>
    <w:rsid w:val="00F94C5A"/>
    <w:rsid w:val="00F9521B"/>
    <w:rsid w:val="00F966C8"/>
    <w:rsid w:val="00F97375"/>
    <w:rsid w:val="00FA0A97"/>
    <w:rsid w:val="00FA21F4"/>
    <w:rsid w:val="00FA247C"/>
    <w:rsid w:val="00FA4387"/>
    <w:rsid w:val="00FA61DB"/>
    <w:rsid w:val="00FA6600"/>
    <w:rsid w:val="00FA671B"/>
    <w:rsid w:val="00FA7E9E"/>
    <w:rsid w:val="00FB31FA"/>
    <w:rsid w:val="00FB38E1"/>
    <w:rsid w:val="00FB3B83"/>
    <w:rsid w:val="00FB43DB"/>
    <w:rsid w:val="00FB4942"/>
    <w:rsid w:val="00FB5009"/>
    <w:rsid w:val="00FB5405"/>
    <w:rsid w:val="00FB6FB1"/>
    <w:rsid w:val="00FB716A"/>
    <w:rsid w:val="00FC0495"/>
    <w:rsid w:val="00FC079A"/>
    <w:rsid w:val="00FC1534"/>
    <w:rsid w:val="00FC32C6"/>
    <w:rsid w:val="00FC39F2"/>
    <w:rsid w:val="00FC40EF"/>
    <w:rsid w:val="00FC5473"/>
    <w:rsid w:val="00FC5CC0"/>
    <w:rsid w:val="00FC5E38"/>
    <w:rsid w:val="00FC5FE8"/>
    <w:rsid w:val="00FC748B"/>
    <w:rsid w:val="00FD02A8"/>
    <w:rsid w:val="00FD0BBB"/>
    <w:rsid w:val="00FD1AB8"/>
    <w:rsid w:val="00FD22B9"/>
    <w:rsid w:val="00FD2381"/>
    <w:rsid w:val="00FD292F"/>
    <w:rsid w:val="00FD3014"/>
    <w:rsid w:val="00FD4C2B"/>
    <w:rsid w:val="00FD5013"/>
    <w:rsid w:val="00FD52C3"/>
    <w:rsid w:val="00FD52CB"/>
    <w:rsid w:val="00FD709A"/>
    <w:rsid w:val="00FD7B37"/>
    <w:rsid w:val="00FE35B7"/>
    <w:rsid w:val="00FE393F"/>
    <w:rsid w:val="00FE5D94"/>
    <w:rsid w:val="00FE5FDA"/>
    <w:rsid w:val="00FE6060"/>
    <w:rsid w:val="00FE6D92"/>
    <w:rsid w:val="00FE77A9"/>
    <w:rsid w:val="00FF1BCC"/>
    <w:rsid w:val="00FF1F12"/>
    <w:rsid w:val="00FF2964"/>
    <w:rsid w:val="00FF2FDE"/>
    <w:rsid w:val="00FF3F12"/>
    <w:rsid w:val="00FF4343"/>
    <w:rsid w:val="00FF4942"/>
    <w:rsid w:val="00FF5409"/>
    <w:rsid w:val="00FF60B7"/>
    <w:rsid w:val="00FF7391"/>
    <w:rsid w:val="00FF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7224E4"/>
  <w15:chartTrackingRefBased/>
  <w15:docId w15:val="{D942A182-E5F5-4EF8-A5D0-BB6C167D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0F"/>
    <w:pPr>
      <w:widowControl w:val="0"/>
      <w:overflowPunct w:val="0"/>
      <w:autoSpaceDE w:val="0"/>
      <w:autoSpaceDN w:val="0"/>
      <w:adjustRightInd w:val="0"/>
    </w:pPr>
    <w:rPr>
      <w:kern w:val="28"/>
    </w:rPr>
  </w:style>
  <w:style w:type="paragraph" w:styleId="Heading1">
    <w:name w:val="heading 1"/>
    <w:basedOn w:val="Normal"/>
    <w:link w:val="Heading1Char"/>
    <w:uiPriority w:val="9"/>
    <w:qFormat/>
    <w:rsid w:val="001D5B06"/>
    <w:pPr>
      <w:widowControl/>
      <w:overflowPunct/>
      <w:autoSpaceDE/>
      <w:autoSpaceDN/>
      <w:adjustRightInd/>
      <w:spacing w:before="200" w:after="100"/>
      <w:jc w:val="center"/>
      <w:outlineLvl w:val="0"/>
    </w:pPr>
    <w:rPr>
      <w:b/>
      <w:bCs/>
      <w:kern w:val="3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D80711"/>
    <w:pPr>
      <w:widowControl/>
      <w:overflowPunct/>
      <w:autoSpaceDE/>
      <w:autoSpaceDN/>
      <w:adjustRightInd/>
      <w:spacing w:before="100" w:beforeAutospacing="1" w:after="100" w:afterAutospacing="1"/>
    </w:pPr>
    <w:rPr>
      <w:kern w:val="0"/>
      <w:sz w:val="24"/>
      <w:szCs w:val="24"/>
    </w:rPr>
  </w:style>
  <w:style w:type="table" w:styleId="TableGrid">
    <w:name w:val="Table Grid"/>
    <w:basedOn w:val="TableNormal"/>
    <w:uiPriority w:val="39"/>
    <w:rsid w:val="00D80711"/>
    <w:pPr>
      <w:widowControl w:val="0"/>
      <w:overflowPunct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0711"/>
    <w:rPr>
      <w:rFonts w:ascii="Tahoma" w:hAnsi="Tahoma" w:cs="Tahoma"/>
      <w:sz w:val="16"/>
      <w:szCs w:val="16"/>
    </w:rPr>
  </w:style>
  <w:style w:type="paragraph" w:styleId="FootnoteText">
    <w:name w:val="footnote text"/>
    <w:basedOn w:val="Normal"/>
    <w:link w:val="FootnoteTextChar"/>
    <w:uiPriority w:val="99"/>
    <w:semiHidden/>
    <w:rsid w:val="009370A3"/>
  </w:style>
  <w:style w:type="character" w:customStyle="1" w:styleId="FootnoteTextChar">
    <w:name w:val="Footnote Text Char"/>
    <w:link w:val="FootnoteText"/>
    <w:uiPriority w:val="99"/>
    <w:rsid w:val="00B8579E"/>
    <w:rPr>
      <w:kern w:val="28"/>
      <w:lang w:val="en-US" w:eastAsia="en-US" w:bidi="ar-SA"/>
    </w:rPr>
  </w:style>
  <w:style w:type="character" w:styleId="FootnoteReference">
    <w:name w:val="footnote reference"/>
    <w:uiPriority w:val="99"/>
    <w:semiHidden/>
    <w:rsid w:val="009370A3"/>
    <w:rPr>
      <w:vertAlign w:val="superscript"/>
    </w:rPr>
  </w:style>
  <w:style w:type="character" w:styleId="CommentReference">
    <w:name w:val="annotation reference"/>
    <w:uiPriority w:val="99"/>
    <w:rsid w:val="00047891"/>
    <w:rPr>
      <w:sz w:val="16"/>
      <w:szCs w:val="16"/>
    </w:rPr>
  </w:style>
  <w:style w:type="paragraph" w:styleId="CommentText">
    <w:name w:val="annotation text"/>
    <w:basedOn w:val="Normal"/>
    <w:link w:val="CommentTextChar"/>
    <w:uiPriority w:val="99"/>
    <w:rsid w:val="00047891"/>
  </w:style>
  <w:style w:type="character" w:customStyle="1" w:styleId="CommentTextChar">
    <w:name w:val="Comment Text Char"/>
    <w:link w:val="CommentText"/>
    <w:uiPriority w:val="99"/>
    <w:locked/>
    <w:rsid w:val="00FF1BCC"/>
    <w:rPr>
      <w:kern w:val="28"/>
      <w:lang w:val="en-US" w:eastAsia="en-US" w:bidi="ar-SA"/>
    </w:rPr>
  </w:style>
  <w:style w:type="paragraph" w:styleId="CommentSubject">
    <w:name w:val="annotation subject"/>
    <w:basedOn w:val="CommentText"/>
    <w:next w:val="CommentText"/>
    <w:link w:val="CommentSubjectChar"/>
    <w:semiHidden/>
    <w:rsid w:val="00047891"/>
    <w:rPr>
      <w:b/>
      <w:bCs/>
    </w:rPr>
  </w:style>
  <w:style w:type="paragraph" w:customStyle="1" w:styleId="Level1">
    <w:name w:val="Level 1"/>
    <w:basedOn w:val="Normal"/>
    <w:rsid w:val="00635E47"/>
    <w:pPr>
      <w:numPr>
        <w:numId w:val="5"/>
      </w:numPr>
      <w:overflowPunct/>
      <w:ind w:hanging="720"/>
      <w:outlineLvl w:val="0"/>
    </w:pPr>
    <w:rPr>
      <w:kern w:val="0"/>
      <w:sz w:val="24"/>
      <w:szCs w:val="24"/>
    </w:rPr>
  </w:style>
  <w:style w:type="character" w:styleId="Hyperlink">
    <w:name w:val="Hyperlink"/>
    <w:rsid w:val="002F02F7"/>
    <w:rPr>
      <w:color w:val="0000FF"/>
      <w:u w:val="single"/>
    </w:rPr>
  </w:style>
  <w:style w:type="paragraph" w:customStyle="1" w:styleId="Default">
    <w:name w:val="Default"/>
    <w:rsid w:val="00E17F05"/>
    <w:pPr>
      <w:autoSpaceDE w:val="0"/>
      <w:autoSpaceDN w:val="0"/>
      <w:adjustRightInd w:val="0"/>
    </w:pPr>
    <w:rPr>
      <w:color w:val="000000"/>
      <w:sz w:val="24"/>
      <w:szCs w:val="24"/>
    </w:rPr>
  </w:style>
  <w:style w:type="paragraph" w:styleId="Footer">
    <w:name w:val="footer"/>
    <w:basedOn w:val="Normal"/>
    <w:rsid w:val="00C7405E"/>
    <w:pPr>
      <w:tabs>
        <w:tab w:val="center" w:pos="4320"/>
        <w:tab w:val="right" w:pos="8640"/>
      </w:tabs>
    </w:pPr>
  </w:style>
  <w:style w:type="character" w:styleId="PageNumber">
    <w:name w:val="page number"/>
    <w:basedOn w:val="DefaultParagraphFont"/>
    <w:rsid w:val="00C7405E"/>
  </w:style>
  <w:style w:type="paragraph" w:styleId="Title">
    <w:name w:val="Title"/>
    <w:basedOn w:val="Normal"/>
    <w:link w:val="TitleChar"/>
    <w:qFormat/>
    <w:rsid w:val="0088494D"/>
    <w:pPr>
      <w:tabs>
        <w:tab w:val="center" w:pos="4860"/>
      </w:tabs>
      <w:overflowPunct/>
      <w:jc w:val="center"/>
    </w:pPr>
    <w:rPr>
      <w:b/>
      <w:bCs/>
      <w:kern w:val="0"/>
      <w:sz w:val="24"/>
      <w:szCs w:val="24"/>
    </w:rPr>
  </w:style>
  <w:style w:type="paragraph" w:styleId="Header">
    <w:name w:val="header"/>
    <w:basedOn w:val="Normal"/>
    <w:link w:val="HeaderChar"/>
    <w:rsid w:val="00C95FBF"/>
    <w:pPr>
      <w:tabs>
        <w:tab w:val="center" w:pos="4680"/>
        <w:tab w:val="right" w:pos="9360"/>
      </w:tabs>
    </w:pPr>
  </w:style>
  <w:style w:type="character" w:customStyle="1" w:styleId="HeaderChar">
    <w:name w:val="Header Char"/>
    <w:link w:val="Header"/>
    <w:rsid w:val="00C95FBF"/>
    <w:rPr>
      <w:kern w:val="28"/>
    </w:rPr>
  </w:style>
  <w:style w:type="paragraph" w:styleId="Revision">
    <w:name w:val="Revision"/>
    <w:hidden/>
    <w:uiPriority w:val="99"/>
    <w:semiHidden/>
    <w:rsid w:val="00287D85"/>
    <w:rPr>
      <w:kern w:val="28"/>
    </w:rPr>
  </w:style>
  <w:style w:type="paragraph" w:styleId="BodyText">
    <w:name w:val="Body Text"/>
    <w:basedOn w:val="Normal"/>
    <w:link w:val="BodyTextChar"/>
    <w:rsid w:val="004F651F"/>
    <w:pPr>
      <w:spacing w:after="120"/>
    </w:pPr>
  </w:style>
  <w:style w:type="character" w:customStyle="1" w:styleId="BodyTextChar">
    <w:name w:val="Body Text Char"/>
    <w:link w:val="BodyText"/>
    <w:rsid w:val="004F651F"/>
    <w:rPr>
      <w:kern w:val="28"/>
    </w:rPr>
  </w:style>
  <w:style w:type="paragraph" w:styleId="BodyTextFirstIndent">
    <w:name w:val="Body Text First Indent"/>
    <w:basedOn w:val="Normal"/>
    <w:link w:val="BodyTextFirstIndentChar"/>
    <w:unhideWhenUsed/>
    <w:qFormat/>
    <w:rsid w:val="004F651F"/>
    <w:pPr>
      <w:widowControl/>
      <w:overflowPunct/>
      <w:adjustRightInd/>
      <w:spacing w:after="240"/>
      <w:ind w:firstLine="720"/>
    </w:pPr>
    <w:rPr>
      <w:rFonts w:eastAsia="Gulim"/>
      <w:kern w:val="0"/>
      <w:sz w:val="22"/>
      <w:szCs w:val="22"/>
      <w:lang w:eastAsia="x-none"/>
    </w:rPr>
  </w:style>
  <w:style w:type="character" w:customStyle="1" w:styleId="BodyTextFirstIndentChar">
    <w:name w:val="Body Text First Indent Char"/>
    <w:link w:val="BodyTextFirstIndent"/>
    <w:rsid w:val="004F651F"/>
    <w:rPr>
      <w:rFonts w:eastAsia="Gulim"/>
      <w:kern w:val="28"/>
      <w:sz w:val="22"/>
      <w:szCs w:val="22"/>
      <w:lang w:eastAsia="x-none"/>
    </w:rPr>
  </w:style>
  <w:style w:type="paragraph" w:customStyle="1" w:styleId="paragraph">
    <w:name w:val="paragraph"/>
    <w:basedOn w:val="Normal"/>
    <w:rsid w:val="002F7605"/>
    <w:pPr>
      <w:widowControl/>
      <w:overflowPunct/>
      <w:autoSpaceDE/>
      <w:autoSpaceDN/>
      <w:adjustRightInd/>
    </w:pPr>
    <w:rPr>
      <w:kern w:val="0"/>
      <w:sz w:val="24"/>
      <w:szCs w:val="24"/>
    </w:rPr>
  </w:style>
  <w:style w:type="character" w:customStyle="1" w:styleId="normaltextrun1">
    <w:name w:val="normaltextrun1"/>
    <w:rsid w:val="002F7605"/>
  </w:style>
  <w:style w:type="paragraph" w:styleId="NormalWeb">
    <w:name w:val="Normal (Web)"/>
    <w:basedOn w:val="Normal"/>
    <w:uiPriority w:val="99"/>
    <w:rsid w:val="00180636"/>
    <w:pPr>
      <w:widowControl/>
      <w:overflowPunct/>
      <w:autoSpaceDE/>
      <w:autoSpaceDN/>
      <w:adjustRightInd/>
      <w:spacing w:before="100" w:beforeAutospacing="1" w:after="100" w:afterAutospacing="1"/>
    </w:pPr>
    <w:rPr>
      <w:kern w:val="0"/>
      <w:sz w:val="24"/>
      <w:szCs w:val="24"/>
    </w:rPr>
  </w:style>
  <w:style w:type="character" w:customStyle="1" w:styleId="TitleChar">
    <w:name w:val="Title Char"/>
    <w:link w:val="Title"/>
    <w:rsid w:val="005B7B38"/>
    <w:rPr>
      <w:b/>
      <w:bCs/>
      <w:sz w:val="24"/>
      <w:szCs w:val="24"/>
    </w:rPr>
  </w:style>
  <w:style w:type="character" w:customStyle="1" w:styleId="CommentTextChar2">
    <w:name w:val="Comment Text Char2"/>
    <w:locked/>
    <w:rsid w:val="003A5900"/>
  </w:style>
  <w:style w:type="character" w:customStyle="1" w:styleId="CommentSubjectChar">
    <w:name w:val="Comment Subject Char"/>
    <w:link w:val="CommentSubject"/>
    <w:semiHidden/>
    <w:locked/>
    <w:rsid w:val="003A5900"/>
    <w:rPr>
      <w:b/>
      <w:bCs/>
      <w:kern w:val="28"/>
    </w:rPr>
  </w:style>
  <w:style w:type="paragraph" w:styleId="ListParagraph">
    <w:name w:val="List Paragraph"/>
    <w:basedOn w:val="Normal"/>
    <w:uiPriority w:val="1"/>
    <w:qFormat/>
    <w:rsid w:val="00EE3439"/>
    <w:pPr>
      <w:ind w:left="720"/>
      <w:contextualSpacing/>
    </w:pPr>
  </w:style>
  <w:style w:type="paragraph" w:styleId="BodyText2">
    <w:name w:val="Body Text 2"/>
    <w:basedOn w:val="Normal"/>
    <w:link w:val="BodyText2Char"/>
    <w:rsid w:val="00E62E6E"/>
    <w:pPr>
      <w:spacing w:after="120" w:line="480" w:lineRule="auto"/>
    </w:pPr>
  </w:style>
  <w:style w:type="character" w:customStyle="1" w:styleId="BodyText2Char">
    <w:name w:val="Body Text 2 Char"/>
    <w:basedOn w:val="DefaultParagraphFont"/>
    <w:link w:val="BodyText2"/>
    <w:rsid w:val="00E62E6E"/>
    <w:rPr>
      <w:kern w:val="28"/>
    </w:rPr>
  </w:style>
  <w:style w:type="character" w:customStyle="1" w:styleId="Heading1Char">
    <w:name w:val="Heading 1 Char"/>
    <w:basedOn w:val="DefaultParagraphFont"/>
    <w:link w:val="Heading1"/>
    <w:uiPriority w:val="9"/>
    <w:rsid w:val="001D5B06"/>
    <w:rPr>
      <w:b/>
      <w:bCs/>
      <w:kern w:val="36"/>
      <w:sz w:val="21"/>
      <w:szCs w:val="21"/>
    </w:rPr>
  </w:style>
  <w:style w:type="character" w:styleId="FollowedHyperlink">
    <w:name w:val="FollowedHyperlink"/>
    <w:basedOn w:val="DefaultParagraphFont"/>
    <w:rsid w:val="00F97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public/do/PRAOMBHistory?ombControlNumber=12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153E659918F4F98D9E644A6A9F55D" ma:contentTypeVersion="5" ma:contentTypeDescription="Create a new document." ma:contentTypeScope="" ma:versionID="32631329b9555b393de19a1e773929e0">
  <xsd:schema xmlns:xsd="http://www.w3.org/2001/XMLSchema" xmlns:xs="http://www.w3.org/2001/XMLSchema" xmlns:p="http://schemas.microsoft.com/office/2006/metadata/properties" xmlns:ns2="77d8c6a2-c1a2-4c54-bb4f-6ba90a1c3758" xmlns:ns3="98582ead-54bc-4f7e-86d8-c2f7238d826e" targetNamespace="http://schemas.microsoft.com/office/2006/metadata/properties" ma:root="true" ma:fieldsID="28b14e19b6cb0304dfe94e0f5ec8c791" ns2:_="" ns3:_="">
    <xsd:import namespace="77d8c6a2-c1a2-4c54-bb4f-6ba90a1c3758"/>
    <xsd:import namespace="98582ead-54bc-4f7e-86d8-c2f7238d82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c6a2-c1a2-4c54-bb4f-6ba90a1c3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82ead-54bc-4f7e-86d8-c2f7238d82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5981A-D10D-40FE-9D7F-AAA8FF168913}">
  <ds:schemaRefs>
    <ds:schemaRef ds:uri="http://schemas.openxmlformats.org/officeDocument/2006/bibliography"/>
  </ds:schemaRefs>
</ds:datastoreItem>
</file>

<file path=customXml/itemProps2.xml><?xml version="1.0" encoding="utf-8"?>
<ds:datastoreItem xmlns:ds="http://schemas.openxmlformats.org/officeDocument/2006/customXml" ds:itemID="{746CD104-42E6-4CC9-9CB6-73CDFDE2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4F99-F2EC-473B-BD7E-9E6C11174E3B}">
  <ds:schemaRefs>
    <ds:schemaRef ds:uri="http://schemas.microsoft.com/sharepoint/v3/contenttype/forms"/>
  </ds:schemaRefs>
</ds:datastoreItem>
</file>

<file path=customXml/itemProps4.xml><?xml version="1.0" encoding="utf-8"?>
<ds:datastoreItem xmlns:ds="http://schemas.openxmlformats.org/officeDocument/2006/customXml" ds:itemID="{95E5BADC-EBD6-4A69-90C0-8F340138F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c6a2-c1a2-4c54-bb4f-6ba90a1c3758"/>
    <ds:schemaRef ds:uri="98582ead-54bc-4f7e-86d8-c2f7238d8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12515</Words>
  <Characters>71340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83688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Tryon, Amy S - SOL</dc:creator>
  <cp:lastModifiedBy>Cannon, Belinda - OSHA</cp:lastModifiedBy>
  <cp:revision>2</cp:revision>
  <cp:lastPrinted>2019-12-02T17:55:00Z</cp:lastPrinted>
  <dcterms:created xsi:type="dcterms:W3CDTF">2023-11-30T21:50:00Z</dcterms:created>
  <dcterms:modified xsi:type="dcterms:W3CDTF">2023-11-30T21:50:00Z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0x010100042153E659918F4F98D9E644A6A9F55D</vt:lpwstr>
  </property>
</Properties>
</file>