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4A80" w:rsidRPr="006D0149" w:rsidP="006D0149" w14:paraId="696979EF" w14:textId="062757E1">
      <w:pPr>
        <w:widowControl/>
        <w:jc w:val="center"/>
        <w:rPr>
          <w:rFonts w:ascii="Times New Roman" w:hAnsi="Times New Roman"/>
          <w:b/>
          <w:bCs/>
        </w:rPr>
      </w:pPr>
      <w:bookmarkStart w:id="0" w:name="_Hlk142979965"/>
      <w:r w:rsidRPr="006D0149">
        <w:rPr>
          <w:rFonts w:ascii="Times New Roman" w:hAnsi="Times New Roman"/>
          <w:b/>
          <w:bCs/>
        </w:rPr>
        <w:t>SUPPORTING STATEMENT FOR INFORMATION COLLECTIONS: PATHWAY HOME GRANT PROGRAM EVALUATION</w:t>
      </w:r>
    </w:p>
    <w:p w:rsidR="000268EB" w:rsidRPr="006D0149" w:rsidP="006D0149" w14:paraId="651C13E1" w14:textId="77777777">
      <w:pPr>
        <w:widowControl/>
        <w:jc w:val="center"/>
        <w:rPr>
          <w:rFonts w:ascii="Times New Roman" w:hAnsi="Times New Roman"/>
          <w:b/>
          <w:bCs/>
        </w:rPr>
      </w:pPr>
    </w:p>
    <w:p w:rsidR="000268EB" w:rsidRPr="006D0149" w:rsidP="006D0149" w14:paraId="0CB8E3EF" w14:textId="0F772629">
      <w:pPr>
        <w:widowControl/>
        <w:jc w:val="center"/>
        <w:rPr>
          <w:rFonts w:ascii="Times New Roman" w:hAnsi="Times New Roman"/>
          <w:b/>
          <w:bCs/>
        </w:rPr>
      </w:pPr>
      <w:r w:rsidRPr="006D0149">
        <w:rPr>
          <w:rFonts w:ascii="Times New Roman" w:hAnsi="Times New Roman"/>
          <w:b/>
          <w:bCs/>
        </w:rPr>
        <w:t>OMB CONTROL NO.: 1290-XXXX</w:t>
      </w:r>
    </w:p>
    <w:p w:rsidR="00004A80" w:rsidP="003E6997" w14:paraId="5AF589D1" w14:textId="77777777">
      <w:pPr>
        <w:widowControl/>
        <w:rPr>
          <w:rFonts w:ascii="Times New Roman" w:hAnsi="Times New Roman"/>
        </w:rPr>
      </w:pPr>
    </w:p>
    <w:p w:rsidR="00584842" w:rsidP="00584842" w14:paraId="6A697292" w14:textId="77777777">
      <w:pPr>
        <w:adjustRightInd/>
        <w:spacing w:after="240"/>
        <w:rPr>
          <w:rFonts w:ascii="Times New Roman" w:hAnsi="Times New Roman"/>
        </w:rPr>
      </w:pPr>
    </w:p>
    <w:p w:rsidR="00584842" w:rsidRPr="00584842" w:rsidP="00584842" w14:paraId="0D1ABE7E" w14:textId="29AD329C">
      <w:pPr>
        <w:adjustRightInd/>
        <w:spacing w:after="240"/>
        <w:rPr>
          <w:rFonts w:ascii="Times New Roman" w:hAnsi="Times New Roman"/>
        </w:rPr>
      </w:pPr>
      <w:r w:rsidRPr="00584842">
        <w:rPr>
          <w:rFonts w:ascii="Times New Roman" w:hAnsi="Times New Roman"/>
        </w:rPr>
        <w:t xml:space="preserve">The U.S. Department of Labor (Department) submits this information collection request (ICR) as </w:t>
      </w:r>
      <w:r>
        <w:rPr>
          <w:rFonts w:ascii="Times New Roman" w:hAnsi="Times New Roman"/>
        </w:rPr>
        <w:t>a new collection</w:t>
      </w:r>
      <w:r w:rsidRPr="00584842">
        <w:rPr>
          <w:rFonts w:ascii="Times New Roman" w:hAnsi="Times New Roman"/>
        </w:rPr>
        <w:t>.</w:t>
      </w:r>
    </w:p>
    <w:p w:rsidR="000268EB" w:rsidP="003E6997" w14:paraId="51FBB3D6" w14:textId="77777777">
      <w:pPr>
        <w:widowControl/>
        <w:rPr>
          <w:rFonts w:ascii="Times New Roman" w:hAnsi="Times New Roman"/>
        </w:rPr>
      </w:pPr>
    </w:p>
    <w:p w:rsidR="000268EB" w:rsidP="003E6997" w14:paraId="7B05A08D" w14:textId="77777777">
      <w:pPr>
        <w:widowControl/>
        <w:rPr>
          <w:rFonts w:ascii="Times New Roman" w:hAnsi="Times New Roman"/>
        </w:rPr>
      </w:pPr>
    </w:p>
    <w:p w:rsidR="00004A80" w:rsidRPr="006D0149" w:rsidP="003E6997" w14:paraId="2B37D978" w14:textId="53C65708">
      <w:pPr>
        <w:widowControl/>
        <w:rPr>
          <w:rFonts w:ascii="Times New Roman" w:hAnsi="Times New Roman"/>
          <w:b/>
          <w:bCs/>
        </w:rPr>
      </w:pPr>
      <w:r w:rsidRPr="006D0149">
        <w:rPr>
          <w:rFonts w:ascii="Times New Roman" w:hAnsi="Times New Roman"/>
          <w:b/>
          <w:bCs/>
        </w:rPr>
        <w:t>A: JUSTIFICATION</w:t>
      </w:r>
    </w:p>
    <w:p w:rsidR="00004A80" w:rsidP="003E6997" w14:paraId="151A1B04" w14:textId="77777777">
      <w:pPr>
        <w:widowControl/>
        <w:rPr>
          <w:rFonts w:ascii="Times New Roman" w:hAnsi="Times New Roman"/>
        </w:rPr>
      </w:pPr>
    </w:p>
    <w:p w:rsidR="00690F56" w:rsidRPr="00A16D75" w:rsidP="00865679" w14:paraId="099BCB32" w14:textId="4E4A0F9D">
      <w:pPr>
        <w:pStyle w:val="StyleNumberedquestionLeft0Hanging031"/>
        <w:numPr>
          <w:ilvl w:val="0"/>
          <w:numId w:val="39"/>
        </w:numPr>
        <w:ind w:left="450"/>
      </w:pPr>
      <w:r w:rsidRPr="00A16D75">
        <w:t>Explain the circumstances that make the collection of information necessary.</w:t>
      </w:r>
      <w:r w:rsidR="00472BDB">
        <w:rPr>
          <w:b w:val="0"/>
          <w:bCs w:val="0"/>
        </w:rPr>
        <w:t xml:space="preserve"> </w:t>
      </w:r>
      <w:r w:rsidRPr="00A16D75">
        <w:t>Identify any legal or administrative requirements that necessitate the collection.</w:t>
      </w:r>
      <w:r w:rsidR="00472BDB">
        <w:rPr>
          <w:b w:val="0"/>
          <w:bCs w:val="0"/>
        </w:rPr>
        <w:t xml:space="preserve"> </w:t>
      </w:r>
      <w:r w:rsidRPr="00A16D75">
        <w:t>Attach a copy of the appropriate section of each statute and regulation mandating or authorizing the collection of information.</w:t>
      </w:r>
    </w:p>
    <w:p w:rsidR="008A4A4E" w14:paraId="7F9C270C" w14:textId="19A5049F">
      <w:pPr>
        <w:pStyle w:val="NormalSS"/>
        <w:ind w:firstLine="0"/>
      </w:pPr>
      <w:bookmarkStart w:id="1" w:name="_Toc436904528"/>
      <w:r w:rsidRPr="00301A49">
        <w:t>The Chief Evaluation Office (CEO) in the U.S. Department of Labor (DOL) is conducting an evaluation of Round 2 grants under the Pathway Home program, which is designed to test interventions to help individuals with justice-system involvement find meaningful employment and avoid recidivism. The Evaluation of the Pathway Home Grant Program (Pathway Home Evaluation) includes both implementation and impact studies. This information collection request seeks Office of Management and Budget (OMB) clearance for two new data information collections for the evaluation</w:t>
      </w:r>
      <w:r w:rsidR="00EA7EA3">
        <w:t>; the follow-up survey for impact study participants and protocol for structured discussions with grantee staff</w:t>
      </w:r>
      <w:r w:rsidR="009F0F55">
        <w:t>.</w:t>
      </w:r>
      <w:r>
        <w:rPr>
          <w:rStyle w:val="FootnoteReference"/>
        </w:rPr>
        <w:footnoteReference w:id="3"/>
      </w:r>
      <w:r w:rsidRPr="00301A49">
        <w:t xml:space="preserve"> </w:t>
      </w:r>
      <w:r w:rsidRPr="000E3667">
        <w:t>At the end of 2018, about 6.7 million adults were under some form of supervision by the U.S. correctional system.</w:t>
      </w:r>
      <w:r>
        <w:rPr>
          <w:rStyle w:val="FootnoteReference"/>
        </w:rPr>
        <w:footnoteReference w:id="4"/>
      </w:r>
      <w:r w:rsidRPr="000E3667">
        <w:t xml:space="preserve"> </w:t>
      </w:r>
      <w:r w:rsidR="40246263">
        <w:t>People</w:t>
      </w:r>
      <w:r w:rsidRPr="000E3667" w:rsidR="40246263">
        <w:t xml:space="preserve"> </w:t>
      </w:r>
      <w:r w:rsidRPr="000E3667">
        <w:t xml:space="preserve">released from incarceration face substantial obstacles to successful reentry. </w:t>
      </w:r>
      <w:r w:rsidRPr="00EB797D" w:rsidR="77B19CED">
        <w:t>Not surprisingly given these challenges, 45 percent of those released from state prisons are without employment one year following release.</w:t>
      </w:r>
      <w:r>
        <w:rPr>
          <w:rStyle w:val="FootnoteReference"/>
        </w:rPr>
        <w:footnoteReference w:id="5"/>
      </w:r>
      <w:r w:rsidRPr="00EB797D" w:rsidR="77B19CED">
        <w:t xml:space="preserve"> </w:t>
      </w:r>
      <w:r w:rsidRPr="000E3667">
        <w:t>Within this context, the U.S. Department of Labor (DOL) funded</w:t>
      </w:r>
      <w:r w:rsidRPr="000E3667" w:rsidR="4CC25E82">
        <w:t xml:space="preserve"> the </w:t>
      </w:r>
      <w:r w:rsidRPr="000E3667">
        <w:t>Pathway Home</w:t>
      </w:r>
      <w:r w:rsidRPr="000E3667" w:rsidR="72DBAF25">
        <w:t xml:space="preserve"> grant program</w:t>
      </w:r>
      <w:r w:rsidRPr="000E3667">
        <w:t xml:space="preserve">, </w:t>
      </w:r>
      <w:r w:rsidRPr="000E3667" w:rsidR="2E899602">
        <w:t xml:space="preserve">which was designed to </w:t>
      </w:r>
      <w:r>
        <w:t xml:space="preserve">strengthen ties between </w:t>
      </w:r>
      <w:r w:rsidRPr="000E3667">
        <w:t xml:space="preserve">pre-release services for those in local jails and state correctional facilities </w:t>
      </w:r>
      <w:r w:rsidRPr="000E3667" w:rsidR="1089B564">
        <w:t xml:space="preserve">linked to </w:t>
      </w:r>
      <w:r w:rsidRPr="000E3667">
        <w:t xml:space="preserve">post-release services available in the community. Using a continuity-of-care model, Pathway Home </w:t>
      </w:r>
      <w:r w:rsidR="1EFE67E5">
        <w:t xml:space="preserve">aims to </w:t>
      </w:r>
      <w:r w:rsidRPr="000E3667">
        <w:t xml:space="preserve">allow participants to maintain the same case manager </w:t>
      </w:r>
      <w:r w:rsidR="5A5C5298">
        <w:t xml:space="preserve">before and after </w:t>
      </w:r>
      <w:r w:rsidRPr="000E3667">
        <w:t xml:space="preserve">release. The Pathway Home Evaluation </w:t>
      </w:r>
      <w:r w:rsidRPr="000E3667" w:rsidR="04FEE2C7">
        <w:t xml:space="preserve">is intended to </w:t>
      </w:r>
      <w:r w:rsidRPr="000E3667">
        <w:t xml:space="preserve">provide DOL, grantees, and other stakeholders with </w:t>
      </w:r>
      <w:r>
        <w:t xml:space="preserve">practical </w:t>
      </w:r>
      <w:r w:rsidRPr="000E3667">
        <w:t xml:space="preserve">information </w:t>
      </w:r>
      <w:r>
        <w:t>about the implementation of the grant</w:t>
      </w:r>
      <w:r w:rsidR="39673D1D">
        <w:t xml:space="preserve">s </w:t>
      </w:r>
      <w:r w:rsidRPr="000E3667">
        <w:t xml:space="preserve">that can build the knowledge base about reentry employment </w:t>
      </w:r>
      <w:r w:rsidRPr="000E3667" w:rsidR="106D886B">
        <w:t>services,</w:t>
      </w:r>
      <w:r w:rsidRPr="000E3667">
        <w:t xml:space="preserve"> including those </w:t>
      </w:r>
      <w:r w:rsidRPr="000E3667" w:rsidR="283888DE">
        <w:t xml:space="preserve">delivered </w:t>
      </w:r>
      <w:r w:rsidR="47F6DF80">
        <w:t xml:space="preserve">before and after </w:t>
      </w:r>
      <w:r w:rsidRPr="000E3667">
        <w:t>release</w:t>
      </w:r>
      <w:r w:rsidR="47F6DF80">
        <w:t>. T</w:t>
      </w:r>
      <w:r w:rsidRPr="000E3667">
        <w:t xml:space="preserve">he </w:t>
      </w:r>
      <w:r w:rsidRPr="000E3667" w:rsidR="23B30DDE">
        <w:t xml:space="preserve">impact </w:t>
      </w:r>
      <w:r w:rsidRPr="000E3667">
        <w:t xml:space="preserve">evaluation </w:t>
      </w:r>
      <w:r>
        <w:t>will</w:t>
      </w:r>
      <w:r w:rsidRPr="000E3667">
        <w:t xml:space="preserve"> enable DOL to</w:t>
      </w:r>
      <w:r w:rsidR="4F77811B">
        <w:t xml:space="preserve"> </w:t>
      </w:r>
      <w:r w:rsidRPr="000E3667">
        <w:t>assess the overall impact of access to and participation in Pathway Home services</w:t>
      </w:r>
      <w:r>
        <w:t>.</w:t>
      </w:r>
      <w:r w:rsidR="09248114">
        <w:t xml:space="preserve"> </w:t>
      </w:r>
      <w:r w:rsidR="3A88C0AB">
        <w:t xml:space="preserve">Since July 2020, </w:t>
      </w:r>
      <w:r w:rsidRPr="00FB4A98" w:rsidR="3A88C0AB">
        <w:t xml:space="preserve">the U.S. Department of Labor (DOL) </w:t>
      </w:r>
      <w:r w:rsidR="3A88C0AB">
        <w:t xml:space="preserve">has awarded approximately $113 million dollars to two cohorts of Pathway Home grantees to expand the availability of employment-focused reentry services for individuals incarcerated in U.S. jails, prisons, and community correctional facilities.  </w:t>
      </w:r>
    </w:p>
    <w:p w:rsidR="0004457F" w:rsidP="0004457F" w14:paraId="651A27A8" w14:textId="77777777">
      <w:pPr>
        <w:pStyle w:val="NormalSS"/>
        <w:ind w:firstLine="0"/>
      </w:pPr>
      <w:r>
        <w:t>The Pathway Home Evaluation includes two components: (1) an implementation study to understand program implementation and partnership development and (2) an impact study to measure the effects of Pathway Home program services on participant outcomes. Both components will take place over four years (2021 to 2025).</w:t>
      </w:r>
    </w:p>
    <w:p w:rsidR="0004457F" w:rsidP="0004457F" w14:paraId="37705490" w14:textId="77777777">
      <w:pPr>
        <w:spacing w:after="240"/>
      </w:pPr>
      <w:r w:rsidRPr="492F0508">
        <w:rPr>
          <w:rFonts w:ascii="Times New Roman" w:hAnsi="Times New Roman"/>
        </w:rPr>
        <w:t>The implementation study will compare the planning and implementation of services under the Pathway Home grants across different sites, including the six grantees that are in the impact study and the</w:t>
      </w:r>
      <w:r>
        <w:rPr>
          <w:rFonts w:ascii="Times New Roman" w:hAnsi="Times New Roman"/>
        </w:rPr>
        <w:t xml:space="preserve"> </w:t>
      </w:r>
      <w:r w:rsidRPr="492F0508">
        <w:rPr>
          <w:rFonts w:ascii="Times New Roman" w:hAnsi="Times New Roman"/>
        </w:rPr>
        <w:t>16 grantees that are not part of that study</w:t>
      </w:r>
      <w:r>
        <w:rPr>
          <w:rFonts w:ascii="Times New Roman" w:hAnsi="Times New Roman"/>
        </w:rPr>
        <w:t>.</w:t>
      </w:r>
      <w:r w:rsidRPr="492F0508">
        <w:rPr>
          <w:rFonts w:ascii="Times New Roman" w:hAnsi="Times New Roman"/>
        </w:rPr>
        <w:t xml:space="preserve"> The implementation study will address three key research questions:</w:t>
      </w:r>
    </w:p>
    <w:p w:rsidR="0004457F" w:rsidRPr="00865679" w:rsidP="00865679" w14:paraId="6B68EDCE" w14:textId="77777777">
      <w:pPr>
        <w:pStyle w:val="ListBullet"/>
        <w:rPr>
          <w:rFonts w:ascii="Times New Roman" w:hAnsi="Times New Roman" w:cs="Times New Roman"/>
          <w:sz w:val="24"/>
          <w:szCs w:val="24"/>
        </w:rPr>
      </w:pPr>
      <w:r w:rsidRPr="00865679">
        <w:rPr>
          <w:rFonts w:ascii="Times New Roman" w:hAnsi="Times New Roman" w:cs="Times New Roman"/>
          <w:sz w:val="24"/>
          <w:szCs w:val="24"/>
        </w:rPr>
        <w:t>How did grantees implement the program, including facility and community-based services, hiring and training staff, data tracking and sharing systems, participant recruitment and enrollment processes, and transitioning participants from pre- to post-release case management? How did implementation vary by grantee and facility characteristics?</w:t>
      </w:r>
    </w:p>
    <w:p w:rsidR="0004457F" w:rsidRPr="00865679" w:rsidP="00865679" w14:paraId="3377DB58" w14:textId="77777777">
      <w:pPr>
        <w:pStyle w:val="ListBullet"/>
        <w:rPr>
          <w:rFonts w:ascii="Times New Roman" w:hAnsi="Times New Roman" w:cs="Times New Roman"/>
          <w:sz w:val="24"/>
          <w:szCs w:val="24"/>
        </w:rPr>
      </w:pPr>
      <w:r w:rsidRPr="00865679">
        <w:rPr>
          <w:rFonts w:ascii="Times New Roman" w:hAnsi="Times New Roman" w:cs="Times New Roman"/>
          <w:sz w:val="24"/>
          <w:szCs w:val="24"/>
        </w:rPr>
        <w:t>What types of partners did grantees engage in the program, and what roles did the partners play in program planning, implementation, and reporting? What factors did respondents perceive influenced the creation, maintenance, success, and sustainability of these partnerships?</w:t>
      </w:r>
    </w:p>
    <w:p w:rsidR="0004457F" w:rsidRPr="00865679" w:rsidP="00865679" w14:paraId="18267AD7" w14:textId="77777777">
      <w:pPr>
        <w:pStyle w:val="ListBullet"/>
        <w:rPr>
          <w:rFonts w:ascii="Times New Roman" w:hAnsi="Times New Roman" w:cs="Times New Roman"/>
          <w:sz w:val="24"/>
          <w:szCs w:val="24"/>
        </w:rPr>
      </w:pPr>
      <w:r w:rsidRPr="00865679">
        <w:rPr>
          <w:rFonts w:ascii="Times New Roman" w:hAnsi="Times New Roman" w:cs="Times New Roman"/>
          <w:sz w:val="24"/>
          <w:szCs w:val="24"/>
        </w:rPr>
        <w:t>Who was served by the Pathway Home grant program, and how were they identified, recruited, and enrolled? How do participant outcomes and program experiences vary by participant and program characteristics?</w:t>
      </w:r>
    </w:p>
    <w:p w:rsidR="0004457F" w:rsidP="0004457F" w14:paraId="1743429B" w14:textId="26999205">
      <w:pPr>
        <w:spacing w:before="240" w:after="240"/>
        <w:ind w:left="360"/>
        <w:rPr>
          <w:rFonts w:ascii="Times New Roman" w:hAnsi="Times New Roman"/>
        </w:rPr>
      </w:pPr>
      <w:r w:rsidRPr="492F0508">
        <w:rPr>
          <w:rFonts w:ascii="Times New Roman" w:hAnsi="Times New Roman"/>
        </w:rPr>
        <w:t xml:space="preserve">The implementation study will use data from the information collections which were approved under OMB No. 1290–0039:  a web-based survey of grant administrators, a web-based survey of </w:t>
      </w:r>
      <w:r w:rsidRPr="492F0508">
        <w:rPr>
          <w:rFonts w:ascii="Times New Roman" w:hAnsi="Times New Roman"/>
        </w:rPr>
        <w:t>correctional facility</w:t>
      </w:r>
      <w:r w:rsidRPr="492F0508">
        <w:rPr>
          <w:rFonts w:ascii="Times New Roman" w:hAnsi="Times New Roman"/>
        </w:rPr>
        <w:t xml:space="preserve"> administrators, interviews with program and partner administrators and staff, virtual discussions with grantee staff, focus groups with participants during site visits, and telephone interviews with program participants from each of those sites. This information collection request is for a new collection via structured discussions with grantee staff, which will be conducted virtually. </w:t>
      </w:r>
    </w:p>
    <w:p w:rsidR="0004457F" w:rsidRPr="00AE514A" w:rsidP="0004457F" w14:paraId="0A5EE624" w14:textId="40742C9E">
      <w:pPr>
        <w:spacing w:after="240"/>
        <w:rPr>
          <w:rFonts w:ascii="Times New Roman" w:hAnsi="Times New Roman"/>
        </w:rPr>
      </w:pPr>
      <w:r w:rsidRPr="492F0508">
        <w:rPr>
          <w:rFonts w:ascii="Times New Roman" w:hAnsi="Times New Roman"/>
        </w:rPr>
        <w:t>The impact study will compare the outcomes of Pathway Home participants</w:t>
      </w:r>
      <w:r w:rsidR="00BC7C9C">
        <w:rPr>
          <w:rFonts w:ascii="Times New Roman" w:hAnsi="Times New Roman"/>
        </w:rPr>
        <w:t xml:space="preserve"> (program group)</w:t>
      </w:r>
      <w:r w:rsidRPr="492F0508">
        <w:rPr>
          <w:rFonts w:ascii="Times New Roman" w:hAnsi="Times New Roman"/>
        </w:rPr>
        <w:t xml:space="preserve"> to those of a comparison group, and will address three key research questions:</w:t>
      </w:r>
    </w:p>
    <w:p w:rsidR="0004457F" w:rsidRPr="009D6118" w:rsidP="00865679" w14:paraId="75AF9E89" w14:textId="77777777">
      <w:pPr>
        <w:pStyle w:val="ListParagraph"/>
        <w:numPr>
          <w:ilvl w:val="0"/>
          <w:numId w:val="19"/>
        </w:numPr>
        <w:spacing w:after="120"/>
        <w:ind w:left="360" w:hanging="360"/>
        <w:rPr>
          <w:rFonts w:ascii="Times New Roman" w:hAnsi="Times New Roman"/>
        </w:rPr>
      </w:pPr>
      <w:r w:rsidRPr="75F0A9AB">
        <w:rPr>
          <w:rFonts w:ascii="Times New Roman" w:hAnsi="Times New Roman"/>
        </w:rPr>
        <w:t>To what extent did receiving Pathway Home services affect participant outcomes such as employment, earnings, and avoidance of repeat involvement in the criminal justice system?</w:t>
      </w:r>
    </w:p>
    <w:p w:rsidR="0004457F" w:rsidRPr="009D6118" w:rsidP="00865679" w14:paraId="6D61D518" w14:textId="77777777">
      <w:pPr>
        <w:pStyle w:val="ListParagraph"/>
        <w:numPr>
          <w:ilvl w:val="0"/>
          <w:numId w:val="19"/>
        </w:numPr>
        <w:spacing w:after="120"/>
        <w:ind w:left="360" w:hanging="360"/>
        <w:rPr>
          <w:rFonts w:ascii="Times New Roman" w:hAnsi="Times New Roman"/>
        </w:rPr>
      </w:pPr>
      <w:r w:rsidRPr="009D6118">
        <w:rPr>
          <w:rFonts w:ascii="Times New Roman" w:hAnsi="Times New Roman"/>
        </w:rPr>
        <w:t xml:space="preserve">To what extent do impacts vary across selected populations, including those based on age, type of offense, type of institution, veteran status, gender, </w:t>
      </w:r>
      <w:r>
        <w:rPr>
          <w:rFonts w:ascii="Times New Roman" w:hAnsi="Times New Roman"/>
        </w:rPr>
        <w:t xml:space="preserve">and </w:t>
      </w:r>
      <w:r w:rsidRPr="009D6118">
        <w:rPr>
          <w:rFonts w:ascii="Times New Roman" w:hAnsi="Times New Roman"/>
        </w:rPr>
        <w:t>race and ethnicity?</w:t>
      </w:r>
    </w:p>
    <w:p w:rsidR="0004457F" w:rsidRPr="009D6118" w:rsidP="00865679" w14:paraId="5D38E623" w14:textId="77777777">
      <w:pPr>
        <w:pStyle w:val="ListParagraph"/>
        <w:numPr>
          <w:ilvl w:val="0"/>
          <w:numId w:val="19"/>
        </w:numPr>
        <w:spacing w:after="120"/>
        <w:ind w:left="360" w:hanging="360"/>
        <w:rPr>
          <w:rFonts w:ascii="Times New Roman" w:hAnsi="Times New Roman"/>
        </w:rPr>
      </w:pPr>
      <w:r w:rsidRPr="009D6118">
        <w:rPr>
          <w:rFonts w:ascii="Times New Roman" w:hAnsi="Times New Roman"/>
        </w:rPr>
        <w:t xml:space="preserve">How does </w:t>
      </w:r>
      <w:r>
        <w:rPr>
          <w:rFonts w:ascii="Times New Roman" w:hAnsi="Times New Roman"/>
        </w:rPr>
        <w:t xml:space="preserve">program </w:t>
      </w:r>
      <w:r w:rsidRPr="009D6118">
        <w:rPr>
          <w:rFonts w:ascii="Times New Roman" w:hAnsi="Times New Roman"/>
        </w:rPr>
        <w:t xml:space="preserve">effectiveness vary by grantee characteristics, such as institution type, population served, </w:t>
      </w:r>
      <w:r>
        <w:rPr>
          <w:rFonts w:ascii="Times New Roman" w:hAnsi="Times New Roman"/>
        </w:rPr>
        <w:t xml:space="preserve">and </w:t>
      </w:r>
      <w:r w:rsidRPr="009D6118">
        <w:rPr>
          <w:rFonts w:ascii="Times New Roman" w:hAnsi="Times New Roman"/>
        </w:rPr>
        <w:t xml:space="preserve">services offered? Are there core components that are common to successful models of comprehensive reentry programs (for example, service delivery pre- and post-release, supportive services offered)? </w:t>
      </w:r>
    </w:p>
    <w:p w:rsidR="0004457F" w:rsidRPr="005C2578" w:rsidP="005C2578" w14:paraId="48C596D4" w14:textId="799BBC84">
      <w:pPr>
        <w:spacing w:after="240"/>
        <w:rPr>
          <w:rFonts w:ascii="Times New Roman" w:hAnsi="Times New Roman"/>
        </w:rPr>
      </w:pPr>
      <w:r w:rsidRPr="492F0508">
        <w:rPr>
          <w:rFonts w:ascii="Times New Roman" w:hAnsi="Times New Roman"/>
        </w:rPr>
        <w:t xml:space="preserve">The impact study will include a baseline and follow-up survey including all study participants (program and comparison group members) and will use administrative data to address the impact study research questions. The baseline survey of study participants was approved under OMB No. 1290–0039 while this request </w:t>
      </w:r>
      <w:r>
        <w:rPr>
          <w:rFonts w:ascii="Times New Roman" w:hAnsi="Times New Roman"/>
        </w:rPr>
        <w:t>includes</w:t>
      </w:r>
      <w:r w:rsidRPr="492F0508">
        <w:rPr>
          <w:rFonts w:ascii="Times New Roman" w:hAnsi="Times New Roman"/>
        </w:rPr>
        <w:t xml:space="preserve"> review and approval of the follow-up survey. </w:t>
      </w:r>
    </w:p>
    <w:p w:rsidR="00974513" w14:paraId="43C6600D" w14:textId="763DBA0A">
      <w:pPr>
        <w:pStyle w:val="NormalSS"/>
        <w:ind w:firstLine="0"/>
      </w:pPr>
      <w:r>
        <w:t xml:space="preserve">This is a </w:t>
      </w:r>
      <w:r w:rsidRPr="75F0A9AB">
        <w:rPr>
          <w:b/>
          <w:bCs/>
        </w:rPr>
        <w:t>new collection</w:t>
      </w:r>
      <w:r>
        <w:t xml:space="preserve"> request associated with the Pathway Home Evaluation. This package requests clearance for two data collection activities; </w:t>
      </w:r>
      <w:r w:rsidR="007F3BA0">
        <w:t xml:space="preserve">structured </w:t>
      </w:r>
      <w:r>
        <w:t xml:space="preserve">discussions with grantee staff and the participant follow-up survey. </w:t>
      </w:r>
      <w:r w:rsidR="007F3BA0">
        <w:t xml:space="preserve">Structured </w:t>
      </w:r>
      <w:r>
        <w:t>discussions with grantee staff are scheduled for Fall 2023. The administration of the participant follow-up survey is planned for early 2024.</w:t>
      </w:r>
    </w:p>
    <w:p w:rsidR="00AE514A" w:rsidP="75F0A9AB" w14:paraId="4478873A" w14:textId="4D7DB6D6">
      <w:pPr>
        <w:pStyle w:val="StyleNumberedquestionLeft0Hanging031"/>
      </w:pPr>
      <w:r w:rsidRPr="75F0A9AB">
        <w:t>Citation of sections of laws that justify this information collection:</w:t>
      </w:r>
      <w:r w:rsidR="001D6F99">
        <w:t xml:space="preserve"> </w:t>
      </w:r>
      <w:r w:rsidR="4A8F47DF">
        <w:t>Statute</w:t>
      </w:r>
      <w:r w:rsidR="0BA3B593">
        <w:t>s</w:t>
      </w:r>
      <w:r w:rsidR="4A8F47DF">
        <w:t xml:space="preserve"> and regulation</w:t>
      </w:r>
      <w:r w:rsidR="0911A991">
        <w:t>s</w:t>
      </w:r>
      <w:r w:rsidR="4A8F47DF">
        <w:t xml:space="preserve"> mandating or authorizing the collection of information.</w:t>
      </w:r>
    </w:p>
    <w:p w:rsidR="00AE514A" w:rsidP="00DB70CB" w14:paraId="402CE540" w14:textId="76FA16F7">
      <w:pPr>
        <w:pStyle w:val="NormalSS"/>
        <w:ind w:firstLine="0"/>
      </w:pPr>
      <w:r>
        <w:t xml:space="preserve">This evaluation is </w:t>
      </w:r>
      <w:r w:rsidR="565E0B4B">
        <w:t xml:space="preserve">being conducted under </w:t>
      </w:r>
      <w:r>
        <w:t>Section 169 of the Workforce Innovation and Opportunity Act (WIOA),</w:t>
      </w:r>
      <w:r>
        <w:rPr>
          <w:rStyle w:val="FootnoteReference"/>
        </w:rPr>
        <w:footnoteReference w:id="6"/>
      </w:r>
      <w:r>
        <w:t xml:space="preserve"> which authorizes research and evaluations to improve the management and effectiveness of workforce programs and activities </w:t>
      </w:r>
      <w:r w:rsidR="334AE9A4">
        <w:t xml:space="preserve">under WIOA and other employment and training programs. </w:t>
      </w:r>
      <w:r>
        <w:t>CEO undertakes a learning agenda process each year to identify departmental priorities for program evaluations. This DOL-funded study was a result of Section 169 of the </w:t>
      </w:r>
      <w:hyperlink r:id="rId9" w:history="1">
        <w:r>
          <w:t>Workforce Innovation and Opportunity Act</w:t>
        </w:r>
      </w:hyperlink>
      <w:r>
        <w:t> and the annual process to determine the Department's research priorities for the upcoming year. It contributes to the labor evidence base to inform </w:t>
      </w:r>
      <w:hyperlink r:id="rId10" w:history="1">
        <w:r>
          <w:t>employment and training programs</w:t>
        </w:r>
      </w:hyperlink>
      <w:r>
        <w:t> and policies and addresses departmental strategic goals and priorities</w:t>
      </w:r>
      <w:r w:rsidR="00A5079E">
        <w:t>.</w:t>
      </w:r>
      <w:r w:rsidR="00B95201">
        <w:t xml:space="preserve"> </w:t>
      </w:r>
    </w:p>
    <w:bookmarkEnd w:id="1"/>
    <w:p w:rsidR="00690F56" w:rsidP="00722AFB" w14:paraId="2BBF8E2F" w14:textId="51F37057">
      <w:pPr>
        <w:pStyle w:val="StyleNumberedquestionLeft0Hanging031"/>
      </w:pPr>
      <w:r w:rsidRPr="00A16D75">
        <w:t>2.</w:t>
      </w:r>
      <w:r w:rsidR="005E0F98">
        <w:tab/>
      </w:r>
      <w:r w:rsidRPr="00A16D75">
        <w:t>Indicate how, by whom, and for what purpose the information is to be used.</w:t>
      </w:r>
      <w:r w:rsidR="00472BDB">
        <w:t xml:space="preserve"> </w:t>
      </w:r>
      <w:r w:rsidRPr="00A16D75">
        <w:t>Except for a new collection, indicate the actual use the agency has made of the information received from the current collection.</w:t>
      </w:r>
    </w:p>
    <w:p w:rsidR="00306588" w:rsidRPr="009D6118" w:rsidP="75F0A9AB" w14:paraId="543DAF88" w14:textId="35DAC07A">
      <w:pPr>
        <w:widowControl/>
        <w:spacing w:after="240"/>
        <w:rPr>
          <w:rFonts w:ascii="Times New Roman" w:hAnsi="Times New Roman"/>
        </w:rPr>
      </w:pPr>
      <w:r w:rsidRPr="75F0A9AB">
        <w:rPr>
          <w:rFonts w:ascii="Times New Roman" w:hAnsi="Times New Roman"/>
        </w:rPr>
        <w:t xml:space="preserve">DOL </w:t>
      </w:r>
      <w:r w:rsidRPr="75F0A9AB" w:rsidR="00792EC0">
        <w:rPr>
          <w:rFonts w:ascii="Times New Roman" w:hAnsi="Times New Roman"/>
        </w:rPr>
        <w:t>will use</w:t>
      </w:r>
      <w:r w:rsidRPr="75F0A9AB">
        <w:rPr>
          <w:rFonts w:ascii="Times New Roman" w:hAnsi="Times New Roman"/>
          <w:b/>
          <w:bCs/>
        </w:rPr>
        <w:t xml:space="preserve"> </w:t>
      </w:r>
      <w:r w:rsidRPr="75F0A9AB" w:rsidR="00792EC0">
        <w:rPr>
          <w:rFonts w:ascii="Times New Roman" w:hAnsi="Times New Roman"/>
        </w:rPr>
        <w:t>t</w:t>
      </w:r>
      <w:r w:rsidRPr="75F0A9AB" w:rsidR="00721ED1">
        <w:rPr>
          <w:rFonts w:ascii="Times New Roman" w:hAnsi="Times New Roman"/>
        </w:rPr>
        <w:t xml:space="preserve">he </w:t>
      </w:r>
      <w:r w:rsidRPr="75F0A9AB" w:rsidR="33B26172">
        <w:rPr>
          <w:rFonts w:ascii="Times New Roman" w:hAnsi="Times New Roman"/>
        </w:rPr>
        <w:t xml:space="preserve">information </w:t>
      </w:r>
      <w:r w:rsidRPr="75F0A9AB" w:rsidR="00721ED1">
        <w:rPr>
          <w:rFonts w:ascii="Times New Roman" w:hAnsi="Times New Roman"/>
        </w:rPr>
        <w:t>collected through th</w:t>
      </w:r>
      <w:r w:rsidRPr="75F0A9AB" w:rsidR="6A30F9CC">
        <w:rPr>
          <w:rFonts w:ascii="Times New Roman" w:hAnsi="Times New Roman"/>
        </w:rPr>
        <w:t xml:space="preserve">is </w:t>
      </w:r>
      <w:r w:rsidRPr="75F0A9AB" w:rsidR="00721ED1">
        <w:rPr>
          <w:rFonts w:ascii="Times New Roman" w:hAnsi="Times New Roman"/>
        </w:rPr>
        <w:t xml:space="preserve">request </w:t>
      </w:r>
      <w:r w:rsidRPr="75F0A9AB" w:rsidR="5AAD9767">
        <w:rPr>
          <w:rFonts w:ascii="Times New Roman" w:hAnsi="Times New Roman"/>
        </w:rPr>
        <w:t>in two ways</w:t>
      </w:r>
      <w:r w:rsidR="00C85A2E">
        <w:rPr>
          <w:rFonts w:ascii="Times New Roman" w:hAnsi="Times New Roman"/>
        </w:rPr>
        <w:t>.</w:t>
      </w:r>
      <w:r w:rsidRPr="75F0A9AB" w:rsidR="5AAD9767">
        <w:rPr>
          <w:rFonts w:ascii="Times New Roman" w:hAnsi="Times New Roman"/>
        </w:rPr>
        <w:t xml:space="preserve"> First, the data from the structured discussions with staff will </w:t>
      </w:r>
      <w:r w:rsidRPr="75F0A9AB" w:rsidR="4EE8CEE3">
        <w:rPr>
          <w:rFonts w:ascii="Times New Roman" w:hAnsi="Times New Roman"/>
        </w:rPr>
        <w:t>add critical</w:t>
      </w:r>
      <w:r w:rsidRPr="75F0A9AB" w:rsidR="4DC9FEE2">
        <w:rPr>
          <w:rFonts w:ascii="Times New Roman" w:hAnsi="Times New Roman"/>
        </w:rPr>
        <w:t>,</w:t>
      </w:r>
      <w:r w:rsidRPr="75F0A9AB" w:rsidR="4EE8CEE3">
        <w:rPr>
          <w:rFonts w:ascii="Times New Roman" w:hAnsi="Times New Roman"/>
        </w:rPr>
        <w:t xml:space="preserve"> </w:t>
      </w:r>
      <w:r w:rsidRPr="75F0A9AB" w:rsidR="294BD806">
        <w:rPr>
          <w:rFonts w:ascii="Times New Roman" w:hAnsi="Times New Roman"/>
        </w:rPr>
        <w:t xml:space="preserve">detailed </w:t>
      </w:r>
      <w:r w:rsidRPr="75F0A9AB" w:rsidR="27DAB8E2">
        <w:rPr>
          <w:rFonts w:ascii="Times New Roman" w:hAnsi="Times New Roman"/>
        </w:rPr>
        <w:t xml:space="preserve">information on </w:t>
      </w:r>
      <w:r w:rsidRPr="75F0A9AB" w:rsidR="00721ED1">
        <w:rPr>
          <w:rFonts w:ascii="Times New Roman" w:hAnsi="Times New Roman"/>
        </w:rPr>
        <w:t xml:space="preserve">implementation of </w:t>
      </w:r>
      <w:r w:rsidRPr="75F0A9AB" w:rsidR="49836C65">
        <w:rPr>
          <w:rFonts w:ascii="Times New Roman" w:hAnsi="Times New Roman"/>
        </w:rPr>
        <w:t>selected</w:t>
      </w:r>
      <w:r w:rsidRPr="75F0A9AB" w:rsidR="00721ED1">
        <w:rPr>
          <w:rFonts w:ascii="Times New Roman" w:hAnsi="Times New Roman"/>
        </w:rPr>
        <w:t xml:space="preserve"> Pathway Home grant</w:t>
      </w:r>
      <w:r w:rsidRPr="75F0A9AB" w:rsidR="6A5D99D9">
        <w:rPr>
          <w:rFonts w:ascii="Times New Roman" w:hAnsi="Times New Roman"/>
        </w:rPr>
        <w:t>s</w:t>
      </w:r>
      <w:r w:rsidRPr="75F0A9AB" w:rsidR="00721ED1">
        <w:rPr>
          <w:rFonts w:ascii="Times New Roman" w:hAnsi="Times New Roman"/>
        </w:rPr>
        <w:t xml:space="preserve">, including </w:t>
      </w:r>
      <w:r w:rsidRPr="75F0A9AB" w:rsidR="554F6547">
        <w:rPr>
          <w:rFonts w:ascii="Times New Roman" w:hAnsi="Times New Roman"/>
        </w:rPr>
        <w:t xml:space="preserve">the </w:t>
      </w:r>
      <w:r w:rsidRPr="75F0A9AB" w:rsidR="66FDC26B">
        <w:rPr>
          <w:rFonts w:ascii="Times New Roman" w:hAnsi="Times New Roman"/>
        </w:rPr>
        <w:t xml:space="preserve">nature of the </w:t>
      </w:r>
      <w:r w:rsidRPr="75F0A9AB" w:rsidR="00721ED1">
        <w:rPr>
          <w:rFonts w:ascii="Times New Roman" w:hAnsi="Times New Roman"/>
        </w:rPr>
        <w:t>partnerships</w:t>
      </w:r>
      <w:r w:rsidRPr="75F0A9AB" w:rsidR="23A9F57F">
        <w:rPr>
          <w:rFonts w:ascii="Times New Roman" w:hAnsi="Times New Roman"/>
        </w:rPr>
        <w:t xml:space="preserve"> with other organization</w:t>
      </w:r>
      <w:r w:rsidR="003F4AD6">
        <w:rPr>
          <w:rFonts w:ascii="Times New Roman" w:hAnsi="Times New Roman"/>
        </w:rPr>
        <w:t>s</w:t>
      </w:r>
      <w:r w:rsidRPr="75F0A9AB" w:rsidR="00721ED1">
        <w:rPr>
          <w:rFonts w:ascii="Times New Roman" w:hAnsi="Times New Roman"/>
        </w:rPr>
        <w:t xml:space="preserve">, </w:t>
      </w:r>
      <w:r w:rsidRPr="75F0A9AB" w:rsidR="6B913D47">
        <w:rPr>
          <w:rFonts w:ascii="Times New Roman" w:hAnsi="Times New Roman"/>
        </w:rPr>
        <w:t xml:space="preserve">the </w:t>
      </w:r>
      <w:r w:rsidRPr="75F0A9AB" w:rsidR="00721ED1">
        <w:rPr>
          <w:rFonts w:ascii="Times New Roman" w:hAnsi="Times New Roman"/>
        </w:rPr>
        <w:t>training and support</w:t>
      </w:r>
      <w:r w:rsidRPr="75F0A9AB" w:rsidR="00F17712">
        <w:rPr>
          <w:rFonts w:ascii="Times New Roman" w:hAnsi="Times New Roman"/>
        </w:rPr>
        <w:t>ive</w:t>
      </w:r>
      <w:r w:rsidRPr="75F0A9AB" w:rsidR="00721ED1">
        <w:rPr>
          <w:rFonts w:ascii="Times New Roman" w:hAnsi="Times New Roman"/>
        </w:rPr>
        <w:t xml:space="preserve"> services provided, </w:t>
      </w:r>
      <w:r w:rsidRPr="75F0A9AB" w:rsidR="31B6EA4F">
        <w:rPr>
          <w:rFonts w:ascii="Times New Roman" w:hAnsi="Times New Roman"/>
        </w:rPr>
        <w:t xml:space="preserve">the </w:t>
      </w:r>
      <w:r w:rsidRPr="75F0A9AB" w:rsidR="00721ED1">
        <w:rPr>
          <w:rFonts w:ascii="Times New Roman" w:hAnsi="Times New Roman"/>
        </w:rPr>
        <w:t>population</w:t>
      </w:r>
      <w:r w:rsidRPr="75F0A9AB" w:rsidR="55F90559">
        <w:rPr>
          <w:rFonts w:ascii="Times New Roman" w:hAnsi="Times New Roman"/>
        </w:rPr>
        <w:t>s</w:t>
      </w:r>
      <w:r w:rsidRPr="75F0A9AB" w:rsidR="00721ED1">
        <w:rPr>
          <w:rFonts w:ascii="Times New Roman" w:hAnsi="Times New Roman"/>
        </w:rPr>
        <w:t xml:space="preserve"> served, and common implementation successes and challenges. </w:t>
      </w:r>
    </w:p>
    <w:p w:rsidR="00306588" w:rsidRPr="009D6118" w:rsidP="75F0A9AB" w14:paraId="7FC37A5B" w14:textId="6AAC2073">
      <w:pPr>
        <w:widowControl/>
        <w:spacing w:after="240"/>
        <w:rPr>
          <w:rFonts w:ascii="Times New Roman" w:hAnsi="Times New Roman"/>
        </w:rPr>
      </w:pPr>
      <w:r w:rsidRPr="492F0508">
        <w:rPr>
          <w:rFonts w:ascii="Times New Roman" w:hAnsi="Times New Roman"/>
        </w:rPr>
        <w:t xml:space="preserve">The </w:t>
      </w:r>
      <w:r w:rsidRPr="492F0508" w:rsidR="203D451F">
        <w:rPr>
          <w:rFonts w:ascii="Times New Roman" w:hAnsi="Times New Roman"/>
        </w:rPr>
        <w:t>follow-up</w:t>
      </w:r>
      <w:r w:rsidRPr="492F0508" w:rsidR="0FA806F5">
        <w:rPr>
          <w:rFonts w:ascii="Times New Roman" w:hAnsi="Times New Roman"/>
        </w:rPr>
        <w:t xml:space="preserve"> </w:t>
      </w:r>
      <w:r w:rsidRPr="492F0508" w:rsidR="615666F8">
        <w:rPr>
          <w:rFonts w:ascii="Times New Roman" w:hAnsi="Times New Roman"/>
        </w:rPr>
        <w:t xml:space="preserve">participant </w:t>
      </w:r>
      <w:r w:rsidRPr="492F0508" w:rsidR="0FA806F5">
        <w:rPr>
          <w:rFonts w:ascii="Times New Roman" w:hAnsi="Times New Roman"/>
        </w:rPr>
        <w:t xml:space="preserve">survey </w:t>
      </w:r>
      <w:r w:rsidRPr="492F0508">
        <w:rPr>
          <w:rFonts w:ascii="Times New Roman" w:hAnsi="Times New Roman"/>
        </w:rPr>
        <w:t xml:space="preserve">will </w:t>
      </w:r>
      <w:r w:rsidRPr="492F0508" w:rsidR="35D999FA">
        <w:rPr>
          <w:rFonts w:ascii="Times New Roman" w:hAnsi="Times New Roman"/>
        </w:rPr>
        <w:t xml:space="preserve">provide new information to </w:t>
      </w:r>
      <w:r w:rsidRPr="492F0508">
        <w:rPr>
          <w:rFonts w:ascii="Times New Roman" w:hAnsi="Times New Roman"/>
        </w:rPr>
        <w:t>assess the</w:t>
      </w:r>
      <w:r w:rsidRPr="492F0508" w:rsidR="372C3848">
        <w:rPr>
          <w:rFonts w:ascii="Times New Roman" w:hAnsi="Times New Roman"/>
        </w:rPr>
        <w:t xml:space="preserve"> activities</w:t>
      </w:r>
      <w:r w:rsidRPr="492F0508" w:rsidR="4132D77F">
        <w:rPr>
          <w:rFonts w:ascii="Times New Roman" w:hAnsi="Times New Roman"/>
        </w:rPr>
        <w:t>, experiences,</w:t>
      </w:r>
      <w:r w:rsidRPr="492F0508" w:rsidR="372C3848">
        <w:rPr>
          <w:rFonts w:ascii="Times New Roman" w:hAnsi="Times New Roman"/>
        </w:rPr>
        <w:t xml:space="preserve"> and</w:t>
      </w:r>
      <w:r w:rsidRPr="492F0508">
        <w:rPr>
          <w:rFonts w:ascii="Times New Roman" w:hAnsi="Times New Roman"/>
        </w:rPr>
        <w:t xml:space="preserve"> </w:t>
      </w:r>
      <w:r w:rsidRPr="492F0508" w:rsidR="2500D960">
        <w:rPr>
          <w:rFonts w:ascii="Times New Roman" w:hAnsi="Times New Roman"/>
        </w:rPr>
        <w:t xml:space="preserve">outcomes </w:t>
      </w:r>
      <w:r w:rsidRPr="492F0508" w:rsidR="3CB2972C">
        <w:rPr>
          <w:rFonts w:ascii="Times New Roman" w:hAnsi="Times New Roman"/>
        </w:rPr>
        <w:t xml:space="preserve">for </w:t>
      </w:r>
      <w:r w:rsidR="007518DE">
        <w:rPr>
          <w:rFonts w:ascii="Times New Roman" w:hAnsi="Times New Roman"/>
        </w:rPr>
        <w:t>program</w:t>
      </w:r>
      <w:r w:rsidRPr="492F0508" w:rsidR="3CB2972C">
        <w:rPr>
          <w:rFonts w:ascii="Times New Roman" w:hAnsi="Times New Roman"/>
        </w:rPr>
        <w:t xml:space="preserve"> and comparison group member</w:t>
      </w:r>
      <w:r w:rsidR="00993886">
        <w:rPr>
          <w:rFonts w:ascii="Times New Roman" w:hAnsi="Times New Roman"/>
        </w:rPr>
        <w:t>s</w:t>
      </w:r>
      <w:r w:rsidRPr="492F0508" w:rsidR="78C12E0F">
        <w:rPr>
          <w:rFonts w:ascii="Times New Roman" w:hAnsi="Times New Roman"/>
        </w:rPr>
        <w:t xml:space="preserve"> who were included in the </w:t>
      </w:r>
      <w:r w:rsidRPr="492F0508" w:rsidR="47996DE3">
        <w:rPr>
          <w:rFonts w:ascii="Times New Roman" w:hAnsi="Times New Roman"/>
        </w:rPr>
        <w:t xml:space="preserve">impact evaluation of selected </w:t>
      </w:r>
      <w:r w:rsidRPr="492F0508" w:rsidR="002A3FDC">
        <w:rPr>
          <w:rFonts w:ascii="Times New Roman" w:hAnsi="Times New Roman"/>
        </w:rPr>
        <w:t>P</w:t>
      </w:r>
      <w:r w:rsidRPr="492F0508">
        <w:rPr>
          <w:rFonts w:ascii="Times New Roman" w:hAnsi="Times New Roman"/>
        </w:rPr>
        <w:t xml:space="preserve">athway Home </w:t>
      </w:r>
      <w:r w:rsidRPr="492F0508" w:rsidR="1C472C22">
        <w:rPr>
          <w:rFonts w:ascii="Times New Roman" w:hAnsi="Times New Roman"/>
        </w:rPr>
        <w:t>grants</w:t>
      </w:r>
      <w:r w:rsidRPr="492F0508" w:rsidR="6CD20642">
        <w:rPr>
          <w:rFonts w:ascii="Times New Roman" w:hAnsi="Times New Roman"/>
        </w:rPr>
        <w:t xml:space="preserve">. </w:t>
      </w:r>
      <w:r w:rsidRPr="492F0508" w:rsidR="021A1820">
        <w:rPr>
          <w:rFonts w:ascii="Times New Roman" w:hAnsi="Times New Roman"/>
        </w:rPr>
        <w:t>Information from t</w:t>
      </w:r>
      <w:r w:rsidRPr="492F0508">
        <w:rPr>
          <w:rFonts w:ascii="Times New Roman" w:hAnsi="Times New Roman"/>
        </w:rPr>
        <w:t xml:space="preserve">his </w:t>
      </w:r>
      <w:r w:rsidRPr="492F0508" w:rsidR="7C554FF8">
        <w:rPr>
          <w:rFonts w:ascii="Times New Roman" w:hAnsi="Times New Roman"/>
        </w:rPr>
        <w:t xml:space="preserve">survey will </w:t>
      </w:r>
      <w:r w:rsidRPr="492F0508" w:rsidR="2B03D98F">
        <w:rPr>
          <w:rFonts w:ascii="Times New Roman" w:hAnsi="Times New Roman"/>
        </w:rPr>
        <w:t>add to t</w:t>
      </w:r>
      <w:r w:rsidRPr="492F0508" w:rsidR="4B13C945">
        <w:rPr>
          <w:rFonts w:ascii="Times New Roman" w:hAnsi="Times New Roman"/>
        </w:rPr>
        <w:t xml:space="preserve">hat </w:t>
      </w:r>
      <w:r w:rsidRPr="492F0508" w:rsidR="165DC7D9">
        <w:rPr>
          <w:rFonts w:ascii="Times New Roman" w:hAnsi="Times New Roman"/>
        </w:rPr>
        <w:t xml:space="preserve">from </w:t>
      </w:r>
      <w:r w:rsidRPr="492F0508">
        <w:rPr>
          <w:rFonts w:ascii="Times New Roman" w:hAnsi="Times New Roman"/>
        </w:rPr>
        <w:t>the baseline</w:t>
      </w:r>
      <w:r w:rsidR="008E3852">
        <w:rPr>
          <w:rFonts w:ascii="Times New Roman" w:hAnsi="Times New Roman"/>
        </w:rPr>
        <w:t xml:space="preserve"> </w:t>
      </w:r>
      <w:r w:rsidRPr="492F0508">
        <w:rPr>
          <w:rFonts w:ascii="Times New Roman" w:hAnsi="Times New Roman"/>
        </w:rPr>
        <w:t>survey</w:t>
      </w:r>
      <w:r w:rsidRPr="492F0508" w:rsidR="00445A4D">
        <w:rPr>
          <w:rFonts w:ascii="Times New Roman" w:hAnsi="Times New Roman"/>
        </w:rPr>
        <w:t>s</w:t>
      </w:r>
      <w:r w:rsidR="008E3852">
        <w:rPr>
          <w:rFonts w:ascii="Times New Roman" w:hAnsi="Times New Roman"/>
        </w:rPr>
        <w:t xml:space="preserve"> </w:t>
      </w:r>
      <w:r w:rsidRPr="492F0508" w:rsidR="46AC98C4">
        <w:rPr>
          <w:rFonts w:ascii="Times New Roman" w:hAnsi="Times New Roman"/>
        </w:rPr>
        <w:t xml:space="preserve">and </w:t>
      </w:r>
      <w:r w:rsidRPr="492F0508" w:rsidR="202F0C05">
        <w:rPr>
          <w:rFonts w:ascii="Times New Roman" w:hAnsi="Times New Roman"/>
        </w:rPr>
        <w:t xml:space="preserve">from </w:t>
      </w:r>
      <w:r w:rsidRPr="492F0508">
        <w:rPr>
          <w:rFonts w:ascii="Times New Roman" w:hAnsi="Times New Roman"/>
        </w:rPr>
        <w:t>administrative data</w:t>
      </w:r>
      <w:r w:rsidR="00952D8B">
        <w:rPr>
          <w:rFonts w:ascii="Times New Roman" w:hAnsi="Times New Roman"/>
        </w:rPr>
        <w:t>.</w:t>
      </w:r>
      <w:r w:rsidRPr="492F0508">
        <w:rPr>
          <w:rFonts w:ascii="Times New Roman" w:hAnsi="Times New Roman"/>
        </w:rPr>
        <w:t xml:space="preserve"> These data </w:t>
      </w:r>
      <w:r w:rsidRPr="492F0508" w:rsidR="36AF3684">
        <w:rPr>
          <w:rFonts w:ascii="Times New Roman" w:hAnsi="Times New Roman"/>
        </w:rPr>
        <w:t xml:space="preserve">are thus critical for the </w:t>
      </w:r>
      <w:r w:rsidRPr="492F0508">
        <w:rPr>
          <w:rFonts w:ascii="Times New Roman" w:hAnsi="Times New Roman"/>
        </w:rPr>
        <w:t xml:space="preserve">descriptive and impact analyses </w:t>
      </w:r>
      <w:r w:rsidRPr="492F0508" w:rsidR="063E5315">
        <w:rPr>
          <w:rFonts w:ascii="Times New Roman" w:hAnsi="Times New Roman"/>
        </w:rPr>
        <w:t xml:space="preserve">that will be conducted under the evaluation and </w:t>
      </w:r>
      <w:r w:rsidRPr="492F0508" w:rsidR="5EC51172">
        <w:rPr>
          <w:rFonts w:ascii="Times New Roman" w:hAnsi="Times New Roman"/>
        </w:rPr>
        <w:t xml:space="preserve">that </w:t>
      </w:r>
      <w:r w:rsidRPr="492F0508">
        <w:rPr>
          <w:rFonts w:ascii="Times New Roman" w:hAnsi="Times New Roman"/>
        </w:rPr>
        <w:t xml:space="preserve">will provide DOL and other policymakers with information </w:t>
      </w:r>
      <w:r w:rsidRPr="492F0508" w:rsidR="3D15CCE8">
        <w:rPr>
          <w:rFonts w:ascii="Times New Roman" w:hAnsi="Times New Roman"/>
        </w:rPr>
        <w:t>to be used in</w:t>
      </w:r>
      <w:r w:rsidRPr="492F0508">
        <w:rPr>
          <w:rFonts w:ascii="Times New Roman" w:hAnsi="Times New Roman"/>
        </w:rPr>
        <w:t xml:space="preserve"> management decisions</w:t>
      </w:r>
      <w:r w:rsidRPr="492F0508" w:rsidR="526D5A75">
        <w:rPr>
          <w:rFonts w:ascii="Times New Roman" w:hAnsi="Times New Roman"/>
        </w:rPr>
        <w:t xml:space="preserve"> and</w:t>
      </w:r>
      <w:r w:rsidRPr="492F0508">
        <w:rPr>
          <w:rFonts w:ascii="Times New Roman" w:hAnsi="Times New Roman"/>
        </w:rPr>
        <w:t xml:space="preserve"> planning </w:t>
      </w:r>
      <w:r w:rsidRPr="492F0508" w:rsidR="1C683F81">
        <w:rPr>
          <w:rFonts w:ascii="Times New Roman" w:hAnsi="Times New Roman"/>
        </w:rPr>
        <w:t xml:space="preserve">for </w:t>
      </w:r>
      <w:r w:rsidRPr="492F0508" w:rsidR="4C43CF66">
        <w:rPr>
          <w:rFonts w:ascii="Times New Roman" w:hAnsi="Times New Roman"/>
        </w:rPr>
        <w:t xml:space="preserve">future </w:t>
      </w:r>
      <w:r w:rsidRPr="492F0508">
        <w:rPr>
          <w:rFonts w:ascii="Times New Roman" w:hAnsi="Times New Roman"/>
        </w:rPr>
        <w:t>grant programs</w:t>
      </w:r>
      <w:r w:rsidRPr="492F0508" w:rsidR="00792EC0">
        <w:rPr>
          <w:rFonts w:ascii="Times New Roman" w:hAnsi="Times New Roman"/>
        </w:rPr>
        <w:t>,</w:t>
      </w:r>
      <w:r w:rsidRPr="492F0508">
        <w:rPr>
          <w:rFonts w:ascii="Times New Roman" w:hAnsi="Times New Roman"/>
        </w:rPr>
        <w:t xml:space="preserve"> a</w:t>
      </w:r>
      <w:r w:rsidRPr="492F0508" w:rsidR="4041FB8D">
        <w:rPr>
          <w:rFonts w:ascii="Times New Roman" w:hAnsi="Times New Roman"/>
        </w:rPr>
        <w:t xml:space="preserve">s well as </w:t>
      </w:r>
      <w:r w:rsidRPr="492F0508" w:rsidR="3E662D07">
        <w:rPr>
          <w:rFonts w:ascii="Times New Roman" w:hAnsi="Times New Roman"/>
        </w:rPr>
        <w:t xml:space="preserve">for </w:t>
      </w:r>
      <w:r w:rsidRPr="492F0508" w:rsidR="5947CB07">
        <w:rPr>
          <w:rFonts w:ascii="Times New Roman" w:hAnsi="Times New Roman"/>
        </w:rPr>
        <w:t xml:space="preserve">building </w:t>
      </w:r>
      <w:r w:rsidRPr="492F0508" w:rsidR="3E662D07">
        <w:rPr>
          <w:rFonts w:ascii="Times New Roman" w:hAnsi="Times New Roman"/>
        </w:rPr>
        <w:t>the knowledge base on</w:t>
      </w:r>
      <w:r w:rsidR="00F23449">
        <w:rPr>
          <w:rFonts w:ascii="Times New Roman" w:hAnsi="Times New Roman"/>
        </w:rPr>
        <w:t xml:space="preserve"> </w:t>
      </w:r>
      <w:r w:rsidRPr="492F0508">
        <w:rPr>
          <w:rFonts w:ascii="Times New Roman" w:hAnsi="Times New Roman"/>
        </w:rPr>
        <w:t>effective</w:t>
      </w:r>
      <w:r w:rsidRPr="492F0508" w:rsidR="48E1C5CA">
        <w:rPr>
          <w:rFonts w:ascii="Times New Roman" w:hAnsi="Times New Roman"/>
        </w:rPr>
        <w:t xml:space="preserve"> </w:t>
      </w:r>
      <w:r w:rsidRPr="492F0508">
        <w:rPr>
          <w:rFonts w:ascii="Times New Roman" w:hAnsi="Times New Roman"/>
        </w:rPr>
        <w:t xml:space="preserve">services </w:t>
      </w:r>
      <w:r w:rsidRPr="492F0508" w:rsidR="511A3EE4">
        <w:rPr>
          <w:rFonts w:ascii="Times New Roman" w:hAnsi="Times New Roman"/>
        </w:rPr>
        <w:t xml:space="preserve">provided to individuals </w:t>
      </w:r>
      <w:r w:rsidRPr="492F0508" w:rsidR="118619D5">
        <w:rPr>
          <w:rFonts w:ascii="Times New Roman" w:hAnsi="Times New Roman"/>
        </w:rPr>
        <w:t>b</w:t>
      </w:r>
      <w:r w:rsidRPr="492F0508" w:rsidR="00792EC0">
        <w:rPr>
          <w:rFonts w:ascii="Times New Roman" w:hAnsi="Times New Roman"/>
        </w:rPr>
        <w:t>efore</w:t>
      </w:r>
      <w:r w:rsidRPr="492F0508">
        <w:rPr>
          <w:rFonts w:ascii="Times New Roman" w:hAnsi="Times New Roman"/>
        </w:rPr>
        <w:t xml:space="preserve"> and after their release from incarceration. </w:t>
      </w:r>
    </w:p>
    <w:p w:rsidR="00171517" w:rsidRPr="00141661" w:rsidP="492F0508" w14:paraId="5B1E7CF3" w14:textId="68FFB1D8">
      <w:pPr>
        <w:spacing w:after="240"/>
        <w:rPr>
          <w:rFonts w:ascii="Times New Roman" w:hAnsi="Times New Roman"/>
        </w:rPr>
      </w:pPr>
      <w:r w:rsidRPr="492F0508">
        <w:rPr>
          <w:rFonts w:ascii="Times New Roman" w:hAnsi="Times New Roman"/>
        </w:rPr>
        <w:t xml:space="preserve">The data collection </w:t>
      </w:r>
      <w:r w:rsidRPr="492F0508" w:rsidR="0022532F">
        <w:rPr>
          <w:rFonts w:ascii="Times New Roman" w:hAnsi="Times New Roman"/>
        </w:rPr>
        <w:t xml:space="preserve">instruments in </w:t>
      </w:r>
      <w:r w:rsidRPr="492F0508">
        <w:rPr>
          <w:rFonts w:ascii="Times New Roman" w:hAnsi="Times New Roman"/>
        </w:rPr>
        <w:t>th</w:t>
      </w:r>
      <w:r w:rsidRPr="492F0508" w:rsidR="00AA747E">
        <w:rPr>
          <w:rFonts w:ascii="Times New Roman" w:hAnsi="Times New Roman"/>
        </w:rPr>
        <w:t>e previous</w:t>
      </w:r>
      <w:r w:rsidRPr="492F0508" w:rsidR="00316902">
        <w:rPr>
          <w:rFonts w:ascii="Times New Roman" w:hAnsi="Times New Roman"/>
        </w:rPr>
        <w:t>ly approved</w:t>
      </w:r>
      <w:r w:rsidRPr="492F0508">
        <w:rPr>
          <w:rFonts w:ascii="Times New Roman" w:hAnsi="Times New Roman"/>
        </w:rPr>
        <w:t xml:space="preserve"> </w:t>
      </w:r>
      <w:r w:rsidRPr="492F0508" w:rsidR="6D6E54A1">
        <w:rPr>
          <w:rFonts w:ascii="Times New Roman" w:hAnsi="Times New Roman"/>
        </w:rPr>
        <w:t xml:space="preserve">ICR, OMB No. </w:t>
      </w:r>
      <w:r w:rsidRPr="492F0508" w:rsidR="00E171A1">
        <w:rPr>
          <w:rFonts w:ascii="Times New Roman" w:hAnsi="Times New Roman"/>
        </w:rPr>
        <w:t>1290–</w:t>
      </w:r>
      <w:r w:rsidRPr="492F0508" w:rsidR="00D35C4A">
        <w:rPr>
          <w:rFonts w:ascii="Times New Roman" w:hAnsi="Times New Roman"/>
        </w:rPr>
        <w:t>0039</w:t>
      </w:r>
      <w:r w:rsidRPr="492F0508" w:rsidR="00E171A1">
        <w:rPr>
          <w:rFonts w:ascii="Times New Roman" w:hAnsi="Times New Roman"/>
        </w:rPr>
        <w:t xml:space="preserve"> </w:t>
      </w:r>
      <w:r w:rsidRPr="492F0508">
        <w:rPr>
          <w:rFonts w:ascii="Times New Roman" w:hAnsi="Times New Roman"/>
        </w:rPr>
        <w:t>include</w:t>
      </w:r>
      <w:r w:rsidRPr="492F0508" w:rsidR="00D35C4A">
        <w:rPr>
          <w:rFonts w:ascii="Times New Roman" w:hAnsi="Times New Roman"/>
        </w:rPr>
        <w:t xml:space="preserve"> a</w:t>
      </w:r>
      <w:r w:rsidRPr="492F0508">
        <w:rPr>
          <w:rFonts w:ascii="Times New Roman" w:hAnsi="Times New Roman"/>
        </w:rPr>
        <w:t xml:space="preserve"> (1) baseline survey</w:t>
      </w:r>
      <w:r w:rsidRPr="492F0508" w:rsidR="0022532F">
        <w:rPr>
          <w:rFonts w:ascii="Times New Roman" w:hAnsi="Times New Roman"/>
        </w:rPr>
        <w:t xml:space="preserve"> of study participants</w:t>
      </w:r>
      <w:r w:rsidRPr="492F0508">
        <w:rPr>
          <w:rFonts w:ascii="Times New Roman" w:hAnsi="Times New Roman"/>
        </w:rPr>
        <w:t xml:space="preserve">, (2) </w:t>
      </w:r>
      <w:r w:rsidRPr="492F0508" w:rsidR="0022532F">
        <w:rPr>
          <w:rFonts w:ascii="Times New Roman" w:hAnsi="Times New Roman"/>
        </w:rPr>
        <w:t>survey of grant administrators</w:t>
      </w:r>
      <w:r w:rsidRPr="492F0508">
        <w:rPr>
          <w:rFonts w:ascii="Times New Roman" w:hAnsi="Times New Roman"/>
        </w:rPr>
        <w:t xml:space="preserve">, (3) </w:t>
      </w:r>
      <w:r w:rsidRPr="492F0508" w:rsidR="0022532F">
        <w:rPr>
          <w:rFonts w:ascii="Times New Roman" w:hAnsi="Times New Roman"/>
        </w:rPr>
        <w:t xml:space="preserve">survey of </w:t>
      </w:r>
      <w:r w:rsidRPr="492F0508" w:rsidR="0022532F">
        <w:rPr>
          <w:rFonts w:ascii="Times New Roman" w:hAnsi="Times New Roman"/>
        </w:rPr>
        <w:t>correctional facility</w:t>
      </w:r>
      <w:r w:rsidRPr="492F0508" w:rsidR="0022532F">
        <w:rPr>
          <w:rFonts w:ascii="Times New Roman" w:hAnsi="Times New Roman"/>
        </w:rPr>
        <w:t xml:space="preserve"> administrators</w:t>
      </w:r>
      <w:r w:rsidRPr="492F0508">
        <w:rPr>
          <w:rFonts w:ascii="Times New Roman" w:hAnsi="Times New Roman"/>
        </w:rPr>
        <w:t xml:space="preserve">, (4) </w:t>
      </w:r>
      <w:r w:rsidRPr="492F0508" w:rsidR="0022532F">
        <w:rPr>
          <w:rFonts w:ascii="Times New Roman" w:hAnsi="Times New Roman"/>
        </w:rPr>
        <w:t>interview guide for program and partner administrators and staff</w:t>
      </w:r>
      <w:r w:rsidRPr="492F0508">
        <w:rPr>
          <w:rFonts w:ascii="Times New Roman" w:hAnsi="Times New Roman"/>
        </w:rPr>
        <w:t xml:space="preserve">, (5) </w:t>
      </w:r>
      <w:r w:rsidRPr="492F0508" w:rsidR="0022532F">
        <w:rPr>
          <w:rFonts w:ascii="Times New Roman" w:hAnsi="Times New Roman"/>
        </w:rPr>
        <w:t xml:space="preserve">focus group guide for </w:t>
      </w:r>
      <w:r w:rsidRPr="492F0508">
        <w:rPr>
          <w:rFonts w:ascii="Times New Roman" w:hAnsi="Times New Roman"/>
        </w:rPr>
        <w:t>pre-release</w:t>
      </w:r>
      <w:r w:rsidRPr="492F0508" w:rsidR="007714FA">
        <w:rPr>
          <w:rFonts w:ascii="Times New Roman" w:hAnsi="Times New Roman"/>
        </w:rPr>
        <w:t xml:space="preserve"> program</w:t>
      </w:r>
      <w:r w:rsidRPr="492F0508">
        <w:rPr>
          <w:rFonts w:ascii="Times New Roman" w:hAnsi="Times New Roman"/>
        </w:rPr>
        <w:t xml:space="preserve"> participant</w:t>
      </w:r>
      <w:r w:rsidRPr="492F0508" w:rsidR="0022532F">
        <w:rPr>
          <w:rFonts w:ascii="Times New Roman" w:hAnsi="Times New Roman"/>
        </w:rPr>
        <w:t>s</w:t>
      </w:r>
      <w:r w:rsidRPr="492F0508">
        <w:rPr>
          <w:rFonts w:ascii="Times New Roman" w:hAnsi="Times New Roman"/>
        </w:rPr>
        <w:t>,</w:t>
      </w:r>
      <w:r w:rsidRPr="492F0508" w:rsidR="0022532F">
        <w:rPr>
          <w:rFonts w:ascii="Times New Roman" w:hAnsi="Times New Roman"/>
        </w:rPr>
        <w:t xml:space="preserve"> and</w:t>
      </w:r>
      <w:r w:rsidRPr="492F0508">
        <w:rPr>
          <w:rFonts w:ascii="Times New Roman" w:hAnsi="Times New Roman"/>
        </w:rPr>
        <w:t xml:space="preserve"> (6) </w:t>
      </w:r>
      <w:r w:rsidRPr="492F0508" w:rsidR="00584BFE">
        <w:rPr>
          <w:rFonts w:ascii="Times New Roman" w:hAnsi="Times New Roman"/>
        </w:rPr>
        <w:t xml:space="preserve">an </w:t>
      </w:r>
      <w:r w:rsidRPr="492F0508" w:rsidR="0022532F">
        <w:rPr>
          <w:rFonts w:ascii="Times New Roman" w:hAnsi="Times New Roman"/>
        </w:rPr>
        <w:t xml:space="preserve">interview guide for </w:t>
      </w:r>
      <w:r w:rsidRPr="492F0508">
        <w:rPr>
          <w:rFonts w:ascii="Times New Roman" w:hAnsi="Times New Roman"/>
        </w:rPr>
        <w:t xml:space="preserve">post-release </w:t>
      </w:r>
      <w:r w:rsidRPr="492F0508" w:rsidR="0022532F">
        <w:rPr>
          <w:rFonts w:ascii="Times New Roman" w:hAnsi="Times New Roman"/>
        </w:rPr>
        <w:t xml:space="preserve">program </w:t>
      </w:r>
      <w:r w:rsidRPr="492F0508">
        <w:rPr>
          <w:rFonts w:ascii="Times New Roman" w:hAnsi="Times New Roman"/>
        </w:rPr>
        <w:t>participant</w:t>
      </w:r>
      <w:r w:rsidRPr="492F0508" w:rsidR="0022532F">
        <w:rPr>
          <w:rFonts w:ascii="Times New Roman" w:hAnsi="Times New Roman"/>
        </w:rPr>
        <w:t>s</w:t>
      </w:r>
      <w:r w:rsidRPr="492F0508" w:rsidR="00AA747E">
        <w:rPr>
          <w:rFonts w:ascii="Times New Roman" w:hAnsi="Times New Roman"/>
        </w:rPr>
        <w:t xml:space="preserve">. </w:t>
      </w:r>
      <w:r w:rsidRPr="492F0508" w:rsidR="00006D6C">
        <w:rPr>
          <w:rFonts w:ascii="Times New Roman" w:hAnsi="Times New Roman"/>
        </w:rPr>
        <w:t xml:space="preserve">More information on these data collection instruments and their uses can be found in </w:t>
      </w:r>
      <w:r w:rsidRPr="492F0508" w:rsidR="308B44BD">
        <w:rPr>
          <w:rFonts w:ascii="Times New Roman" w:hAnsi="Times New Roman"/>
        </w:rPr>
        <w:t xml:space="preserve">the supporting statement for OMB No. </w:t>
      </w:r>
      <w:r w:rsidRPr="492F0508" w:rsidR="00006D6C">
        <w:rPr>
          <w:rFonts w:ascii="Times New Roman" w:hAnsi="Times New Roman"/>
        </w:rPr>
        <w:t>1290–</w:t>
      </w:r>
      <w:r w:rsidRPr="492F0508" w:rsidR="00D35C4A">
        <w:rPr>
          <w:rFonts w:ascii="Times New Roman" w:hAnsi="Times New Roman"/>
        </w:rPr>
        <w:t>0039</w:t>
      </w:r>
      <w:r w:rsidRPr="492F0508" w:rsidR="00006D6C">
        <w:rPr>
          <w:rFonts w:ascii="Times New Roman" w:hAnsi="Times New Roman"/>
        </w:rPr>
        <w:t xml:space="preserve">. </w:t>
      </w:r>
      <w:r w:rsidRPr="492F0508" w:rsidR="00AA747E">
        <w:rPr>
          <w:rFonts w:ascii="Times New Roman" w:hAnsi="Times New Roman"/>
        </w:rPr>
        <w:t xml:space="preserve">The new data collection instruments </w:t>
      </w:r>
      <w:r w:rsidRPr="492F0508" w:rsidR="00AC1743">
        <w:rPr>
          <w:rFonts w:ascii="Times New Roman" w:hAnsi="Times New Roman"/>
        </w:rPr>
        <w:t>for</w:t>
      </w:r>
      <w:r w:rsidRPr="492F0508" w:rsidR="00AA747E">
        <w:rPr>
          <w:rFonts w:ascii="Times New Roman" w:hAnsi="Times New Roman"/>
        </w:rPr>
        <w:t xml:space="preserve"> approval in this</w:t>
      </w:r>
      <w:r w:rsidRPr="492F0508" w:rsidR="00AC1743">
        <w:rPr>
          <w:rFonts w:ascii="Times New Roman" w:hAnsi="Times New Roman"/>
        </w:rPr>
        <w:t xml:space="preserve"> package are (1) study participant follow-up survey, and (2) </w:t>
      </w:r>
      <w:r w:rsidR="007F3BA0">
        <w:rPr>
          <w:rFonts w:ascii="Times New Roman" w:hAnsi="Times New Roman"/>
        </w:rPr>
        <w:t>structured</w:t>
      </w:r>
      <w:r w:rsidRPr="492F0508" w:rsidR="007F3BA0">
        <w:rPr>
          <w:rFonts w:ascii="Times New Roman" w:hAnsi="Times New Roman"/>
        </w:rPr>
        <w:t xml:space="preserve"> </w:t>
      </w:r>
      <w:r w:rsidRPr="492F0508" w:rsidR="00AC1743">
        <w:rPr>
          <w:rFonts w:ascii="Times New Roman" w:hAnsi="Times New Roman"/>
        </w:rPr>
        <w:t xml:space="preserve">discussions </w:t>
      </w:r>
      <w:r w:rsidRPr="492F0508" w:rsidR="00E236F4">
        <w:rPr>
          <w:rFonts w:ascii="Times New Roman" w:hAnsi="Times New Roman"/>
        </w:rPr>
        <w:t xml:space="preserve">with </w:t>
      </w:r>
      <w:r w:rsidRPr="492F0508" w:rsidR="00AC1743">
        <w:rPr>
          <w:rFonts w:ascii="Times New Roman" w:hAnsi="Times New Roman"/>
        </w:rPr>
        <w:t>grantee staff</w:t>
      </w:r>
      <w:r w:rsidRPr="492F0508" w:rsidR="00907948">
        <w:rPr>
          <w:rFonts w:ascii="Times New Roman" w:hAnsi="Times New Roman"/>
        </w:rPr>
        <w:t>.</w:t>
      </w:r>
    </w:p>
    <w:p w:rsidR="00AA747E" w:rsidP="00171517" w14:paraId="432ECE65" w14:textId="3F4D50AA">
      <w:pPr>
        <w:spacing w:after="240"/>
        <w:rPr>
          <w:rFonts w:ascii="Times New Roman" w:hAnsi="Times New Roman"/>
        </w:rPr>
      </w:pPr>
      <w:r w:rsidRPr="492F0508">
        <w:rPr>
          <w:rFonts w:ascii="Times New Roman" w:hAnsi="Times New Roman"/>
          <w:b/>
          <w:bCs/>
        </w:rPr>
        <w:t>Study participant follow-up survey.</w:t>
      </w:r>
      <w:r w:rsidRPr="492F0508">
        <w:rPr>
          <w:rFonts w:ascii="Times New Roman" w:hAnsi="Times New Roman"/>
        </w:rPr>
        <w:t xml:space="preserve"> As part of the impact study, </w:t>
      </w:r>
      <w:r w:rsidRPr="492F0508" w:rsidR="004605D4">
        <w:rPr>
          <w:rFonts w:ascii="Times New Roman" w:hAnsi="Times New Roman"/>
        </w:rPr>
        <w:t>the evaluation team will field a web and phone survey to approximately 2</w:t>
      </w:r>
      <w:r w:rsidRPr="492F0508" w:rsidR="008524E5">
        <w:rPr>
          <w:rFonts w:ascii="Times New Roman" w:hAnsi="Times New Roman"/>
        </w:rPr>
        <w:t>,</w:t>
      </w:r>
      <w:r w:rsidRPr="492F0508" w:rsidR="00E977A0">
        <w:rPr>
          <w:rFonts w:ascii="Times New Roman" w:hAnsi="Times New Roman"/>
        </w:rPr>
        <w:t>5</w:t>
      </w:r>
      <w:r w:rsidRPr="492F0508" w:rsidR="004605D4">
        <w:rPr>
          <w:rFonts w:ascii="Times New Roman" w:hAnsi="Times New Roman"/>
        </w:rPr>
        <w:t xml:space="preserve">00 </w:t>
      </w:r>
      <w:r w:rsidRPr="492F0508" w:rsidR="05987CD8">
        <w:rPr>
          <w:rFonts w:ascii="Times New Roman" w:hAnsi="Times New Roman"/>
        </w:rPr>
        <w:t xml:space="preserve">individuals who </w:t>
      </w:r>
      <w:r w:rsidR="00B46C65">
        <w:rPr>
          <w:rFonts w:ascii="Times New Roman" w:hAnsi="Times New Roman"/>
        </w:rPr>
        <w:t xml:space="preserve">are in the study program </w:t>
      </w:r>
      <w:r w:rsidR="00D519DB">
        <w:rPr>
          <w:rFonts w:ascii="Times New Roman" w:hAnsi="Times New Roman"/>
        </w:rPr>
        <w:t>group or</w:t>
      </w:r>
      <w:r w:rsidR="00B46C65">
        <w:rPr>
          <w:rFonts w:ascii="Times New Roman" w:hAnsi="Times New Roman"/>
        </w:rPr>
        <w:t xml:space="preserve"> comparison group. The program group </w:t>
      </w:r>
      <w:r w:rsidRPr="492F0508" w:rsidR="05987CD8">
        <w:rPr>
          <w:rFonts w:ascii="Times New Roman" w:hAnsi="Times New Roman"/>
        </w:rPr>
        <w:t xml:space="preserve">received services under a Pathway Home grant </w:t>
      </w:r>
      <w:r w:rsidR="00B46C65">
        <w:rPr>
          <w:rFonts w:ascii="Times New Roman" w:hAnsi="Times New Roman"/>
        </w:rPr>
        <w:t>and the comparison group</w:t>
      </w:r>
      <w:r w:rsidRPr="492F0508" w:rsidR="05987CD8">
        <w:rPr>
          <w:rFonts w:ascii="Times New Roman" w:hAnsi="Times New Roman"/>
        </w:rPr>
        <w:t xml:space="preserve"> were not eligible for</w:t>
      </w:r>
      <w:r w:rsidRPr="492F0508" w:rsidR="01151104">
        <w:rPr>
          <w:rFonts w:ascii="Times New Roman" w:hAnsi="Times New Roman"/>
        </w:rPr>
        <w:t xml:space="preserve"> </w:t>
      </w:r>
      <w:r w:rsidRPr="492F0508" w:rsidR="05987CD8">
        <w:rPr>
          <w:rFonts w:ascii="Times New Roman" w:hAnsi="Times New Roman"/>
        </w:rPr>
        <w:t>servi</w:t>
      </w:r>
      <w:r w:rsidRPr="492F0508" w:rsidR="093DF683">
        <w:rPr>
          <w:rFonts w:ascii="Times New Roman" w:hAnsi="Times New Roman"/>
        </w:rPr>
        <w:t>ces under the grant</w:t>
      </w:r>
      <w:r w:rsidR="00172166">
        <w:rPr>
          <w:rFonts w:ascii="Times New Roman" w:hAnsi="Times New Roman"/>
        </w:rPr>
        <w:t xml:space="preserve"> </w:t>
      </w:r>
      <w:r w:rsidR="00B46C65">
        <w:rPr>
          <w:rFonts w:ascii="Times New Roman" w:hAnsi="Times New Roman"/>
        </w:rPr>
        <w:t>but</w:t>
      </w:r>
      <w:r w:rsidR="00172166">
        <w:rPr>
          <w:rFonts w:ascii="Times New Roman" w:hAnsi="Times New Roman"/>
        </w:rPr>
        <w:t xml:space="preserve"> enrolled in the study</w:t>
      </w:r>
      <w:r w:rsidRPr="492F0508" w:rsidR="093DF683">
        <w:rPr>
          <w:rFonts w:ascii="Times New Roman" w:hAnsi="Times New Roman"/>
        </w:rPr>
        <w:t>.</w:t>
      </w:r>
      <w:r w:rsidRPr="492F0508" w:rsidR="008524E5">
        <w:rPr>
          <w:rFonts w:ascii="Times New Roman" w:hAnsi="Times New Roman"/>
        </w:rPr>
        <w:t xml:space="preserve"> Surveys will </w:t>
      </w:r>
      <w:r w:rsidRPr="492F0508" w:rsidR="42084BF6">
        <w:rPr>
          <w:rFonts w:ascii="Times New Roman" w:hAnsi="Times New Roman"/>
        </w:rPr>
        <w:t xml:space="preserve">be administered </w:t>
      </w:r>
      <w:r w:rsidRPr="492F0508" w:rsidR="004605D4">
        <w:rPr>
          <w:rFonts w:ascii="Times New Roman" w:hAnsi="Times New Roman"/>
        </w:rPr>
        <w:t xml:space="preserve">15 months after </w:t>
      </w:r>
      <w:r w:rsidRPr="492F0508" w:rsidR="45A78747">
        <w:rPr>
          <w:rFonts w:ascii="Times New Roman" w:hAnsi="Times New Roman"/>
        </w:rPr>
        <w:t>participants</w:t>
      </w:r>
      <w:r w:rsidR="00D8113C">
        <w:rPr>
          <w:rFonts w:ascii="Times New Roman" w:hAnsi="Times New Roman"/>
        </w:rPr>
        <w:t>’</w:t>
      </w:r>
      <w:r w:rsidRPr="492F0508" w:rsidR="45A78747">
        <w:rPr>
          <w:rFonts w:ascii="Times New Roman" w:hAnsi="Times New Roman"/>
        </w:rPr>
        <w:t xml:space="preserve"> initial </w:t>
      </w:r>
      <w:r w:rsidRPr="492F0508" w:rsidR="004605D4">
        <w:rPr>
          <w:rFonts w:ascii="Times New Roman" w:hAnsi="Times New Roman"/>
        </w:rPr>
        <w:t>enrollment in</w:t>
      </w:r>
      <w:r w:rsidRPr="492F0508" w:rsidR="6067839C">
        <w:rPr>
          <w:rFonts w:ascii="Times New Roman" w:hAnsi="Times New Roman"/>
        </w:rPr>
        <w:t xml:space="preserve"> </w:t>
      </w:r>
      <w:r w:rsidR="00D8113C">
        <w:rPr>
          <w:rFonts w:ascii="Times New Roman" w:hAnsi="Times New Roman"/>
        </w:rPr>
        <w:t>the study</w:t>
      </w:r>
      <w:r w:rsidRPr="492F0508" w:rsidR="6067839C">
        <w:rPr>
          <w:rFonts w:ascii="Times New Roman" w:hAnsi="Times New Roman"/>
        </w:rPr>
        <w:t>.</w:t>
      </w:r>
      <w:r w:rsidRPr="492F0508" w:rsidR="004605D4">
        <w:rPr>
          <w:rFonts w:ascii="Times New Roman" w:hAnsi="Times New Roman"/>
        </w:rPr>
        <w:t xml:space="preserve"> </w:t>
      </w:r>
      <w:r w:rsidRPr="492F0508" w:rsidR="00F41FB3">
        <w:rPr>
          <w:rFonts w:ascii="Times New Roman" w:hAnsi="Times New Roman"/>
        </w:rPr>
        <w:t>Th</w:t>
      </w:r>
      <w:r w:rsidRPr="492F0508" w:rsidR="4BC0D77A">
        <w:rPr>
          <w:rFonts w:ascii="Times New Roman" w:hAnsi="Times New Roman"/>
        </w:rPr>
        <w:t xml:space="preserve">e </w:t>
      </w:r>
      <w:r w:rsidRPr="492F0508" w:rsidR="00F41FB3">
        <w:rPr>
          <w:rFonts w:ascii="Times New Roman" w:hAnsi="Times New Roman"/>
        </w:rPr>
        <w:t xml:space="preserve">survey will collect information </w:t>
      </w:r>
      <w:r w:rsidRPr="492F0508" w:rsidR="008524E5">
        <w:rPr>
          <w:rFonts w:ascii="Times New Roman" w:hAnsi="Times New Roman"/>
        </w:rPr>
        <w:t xml:space="preserve">on </w:t>
      </w:r>
      <w:r w:rsidR="00D67955">
        <w:rPr>
          <w:rFonts w:ascii="Times New Roman" w:hAnsi="Times New Roman"/>
        </w:rPr>
        <w:t>respondents’</w:t>
      </w:r>
      <w:r w:rsidRPr="492F0508" w:rsidR="00D67955">
        <w:rPr>
          <w:rFonts w:ascii="Times New Roman" w:hAnsi="Times New Roman"/>
        </w:rPr>
        <w:t xml:space="preserve"> </w:t>
      </w:r>
      <w:r w:rsidRPr="492F0508" w:rsidR="00F41FB3">
        <w:rPr>
          <w:rFonts w:ascii="Times New Roman" w:hAnsi="Times New Roman"/>
        </w:rPr>
        <w:t>skills and credential attainment, employment and economic well</w:t>
      </w:r>
      <w:r w:rsidRPr="492F0508" w:rsidR="00DA5FD2">
        <w:rPr>
          <w:rFonts w:ascii="Times New Roman" w:hAnsi="Times New Roman"/>
        </w:rPr>
        <w:t>-</w:t>
      </w:r>
      <w:r w:rsidRPr="492F0508" w:rsidR="00F41FB3">
        <w:rPr>
          <w:rFonts w:ascii="Times New Roman" w:hAnsi="Times New Roman"/>
        </w:rPr>
        <w:t xml:space="preserve">being, </w:t>
      </w:r>
      <w:r w:rsidRPr="492F0508" w:rsidR="00D22AC2">
        <w:rPr>
          <w:rFonts w:ascii="Times New Roman" w:hAnsi="Times New Roman"/>
        </w:rPr>
        <w:t>criminal justice involvement,</w:t>
      </w:r>
      <w:r w:rsidRPr="492F0508" w:rsidR="00F41FB3">
        <w:rPr>
          <w:rFonts w:ascii="Times New Roman" w:hAnsi="Times New Roman"/>
        </w:rPr>
        <w:t xml:space="preserve"> and health and stability after reentering their communities. </w:t>
      </w:r>
      <w:r w:rsidRPr="492F0508" w:rsidR="004605D4">
        <w:rPr>
          <w:rFonts w:ascii="Times New Roman" w:hAnsi="Times New Roman"/>
        </w:rPr>
        <w:t xml:space="preserve">The survey will take </w:t>
      </w:r>
      <w:r w:rsidRPr="492F0508" w:rsidR="00CD57AE">
        <w:rPr>
          <w:rFonts w:ascii="Times New Roman" w:hAnsi="Times New Roman"/>
        </w:rPr>
        <w:t xml:space="preserve">25 </w:t>
      </w:r>
      <w:r w:rsidRPr="492F0508" w:rsidR="004605D4">
        <w:rPr>
          <w:rFonts w:ascii="Times New Roman" w:hAnsi="Times New Roman"/>
        </w:rPr>
        <w:t>minutes, on average, to complete.</w:t>
      </w:r>
    </w:p>
    <w:p w:rsidR="00AA747E" w:rsidRPr="00C37083" w:rsidP="00171517" w14:paraId="11C53866" w14:textId="75CB867E">
      <w:pPr>
        <w:spacing w:after="240"/>
        <w:rPr>
          <w:rFonts w:ascii="Times New Roman" w:hAnsi="Times New Roman"/>
        </w:rPr>
      </w:pPr>
      <w:r w:rsidRPr="0CF6274A">
        <w:rPr>
          <w:rFonts w:ascii="Times New Roman" w:hAnsi="Times New Roman"/>
          <w:b/>
          <w:bCs/>
        </w:rPr>
        <w:t xml:space="preserve">Structured </w:t>
      </w:r>
      <w:r w:rsidRPr="0CF6274A" w:rsidR="61B51B7C">
        <w:rPr>
          <w:rFonts w:ascii="Times New Roman" w:hAnsi="Times New Roman"/>
          <w:b/>
          <w:bCs/>
        </w:rPr>
        <w:t>g</w:t>
      </w:r>
      <w:r w:rsidRPr="0CF6274A">
        <w:rPr>
          <w:rFonts w:ascii="Times New Roman" w:hAnsi="Times New Roman"/>
          <w:b/>
          <w:bCs/>
        </w:rPr>
        <w:t>roup and in</w:t>
      </w:r>
      <w:r w:rsidRPr="0CF6274A" w:rsidR="67EC5A71">
        <w:rPr>
          <w:rFonts w:ascii="Times New Roman" w:hAnsi="Times New Roman"/>
          <w:b/>
          <w:bCs/>
        </w:rPr>
        <w:t xml:space="preserve">dividual </w:t>
      </w:r>
      <w:r w:rsidRPr="0CF6274A">
        <w:rPr>
          <w:rFonts w:ascii="Times New Roman" w:hAnsi="Times New Roman"/>
          <w:b/>
          <w:bCs/>
        </w:rPr>
        <w:t>discussions with grantee staff.</w:t>
      </w:r>
      <w:r w:rsidRPr="0CF6274A" w:rsidR="00C01822">
        <w:rPr>
          <w:rFonts w:ascii="Times New Roman" w:hAnsi="Times New Roman"/>
          <w:b/>
          <w:bCs/>
        </w:rPr>
        <w:t xml:space="preserve"> </w:t>
      </w:r>
      <w:r w:rsidRPr="0CF6274A" w:rsidR="00C01822">
        <w:rPr>
          <w:rFonts w:ascii="Times New Roman" w:hAnsi="Times New Roman"/>
        </w:rPr>
        <w:t>As part of the implementation study,</w:t>
      </w:r>
      <w:r w:rsidRPr="0CF6274A" w:rsidR="00FA607C">
        <w:rPr>
          <w:rFonts w:ascii="Times New Roman" w:hAnsi="Times New Roman"/>
        </w:rPr>
        <w:t xml:space="preserve"> the evaluation team will </w:t>
      </w:r>
      <w:r w:rsidRPr="0CF6274A" w:rsidR="00522E79">
        <w:rPr>
          <w:rFonts w:ascii="Times New Roman" w:hAnsi="Times New Roman"/>
        </w:rPr>
        <w:t xml:space="preserve">conduct virtual </w:t>
      </w:r>
      <w:r w:rsidRPr="0CF6274A" w:rsidR="00D8289B">
        <w:rPr>
          <w:rFonts w:ascii="Times New Roman" w:hAnsi="Times New Roman"/>
        </w:rPr>
        <w:t xml:space="preserve">group </w:t>
      </w:r>
      <w:r w:rsidRPr="0CF6274A" w:rsidR="00522E79">
        <w:rPr>
          <w:rFonts w:ascii="Times New Roman" w:hAnsi="Times New Roman"/>
        </w:rPr>
        <w:t>discussions with approximately</w:t>
      </w:r>
      <w:r w:rsidRPr="0CF6274A" w:rsidR="0068224F">
        <w:rPr>
          <w:rFonts w:ascii="Times New Roman" w:hAnsi="Times New Roman"/>
        </w:rPr>
        <w:t xml:space="preserve"> </w:t>
      </w:r>
      <w:r w:rsidRPr="0CF6274A" w:rsidR="00681668">
        <w:rPr>
          <w:rFonts w:ascii="Times New Roman" w:hAnsi="Times New Roman"/>
        </w:rPr>
        <w:t>32</w:t>
      </w:r>
      <w:r w:rsidRPr="0CF6274A" w:rsidR="00522E79">
        <w:rPr>
          <w:rFonts w:ascii="Times New Roman" w:hAnsi="Times New Roman"/>
        </w:rPr>
        <w:t xml:space="preserve"> grantee staff </w:t>
      </w:r>
      <w:r w:rsidRPr="0CF6274A" w:rsidR="00A821F0">
        <w:rPr>
          <w:rFonts w:ascii="Times New Roman" w:hAnsi="Times New Roman"/>
        </w:rPr>
        <w:t>from 16 grantees</w:t>
      </w:r>
      <w:r w:rsidRPr="0CF6274A" w:rsidR="008F136A">
        <w:rPr>
          <w:rFonts w:ascii="Times New Roman" w:hAnsi="Times New Roman"/>
        </w:rPr>
        <w:t xml:space="preserve"> that did not participate in a site visit</w:t>
      </w:r>
      <w:r w:rsidRPr="0CF6274A" w:rsidR="008524E5">
        <w:rPr>
          <w:rFonts w:ascii="Times New Roman" w:hAnsi="Times New Roman"/>
        </w:rPr>
        <w:t xml:space="preserve">. Discussions will focus on </w:t>
      </w:r>
      <w:r w:rsidRPr="0CF6274A" w:rsidR="00522E79">
        <w:rPr>
          <w:rFonts w:ascii="Times New Roman" w:hAnsi="Times New Roman"/>
        </w:rPr>
        <w:t>understand</w:t>
      </w:r>
      <w:r w:rsidRPr="0CF6274A" w:rsidR="008524E5">
        <w:rPr>
          <w:rFonts w:ascii="Times New Roman" w:hAnsi="Times New Roman"/>
        </w:rPr>
        <w:t>ing</w:t>
      </w:r>
      <w:r w:rsidRPr="0CF6274A" w:rsidR="00522E79">
        <w:rPr>
          <w:rFonts w:ascii="Times New Roman" w:hAnsi="Times New Roman"/>
        </w:rPr>
        <w:t xml:space="preserve"> </w:t>
      </w:r>
      <w:r w:rsidRPr="0CF6274A" w:rsidR="00907948">
        <w:rPr>
          <w:rFonts w:ascii="Times New Roman" w:hAnsi="Times New Roman"/>
        </w:rPr>
        <w:t>sustainability of the Pathway Home grantee programs</w:t>
      </w:r>
      <w:r w:rsidRPr="0CF6274A" w:rsidR="00FA607C">
        <w:rPr>
          <w:rFonts w:ascii="Times New Roman" w:hAnsi="Times New Roman"/>
        </w:rPr>
        <w:t xml:space="preserve">. The group discussions </w:t>
      </w:r>
      <w:r w:rsidRPr="0CF6274A" w:rsidR="00522E79">
        <w:rPr>
          <w:rFonts w:ascii="Times New Roman" w:hAnsi="Times New Roman"/>
        </w:rPr>
        <w:t xml:space="preserve">will be conducted over </w:t>
      </w:r>
      <w:r w:rsidRPr="0CF6274A" w:rsidR="00FA348B">
        <w:rPr>
          <w:rFonts w:ascii="Times New Roman" w:hAnsi="Times New Roman"/>
        </w:rPr>
        <w:t>WebEx and Zoom</w:t>
      </w:r>
      <w:r w:rsidRPr="0CF6274A" w:rsidR="00522E79">
        <w:rPr>
          <w:rFonts w:ascii="Times New Roman" w:hAnsi="Times New Roman"/>
        </w:rPr>
        <w:t xml:space="preserve"> and </w:t>
      </w:r>
      <w:r w:rsidRPr="0CF6274A" w:rsidR="00FA607C">
        <w:rPr>
          <w:rFonts w:ascii="Times New Roman" w:hAnsi="Times New Roman"/>
        </w:rPr>
        <w:t xml:space="preserve">are expected to take about </w:t>
      </w:r>
      <w:r w:rsidRPr="0CF6274A" w:rsidR="00A821F0">
        <w:rPr>
          <w:rFonts w:ascii="Times New Roman" w:hAnsi="Times New Roman"/>
        </w:rPr>
        <w:t>90</w:t>
      </w:r>
      <w:r w:rsidRPr="0CF6274A" w:rsidR="00FA607C">
        <w:rPr>
          <w:rFonts w:ascii="Times New Roman" w:hAnsi="Times New Roman"/>
        </w:rPr>
        <w:t xml:space="preserve"> minutes to complete.</w:t>
      </w:r>
      <w:r w:rsidRPr="0CF6274A" w:rsidR="008F12E9">
        <w:rPr>
          <w:rFonts w:ascii="Times New Roman" w:hAnsi="Times New Roman"/>
        </w:rPr>
        <w:t xml:space="preserve"> </w:t>
      </w:r>
      <w:r w:rsidRPr="0CF6274A" w:rsidR="00107BDD">
        <w:rPr>
          <w:rFonts w:ascii="Times New Roman" w:hAnsi="Times New Roman"/>
        </w:rPr>
        <w:t xml:space="preserve">There will be five or six grantees per </w:t>
      </w:r>
      <w:r w:rsidRPr="0CF6274A" w:rsidR="001B308B">
        <w:rPr>
          <w:rFonts w:ascii="Times New Roman" w:hAnsi="Times New Roman"/>
        </w:rPr>
        <w:t xml:space="preserve">group discussion. </w:t>
      </w:r>
      <w:r w:rsidRPr="0CF6274A" w:rsidR="008F12E9">
        <w:rPr>
          <w:rFonts w:ascii="Times New Roman" w:hAnsi="Times New Roman"/>
        </w:rPr>
        <w:t xml:space="preserve">The </w:t>
      </w:r>
      <w:r w:rsidRPr="0CF6274A" w:rsidR="002506BE">
        <w:rPr>
          <w:rFonts w:ascii="Times New Roman" w:hAnsi="Times New Roman"/>
        </w:rPr>
        <w:t>evaluation will</w:t>
      </w:r>
      <w:r w:rsidRPr="0CF6274A" w:rsidR="008F12E9">
        <w:rPr>
          <w:rFonts w:ascii="Times New Roman" w:hAnsi="Times New Roman"/>
        </w:rPr>
        <w:t xml:space="preserve"> also </w:t>
      </w:r>
      <w:r w:rsidRPr="0CF6274A" w:rsidR="46DE62F8">
        <w:rPr>
          <w:rFonts w:ascii="Times New Roman" w:hAnsi="Times New Roman"/>
        </w:rPr>
        <w:t xml:space="preserve">involve </w:t>
      </w:r>
      <w:r w:rsidRPr="0CF6274A" w:rsidR="0AE17A4A">
        <w:rPr>
          <w:rFonts w:ascii="Times New Roman" w:hAnsi="Times New Roman"/>
        </w:rPr>
        <w:t>six (</w:t>
      </w:r>
      <w:r w:rsidRPr="0CF6274A" w:rsidR="008F12E9">
        <w:rPr>
          <w:rFonts w:ascii="Times New Roman" w:hAnsi="Times New Roman"/>
        </w:rPr>
        <w:t>6</w:t>
      </w:r>
      <w:r w:rsidRPr="0CF6274A" w:rsidR="7776903E">
        <w:rPr>
          <w:rFonts w:ascii="Times New Roman" w:hAnsi="Times New Roman"/>
        </w:rPr>
        <w:t>)</w:t>
      </w:r>
      <w:r w:rsidRPr="0CF6274A" w:rsidR="008F12E9">
        <w:rPr>
          <w:rFonts w:ascii="Times New Roman" w:hAnsi="Times New Roman"/>
        </w:rPr>
        <w:t xml:space="preserve"> </w:t>
      </w:r>
      <w:r w:rsidRPr="0CF6274A" w:rsidR="004A010B">
        <w:rPr>
          <w:rFonts w:ascii="Times New Roman" w:hAnsi="Times New Roman"/>
        </w:rPr>
        <w:t xml:space="preserve">one-on-one or </w:t>
      </w:r>
      <w:r w:rsidRPr="0CF6274A" w:rsidR="00D6456F">
        <w:rPr>
          <w:rFonts w:ascii="Times New Roman" w:hAnsi="Times New Roman"/>
        </w:rPr>
        <w:t xml:space="preserve">two-on-one </w:t>
      </w:r>
      <w:r w:rsidRPr="0CF6274A" w:rsidR="008F12E9">
        <w:rPr>
          <w:rFonts w:ascii="Times New Roman" w:hAnsi="Times New Roman"/>
        </w:rPr>
        <w:t xml:space="preserve">calls </w:t>
      </w:r>
      <w:r w:rsidR="004A07FA">
        <w:rPr>
          <w:rFonts w:ascii="Times New Roman" w:hAnsi="Times New Roman"/>
        </w:rPr>
        <w:t>with</w:t>
      </w:r>
      <w:r w:rsidRPr="0CF6274A" w:rsidR="483935D7">
        <w:rPr>
          <w:rFonts w:ascii="Times New Roman" w:hAnsi="Times New Roman"/>
        </w:rPr>
        <w:t xml:space="preserve"> </w:t>
      </w:r>
      <w:r w:rsidRPr="0CF6274A" w:rsidR="008F12E9">
        <w:rPr>
          <w:rFonts w:ascii="Times New Roman" w:hAnsi="Times New Roman"/>
        </w:rPr>
        <w:t xml:space="preserve">the </w:t>
      </w:r>
      <w:r w:rsidRPr="0CF6274A" w:rsidR="7F6B8F6E">
        <w:rPr>
          <w:rFonts w:ascii="Times New Roman" w:hAnsi="Times New Roman"/>
        </w:rPr>
        <w:t xml:space="preserve">six </w:t>
      </w:r>
      <w:r w:rsidRPr="0CF6274A" w:rsidR="008F12E9">
        <w:rPr>
          <w:rFonts w:ascii="Times New Roman" w:hAnsi="Times New Roman"/>
        </w:rPr>
        <w:t>sites</w:t>
      </w:r>
      <w:r w:rsidRPr="0CF6274A" w:rsidR="00DA5FD2">
        <w:rPr>
          <w:rFonts w:ascii="Times New Roman" w:hAnsi="Times New Roman"/>
        </w:rPr>
        <w:t>,</w:t>
      </w:r>
      <w:r w:rsidRPr="0CF6274A" w:rsidR="00A821F0">
        <w:rPr>
          <w:rFonts w:ascii="Times New Roman" w:hAnsi="Times New Roman"/>
        </w:rPr>
        <w:t xml:space="preserve"> </w:t>
      </w:r>
      <w:r w:rsidRPr="0CF6274A" w:rsidR="00DA5FD2">
        <w:rPr>
          <w:rFonts w:ascii="Times New Roman" w:hAnsi="Times New Roman"/>
        </w:rPr>
        <w:t>which</w:t>
      </w:r>
      <w:r w:rsidRPr="0CF6274A" w:rsidR="00A821F0">
        <w:rPr>
          <w:rFonts w:ascii="Times New Roman" w:hAnsi="Times New Roman"/>
        </w:rPr>
        <w:t xml:space="preserve"> are also expected to take about 90 minutes.</w:t>
      </w:r>
      <w:r w:rsidRPr="0CF6274A" w:rsidR="0025215B">
        <w:rPr>
          <w:rFonts w:ascii="Times New Roman" w:hAnsi="Times New Roman"/>
        </w:rPr>
        <w:t xml:space="preserve"> These calls will </w:t>
      </w:r>
      <w:r w:rsidRPr="0CF6274A" w:rsidR="001A5747">
        <w:rPr>
          <w:rFonts w:ascii="Times New Roman" w:hAnsi="Times New Roman"/>
        </w:rPr>
        <w:t>include</w:t>
      </w:r>
      <w:r w:rsidRPr="0CF6274A" w:rsidR="0025215B">
        <w:rPr>
          <w:rFonts w:ascii="Times New Roman" w:hAnsi="Times New Roman"/>
        </w:rPr>
        <w:t xml:space="preserve"> </w:t>
      </w:r>
      <w:r w:rsidRPr="0CF6274A" w:rsidR="000B6F9D">
        <w:rPr>
          <w:rFonts w:ascii="Times New Roman" w:hAnsi="Times New Roman"/>
        </w:rPr>
        <w:t>the same questions a</w:t>
      </w:r>
      <w:r w:rsidRPr="0CF6274A" w:rsidR="001A5747">
        <w:rPr>
          <w:rFonts w:ascii="Times New Roman" w:hAnsi="Times New Roman"/>
        </w:rPr>
        <w:t>bout</w:t>
      </w:r>
      <w:r w:rsidRPr="0CF6274A" w:rsidR="000B6F9D">
        <w:rPr>
          <w:rFonts w:ascii="Times New Roman" w:hAnsi="Times New Roman"/>
        </w:rPr>
        <w:t xml:space="preserve"> </w:t>
      </w:r>
      <w:r w:rsidRPr="0CF6274A" w:rsidR="0025215B">
        <w:rPr>
          <w:rFonts w:ascii="Times New Roman" w:hAnsi="Times New Roman"/>
        </w:rPr>
        <w:t xml:space="preserve">sustainability, as well as specific issues that </w:t>
      </w:r>
      <w:r w:rsidRPr="0CF6274A" w:rsidR="001A5747">
        <w:rPr>
          <w:rFonts w:ascii="Times New Roman" w:hAnsi="Times New Roman"/>
        </w:rPr>
        <w:t>emerged</w:t>
      </w:r>
      <w:r w:rsidRPr="0CF6274A" w:rsidR="0025215B">
        <w:rPr>
          <w:rFonts w:ascii="Times New Roman" w:hAnsi="Times New Roman"/>
        </w:rPr>
        <w:t xml:space="preserve"> during site visits.</w:t>
      </w:r>
    </w:p>
    <w:p w:rsidR="00690F56" w:rsidRPr="00A16D75" w:rsidP="00722AFB" w14:paraId="1908DC84" w14:textId="00CAFC57">
      <w:pPr>
        <w:pStyle w:val="StyleNumberedquestionLeft0Hanging031"/>
        <w:rPr>
          <w:b w:val="0"/>
          <w:bCs w:val="0"/>
        </w:rPr>
      </w:pPr>
      <w:r w:rsidRPr="00A16D75">
        <w:t>3.</w:t>
      </w:r>
      <w:r w:rsidR="00472BDB">
        <w:rPr>
          <w:b w:val="0"/>
          <w:bCs w:val="0"/>
        </w:rPr>
        <w:t xml:space="preserve"> </w:t>
      </w:r>
      <w:r w:rsidR="00722AFB">
        <w:rPr>
          <w:b w:val="0"/>
          <w:bCs w:val="0"/>
        </w:rPr>
        <w:tab/>
      </w:r>
      <w:r w:rsidRPr="00A16D75">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472BDB">
        <w:rPr>
          <w:b w:val="0"/>
          <w:bCs w:val="0"/>
        </w:rPr>
        <w:t xml:space="preserve"> </w:t>
      </w:r>
      <w:r w:rsidRPr="00A16D75">
        <w:t>Also</w:t>
      </w:r>
      <w:r w:rsidRPr="00A16D75" w:rsidR="00237691">
        <w:t>,</w:t>
      </w:r>
      <w:r w:rsidRPr="00A16D75">
        <w:t xml:space="preserve"> describe any consideration of using information technology to reduce burden.</w:t>
      </w:r>
    </w:p>
    <w:p w:rsidR="002F38D0" w:rsidP="00472BDB" w14:paraId="714DBA55" w14:textId="2B5DC1D9">
      <w:pPr>
        <w:spacing w:after="240"/>
        <w:rPr>
          <w:rFonts w:ascii="Times New Roman" w:hAnsi="Times New Roman"/>
        </w:rPr>
      </w:pPr>
      <w:r w:rsidRPr="00472BDB">
        <w:rPr>
          <w:rFonts w:ascii="Times New Roman" w:hAnsi="Times New Roman"/>
        </w:rPr>
        <w:t xml:space="preserve">This project will use multiple applications of information technology to reduce burden. The </w:t>
      </w:r>
      <w:r w:rsidR="006E0232">
        <w:rPr>
          <w:rFonts w:ascii="Times New Roman" w:hAnsi="Times New Roman"/>
        </w:rPr>
        <w:t>participant follow-up survey</w:t>
      </w:r>
      <w:r w:rsidRPr="00472BDB">
        <w:rPr>
          <w:rFonts w:ascii="Times New Roman" w:hAnsi="Times New Roman"/>
        </w:rPr>
        <w:t xml:space="preserve"> will have the capability to be hosted on the Internet via a live secure web</w:t>
      </w:r>
      <w:r w:rsidRPr="00472BDB" w:rsidR="005D1EAB">
        <w:rPr>
          <w:rFonts w:ascii="Times New Roman" w:hAnsi="Times New Roman"/>
        </w:rPr>
        <w:t xml:space="preserve"> </w:t>
      </w:r>
      <w:r w:rsidRPr="00472BDB">
        <w:rPr>
          <w:rFonts w:ascii="Times New Roman" w:hAnsi="Times New Roman"/>
        </w:rPr>
        <w:t>link. To reduce burden, the survey will employ the following: (1) secure log-ins and passwords so respondents can save and complete the survey in multiple sessions, (2) drop-down response categories so respondents can quickly select from a list, (3) dynamic questions and automated skip patterns so respondents only see questions that apply to them (including those based on answers provided previously in the survey), and (4) logical rules for responses so respondents</w:t>
      </w:r>
      <w:r w:rsidR="00B33613">
        <w:rPr>
          <w:rFonts w:ascii="Times New Roman" w:hAnsi="Times New Roman"/>
        </w:rPr>
        <w:t>'</w:t>
      </w:r>
      <w:r w:rsidRPr="00472BDB">
        <w:rPr>
          <w:rFonts w:ascii="Times New Roman" w:hAnsi="Times New Roman"/>
        </w:rPr>
        <w:t xml:space="preserve"> answers are restricted to those intended by the question.</w:t>
      </w:r>
    </w:p>
    <w:p w:rsidR="00FA348B" w:rsidRPr="00472BDB" w:rsidP="00472BDB" w14:paraId="4C42A963" w14:textId="1BF39526">
      <w:pPr>
        <w:spacing w:after="240"/>
        <w:rPr>
          <w:rFonts w:ascii="Times New Roman" w:hAnsi="Times New Roman"/>
        </w:rPr>
      </w:pPr>
      <w:r>
        <w:rPr>
          <w:rFonts w:ascii="Times New Roman" w:hAnsi="Times New Roman"/>
        </w:rPr>
        <w:t xml:space="preserve">Video conferencing will be used to host the </w:t>
      </w:r>
      <w:r w:rsidR="007F3BA0">
        <w:rPr>
          <w:rFonts w:ascii="Times New Roman" w:hAnsi="Times New Roman"/>
        </w:rPr>
        <w:t xml:space="preserve">structured </w:t>
      </w:r>
      <w:r>
        <w:rPr>
          <w:rFonts w:ascii="Times New Roman" w:hAnsi="Times New Roman"/>
        </w:rPr>
        <w:t>discussion</w:t>
      </w:r>
      <w:r w:rsidR="004B5BF9">
        <w:rPr>
          <w:rFonts w:ascii="Times New Roman" w:hAnsi="Times New Roman"/>
        </w:rPr>
        <w:t xml:space="preserve">s </w:t>
      </w:r>
      <w:r>
        <w:rPr>
          <w:rFonts w:ascii="Times New Roman" w:hAnsi="Times New Roman"/>
        </w:rPr>
        <w:t xml:space="preserve">with grantee staff. The use of </w:t>
      </w:r>
      <w:r>
        <w:rPr>
          <w:rFonts w:ascii="Times New Roman" w:hAnsi="Times New Roman"/>
        </w:rPr>
        <w:t>these programs reduces burden for participants as they do not have to travel in any way to participate in the group. These programs also allow respondents to call into the meeting if they do not wish to or are not able to join by video.</w:t>
      </w:r>
    </w:p>
    <w:p w:rsidR="00690F56" w:rsidP="00722AFB" w14:paraId="529483DE" w14:textId="063F49FC">
      <w:pPr>
        <w:pStyle w:val="StyleNumberedquestionLeft0Hanging031"/>
        <w:rPr>
          <w:b w:val="0"/>
          <w:bCs w:val="0"/>
        </w:rPr>
      </w:pPr>
      <w:r w:rsidRPr="00A16D75">
        <w:t>4.</w:t>
      </w:r>
      <w:r w:rsidR="00472BDB">
        <w:rPr>
          <w:b w:val="0"/>
          <w:bCs w:val="0"/>
        </w:rPr>
        <w:t xml:space="preserve"> </w:t>
      </w:r>
      <w:r w:rsidR="00722AFB">
        <w:rPr>
          <w:b w:val="0"/>
          <w:bCs w:val="0"/>
        </w:rPr>
        <w:tab/>
      </w:r>
      <w:r w:rsidRPr="00A16D75">
        <w:t>Describe efforts to identify duplication</w:t>
      </w:r>
      <w:r w:rsidRPr="00A16D75" w:rsidR="00B3218F">
        <w:t xml:space="preserve">. </w:t>
      </w:r>
      <w:r w:rsidRPr="00A16D75">
        <w:t xml:space="preserve">Show specifically why any similar information already available cannot be used or modified for use for the purposes described in Item </w:t>
      </w:r>
      <w:r w:rsidRPr="00A16D75" w:rsidR="00237691">
        <w:t>A.</w:t>
      </w:r>
      <w:r w:rsidRPr="00A16D75">
        <w:t>2 above.</w:t>
      </w:r>
    </w:p>
    <w:p w:rsidR="006167FC" w:rsidP="000E3BAF" w14:paraId="1DDE218F" w14:textId="6AAD9291">
      <w:pPr>
        <w:pStyle w:val="NormalSS"/>
        <w:ind w:firstLine="0"/>
      </w:pPr>
      <w:r>
        <w:t>The evaluation of the Pathway Home grant</w:t>
      </w:r>
      <w:r w:rsidR="00366E52">
        <w:t xml:space="preserve"> program</w:t>
      </w:r>
      <w:r>
        <w:t xml:space="preserve"> will not require collecti</w:t>
      </w:r>
      <w:r w:rsidR="00000976">
        <w:t>ng</w:t>
      </w:r>
      <w:r>
        <w:t xml:space="preserve"> information that is available through alternate sources. For example, the evaluation will use available information from grantee applications and existing administrative data sets to ensure that data collected through </w:t>
      </w:r>
      <w:r w:rsidR="009F62D4">
        <w:t xml:space="preserve">the follow-up survey </w:t>
      </w:r>
      <w:r>
        <w:t xml:space="preserve">and </w:t>
      </w:r>
      <w:r w:rsidR="007F3BA0">
        <w:t xml:space="preserve">structured </w:t>
      </w:r>
      <w:r w:rsidR="0057231F">
        <w:t xml:space="preserve">discussions with grantee staff </w:t>
      </w:r>
      <w:r>
        <w:t>are not available elsewhere.</w:t>
      </w:r>
    </w:p>
    <w:p w:rsidR="00690F56" w:rsidRPr="00A16D75" w:rsidP="00722AFB" w14:paraId="686EF219" w14:textId="4505FAC0">
      <w:pPr>
        <w:pStyle w:val="StyleNumberedquestionLeft0Hanging031"/>
        <w:rPr>
          <w:b w:val="0"/>
          <w:bCs w:val="0"/>
        </w:rPr>
      </w:pPr>
      <w:r w:rsidRPr="00A16D75">
        <w:t>5.</w:t>
      </w:r>
      <w:r w:rsidR="00472BDB">
        <w:t xml:space="preserve"> </w:t>
      </w:r>
      <w:r w:rsidR="00722AFB">
        <w:tab/>
      </w:r>
      <w:r w:rsidRPr="00A16D75">
        <w:t>If the collection of information impacts small businesses or other small entities</w:t>
      </w:r>
      <w:r w:rsidRPr="00A16D75" w:rsidR="00237691">
        <w:t>,</w:t>
      </w:r>
      <w:r w:rsidRPr="00A16D75">
        <w:t xml:space="preserve"> describe any methods used to minimize burden.</w:t>
      </w:r>
    </w:p>
    <w:p w:rsidR="00690F56" w:rsidRPr="00A16D75" w:rsidP="00690F56" w14:paraId="5D56A05A" w14:textId="4979CC6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Neither of the data collection activities included in this clearance request will impact small busines</w:t>
      </w:r>
      <w:r w:rsidR="00D0625D">
        <w:rPr>
          <w:rFonts w:ascii="Times New Roman" w:hAnsi="Times New Roman"/>
        </w:rPr>
        <w:t>se</w:t>
      </w:r>
      <w:r>
        <w:rPr>
          <w:rFonts w:ascii="Times New Roman" w:hAnsi="Times New Roman"/>
        </w:rPr>
        <w:t>s or other small entities.</w:t>
      </w:r>
    </w:p>
    <w:p w:rsidR="00690F56" w:rsidRPr="00A16D75" w:rsidP="00722AFB" w14:paraId="5F528885" w14:textId="1171718D">
      <w:pPr>
        <w:pStyle w:val="StyleNumberedquestionLeft0Hanging031"/>
        <w:rPr>
          <w:b w:val="0"/>
          <w:bCs w:val="0"/>
        </w:rPr>
      </w:pPr>
      <w:r w:rsidRPr="00A16D75">
        <w:t>6</w:t>
      </w:r>
      <w:r w:rsidRPr="00A16D75" w:rsidR="00237691">
        <w:t>.</w:t>
      </w:r>
      <w:r w:rsidR="00472BDB">
        <w:rPr>
          <w:b w:val="0"/>
          <w:bCs w:val="0"/>
        </w:rPr>
        <w:t xml:space="preserve"> </w:t>
      </w:r>
      <w:r w:rsidR="00722AFB">
        <w:rPr>
          <w:b w:val="0"/>
          <w:bCs w:val="0"/>
        </w:rPr>
        <w:tab/>
      </w:r>
      <w:r w:rsidRPr="00A16D75" w:rsidR="00237691">
        <w:t>Describe the consequence to f</w:t>
      </w:r>
      <w:r w:rsidRPr="00A16D75">
        <w:t>ederal program or policy activities if the collection is not conducted or is conducted less frequently, as well as any technical or legal obstacles to reducing burden.</w:t>
      </w:r>
    </w:p>
    <w:p w:rsidR="00A874E6" w:rsidRPr="00472BDB" w:rsidP="492F0508" w14:paraId="4C09236B" w14:textId="7A4B95BA">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492F0508">
        <w:rPr>
          <w:rFonts w:ascii="Times New Roman" w:hAnsi="Times New Roman"/>
        </w:rPr>
        <w:t xml:space="preserve">The </w:t>
      </w:r>
      <w:r w:rsidRPr="492F0508" w:rsidR="522BF492">
        <w:rPr>
          <w:rFonts w:ascii="Times New Roman" w:hAnsi="Times New Roman"/>
        </w:rPr>
        <w:t xml:space="preserve">information collections submitted for approval under this request are </w:t>
      </w:r>
      <w:r w:rsidRPr="492F0508" w:rsidR="5B3A8779">
        <w:rPr>
          <w:rFonts w:ascii="Times New Roman" w:hAnsi="Times New Roman"/>
        </w:rPr>
        <w:t xml:space="preserve">critical </w:t>
      </w:r>
      <w:r w:rsidRPr="492F0508" w:rsidR="522BF492">
        <w:rPr>
          <w:rFonts w:ascii="Times New Roman" w:hAnsi="Times New Roman"/>
        </w:rPr>
        <w:t>to bui</w:t>
      </w:r>
      <w:r w:rsidRPr="492F0508" w:rsidR="0770158C">
        <w:rPr>
          <w:rFonts w:ascii="Times New Roman" w:hAnsi="Times New Roman"/>
        </w:rPr>
        <w:t xml:space="preserve">lding </w:t>
      </w:r>
      <w:r w:rsidRPr="492F0508" w:rsidR="522BF492">
        <w:rPr>
          <w:rFonts w:ascii="Times New Roman" w:hAnsi="Times New Roman"/>
        </w:rPr>
        <w:t xml:space="preserve">evidence </w:t>
      </w:r>
      <w:r w:rsidRPr="492F0508" w:rsidR="532CF935">
        <w:rPr>
          <w:rFonts w:ascii="Times New Roman" w:hAnsi="Times New Roman"/>
        </w:rPr>
        <w:t xml:space="preserve">that will </w:t>
      </w:r>
      <w:r w:rsidRPr="492F0508">
        <w:rPr>
          <w:rFonts w:ascii="Times New Roman" w:hAnsi="Times New Roman"/>
        </w:rPr>
        <w:t xml:space="preserve">add to the growing body of knowledge about what works </w:t>
      </w:r>
      <w:r w:rsidRPr="492F0508" w:rsidR="00435127">
        <w:rPr>
          <w:rFonts w:ascii="Times New Roman" w:hAnsi="Times New Roman"/>
        </w:rPr>
        <w:t>in providing</w:t>
      </w:r>
      <w:r w:rsidRPr="492F0508">
        <w:rPr>
          <w:rFonts w:ascii="Times New Roman" w:hAnsi="Times New Roman"/>
        </w:rPr>
        <w:t xml:space="preserve"> </w:t>
      </w:r>
      <w:bookmarkStart w:id="2" w:name="_Hlk79652043"/>
      <w:r w:rsidRPr="492F0508" w:rsidR="00664AF9">
        <w:rPr>
          <w:rFonts w:ascii="Times New Roman" w:hAnsi="Times New Roman"/>
        </w:rPr>
        <w:t xml:space="preserve">justice-involved </w:t>
      </w:r>
      <w:bookmarkEnd w:id="2"/>
      <w:r w:rsidRPr="492F0508" w:rsidR="00EB4A4D">
        <w:rPr>
          <w:rFonts w:ascii="Times New Roman" w:hAnsi="Times New Roman"/>
        </w:rPr>
        <w:t xml:space="preserve">people </w:t>
      </w:r>
      <w:r w:rsidRPr="492F0508" w:rsidR="00435127">
        <w:rPr>
          <w:rFonts w:ascii="Times New Roman" w:hAnsi="Times New Roman"/>
        </w:rPr>
        <w:t xml:space="preserve">with </w:t>
      </w:r>
      <w:r w:rsidRPr="492F0508" w:rsidR="004D017B">
        <w:rPr>
          <w:rFonts w:ascii="Times New Roman" w:hAnsi="Times New Roman"/>
        </w:rPr>
        <w:t>linked</w:t>
      </w:r>
      <w:r w:rsidR="0071536B">
        <w:rPr>
          <w:rFonts w:ascii="Times New Roman" w:hAnsi="Times New Roman"/>
        </w:rPr>
        <w:t>,</w:t>
      </w:r>
      <w:r w:rsidRPr="492F0508" w:rsidR="004D017B">
        <w:rPr>
          <w:rFonts w:ascii="Times New Roman" w:hAnsi="Times New Roman"/>
        </w:rPr>
        <w:t xml:space="preserve"> </w:t>
      </w:r>
      <w:r w:rsidRPr="492F0508" w:rsidR="00435127">
        <w:rPr>
          <w:rFonts w:ascii="Times New Roman" w:hAnsi="Times New Roman"/>
        </w:rPr>
        <w:t xml:space="preserve">employment-focused </w:t>
      </w:r>
      <w:r w:rsidRPr="492F0508" w:rsidR="00661093">
        <w:rPr>
          <w:rFonts w:ascii="Times New Roman" w:hAnsi="Times New Roman"/>
        </w:rPr>
        <w:t xml:space="preserve">pre- </w:t>
      </w:r>
      <w:r w:rsidRPr="492F0508" w:rsidR="00664AF9">
        <w:rPr>
          <w:rFonts w:ascii="Times New Roman" w:hAnsi="Times New Roman"/>
        </w:rPr>
        <w:t xml:space="preserve">and </w:t>
      </w:r>
      <w:r w:rsidRPr="492F0508" w:rsidR="00661093">
        <w:rPr>
          <w:rFonts w:ascii="Times New Roman" w:hAnsi="Times New Roman"/>
        </w:rPr>
        <w:t>post-release</w:t>
      </w:r>
      <w:r w:rsidRPr="492F0508" w:rsidR="00435127">
        <w:rPr>
          <w:rFonts w:ascii="Times New Roman" w:hAnsi="Times New Roman"/>
        </w:rPr>
        <w:t xml:space="preserve"> services</w:t>
      </w:r>
      <w:r w:rsidRPr="492F0508">
        <w:rPr>
          <w:rFonts w:ascii="Times New Roman" w:hAnsi="Times New Roman"/>
        </w:rPr>
        <w:t xml:space="preserve">. </w:t>
      </w:r>
    </w:p>
    <w:p w:rsidR="00A874E6" w:rsidRPr="00472BDB" w:rsidP="492F0508" w14:paraId="20CA9B47" w14:textId="76543E6D">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874E6" w:rsidRPr="00472BDB" w:rsidP="0CF6274A" w14:paraId="63B5311A" w14:textId="26B47C43">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CF6274A">
        <w:rPr>
          <w:rFonts w:ascii="Times New Roman" w:hAnsi="Times New Roman"/>
        </w:rPr>
        <w:t xml:space="preserve">Without </w:t>
      </w:r>
      <w:r w:rsidRPr="0CF6274A" w:rsidR="00572D1A">
        <w:rPr>
          <w:rFonts w:ascii="Times New Roman" w:hAnsi="Times New Roman"/>
        </w:rPr>
        <w:t xml:space="preserve">collecting data on </w:t>
      </w:r>
      <w:r w:rsidRPr="0CF6274A" w:rsidR="000D7D05">
        <w:rPr>
          <w:rFonts w:ascii="Times New Roman" w:hAnsi="Times New Roman"/>
        </w:rPr>
        <w:t xml:space="preserve">the Pathway Home </w:t>
      </w:r>
      <w:r w:rsidRPr="0CF6274A" w:rsidR="00572D1A">
        <w:rPr>
          <w:rFonts w:ascii="Times New Roman" w:hAnsi="Times New Roman"/>
        </w:rPr>
        <w:t>grant</w:t>
      </w:r>
      <w:r w:rsidRPr="0CF6274A" w:rsidR="2E43FF6C">
        <w:rPr>
          <w:rFonts w:ascii="Times New Roman" w:hAnsi="Times New Roman"/>
        </w:rPr>
        <w:t xml:space="preserve">s </w:t>
      </w:r>
      <w:r w:rsidRPr="0CF6274A" w:rsidR="00572D1A">
        <w:rPr>
          <w:rFonts w:ascii="Times New Roman" w:hAnsi="Times New Roman"/>
        </w:rPr>
        <w:t>through</w:t>
      </w:r>
      <w:r w:rsidRPr="0CF6274A" w:rsidR="00BF3FAD">
        <w:rPr>
          <w:rFonts w:ascii="Times New Roman" w:hAnsi="Times New Roman"/>
        </w:rPr>
        <w:t xml:space="preserve"> </w:t>
      </w:r>
      <w:r w:rsidR="00BF1895">
        <w:rPr>
          <w:rFonts w:ascii="Times New Roman" w:hAnsi="Times New Roman"/>
        </w:rPr>
        <w:t>structured</w:t>
      </w:r>
      <w:r w:rsidRPr="0CF6274A" w:rsidR="00BF1895">
        <w:rPr>
          <w:rFonts w:ascii="Times New Roman" w:hAnsi="Times New Roman"/>
        </w:rPr>
        <w:t xml:space="preserve"> </w:t>
      </w:r>
      <w:r w:rsidRPr="0CF6274A" w:rsidR="00BF3FAD">
        <w:rPr>
          <w:rFonts w:ascii="Times New Roman" w:hAnsi="Times New Roman"/>
        </w:rPr>
        <w:t>discussions with grantee staff</w:t>
      </w:r>
      <w:r w:rsidRPr="0CF6274A" w:rsidR="009B3C3A">
        <w:rPr>
          <w:rFonts w:ascii="Times New Roman" w:hAnsi="Times New Roman"/>
        </w:rPr>
        <w:t>,</w:t>
      </w:r>
      <w:r w:rsidRPr="0CF6274A" w:rsidR="000D7D05">
        <w:rPr>
          <w:rFonts w:ascii="Times New Roman" w:hAnsi="Times New Roman"/>
        </w:rPr>
        <w:t xml:space="preserve"> DOL</w:t>
      </w:r>
      <w:r w:rsidRPr="0CF6274A">
        <w:rPr>
          <w:rFonts w:ascii="Times New Roman" w:hAnsi="Times New Roman"/>
        </w:rPr>
        <w:t xml:space="preserve"> will not be able to </w:t>
      </w:r>
      <w:r w:rsidRPr="0CF6274A" w:rsidR="745D5ED2">
        <w:rPr>
          <w:rFonts w:ascii="Times New Roman" w:hAnsi="Times New Roman"/>
        </w:rPr>
        <w:t>develop a</w:t>
      </w:r>
      <w:r w:rsidRPr="0CF6274A">
        <w:rPr>
          <w:rFonts w:ascii="Times New Roman" w:hAnsi="Times New Roman"/>
        </w:rPr>
        <w:t xml:space="preserve"> comprehensive </w:t>
      </w:r>
      <w:r w:rsidRPr="0CF6274A" w:rsidR="6781E3AF">
        <w:rPr>
          <w:rFonts w:ascii="Times New Roman" w:hAnsi="Times New Roman"/>
        </w:rPr>
        <w:t>understanding</w:t>
      </w:r>
      <w:r w:rsidRPr="0CF6274A" w:rsidR="4D3C8B1C">
        <w:rPr>
          <w:rFonts w:ascii="Times New Roman" w:hAnsi="Times New Roman"/>
        </w:rPr>
        <w:t xml:space="preserve"> o</w:t>
      </w:r>
      <w:r w:rsidRPr="0CF6274A" w:rsidR="20FDB87D">
        <w:rPr>
          <w:rFonts w:ascii="Times New Roman" w:hAnsi="Times New Roman"/>
        </w:rPr>
        <w:t>f</w:t>
      </w:r>
      <w:r w:rsidRPr="0CF6274A" w:rsidR="4D3C8B1C">
        <w:rPr>
          <w:rFonts w:ascii="Times New Roman" w:hAnsi="Times New Roman"/>
        </w:rPr>
        <w:t xml:space="preserve"> services, and </w:t>
      </w:r>
      <w:r w:rsidRPr="0CF6274A">
        <w:rPr>
          <w:rFonts w:ascii="Times New Roman" w:hAnsi="Times New Roman"/>
        </w:rPr>
        <w:t xml:space="preserve">the context in which the </w:t>
      </w:r>
      <w:r w:rsidRPr="0CF6274A" w:rsidR="137737D7">
        <w:rPr>
          <w:rFonts w:ascii="Times New Roman" w:hAnsi="Times New Roman"/>
        </w:rPr>
        <w:t xml:space="preserve">grants and </w:t>
      </w:r>
      <w:r w:rsidRPr="0CF6274A">
        <w:rPr>
          <w:rFonts w:ascii="Times New Roman" w:hAnsi="Times New Roman"/>
        </w:rPr>
        <w:t xml:space="preserve">partnerships operated, operational challenges </w:t>
      </w:r>
      <w:r w:rsidRPr="0CF6274A" w:rsidR="00000976">
        <w:rPr>
          <w:rFonts w:ascii="Times New Roman" w:hAnsi="Times New Roman"/>
        </w:rPr>
        <w:t xml:space="preserve">grantees and partners </w:t>
      </w:r>
      <w:r w:rsidRPr="0CF6274A">
        <w:rPr>
          <w:rFonts w:ascii="Times New Roman" w:hAnsi="Times New Roman"/>
        </w:rPr>
        <w:t>faced,</w:t>
      </w:r>
      <w:r w:rsidRPr="0CF6274A" w:rsidR="00C9463D">
        <w:rPr>
          <w:rFonts w:ascii="Times New Roman" w:hAnsi="Times New Roman"/>
        </w:rPr>
        <w:t xml:space="preserve"> or</w:t>
      </w:r>
      <w:r w:rsidRPr="0CF6274A">
        <w:rPr>
          <w:rFonts w:ascii="Times New Roman" w:hAnsi="Times New Roman"/>
        </w:rPr>
        <w:t xml:space="preserve"> how the services </w:t>
      </w:r>
      <w:r w:rsidRPr="0CF6274A" w:rsidR="34FFFC2C">
        <w:rPr>
          <w:rFonts w:ascii="Times New Roman" w:hAnsi="Times New Roman"/>
        </w:rPr>
        <w:t xml:space="preserve">and partnerships </w:t>
      </w:r>
      <w:r w:rsidRPr="0CF6274A">
        <w:rPr>
          <w:rFonts w:ascii="Times New Roman" w:hAnsi="Times New Roman"/>
        </w:rPr>
        <w:t>evolved over time</w:t>
      </w:r>
      <w:r w:rsidRPr="0CF6274A" w:rsidR="00B3218F">
        <w:rPr>
          <w:rFonts w:ascii="Times New Roman" w:hAnsi="Times New Roman"/>
        </w:rPr>
        <w:t xml:space="preserve">. </w:t>
      </w:r>
    </w:p>
    <w:p w:rsidR="00A874E6" w:rsidRPr="00472BDB" w:rsidP="492F0508" w14:paraId="61090667" w14:textId="7526E70C">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874E6" w:rsidRPr="00472BDB" w:rsidP="492F0508" w14:paraId="527EDDDB" w14:textId="7D110250">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CF6274A">
        <w:rPr>
          <w:rFonts w:ascii="Times New Roman" w:hAnsi="Times New Roman"/>
        </w:rPr>
        <w:t xml:space="preserve">Similarly, failure to collect </w:t>
      </w:r>
      <w:r w:rsidRPr="0CF6274A" w:rsidR="004E560F">
        <w:rPr>
          <w:rFonts w:ascii="Times New Roman" w:hAnsi="Times New Roman"/>
        </w:rPr>
        <w:t xml:space="preserve">follow-up </w:t>
      </w:r>
      <w:r w:rsidRPr="0CF6274A">
        <w:rPr>
          <w:rFonts w:ascii="Times New Roman" w:hAnsi="Times New Roman"/>
        </w:rPr>
        <w:t xml:space="preserve">information </w:t>
      </w:r>
      <w:r w:rsidRPr="0CF6274A" w:rsidR="559FAEA7">
        <w:rPr>
          <w:rFonts w:ascii="Times New Roman" w:hAnsi="Times New Roman"/>
        </w:rPr>
        <w:t>for the impact study, from</w:t>
      </w:r>
      <w:r w:rsidRPr="0CF6274A">
        <w:rPr>
          <w:rFonts w:ascii="Times New Roman" w:hAnsi="Times New Roman"/>
        </w:rPr>
        <w:t xml:space="preserve"> participants </w:t>
      </w:r>
      <w:r w:rsidRPr="0CF6274A" w:rsidR="52C26170">
        <w:rPr>
          <w:rFonts w:ascii="Times New Roman" w:hAnsi="Times New Roman"/>
        </w:rPr>
        <w:t xml:space="preserve">in the </w:t>
      </w:r>
      <w:r w:rsidR="008148DF">
        <w:rPr>
          <w:rFonts w:ascii="Times New Roman" w:hAnsi="Times New Roman"/>
        </w:rPr>
        <w:t>program</w:t>
      </w:r>
      <w:r w:rsidRPr="0CF6274A" w:rsidR="52C26170">
        <w:rPr>
          <w:rFonts w:ascii="Times New Roman" w:hAnsi="Times New Roman"/>
        </w:rPr>
        <w:t xml:space="preserve"> group who received services</w:t>
      </w:r>
      <w:r w:rsidRPr="0CF6274A" w:rsidR="5B292D40">
        <w:rPr>
          <w:rFonts w:ascii="Times New Roman" w:hAnsi="Times New Roman"/>
        </w:rPr>
        <w:t>,</w:t>
      </w:r>
      <w:r w:rsidRPr="0CF6274A" w:rsidR="52C26170">
        <w:rPr>
          <w:rFonts w:ascii="Times New Roman" w:hAnsi="Times New Roman"/>
        </w:rPr>
        <w:t xml:space="preserve"> and from comparison group members who did not</w:t>
      </w:r>
      <w:r w:rsidRPr="0CF6274A" w:rsidR="619F9D11">
        <w:rPr>
          <w:rFonts w:ascii="Times New Roman" w:hAnsi="Times New Roman"/>
        </w:rPr>
        <w:t>,</w:t>
      </w:r>
      <w:r w:rsidRPr="0CF6274A" w:rsidR="037C59BB">
        <w:rPr>
          <w:rFonts w:ascii="Times New Roman" w:hAnsi="Times New Roman"/>
        </w:rPr>
        <w:t xml:space="preserve"> </w:t>
      </w:r>
      <w:r w:rsidRPr="0CF6274A">
        <w:rPr>
          <w:rFonts w:ascii="Times New Roman" w:hAnsi="Times New Roman"/>
        </w:rPr>
        <w:t xml:space="preserve">would preclude DOL from </w:t>
      </w:r>
      <w:r w:rsidRPr="0CF6274A" w:rsidR="17E0EC7C">
        <w:rPr>
          <w:rFonts w:ascii="Times New Roman" w:hAnsi="Times New Roman"/>
        </w:rPr>
        <w:t xml:space="preserve">determining </w:t>
      </w:r>
      <w:r w:rsidRPr="0CF6274A">
        <w:rPr>
          <w:rFonts w:ascii="Times New Roman" w:hAnsi="Times New Roman"/>
        </w:rPr>
        <w:t>the impact of the</w:t>
      </w:r>
      <w:r w:rsidRPr="0CF6274A" w:rsidR="114FD127">
        <w:rPr>
          <w:rFonts w:ascii="Times New Roman" w:hAnsi="Times New Roman"/>
        </w:rPr>
        <w:t xml:space="preserve"> </w:t>
      </w:r>
      <w:r w:rsidRPr="0CF6274A">
        <w:rPr>
          <w:rFonts w:ascii="Times New Roman" w:hAnsi="Times New Roman"/>
        </w:rPr>
        <w:t>Pathway Home grant</w:t>
      </w:r>
      <w:r w:rsidRPr="0CF6274A" w:rsidR="152AB6DF">
        <w:rPr>
          <w:rFonts w:ascii="Times New Roman" w:hAnsi="Times New Roman"/>
        </w:rPr>
        <w:t>s</w:t>
      </w:r>
      <w:r w:rsidRPr="0CF6274A" w:rsidR="4874C192">
        <w:rPr>
          <w:rFonts w:ascii="Times New Roman" w:hAnsi="Times New Roman"/>
        </w:rPr>
        <w:t xml:space="preserve"> </w:t>
      </w:r>
      <w:r w:rsidRPr="0CF6274A" w:rsidR="0B5B9FBC">
        <w:rPr>
          <w:rFonts w:ascii="Times New Roman" w:hAnsi="Times New Roman"/>
        </w:rPr>
        <w:t xml:space="preserve">which were part of the </w:t>
      </w:r>
      <w:r w:rsidRPr="0CF6274A" w:rsidR="74AED670">
        <w:rPr>
          <w:rFonts w:ascii="Times New Roman" w:hAnsi="Times New Roman"/>
        </w:rPr>
        <w:t>impact study.</w:t>
      </w:r>
      <w:r w:rsidRPr="0CF6274A">
        <w:rPr>
          <w:rFonts w:ascii="Times New Roman" w:hAnsi="Times New Roman"/>
        </w:rPr>
        <w:t xml:space="preserve"> </w:t>
      </w:r>
      <w:r w:rsidRPr="0CF6274A" w:rsidR="00C9463D">
        <w:rPr>
          <w:rFonts w:ascii="Times New Roman" w:hAnsi="Times New Roman"/>
        </w:rPr>
        <w:t>P</w:t>
      </w:r>
      <w:r w:rsidRPr="0CF6274A">
        <w:rPr>
          <w:rFonts w:ascii="Times New Roman" w:hAnsi="Times New Roman"/>
        </w:rPr>
        <w:t xml:space="preserve">olicymakers and the field </w:t>
      </w:r>
      <w:r w:rsidRPr="0CF6274A" w:rsidR="00C9463D">
        <w:rPr>
          <w:rFonts w:ascii="Times New Roman" w:hAnsi="Times New Roman"/>
        </w:rPr>
        <w:t xml:space="preserve">thus </w:t>
      </w:r>
      <w:r w:rsidRPr="0CF6274A">
        <w:rPr>
          <w:rFonts w:ascii="Times New Roman" w:hAnsi="Times New Roman"/>
        </w:rPr>
        <w:t xml:space="preserve">would not have information about </w:t>
      </w:r>
      <w:r w:rsidRPr="0CF6274A" w:rsidR="00C9463D">
        <w:rPr>
          <w:rFonts w:ascii="Times New Roman" w:hAnsi="Times New Roman"/>
        </w:rPr>
        <w:t>the effectiveness of grantees</w:t>
      </w:r>
      <w:r w:rsidRPr="0CF6274A" w:rsidR="00B33613">
        <w:rPr>
          <w:rFonts w:ascii="Times New Roman" w:hAnsi="Times New Roman"/>
        </w:rPr>
        <w:t>'</w:t>
      </w:r>
      <w:r w:rsidRPr="0CF6274A" w:rsidR="6670F400">
        <w:rPr>
          <w:rFonts w:ascii="Times New Roman" w:hAnsi="Times New Roman"/>
        </w:rPr>
        <w:t xml:space="preserve"> </w:t>
      </w:r>
      <w:r w:rsidRPr="0CF6274A" w:rsidR="2896CB45">
        <w:rPr>
          <w:rFonts w:ascii="Times New Roman" w:hAnsi="Times New Roman"/>
        </w:rPr>
        <w:t>services</w:t>
      </w:r>
      <w:r w:rsidR="00D94938">
        <w:rPr>
          <w:rFonts w:ascii="Times New Roman" w:hAnsi="Times New Roman"/>
        </w:rPr>
        <w:t xml:space="preserve"> or what types of services</w:t>
      </w:r>
      <w:r w:rsidR="006451DC">
        <w:rPr>
          <w:rFonts w:ascii="Times New Roman" w:hAnsi="Times New Roman"/>
        </w:rPr>
        <w:t xml:space="preserve"> or service enhancements should be implemented in future programs</w:t>
      </w:r>
      <w:r w:rsidRPr="0CF6274A">
        <w:rPr>
          <w:rFonts w:ascii="Times New Roman" w:hAnsi="Times New Roman"/>
        </w:rPr>
        <w:t xml:space="preserve">. </w:t>
      </w:r>
    </w:p>
    <w:p w:rsidR="00690F56" w:rsidRPr="00A16D75" w:rsidP="00722AFB" w14:paraId="11C38180" w14:textId="481DE1A0">
      <w:pPr>
        <w:pStyle w:val="StyleNumberedquestionLeft0Hanging031"/>
      </w:pPr>
      <w:r w:rsidRPr="00A16D75">
        <w:t>7.</w:t>
      </w:r>
      <w:r w:rsidR="00472BDB">
        <w:rPr>
          <w:b w:val="0"/>
          <w:bCs w:val="0"/>
        </w:rPr>
        <w:t xml:space="preserve"> </w:t>
      </w:r>
      <w:r w:rsidR="00722AFB">
        <w:rPr>
          <w:b w:val="0"/>
          <w:bCs w:val="0"/>
        </w:rPr>
        <w:tab/>
      </w:r>
      <w:r w:rsidRPr="00A16D75">
        <w:t>Explain any special circumstances that would cause an information collection to be conducted in a manner:</w:t>
      </w:r>
    </w:p>
    <w:p w:rsidR="00690F56" w:rsidRPr="00A16D75" w:rsidP="00A84001" w14:paraId="39464A5B" w14:textId="77777777">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A16D75">
        <w:rPr>
          <w:b/>
          <w:bCs/>
        </w:rPr>
        <w:t xml:space="preserve">requiring respondents to report information to the agency more often than </w:t>
      </w:r>
      <w:r w:rsidRPr="00A16D75">
        <w:rPr>
          <w:b/>
          <w:bCs/>
        </w:rPr>
        <w:t>quarterly;</w:t>
      </w:r>
    </w:p>
    <w:p w:rsidR="00690F56" w:rsidRPr="00A16D75" w:rsidP="00A84001" w14:paraId="72734CF8" w14:textId="77777777">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A16D75">
        <w:rPr>
          <w:b/>
          <w:bCs/>
        </w:rPr>
        <w:t xml:space="preserve">requiring respondents to prepare a written response to a collection of information in fewer than 30 days after receipt of </w:t>
      </w:r>
      <w:r w:rsidRPr="00A16D75">
        <w:rPr>
          <w:b/>
          <w:bCs/>
        </w:rPr>
        <w:t>it;</w:t>
      </w:r>
    </w:p>
    <w:p w:rsidR="00690F56" w:rsidRPr="00A16D75" w:rsidP="00A84001" w14:paraId="1C6FB789" w14:textId="77777777">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A16D75">
        <w:rPr>
          <w:b/>
          <w:bCs/>
        </w:rPr>
        <w:t xml:space="preserve">requiring respondents to submit more than an original and two copies of any </w:t>
      </w:r>
      <w:r w:rsidRPr="00A16D75">
        <w:rPr>
          <w:b/>
          <w:bCs/>
        </w:rPr>
        <w:t>document;</w:t>
      </w:r>
    </w:p>
    <w:p w:rsidR="00690F56" w:rsidRPr="00A16D75" w:rsidP="00A84001" w14:paraId="3B520558" w14:textId="77777777">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A16D75">
        <w:rPr>
          <w:b/>
          <w:bCs/>
        </w:rPr>
        <w:t xml:space="preserve">requiring respondents to retain records, other than health, medical, government contract, grant-in-aid, or tax records for more than three </w:t>
      </w:r>
      <w:r w:rsidRPr="00A16D75">
        <w:rPr>
          <w:b/>
          <w:bCs/>
        </w:rPr>
        <w:t>years;</w:t>
      </w:r>
    </w:p>
    <w:p w:rsidR="00690F56" w:rsidRPr="00A16D75" w:rsidP="00A84001" w14:paraId="2CD76B54" w14:textId="77777777">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A16D75">
        <w:rPr>
          <w:b/>
          <w:bCs/>
        </w:rPr>
        <w:t xml:space="preserve">in connection with a statistical survey, that is not designed to produce valid and reliable results that can be generalized to the universe of </w:t>
      </w:r>
      <w:r w:rsidRPr="00A16D75">
        <w:rPr>
          <w:b/>
          <w:bCs/>
        </w:rPr>
        <w:t>study;</w:t>
      </w:r>
    </w:p>
    <w:p w:rsidR="00690F56" w:rsidRPr="00A16D75" w:rsidP="00A84001" w14:paraId="4E4545CA" w14:textId="77777777">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A16D75">
        <w:rPr>
          <w:b/>
          <w:bCs/>
        </w:rPr>
        <w:t xml:space="preserve">requiring the use of statistical data classification that has not been reviewed and approved by </w:t>
      </w:r>
      <w:r w:rsidRPr="00A16D75">
        <w:rPr>
          <w:b/>
          <w:bCs/>
        </w:rPr>
        <w:t>OMB;</w:t>
      </w:r>
    </w:p>
    <w:p w:rsidR="00690F56" w:rsidRPr="00A16D75" w:rsidP="00A84001" w14:paraId="75D8936B" w14:textId="77777777">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A16D75">
        <w:rPr>
          <w:b/>
          <w:bCs/>
        </w:rPr>
        <w:t>that includes a pledge of confidentially that is not supported by authority established in statu</w:t>
      </w:r>
      <w:r w:rsidRPr="00A16D75" w:rsidR="00CD215D">
        <w:rPr>
          <w:b/>
          <w:bCs/>
        </w:rPr>
        <w:t>t</w:t>
      </w:r>
      <w:r w:rsidRPr="00A16D75">
        <w:rPr>
          <w:b/>
          <w:bCs/>
        </w:rPr>
        <w:t>e or regulation, that is not supported by disclosure and data security policies that are consistent with the pledge, or which unnecessarily impedes sharing of data with other agencies for compatible confidential use; or</w:t>
      </w:r>
    </w:p>
    <w:p w:rsidR="00690F56" w:rsidRPr="00A16D75" w:rsidP="00A84001" w14:paraId="583D2BFF" w14:textId="77777777">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pPr>
      <w:r w:rsidRPr="00A16D75">
        <w:rPr>
          <w:b/>
          <w:bCs/>
        </w:rPr>
        <w:t>requiring respondents to submit proprietary trade secret, or other confidential information unless the agency can demonstrate that it has instituted procedures to protect the information's confidentially to the extent permitted by law.</w:t>
      </w:r>
    </w:p>
    <w:p w:rsidR="00642220" w:rsidRPr="00A16D75"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115742" w:rsidRPr="00A16D75" w:rsidP="00690F56" w14:paraId="1136A299" w14:textId="2C338AC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13C48">
        <w:rPr>
          <w:rFonts w:ascii="Times New Roman" w:hAnsi="Times New Roman"/>
        </w:rPr>
        <w:t>No special circumstances apply to this data collection.</w:t>
      </w:r>
    </w:p>
    <w:p w:rsidR="00690F56" w:rsidRPr="00A16D75" w:rsidP="00722AFB" w14:paraId="1E3B8C08" w14:textId="2B4DA44E">
      <w:pPr>
        <w:pStyle w:val="StyleNumberedquestionLeft0Hanging031"/>
      </w:pPr>
      <w:r w:rsidRPr="00A16D75">
        <w:t>8.</w:t>
      </w:r>
      <w:r w:rsidR="00472BDB">
        <w:rPr>
          <w:b w:val="0"/>
          <w:bCs w:val="0"/>
        </w:rPr>
        <w:t xml:space="preserve"> </w:t>
      </w:r>
      <w:r w:rsidR="00722AFB">
        <w:rPr>
          <w:b w:val="0"/>
          <w:bCs w:val="0"/>
        </w:rPr>
        <w:tab/>
      </w:r>
      <w:r w:rsidRPr="00A16D75">
        <w:t xml:space="preserve">If applicable, provide a copy and identify the date and page number of </w:t>
      </w:r>
      <w:r w:rsidRPr="00A16D75">
        <w:t>publication</w:t>
      </w:r>
      <w:r w:rsidRPr="00A16D75">
        <w:t xml:space="preserve"> in the </w:t>
      </w:r>
      <w:r w:rsidRPr="00A16D75">
        <w:rPr>
          <w:rStyle w:val="Heading2Char"/>
          <w:rFonts w:ascii="Times New Roman" w:hAnsi="Times New Roman" w:cs="Times New Roman"/>
          <w:sz w:val="24"/>
          <w:szCs w:val="24"/>
        </w:rPr>
        <w:t>Federal Register</w:t>
      </w:r>
      <w:r w:rsidRPr="00A16D75">
        <w:t xml:space="preserve"> of the agency's notice, required by 5 CFR 1320.8(d), soliciting comments on the information collection prior to submission to OMB.</w:t>
      </w:r>
      <w:r w:rsidR="00472BDB">
        <w:rPr>
          <w:b w:val="0"/>
          <w:bCs w:val="0"/>
        </w:rPr>
        <w:t xml:space="preserve"> </w:t>
      </w:r>
      <w:r w:rsidRPr="00A16D75">
        <w:t>Summarize public comments received in response to that notice and describe actions taken by the agency in response to these comments.</w:t>
      </w:r>
      <w:r w:rsidR="00472BDB">
        <w:rPr>
          <w:b w:val="0"/>
          <w:bCs w:val="0"/>
        </w:rPr>
        <w:t xml:space="preserve"> </w:t>
      </w:r>
      <w:r w:rsidRPr="00A16D75">
        <w:t>Specifically address comments received on cost and hour burden.</w:t>
      </w:r>
    </w:p>
    <w:p w:rsidR="008040C0" w:rsidRPr="00C13C48" w:rsidP="00A84001" w14:paraId="068E1F16" w14:textId="40D77D27">
      <w:pPr>
        <w:spacing w:before="240" w:after="240"/>
        <w:rPr>
          <w:rFonts w:ascii="Times New Roman" w:hAnsi="Times New Roman"/>
        </w:rPr>
      </w:pPr>
      <w:r w:rsidRPr="75F0A9AB">
        <w:rPr>
          <w:rFonts w:ascii="Times New Roman" w:hAnsi="Times New Roman"/>
        </w:rPr>
        <w:t xml:space="preserve">The 60-day notice </w:t>
      </w:r>
      <w:r w:rsidR="00E64202">
        <w:rPr>
          <w:rFonts w:ascii="Times New Roman" w:hAnsi="Times New Roman"/>
        </w:rPr>
        <w:t xml:space="preserve">(88 </w:t>
      </w:r>
      <w:r w:rsidRPr="006D0149" w:rsidR="007263BA">
        <w:rPr>
          <w:rFonts w:ascii="Times New Roman" w:hAnsi="Times New Roman"/>
        </w:rPr>
        <w:t>FR11455</w:t>
      </w:r>
      <w:r w:rsidR="00E64202">
        <w:rPr>
          <w:rFonts w:ascii="Times New Roman" w:hAnsi="Times New Roman"/>
        </w:rPr>
        <w:t>)</w:t>
      </w:r>
      <w:r w:rsidRPr="75F0A9AB" w:rsidR="00F3663D">
        <w:rPr>
          <w:rFonts w:ascii="Times New Roman" w:hAnsi="Times New Roman"/>
        </w:rPr>
        <w:t xml:space="preserve"> </w:t>
      </w:r>
      <w:r w:rsidRPr="75F0A9AB">
        <w:rPr>
          <w:rFonts w:ascii="Times New Roman" w:hAnsi="Times New Roman"/>
        </w:rPr>
        <w:t xml:space="preserve">to solicit public comments was published in the </w:t>
      </w:r>
      <w:r w:rsidRPr="75F0A9AB">
        <w:rPr>
          <w:rFonts w:ascii="Times New Roman" w:hAnsi="Times New Roman"/>
          <w:i/>
          <w:iCs/>
        </w:rPr>
        <w:t>Federal Register</w:t>
      </w:r>
      <w:r w:rsidRPr="75F0A9AB" w:rsidR="00556F49">
        <w:rPr>
          <w:rFonts w:ascii="Times New Roman" w:hAnsi="Times New Roman"/>
          <w:i/>
          <w:iCs/>
        </w:rPr>
        <w:t xml:space="preserve"> </w:t>
      </w:r>
      <w:r w:rsidRPr="75F0A9AB">
        <w:rPr>
          <w:rFonts w:ascii="Times New Roman" w:hAnsi="Times New Roman"/>
        </w:rPr>
        <w:t xml:space="preserve">on </w:t>
      </w:r>
      <w:r w:rsidR="0047167D">
        <w:rPr>
          <w:rFonts w:ascii="Times New Roman" w:hAnsi="Times New Roman"/>
        </w:rPr>
        <w:t>5/31/2023</w:t>
      </w:r>
      <w:r w:rsidRPr="75F0A9AB">
        <w:rPr>
          <w:rFonts w:ascii="Times New Roman" w:hAnsi="Times New Roman"/>
        </w:rPr>
        <w:t xml:space="preserve">. </w:t>
      </w:r>
      <w:r w:rsidRPr="75F0A9AB" w:rsidR="00F3663D">
        <w:rPr>
          <w:rFonts w:ascii="Times New Roman" w:hAnsi="Times New Roman"/>
        </w:rPr>
        <w:t xml:space="preserve">No </w:t>
      </w:r>
      <w:r w:rsidRPr="75F0A9AB">
        <w:rPr>
          <w:rFonts w:ascii="Times New Roman" w:hAnsi="Times New Roman"/>
        </w:rPr>
        <w:t xml:space="preserve">comments were </w:t>
      </w:r>
      <w:r w:rsidRPr="75F0A9AB" w:rsidR="00F3663D">
        <w:rPr>
          <w:rFonts w:ascii="Times New Roman" w:hAnsi="Times New Roman"/>
        </w:rPr>
        <w:t>received</w:t>
      </w:r>
      <w:r w:rsidRPr="75F0A9AB" w:rsidR="00B3218F">
        <w:rPr>
          <w:rFonts w:ascii="Times New Roman" w:hAnsi="Times New Roman"/>
        </w:rPr>
        <w:t xml:space="preserve">. </w:t>
      </w:r>
    </w:p>
    <w:p w:rsidR="00690F56" w:rsidRPr="00A16D75" w:rsidP="00A84001"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b/>
          <w:bCs/>
        </w:rPr>
      </w:pPr>
      <w:r w:rsidRPr="00A16D75">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A16D75" w:rsidP="00A84001" w14:paraId="767B60FC" w14:textId="4469579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sidRPr="00A16D75">
        <w:rPr>
          <w:rFonts w:ascii="Times New Roman" w:hAnsi="Times New Roman"/>
          <w:b/>
          <w:bCs/>
        </w:rPr>
        <w:t>Consultation with representatives of those from whom information is to be obtained or those who must compile records should occur at least once every 3 years</w:t>
      </w:r>
      <w:r w:rsidRPr="00A16D75" w:rsidR="00901EF6">
        <w:rPr>
          <w:rFonts w:ascii="Times New Roman" w:hAnsi="Times New Roman"/>
          <w:b/>
          <w:bCs/>
        </w:rPr>
        <w:t xml:space="preserve"> --</w:t>
      </w:r>
      <w:r w:rsidRPr="00A16D75">
        <w:rPr>
          <w:rFonts w:ascii="Times New Roman" w:hAnsi="Times New Roman"/>
          <w:b/>
          <w:bCs/>
        </w:rPr>
        <w:t xml:space="preserve"> even if the collection-of-information activity is the same as in prior periods.</w:t>
      </w:r>
      <w:r w:rsidR="00472BDB">
        <w:rPr>
          <w:rFonts w:ascii="Times New Roman" w:hAnsi="Times New Roman"/>
          <w:b/>
          <w:bCs/>
        </w:rPr>
        <w:t xml:space="preserve"> </w:t>
      </w:r>
      <w:r w:rsidRPr="00A16D75">
        <w:rPr>
          <w:rFonts w:ascii="Times New Roman" w:hAnsi="Times New Roman"/>
          <w:b/>
          <w:bCs/>
        </w:rPr>
        <w:t>There may be circumstances that may preclude consultation in a specific situation.</w:t>
      </w:r>
      <w:r w:rsidR="00472BDB">
        <w:rPr>
          <w:rFonts w:ascii="Times New Roman" w:hAnsi="Times New Roman"/>
          <w:b/>
          <w:bCs/>
        </w:rPr>
        <w:t xml:space="preserve"> </w:t>
      </w:r>
      <w:r w:rsidRPr="00A16D75">
        <w:rPr>
          <w:rFonts w:ascii="Times New Roman" w:hAnsi="Times New Roman"/>
          <w:b/>
          <w:bCs/>
        </w:rPr>
        <w:t>These circumstances should be explained.</w:t>
      </w:r>
    </w:p>
    <w:p w:rsidR="00095E44" w:rsidP="00842407" w14:paraId="74047840" w14:textId="2A675E24">
      <w:pPr>
        <w:spacing w:after="240"/>
        <w:rPr>
          <w:rFonts w:ascii="Times New Roman" w:hAnsi="Times New Roman"/>
        </w:rPr>
      </w:pPr>
      <w:bookmarkStart w:id="3" w:name="_Toc384973512"/>
      <w:bookmarkStart w:id="4" w:name="_Toc396725948"/>
      <w:bookmarkStart w:id="5" w:name="_Toc396726321"/>
      <w:bookmarkStart w:id="6" w:name="_Toc396726503"/>
      <w:r w:rsidRPr="492F0508">
        <w:rPr>
          <w:rFonts w:ascii="Times New Roman" w:hAnsi="Times New Roman"/>
        </w:rPr>
        <w:t xml:space="preserve">The </w:t>
      </w:r>
      <w:r w:rsidRPr="492F0508" w:rsidR="5BF23CE7">
        <w:rPr>
          <w:rFonts w:ascii="Times New Roman" w:hAnsi="Times New Roman"/>
        </w:rPr>
        <w:t xml:space="preserve">contractor’s </w:t>
      </w:r>
      <w:r w:rsidRPr="492F0508">
        <w:rPr>
          <w:rFonts w:ascii="Times New Roman" w:hAnsi="Times New Roman"/>
        </w:rPr>
        <w:t>evaluation team is coordinating c</w:t>
      </w:r>
      <w:r w:rsidRPr="492F0508" w:rsidR="00842407">
        <w:rPr>
          <w:rFonts w:ascii="Times New Roman" w:hAnsi="Times New Roman"/>
        </w:rPr>
        <w:t>onsultation on the research design and data needs</w:t>
      </w:r>
      <w:r w:rsidRPr="492F0508">
        <w:rPr>
          <w:rFonts w:ascii="Times New Roman" w:hAnsi="Times New Roman"/>
        </w:rPr>
        <w:t xml:space="preserve">. The process </w:t>
      </w:r>
      <w:r w:rsidRPr="492F0508" w:rsidR="00842407">
        <w:rPr>
          <w:rFonts w:ascii="Times New Roman" w:hAnsi="Times New Roman"/>
        </w:rPr>
        <w:t xml:space="preserve">involves </w:t>
      </w:r>
      <w:bookmarkStart w:id="7" w:name="_Hlk77774919"/>
      <w:bookmarkEnd w:id="3"/>
      <w:bookmarkEnd w:id="4"/>
      <w:bookmarkEnd w:id="5"/>
      <w:bookmarkEnd w:id="6"/>
      <w:r w:rsidRPr="492F0508" w:rsidR="00444DAB">
        <w:rPr>
          <w:rFonts w:ascii="Times New Roman" w:hAnsi="Times New Roman"/>
        </w:rPr>
        <w:t>con</w:t>
      </w:r>
      <w:bookmarkStart w:id="8" w:name="_Hlk79653702"/>
      <w:r w:rsidRPr="492F0508" w:rsidR="00444DAB">
        <w:rPr>
          <w:rFonts w:ascii="Times New Roman" w:hAnsi="Times New Roman"/>
        </w:rPr>
        <w:t xml:space="preserve">vening </w:t>
      </w:r>
      <w:r w:rsidRPr="492F0508" w:rsidR="00244513">
        <w:rPr>
          <w:rFonts w:ascii="Times New Roman" w:hAnsi="Times New Roman"/>
        </w:rPr>
        <w:t xml:space="preserve">experts in </w:t>
      </w:r>
      <w:r w:rsidRPr="492F0508" w:rsidR="00444DAB">
        <w:rPr>
          <w:rFonts w:ascii="Times New Roman" w:hAnsi="Times New Roman"/>
        </w:rPr>
        <w:t xml:space="preserve">a </w:t>
      </w:r>
      <w:bookmarkStart w:id="9" w:name="_Hlk79652473"/>
      <w:r w:rsidRPr="492F0508">
        <w:rPr>
          <w:rFonts w:ascii="Times New Roman" w:hAnsi="Times New Roman"/>
        </w:rPr>
        <w:t>t</w:t>
      </w:r>
      <w:r w:rsidRPr="492F0508" w:rsidR="00444DAB">
        <w:rPr>
          <w:rFonts w:ascii="Times New Roman" w:hAnsi="Times New Roman"/>
        </w:rPr>
        <w:t xml:space="preserve">echnical </w:t>
      </w:r>
      <w:r w:rsidRPr="492F0508">
        <w:rPr>
          <w:rFonts w:ascii="Times New Roman" w:hAnsi="Times New Roman"/>
        </w:rPr>
        <w:t>w</w:t>
      </w:r>
      <w:bookmarkEnd w:id="8"/>
      <w:r w:rsidRPr="492F0508" w:rsidR="00444DAB">
        <w:rPr>
          <w:rFonts w:ascii="Times New Roman" w:hAnsi="Times New Roman"/>
        </w:rPr>
        <w:t xml:space="preserve">orking </w:t>
      </w:r>
      <w:r w:rsidRPr="492F0508">
        <w:rPr>
          <w:rFonts w:ascii="Times New Roman" w:hAnsi="Times New Roman"/>
        </w:rPr>
        <w:t>g</w:t>
      </w:r>
      <w:r w:rsidRPr="492F0508" w:rsidR="00444DAB">
        <w:rPr>
          <w:rFonts w:ascii="Times New Roman" w:hAnsi="Times New Roman"/>
        </w:rPr>
        <w:t>roup (TWG)</w:t>
      </w:r>
      <w:bookmarkEnd w:id="9"/>
      <w:r w:rsidRPr="492F0508" w:rsidR="00842407">
        <w:rPr>
          <w:rFonts w:ascii="Times New Roman" w:hAnsi="Times New Roman"/>
        </w:rPr>
        <w:t xml:space="preserve">, convening an </w:t>
      </w:r>
      <w:r w:rsidRPr="492F0508" w:rsidR="00240168">
        <w:rPr>
          <w:rFonts w:ascii="Times New Roman" w:hAnsi="Times New Roman"/>
        </w:rPr>
        <w:t>expert panel</w:t>
      </w:r>
      <w:r w:rsidRPr="492F0508" w:rsidR="00842407">
        <w:rPr>
          <w:rFonts w:ascii="Times New Roman" w:hAnsi="Times New Roman"/>
        </w:rPr>
        <w:t xml:space="preserve"> of people with lived experience in the justice system, and conducting discussions with site-level program staff. </w:t>
      </w:r>
      <w:r w:rsidRPr="492F0508" w:rsidR="00F42EB0">
        <w:rPr>
          <w:rFonts w:ascii="Times New Roman" w:hAnsi="Times New Roman"/>
        </w:rPr>
        <w:t xml:space="preserve">A list of </w:t>
      </w:r>
      <w:r w:rsidRPr="492F0508" w:rsidR="00C72107">
        <w:rPr>
          <w:rFonts w:ascii="Times New Roman" w:hAnsi="Times New Roman"/>
        </w:rPr>
        <w:t xml:space="preserve">evaluation team members </w:t>
      </w:r>
      <w:r w:rsidRPr="492F0508" w:rsidR="00ED548A">
        <w:rPr>
          <w:rFonts w:ascii="Times New Roman" w:hAnsi="Times New Roman"/>
        </w:rPr>
        <w:t>is</w:t>
      </w:r>
      <w:r w:rsidRPr="492F0508" w:rsidR="00C72107">
        <w:rPr>
          <w:rFonts w:ascii="Times New Roman" w:hAnsi="Times New Roman"/>
        </w:rPr>
        <w:t xml:space="preserve"> in Table A.</w:t>
      </w:r>
      <w:r w:rsidRPr="492F0508" w:rsidR="00DF2DB2">
        <w:rPr>
          <w:rFonts w:ascii="Times New Roman" w:hAnsi="Times New Roman"/>
        </w:rPr>
        <w:t>1</w:t>
      </w:r>
      <w:r w:rsidRPr="492F0508" w:rsidR="00C72107">
        <w:rPr>
          <w:rFonts w:ascii="Times New Roman" w:hAnsi="Times New Roman"/>
        </w:rPr>
        <w:t xml:space="preserve">. </w:t>
      </w:r>
    </w:p>
    <w:p w:rsidR="00095E44" w:rsidP="00C457A7" w14:paraId="4A18FA68" w14:textId="00E301D7">
      <w:pPr>
        <w:pStyle w:val="ListParagraph"/>
        <w:numPr>
          <w:ilvl w:val="0"/>
          <w:numId w:val="32"/>
        </w:numPr>
        <w:spacing w:after="120"/>
        <w:ind w:left="360"/>
        <w:rPr>
          <w:rFonts w:ascii="Times New Roman" w:hAnsi="Times New Roman"/>
        </w:rPr>
      </w:pPr>
      <w:r w:rsidRPr="000E3BAF">
        <w:rPr>
          <w:rFonts w:ascii="Times New Roman" w:hAnsi="Times New Roman"/>
        </w:rPr>
        <w:t>The TWG will</w:t>
      </w:r>
      <w:r w:rsidRPr="000E3BAF" w:rsidR="00444DAB">
        <w:rPr>
          <w:rFonts w:ascii="Times New Roman" w:hAnsi="Times New Roman"/>
        </w:rPr>
        <w:t xml:space="preserve"> provide substantive feedback throughout the project period, particularly on the impact </w:t>
      </w:r>
      <w:r w:rsidR="006F45C1">
        <w:rPr>
          <w:rFonts w:ascii="Times New Roman" w:hAnsi="Times New Roman"/>
        </w:rPr>
        <w:t>study</w:t>
      </w:r>
      <w:r w:rsidRPr="000E3BAF" w:rsidR="00444DAB">
        <w:rPr>
          <w:rFonts w:ascii="Times New Roman" w:hAnsi="Times New Roman"/>
        </w:rPr>
        <w:t xml:space="preserve"> design. The TWG members have expertise in research methodology as well as </w:t>
      </w:r>
      <w:r w:rsidR="00075515">
        <w:rPr>
          <w:rFonts w:ascii="Times New Roman" w:hAnsi="Times New Roman"/>
        </w:rPr>
        <w:t>i</w:t>
      </w:r>
      <w:r w:rsidRPr="000E3BAF" w:rsidR="00444DAB">
        <w:rPr>
          <w:rFonts w:ascii="Times New Roman" w:hAnsi="Times New Roman"/>
        </w:rPr>
        <w:t xml:space="preserve">n programs and populations </w:t>
      </w:r>
      <w:r w:rsidRPr="000E3BAF" w:rsidR="00444DAB">
        <w:rPr>
          <w:rFonts w:ascii="Times New Roman" w:hAnsi="Times New Roman"/>
        </w:rPr>
        <w:t>similar to</w:t>
      </w:r>
      <w:r w:rsidRPr="000E3BAF" w:rsidR="00444DAB">
        <w:rPr>
          <w:rFonts w:ascii="Times New Roman" w:hAnsi="Times New Roman"/>
        </w:rPr>
        <w:t xml:space="preserve"> those being served in the </w:t>
      </w:r>
      <w:r w:rsidR="00244513">
        <w:rPr>
          <w:rFonts w:ascii="Times New Roman" w:hAnsi="Times New Roman"/>
        </w:rPr>
        <w:t>Pathway Home grant</w:t>
      </w:r>
      <w:r w:rsidR="00366E52">
        <w:rPr>
          <w:rFonts w:ascii="Times New Roman" w:hAnsi="Times New Roman"/>
        </w:rPr>
        <w:t xml:space="preserve"> program</w:t>
      </w:r>
      <w:r w:rsidRPr="000E3BAF" w:rsidR="00444DAB">
        <w:rPr>
          <w:rFonts w:ascii="Times New Roman" w:hAnsi="Times New Roman"/>
        </w:rPr>
        <w:t xml:space="preserve">. </w:t>
      </w:r>
    </w:p>
    <w:p w:rsidR="00244513" w:rsidP="00C457A7" w14:paraId="201D66EF" w14:textId="0488EAA0">
      <w:pPr>
        <w:pStyle w:val="ListParagraph"/>
        <w:numPr>
          <w:ilvl w:val="0"/>
          <w:numId w:val="32"/>
        </w:numPr>
        <w:spacing w:after="120"/>
        <w:ind w:left="360"/>
        <w:rPr>
          <w:rFonts w:ascii="Times New Roman" w:hAnsi="Times New Roman"/>
        </w:rPr>
      </w:pPr>
      <w:r w:rsidRPr="492F0508">
        <w:rPr>
          <w:rFonts w:ascii="Times New Roman" w:hAnsi="Times New Roman"/>
        </w:rPr>
        <w:t xml:space="preserve">The contractor also </w:t>
      </w:r>
      <w:bookmarkStart w:id="10" w:name="_Hlk147930988"/>
      <w:r w:rsidRPr="492F0508" w:rsidR="00F42EB0">
        <w:rPr>
          <w:rFonts w:ascii="Times New Roman" w:hAnsi="Times New Roman"/>
        </w:rPr>
        <w:t>consulted</w:t>
      </w:r>
      <w:bookmarkEnd w:id="10"/>
      <w:r w:rsidRPr="492F0508" w:rsidR="00F42EB0">
        <w:rPr>
          <w:rFonts w:ascii="Times New Roman" w:hAnsi="Times New Roman"/>
        </w:rPr>
        <w:t xml:space="preserve"> an</w:t>
      </w:r>
      <w:r w:rsidRPr="492F0508" w:rsidR="00842407">
        <w:rPr>
          <w:rFonts w:ascii="Times New Roman" w:hAnsi="Times New Roman"/>
        </w:rPr>
        <w:t xml:space="preserve"> </w:t>
      </w:r>
      <w:r w:rsidRPr="492F0508" w:rsidR="00240168">
        <w:rPr>
          <w:rFonts w:ascii="Times New Roman" w:hAnsi="Times New Roman"/>
        </w:rPr>
        <w:t>expert panel</w:t>
      </w:r>
      <w:r w:rsidRPr="492F0508" w:rsidR="00444DAB">
        <w:rPr>
          <w:rFonts w:ascii="Times New Roman" w:hAnsi="Times New Roman"/>
        </w:rPr>
        <w:t xml:space="preserve"> of people with lived experience in the justice system</w:t>
      </w:r>
      <w:r w:rsidRPr="492F0508" w:rsidR="00F42EB0">
        <w:rPr>
          <w:rFonts w:ascii="Times New Roman" w:hAnsi="Times New Roman"/>
        </w:rPr>
        <w:t xml:space="preserve"> and will continue to </w:t>
      </w:r>
      <w:r w:rsidRPr="492F0508" w:rsidR="00EB5924">
        <w:rPr>
          <w:rFonts w:ascii="Times New Roman" w:hAnsi="Times New Roman"/>
        </w:rPr>
        <w:t>consult</w:t>
      </w:r>
      <w:r w:rsidRPr="492F0508" w:rsidR="00F42EB0">
        <w:rPr>
          <w:rFonts w:ascii="Times New Roman" w:hAnsi="Times New Roman"/>
        </w:rPr>
        <w:t xml:space="preserve"> the </w:t>
      </w:r>
      <w:r w:rsidRPr="492F0508" w:rsidR="00240168">
        <w:rPr>
          <w:rFonts w:ascii="Times New Roman" w:hAnsi="Times New Roman"/>
        </w:rPr>
        <w:t>expert panel</w:t>
      </w:r>
      <w:r w:rsidRPr="492F0508" w:rsidR="00444DAB">
        <w:rPr>
          <w:rFonts w:ascii="Times New Roman" w:hAnsi="Times New Roman"/>
        </w:rPr>
        <w:t xml:space="preserve"> </w:t>
      </w:r>
      <w:r w:rsidRPr="492F0508" w:rsidR="00842407">
        <w:rPr>
          <w:rFonts w:ascii="Times New Roman" w:hAnsi="Times New Roman"/>
        </w:rPr>
        <w:t>through the project period</w:t>
      </w:r>
      <w:r w:rsidRPr="492F0508" w:rsidR="00444DAB">
        <w:rPr>
          <w:rFonts w:ascii="Times New Roman" w:hAnsi="Times New Roman"/>
        </w:rPr>
        <w:t xml:space="preserve"> to ensure the research design, instruments, and findings </w:t>
      </w:r>
      <w:r w:rsidRPr="492F0508" w:rsidR="00B327A3">
        <w:rPr>
          <w:rFonts w:ascii="Times New Roman" w:hAnsi="Times New Roman"/>
        </w:rPr>
        <w:t xml:space="preserve">are grounded in the experiences of </w:t>
      </w:r>
      <w:bookmarkStart w:id="11" w:name="_Hlk77775021"/>
      <w:r w:rsidRPr="492F0508" w:rsidR="00B327A3">
        <w:rPr>
          <w:rFonts w:ascii="Times New Roman" w:hAnsi="Times New Roman"/>
        </w:rPr>
        <w:t xml:space="preserve">people </w:t>
      </w:r>
      <w:r w:rsidRPr="492F0508" w:rsidR="00A55AFA">
        <w:rPr>
          <w:rFonts w:ascii="Times New Roman" w:hAnsi="Times New Roman"/>
        </w:rPr>
        <w:t xml:space="preserve">directly </w:t>
      </w:r>
      <w:r w:rsidRPr="492F0508" w:rsidR="00ED548A">
        <w:rPr>
          <w:rFonts w:ascii="Times New Roman" w:hAnsi="Times New Roman"/>
        </w:rPr>
        <w:t xml:space="preserve">affected </w:t>
      </w:r>
      <w:r w:rsidRPr="492F0508" w:rsidR="00A55AFA">
        <w:rPr>
          <w:rFonts w:ascii="Times New Roman" w:hAnsi="Times New Roman"/>
        </w:rPr>
        <w:t>by the justice system</w:t>
      </w:r>
      <w:bookmarkEnd w:id="11"/>
      <w:r w:rsidRPr="492F0508" w:rsidR="00C13C48">
        <w:rPr>
          <w:rFonts w:ascii="Times New Roman" w:hAnsi="Times New Roman"/>
        </w:rPr>
        <w:t>.</w:t>
      </w:r>
      <w:r w:rsidRPr="492F0508" w:rsidR="00842407">
        <w:rPr>
          <w:rFonts w:ascii="Times New Roman" w:hAnsi="Times New Roman"/>
        </w:rPr>
        <w:t xml:space="preserve"> </w:t>
      </w:r>
    </w:p>
    <w:p w:rsidR="00C13C48" w:rsidRPr="000E3BAF" w:rsidP="00C457A7" w14:paraId="0F3A2D4A" w14:textId="450BFC9F">
      <w:pPr>
        <w:pStyle w:val="ListParagraph"/>
        <w:numPr>
          <w:ilvl w:val="0"/>
          <w:numId w:val="32"/>
        </w:numPr>
        <w:spacing w:after="120"/>
        <w:ind w:left="360"/>
        <w:rPr>
          <w:rFonts w:ascii="Times New Roman" w:hAnsi="Times New Roman"/>
        </w:rPr>
      </w:pPr>
      <w:r w:rsidRPr="492F0508">
        <w:rPr>
          <w:rFonts w:ascii="Times New Roman" w:hAnsi="Times New Roman"/>
        </w:rPr>
        <w:t xml:space="preserve">The contractor will also </w:t>
      </w:r>
      <w:r w:rsidRPr="492F0508" w:rsidR="00ED548A">
        <w:rPr>
          <w:rFonts w:ascii="Times New Roman" w:hAnsi="Times New Roman"/>
        </w:rPr>
        <w:t>consult p</w:t>
      </w:r>
      <w:r w:rsidRPr="492F0508" w:rsidR="00842407">
        <w:rPr>
          <w:rFonts w:ascii="Times New Roman" w:hAnsi="Times New Roman"/>
        </w:rPr>
        <w:t xml:space="preserve">rogram staff </w:t>
      </w:r>
      <w:r w:rsidRPr="492F0508" w:rsidR="5A3D3B30">
        <w:rPr>
          <w:rFonts w:ascii="Times New Roman" w:hAnsi="Times New Roman"/>
        </w:rPr>
        <w:t xml:space="preserve">in the relevant office in the Employment and Training Administration </w:t>
      </w:r>
      <w:r w:rsidRPr="492F0508" w:rsidR="00BA4C79">
        <w:rPr>
          <w:rFonts w:ascii="Times New Roman" w:hAnsi="Times New Roman"/>
        </w:rPr>
        <w:t xml:space="preserve">to </w:t>
      </w:r>
      <w:r w:rsidRPr="492F0508" w:rsidR="00842407">
        <w:rPr>
          <w:rFonts w:ascii="Times New Roman" w:hAnsi="Times New Roman"/>
        </w:rPr>
        <w:t>better understand the feasibility of the research design within the regional context of grantees.</w:t>
      </w:r>
      <w:r w:rsidRPr="492F0508" w:rsidR="00C72107">
        <w:rPr>
          <w:rFonts w:ascii="Times New Roman" w:hAnsi="Times New Roman"/>
        </w:rPr>
        <w:t xml:space="preserve"> </w:t>
      </w:r>
    </w:p>
    <w:bookmarkEnd w:id="7"/>
    <w:p w:rsidR="00C13C48" w:rsidRPr="008713C0" w:rsidP="00C13C48" w14:paraId="45E82A2D" w14:textId="21AE5E38">
      <w:pPr>
        <w:pStyle w:val="MarkforTableTitle"/>
      </w:pPr>
      <w:r>
        <w:t>Table A.</w:t>
      </w:r>
      <w:r w:rsidR="00DF2DB2">
        <w:t>1</w:t>
      </w:r>
      <w:r>
        <w:t xml:space="preserve">. </w:t>
      </w:r>
      <w:r w:rsidR="00362FC4">
        <w:t xml:space="preserve">Pathway Home </w:t>
      </w:r>
      <w:r w:rsidR="4B942AC9">
        <w:t xml:space="preserve">Contractor </w:t>
      </w:r>
      <w:r w:rsidR="00362FC4">
        <w:t>E</w:t>
      </w:r>
      <w:r>
        <w:t xml:space="preserve">valuation </w:t>
      </w:r>
      <w:r w:rsidR="00F42EB0">
        <w:t>Team</w:t>
      </w:r>
    </w:p>
    <w:tbl>
      <w:tblPr>
        <w:tblW w:w="4473" w:type="pct"/>
        <w:tblCellMar>
          <w:left w:w="0" w:type="dxa"/>
          <w:right w:w="0" w:type="dxa"/>
        </w:tblCellMar>
        <w:tblLook w:val="04A0"/>
      </w:tblPr>
      <w:tblGrid>
        <w:gridCol w:w="4361"/>
        <w:gridCol w:w="4012"/>
      </w:tblGrid>
      <w:tr w14:paraId="501FAB98" w14:textId="0033911B" w:rsidTr="007C2167">
        <w:tblPrEx>
          <w:tblW w:w="4473" w:type="pct"/>
          <w:tblCellMar>
            <w:left w:w="0" w:type="dxa"/>
            <w:right w:w="0" w:type="dxa"/>
          </w:tblCellMar>
          <w:tblLook w:val="04A0"/>
        </w:tblPrEx>
        <w:trPr>
          <w:cantSplit/>
          <w:trHeight w:val="286"/>
        </w:trPr>
        <w:tc>
          <w:tcPr>
            <w:tcW w:w="2604" w:type="pct"/>
            <w:tcBorders>
              <w:top w:val="single" w:sz="4" w:space="0" w:color="auto"/>
              <w:left w:val="nil"/>
              <w:right w:val="nil"/>
            </w:tcBorders>
            <w:tcMar>
              <w:top w:w="0" w:type="dxa"/>
              <w:left w:w="108" w:type="dxa"/>
              <w:bottom w:w="0" w:type="dxa"/>
              <w:right w:w="108" w:type="dxa"/>
            </w:tcMar>
          </w:tcPr>
          <w:p w:rsidR="00532FFC" w:rsidRPr="008713C0" w:rsidP="00472BDB" w14:paraId="2F748879" w14:textId="08DA040E">
            <w:pPr>
              <w:keepNext/>
              <w:keepLines/>
              <w:spacing w:before="40" w:after="20"/>
              <w:rPr>
                <w:rFonts w:ascii="Arial" w:hAnsi="Arial" w:cs="Arial"/>
                <w:sz w:val="18"/>
                <w:szCs w:val="18"/>
              </w:rPr>
            </w:pPr>
            <w:bookmarkStart w:id="12" w:name="_Hlk78818682"/>
            <w:r>
              <w:rPr>
                <w:rFonts w:ascii="Arial" w:hAnsi="Arial" w:cs="Arial"/>
                <w:sz w:val="18"/>
                <w:szCs w:val="18"/>
              </w:rPr>
              <w:t>Organization</w:t>
            </w:r>
          </w:p>
        </w:tc>
        <w:tc>
          <w:tcPr>
            <w:tcW w:w="2396" w:type="pct"/>
            <w:tcBorders>
              <w:top w:val="single" w:sz="4" w:space="0" w:color="auto"/>
              <w:left w:val="nil"/>
              <w:right w:val="nil"/>
            </w:tcBorders>
            <w:tcMar>
              <w:top w:w="0" w:type="dxa"/>
              <w:left w:w="108" w:type="dxa"/>
              <w:bottom w:w="0" w:type="dxa"/>
              <w:right w:w="108" w:type="dxa"/>
            </w:tcMar>
          </w:tcPr>
          <w:p w:rsidR="00532FFC" w:rsidP="00472BDB" w14:paraId="24A45A0F" w14:textId="4E17C028">
            <w:pPr>
              <w:keepNext/>
              <w:keepLines/>
              <w:spacing w:before="40" w:after="20"/>
              <w:rPr>
                <w:rFonts w:ascii="Arial" w:hAnsi="Arial" w:cs="Arial"/>
                <w:sz w:val="18"/>
                <w:szCs w:val="18"/>
              </w:rPr>
            </w:pPr>
            <w:r>
              <w:rPr>
                <w:rFonts w:ascii="Arial" w:hAnsi="Arial" w:cs="Arial"/>
                <w:sz w:val="18"/>
                <w:szCs w:val="18"/>
              </w:rPr>
              <w:t>Individuals</w:t>
            </w:r>
          </w:p>
        </w:tc>
      </w:tr>
      <w:tr w14:paraId="2DBFBF76" w14:textId="5F71CFCD" w:rsidTr="00A84001">
        <w:tblPrEx>
          <w:tblW w:w="4473" w:type="pct"/>
          <w:tblCellMar>
            <w:left w:w="0" w:type="dxa"/>
            <w:right w:w="0" w:type="dxa"/>
          </w:tblCellMar>
          <w:tblLook w:val="04A0"/>
        </w:tblPrEx>
        <w:trPr>
          <w:cantSplit/>
          <w:trHeight w:val="800"/>
        </w:trPr>
        <w:tc>
          <w:tcPr>
            <w:tcW w:w="2604" w:type="pct"/>
            <w:tcBorders>
              <w:top w:val="single" w:sz="4" w:space="0" w:color="auto"/>
              <w:left w:val="nil"/>
              <w:right w:val="nil"/>
            </w:tcBorders>
            <w:tcMar>
              <w:top w:w="0" w:type="dxa"/>
              <w:left w:w="108" w:type="dxa"/>
              <w:bottom w:w="0" w:type="dxa"/>
              <w:right w:w="108" w:type="dxa"/>
            </w:tcMar>
            <w:hideMark/>
          </w:tcPr>
          <w:p w:rsidR="00532FFC" w:rsidRPr="008713C0" w:rsidP="00472BDB" w14:paraId="76A6E652" w14:textId="14EED34A">
            <w:pPr>
              <w:keepNext/>
              <w:keepLines/>
              <w:spacing w:before="40" w:after="20"/>
              <w:rPr>
                <w:rFonts w:ascii="Arial" w:hAnsi="Arial" w:cs="Arial"/>
                <w:sz w:val="18"/>
                <w:szCs w:val="18"/>
              </w:rPr>
            </w:pPr>
            <w:r w:rsidRPr="008713C0">
              <w:rPr>
                <w:rFonts w:ascii="Arial" w:hAnsi="Arial" w:cs="Arial"/>
                <w:sz w:val="18"/>
                <w:szCs w:val="18"/>
              </w:rPr>
              <w:t xml:space="preserve">Mathematica </w:t>
            </w:r>
            <w:r w:rsidRPr="008713C0">
              <w:rPr>
                <w:rFonts w:ascii="Arial" w:hAnsi="Arial" w:cs="Arial"/>
                <w:sz w:val="18"/>
                <w:szCs w:val="18"/>
              </w:rPr>
              <w:br/>
            </w:r>
            <w:r w:rsidRPr="008713C0">
              <w:rPr>
                <w:rFonts w:ascii="Arial" w:hAnsi="Arial" w:cs="Arial"/>
                <w:color w:val="000000"/>
                <w:sz w:val="18"/>
                <w:szCs w:val="18"/>
                <w:shd w:val="clear" w:color="auto" w:fill="FFFFFF"/>
              </w:rPr>
              <w:t>P.O. Box 2393</w:t>
            </w:r>
            <w:r w:rsidRPr="008713C0">
              <w:rPr>
                <w:rFonts w:ascii="Arial" w:hAnsi="Arial" w:cs="Arial"/>
                <w:color w:val="000000"/>
                <w:sz w:val="18"/>
                <w:szCs w:val="18"/>
              </w:rPr>
              <w:br/>
            </w:r>
            <w:r w:rsidRPr="008713C0">
              <w:rPr>
                <w:rFonts w:ascii="Arial" w:hAnsi="Arial" w:cs="Arial"/>
                <w:color w:val="000000"/>
                <w:sz w:val="18"/>
                <w:szCs w:val="18"/>
                <w:shd w:val="clear" w:color="auto" w:fill="FFFFFF"/>
              </w:rPr>
              <w:t>Princeton, NJ 08543-2393</w:t>
            </w:r>
            <w:r w:rsidRPr="008713C0">
              <w:rPr>
                <w:rFonts w:ascii="Arial" w:hAnsi="Arial" w:cs="Arial"/>
                <w:color w:val="000000"/>
                <w:sz w:val="18"/>
                <w:szCs w:val="18"/>
              </w:rPr>
              <w:br/>
            </w:r>
            <w:r w:rsidRPr="008713C0">
              <w:rPr>
                <w:rFonts w:ascii="Arial" w:hAnsi="Arial" w:cs="Arial"/>
                <w:color w:val="000000"/>
                <w:sz w:val="18"/>
                <w:szCs w:val="18"/>
                <w:shd w:val="clear" w:color="auto" w:fill="FFFFFF"/>
              </w:rPr>
              <w:t>(609) 799-3535</w:t>
            </w:r>
          </w:p>
        </w:tc>
        <w:tc>
          <w:tcPr>
            <w:tcW w:w="2396" w:type="pct"/>
            <w:tcBorders>
              <w:top w:val="single" w:sz="4" w:space="0" w:color="auto"/>
              <w:left w:val="nil"/>
              <w:right w:val="nil"/>
            </w:tcBorders>
            <w:tcMar>
              <w:top w:w="0" w:type="dxa"/>
              <w:left w:w="108" w:type="dxa"/>
              <w:bottom w:w="0" w:type="dxa"/>
              <w:right w:w="108" w:type="dxa"/>
            </w:tcMar>
            <w:hideMark/>
          </w:tcPr>
          <w:p w:rsidR="00645E03" w:rsidRPr="008713C0" w:rsidP="00E35AC7" w14:paraId="304A4EDA" w14:textId="5E465E1F">
            <w:pPr>
              <w:keepNext/>
              <w:keepLines/>
              <w:spacing w:before="40" w:after="20"/>
              <w:rPr>
                <w:rFonts w:ascii="Arial" w:hAnsi="Arial" w:cs="Arial"/>
                <w:sz w:val="18"/>
                <w:szCs w:val="18"/>
              </w:rPr>
            </w:pPr>
            <w:r>
              <w:rPr>
                <w:rFonts w:ascii="Arial" w:hAnsi="Arial" w:cs="Arial"/>
                <w:sz w:val="18"/>
                <w:szCs w:val="18"/>
              </w:rPr>
              <w:t>Ms. Samina Sattar</w:t>
            </w:r>
            <w:r w:rsidR="00E35AC7">
              <w:rPr>
                <w:rFonts w:ascii="Arial" w:hAnsi="Arial" w:cs="Arial"/>
                <w:sz w:val="18"/>
                <w:szCs w:val="18"/>
              </w:rPr>
              <w:br/>
            </w:r>
            <w:r>
              <w:rPr>
                <w:rFonts w:ascii="Arial" w:hAnsi="Arial" w:cs="Arial"/>
                <w:sz w:val="18"/>
                <w:szCs w:val="18"/>
              </w:rPr>
              <w:t>Project director</w:t>
            </w:r>
            <w:r w:rsidR="00E35AC7">
              <w:rPr>
                <w:rFonts w:ascii="Arial" w:hAnsi="Arial" w:cs="Arial"/>
                <w:sz w:val="18"/>
                <w:szCs w:val="18"/>
              </w:rPr>
              <w:br/>
            </w:r>
            <w:r>
              <w:rPr>
                <w:rFonts w:ascii="Arial" w:hAnsi="Arial" w:cs="Arial"/>
                <w:sz w:val="18"/>
                <w:szCs w:val="18"/>
              </w:rPr>
              <w:t>(609) 945-3358</w:t>
            </w:r>
          </w:p>
        </w:tc>
      </w:tr>
      <w:tr w14:paraId="61812841" w14:textId="391C163F" w:rsidTr="00A84001">
        <w:tblPrEx>
          <w:tblW w:w="4473" w:type="pct"/>
          <w:tblCellMar>
            <w:left w:w="0" w:type="dxa"/>
            <w:right w:w="0" w:type="dxa"/>
          </w:tblCellMar>
          <w:tblLook w:val="04A0"/>
        </w:tblPrEx>
        <w:trPr>
          <w:cantSplit/>
          <w:trHeight w:val="665"/>
        </w:trPr>
        <w:tc>
          <w:tcPr>
            <w:tcW w:w="2604" w:type="pct"/>
            <w:tcBorders>
              <w:left w:val="nil"/>
              <w:bottom w:val="single" w:sz="4" w:space="0" w:color="auto"/>
              <w:right w:val="nil"/>
            </w:tcBorders>
            <w:tcMar>
              <w:top w:w="0" w:type="dxa"/>
              <w:left w:w="108" w:type="dxa"/>
              <w:bottom w:w="0" w:type="dxa"/>
              <w:right w:w="108" w:type="dxa"/>
            </w:tcMar>
          </w:tcPr>
          <w:p w:rsidR="00532FFC" w:rsidRPr="008713C0" w:rsidP="00472BDB" w14:paraId="3020E989" w14:textId="2C3DD7F8">
            <w:pPr>
              <w:keepNext/>
              <w:keepLines/>
              <w:spacing w:before="40" w:after="20"/>
              <w:rPr>
                <w:rFonts w:ascii="Arial" w:hAnsi="Arial" w:cs="Arial"/>
                <w:sz w:val="18"/>
                <w:szCs w:val="18"/>
              </w:rPr>
            </w:pPr>
          </w:p>
        </w:tc>
        <w:tc>
          <w:tcPr>
            <w:tcW w:w="2396" w:type="pct"/>
            <w:tcBorders>
              <w:left w:val="nil"/>
              <w:bottom w:val="single" w:sz="4" w:space="0" w:color="auto"/>
              <w:right w:val="nil"/>
            </w:tcBorders>
            <w:tcMar>
              <w:top w:w="0" w:type="dxa"/>
              <w:left w:w="108" w:type="dxa"/>
              <w:bottom w:w="0" w:type="dxa"/>
              <w:right w:w="108" w:type="dxa"/>
            </w:tcMar>
          </w:tcPr>
          <w:p w:rsidR="001D2D78" w:rsidP="00472BDB" w14:paraId="711DEFB4" w14:textId="762104DF">
            <w:pPr>
              <w:keepNext/>
              <w:keepLines/>
              <w:spacing w:before="40" w:after="20"/>
              <w:rPr>
                <w:rFonts w:ascii="Arial" w:hAnsi="Arial" w:cs="Arial"/>
                <w:sz w:val="18"/>
                <w:szCs w:val="18"/>
              </w:rPr>
            </w:pPr>
            <w:r w:rsidRPr="008713C0">
              <w:rPr>
                <w:rFonts w:ascii="Arial" w:hAnsi="Arial" w:cs="Arial"/>
                <w:sz w:val="18"/>
                <w:szCs w:val="18"/>
              </w:rPr>
              <w:t>Dr. Jillian Berk</w:t>
            </w:r>
            <w:r w:rsidRPr="008713C0">
              <w:rPr>
                <w:rFonts w:ascii="Arial" w:hAnsi="Arial" w:cs="Arial"/>
                <w:sz w:val="18"/>
                <w:szCs w:val="18"/>
              </w:rPr>
              <w:br/>
            </w:r>
            <w:r w:rsidR="004D6761">
              <w:rPr>
                <w:rFonts w:ascii="Arial" w:hAnsi="Arial" w:cs="Arial"/>
                <w:sz w:val="18"/>
                <w:szCs w:val="18"/>
              </w:rPr>
              <w:t>Principal investigator</w:t>
            </w:r>
            <w:r w:rsidRPr="008713C0">
              <w:rPr>
                <w:rFonts w:ascii="Arial" w:hAnsi="Arial" w:cs="Arial"/>
                <w:sz w:val="18"/>
                <w:szCs w:val="18"/>
              </w:rPr>
              <w:br/>
              <w:t>(</w:t>
            </w:r>
            <w:r>
              <w:rPr>
                <w:rFonts w:ascii="Arial" w:hAnsi="Arial" w:cs="Arial"/>
                <w:sz w:val="18"/>
                <w:szCs w:val="18"/>
              </w:rPr>
              <w:t>202</w:t>
            </w:r>
            <w:r w:rsidRPr="008713C0">
              <w:rPr>
                <w:rFonts w:ascii="Arial" w:hAnsi="Arial" w:cs="Arial"/>
                <w:sz w:val="18"/>
                <w:szCs w:val="18"/>
              </w:rPr>
              <w:t xml:space="preserve">) </w:t>
            </w:r>
            <w:r>
              <w:rPr>
                <w:rFonts w:ascii="Arial" w:hAnsi="Arial" w:cs="Arial"/>
                <w:sz w:val="18"/>
                <w:szCs w:val="18"/>
              </w:rPr>
              <w:t>264</w:t>
            </w:r>
            <w:r w:rsidRPr="008713C0">
              <w:rPr>
                <w:rFonts w:ascii="Arial" w:hAnsi="Arial" w:cs="Arial"/>
                <w:sz w:val="18"/>
                <w:szCs w:val="18"/>
              </w:rPr>
              <w:t>-</w:t>
            </w:r>
            <w:r>
              <w:rPr>
                <w:rFonts w:ascii="Arial" w:hAnsi="Arial" w:cs="Arial"/>
                <w:sz w:val="18"/>
                <w:szCs w:val="18"/>
              </w:rPr>
              <w:t>3449</w:t>
            </w:r>
          </w:p>
          <w:p w:rsidR="00645E03" w:rsidP="00472BDB" w14:paraId="4D6A9FD9" w14:textId="1835A36F">
            <w:pPr>
              <w:keepNext/>
              <w:keepLines/>
              <w:spacing w:before="40" w:after="20"/>
              <w:rPr>
                <w:rFonts w:ascii="Arial" w:hAnsi="Arial" w:cs="Arial"/>
                <w:sz w:val="18"/>
                <w:szCs w:val="18"/>
              </w:rPr>
            </w:pPr>
          </w:p>
          <w:p w:rsidR="00E73336" w:rsidP="00E73336" w14:paraId="55AB4CBB" w14:textId="77777777">
            <w:pPr>
              <w:keepNext/>
              <w:keepLines/>
              <w:spacing w:before="40" w:after="20"/>
              <w:rPr>
                <w:rFonts w:ascii="Arial" w:hAnsi="Arial" w:cs="Arial"/>
                <w:sz w:val="18"/>
                <w:szCs w:val="18"/>
              </w:rPr>
            </w:pPr>
            <w:r>
              <w:rPr>
                <w:rFonts w:ascii="Arial" w:hAnsi="Arial" w:cs="Arial"/>
                <w:sz w:val="18"/>
                <w:szCs w:val="18"/>
              </w:rPr>
              <w:t>Dr</w:t>
            </w:r>
            <w:r w:rsidRPr="008713C0">
              <w:rPr>
                <w:rFonts w:ascii="Arial" w:hAnsi="Arial" w:cs="Arial"/>
                <w:sz w:val="18"/>
                <w:szCs w:val="18"/>
              </w:rPr>
              <w:t>. Jillian Stein</w:t>
            </w:r>
            <w:r w:rsidRPr="008713C0">
              <w:rPr>
                <w:rFonts w:ascii="Arial" w:hAnsi="Arial" w:cs="Arial"/>
                <w:sz w:val="18"/>
                <w:szCs w:val="18"/>
              </w:rPr>
              <w:br/>
            </w:r>
            <w:r>
              <w:rPr>
                <w:rFonts w:ascii="Arial" w:hAnsi="Arial" w:cs="Arial"/>
                <w:sz w:val="18"/>
                <w:szCs w:val="18"/>
              </w:rPr>
              <w:t>Deputy project director</w:t>
            </w:r>
            <w:r w:rsidRPr="008713C0">
              <w:rPr>
                <w:rFonts w:ascii="Arial" w:hAnsi="Arial" w:cs="Arial"/>
                <w:sz w:val="18"/>
                <w:szCs w:val="18"/>
              </w:rPr>
              <w:br/>
              <w:t>(609) 716-4395</w:t>
            </w:r>
          </w:p>
          <w:p w:rsidR="00E73336" w:rsidP="00E73336" w14:paraId="27AB8631" w14:textId="77777777">
            <w:pPr>
              <w:keepNext/>
              <w:keepLines/>
              <w:spacing w:before="40" w:after="20"/>
              <w:rPr>
                <w:rFonts w:ascii="Arial" w:hAnsi="Arial" w:cs="Arial"/>
                <w:sz w:val="18"/>
                <w:szCs w:val="18"/>
              </w:rPr>
            </w:pPr>
          </w:p>
          <w:p w:rsidR="00B23B60" w:rsidP="00472BDB" w14:paraId="5694643E" w14:textId="50E38F1F">
            <w:pPr>
              <w:keepNext/>
              <w:keepLines/>
              <w:spacing w:before="40" w:after="20"/>
              <w:rPr>
                <w:rFonts w:ascii="Arial" w:hAnsi="Arial" w:cs="Arial"/>
                <w:sz w:val="18"/>
                <w:szCs w:val="18"/>
              </w:rPr>
            </w:pPr>
            <w:r>
              <w:rPr>
                <w:rFonts w:ascii="Arial" w:hAnsi="Arial" w:cs="Arial"/>
                <w:sz w:val="18"/>
                <w:szCs w:val="18"/>
              </w:rPr>
              <w:t>Ms</w:t>
            </w:r>
            <w:r w:rsidRPr="008713C0">
              <w:rPr>
                <w:rFonts w:ascii="Arial" w:hAnsi="Arial" w:cs="Arial"/>
                <w:sz w:val="18"/>
                <w:szCs w:val="18"/>
              </w:rPr>
              <w:t xml:space="preserve">. </w:t>
            </w:r>
            <w:r>
              <w:rPr>
                <w:rFonts w:ascii="Arial" w:hAnsi="Arial" w:cs="Arial"/>
                <w:sz w:val="18"/>
                <w:szCs w:val="18"/>
              </w:rPr>
              <w:t>Jeanne Bellotti</w:t>
            </w:r>
            <w:r w:rsidRPr="008713C0">
              <w:rPr>
                <w:rFonts w:ascii="Arial" w:hAnsi="Arial" w:cs="Arial"/>
                <w:sz w:val="18"/>
                <w:szCs w:val="18"/>
              </w:rPr>
              <w:br/>
            </w:r>
            <w:r>
              <w:rPr>
                <w:rFonts w:ascii="Arial" w:hAnsi="Arial" w:cs="Arial"/>
                <w:sz w:val="18"/>
                <w:szCs w:val="18"/>
              </w:rPr>
              <w:t>Director, Employment Research</w:t>
            </w:r>
            <w:r w:rsidRPr="008713C0">
              <w:rPr>
                <w:rFonts w:ascii="Arial" w:hAnsi="Arial" w:cs="Arial"/>
                <w:sz w:val="18"/>
                <w:szCs w:val="18"/>
              </w:rPr>
              <w:br/>
              <w:t xml:space="preserve">(609) </w:t>
            </w:r>
            <w:r>
              <w:rPr>
                <w:rFonts w:ascii="Arial" w:hAnsi="Arial" w:cs="Arial"/>
                <w:sz w:val="18"/>
                <w:szCs w:val="18"/>
              </w:rPr>
              <w:t>275</w:t>
            </w:r>
            <w:r w:rsidRPr="008713C0">
              <w:rPr>
                <w:rFonts w:ascii="Arial" w:hAnsi="Arial" w:cs="Arial"/>
                <w:sz w:val="18"/>
                <w:szCs w:val="18"/>
              </w:rPr>
              <w:t>-</w:t>
            </w:r>
            <w:r>
              <w:rPr>
                <w:rFonts w:ascii="Arial" w:hAnsi="Arial" w:cs="Arial"/>
                <w:sz w:val="18"/>
                <w:szCs w:val="18"/>
              </w:rPr>
              <w:t>2243</w:t>
            </w:r>
          </w:p>
          <w:p w:rsidR="00BA5F52" w:rsidP="00472BDB" w14:paraId="11BB5468" w14:textId="44F68A27">
            <w:pPr>
              <w:keepNext/>
              <w:keepLines/>
              <w:spacing w:before="40" w:after="20"/>
              <w:rPr>
                <w:rFonts w:ascii="Arial" w:hAnsi="Arial" w:cs="Arial"/>
                <w:sz w:val="18"/>
                <w:szCs w:val="18"/>
              </w:rPr>
            </w:pPr>
          </w:p>
          <w:p w:rsidR="009833B4" w:rsidRPr="008713C0" w:rsidP="00A84001" w14:paraId="54C34028" w14:textId="465F2ABF">
            <w:pPr>
              <w:keepNext/>
              <w:keepLines/>
              <w:spacing w:before="40" w:after="120"/>
              <w:rPr>
                <w:rFonts w:ascii="Arial" w:hAnsi="Arial" w:cs="Arial"/>
                <w:sz w:val="18"/>
                <w:szCs w:val="18"/>
              </w:rPr>
            </w:pPr>
            <w:r>
              <w:rPr>
                <w:rFonts w:ascii="Arial" w:hAnsi="Arial" w:cs="Arial"/>
                <w:sz w:val="18"/>
                <w:szCs w:val="18"/>
              </w:rPr>
              <w:t xml:space="preserve">Ms. </w:t>
            </w:r>
            <w:r w:rsidR="00BA5F52">
              <w:rPr>
                <w:rFonts w:ascii="Arial" w:hAnsi="Arial" w:cs="Arial"/>
                <w:sz w:val="18"/>
                <w:szCs w:val="18"/>
              </w:rPr>
              <w:t>Betsy Santos</w:t>
            </w:r>
            <w:r w:rsidR="00A84001">
              <w:rPr>
                <w:rFonts w:ascii="Arial" w:hAnsi="Arial" w:cs="Arial"/>
                <w:sz w:val="18"/>
                <w:szCs w:val="18"/>
              </w:rPr>
              <w:br/>
            </w:r>
            <w:r>
              <w:rPr>
                <w:rFonts w:ascii="Arial" w:hAnsi="Arial" w:cs="Arial"/>
                <w:sz w:val="18"/>
                <w:szCs w:val="18"/>
              </w:rPr>
              <w:t>S</w:t>
            </w:r>
            <w:r w:rsidR="00C671DC">
              <w:rPr>
                <w:rFonts w:ascii="Arial" w:hAnsi="Arial" w:cs="Arial"/>
                <w:sz w:val="18"/>
                <w:szCs w:val="18"/>
              </w:rPr>
              <w:t>enior s</w:t>
            </w:r>
            <w:r>
              <w:rPr>
                <w:rFonts w:ascii="Arial" w:hAnsi="Arial" w:cs="Arial"/>
                <w:sz w:val="18"/>
                <w:szCs w:val="18"/>
              </w:rPr>
              <w:t xml:space="preserve">urvey </w:t>
            </w:r>
            <w:r w:rsidR="00C671DC">
              <w:rPr>
                <w:rFonts w:ascii="Arial" w:hAnsi="Arial" w:cs="Arial"/>
                <w:sz w:val="18"/>
                <w:szCs w:val="18"/>
              </w:rPr>
              <w:t>r</w:t>
            </w:r>
            <w:r>
              <w:rPr>
                <w:rFonts w:ascii="Arial" w:hAnsi="Arial" w:cs="Arial"/>
                <w:sz w:val="18"/>
                <w:szCs w:val="18"/>
              </w:rPr>
              <w:t xml:space="preserve">esearcher </w:t>
            </w:r>
            <w:r w:rsidR="00A84001">
              <w:rPr>
                <w:rFonts w:ascii="Arial" w:hAnsi="Arial" w:cs="Arial"/>
                <w:sz w:val="18"/>
                <w:szCs w:val="18"/>
              </w:rPr>
              <w:br/>
            </w:r>
            <w:r>
              <w:rPr>
                <w:rFonts w:ascii="Arial" w:hAnsi="Arial" w:cs="Arial"/>
                <w:sz w:val="18"/>
                <w:szCs w:val="18"/>
              </w:rPr>
              <w:t>(609) 750-2018</w:t>
            </w:r>
          </w:p>
        </w:tc>
      </w:tr>
      <w:tr w14:paraId="10307207" w14:textId="01F2BDB9" w:rsidTr="00A84001">
        <w:tblPrEx>
          <w:tblW w:w="4473" w:type="pct"/>
          <w:tblCellMar>
            <w:left w:w="0" w:type="dxa"/>
            <w:right w:w="0" w:type="dxa"/>
          </w:tblCellMar>
          <w:tblLook w:val="04A0"/>
        </w:tblPrEx>
        <w:trPr>
          <w:cantSplit/>
          <w:trHeight w:val="785"/>
        </w:trPr>
        <w:tc>
          <w:tcPr>
            <w:tcW w:w="2604" w:type="pct"/>
            <w:tcBorders>
              <w:top w:val="single" w:sz="4" w:space="0" w:color="auto"/>
              <w:left w:val="nil"/>
              <w:right w:val="nil"/>
            </w:tcBorders>
            <w:shd w:val="clear" w:color="auto" w:fill="auto"/>
            <w:tcMar>
              <w:top w:w="0" w:type="dxa"/>
              <w:left w:w="108" w:type="dxa"/>
              <w:bottom w:w="0" w:type="dxa"/>
              <w:right w:w="108" w:type="dxa"/>
            </w:tcMar>
            <w:hideMark/>
          </w:tcPr>
          <w:p w:rsidR="00532FFC" w:rsidRPr="008713C0" w:rsidP="00472BDB" w14:paraId="1CF9F7DA" w14:textId="3AA925DC">
            <w:pPr>
              <w:keepNext/>
              <w:keepLines/>
              <w:spacing w:before="40" w:after="20"/>
              <w:rPr>
                <w:rFonts w:ascii="Arial" w:hAnsi="Arial" w:cs="Arial"/>
                <w:sz w:val="18"/>
                <w:szCs w:val="18"/>
              </w:rPr>
            </w:pPr>
            <w:bookmarkStart w:id="13" w:name="_Hlk79653733"/>
            <w:r w:rsidRPr="008713C0">
              <w:rPr>
                <w:rFonts w:ascii="Arial" w:hAnsi="Arial" w:cs="Arial"/>
                <w:sz w:val="18"/>
                <w:szCs w:val="18"/>
              </w:rPr>
              <w:t>Social Policy Research Associates</w:t>
            </w:r>
            <w:bookmarkEnd w:id="13"/>
            <w:r w:rsidRPr="008713C0">
              <w:rPr>
                <w:rFonts w:ascii="Arial" w:hAnsi="Arial" w:cs="Arial"/>
                <w:sz w:val="18"/>
                <w:szCs w:val="18"/>
              </w:rPr>
              <w:br/>
              <w:t>1330 Broadway, Suite 1426</w:t>
            </w:r>
            <w:r w:rsidRPr="008713C0">
              <w:rPr>
                <w:rFonts w:ascii="Arial" w:hAnsi="Arial" w:cs="Arial"/>
                <w:sz w:val="18"/>
                <w:szCs w:val="18"/>
              </w:rPr>
              <w:br/>
              <w:t>Oakland, CA 94612 </w:t>
            </w:r>
            <w:r w:rsidRPr="008713C0">
              <w:rPr>
                <w:rFonts w:ascii="Arial" w:hAnsi="Arial" w:cs="Arial"/>
                <w:sz w:val="18"/>
                <w:szCs w:val="18"/>
              </w:rPr>
              <w:br/>
              <w:t>(510) 763-1499</w:t>
            </w:r>
          </w:p>
        </w:tc>
        <w:tc>
          <w:tcPr>
            <w:tcW w:w="2396" w:type="pct"/>
            <w:tcBorders>
              <w:top w:val="single" w:sz="4" w:space="0" w:color="auto"/>
              <w:left w:val="nil"/>
              <w:right w:val="nil"/>
            </w:tcBorders>
            <w:shd w:val="clear" w:color="auto" w:fill="auto"/>
            <w:tcMar>
              <w:top w:w="0" w:type="dxa"/>
              <w:left w:w="108" w:type="dxa"/>
              <w:bottom w:w="0" w:type="dxa"/>
              <w:right w:w="108" w:type="dxa"/>
            </w:tcMar>
            <w:hideMark/>
          </w:tcPr>
          <w:p w:rsidR="00532FFC" w:rsidRPr="008713C0" w:rsidP="00472BDB" w14:paraId="4DF6CD57" w14:textId="2CCDD6B9">
            <w:pPr>
              <w:keepNext/>
              <w:keepLines/>
              <w:spacing w:before="40" w:after="20"/>
              <w:rPr>
                <w:rFonts w:ascii="Arial" w:hAnsi="Arial" w:cs="Arial"/>
                <w:sz w:val="18"/>
                <w:szCs w:val="18"/>
              </w:rPr>
            </w:pPr>
            <w:r w:rsidRPr="008713C0">
              <w:rPr>
                <w:rFonts w:ascii="Arial" w:hAnsi="Arial" w:cs="Arial"/>
                <w:sz w:val="18"/>
                <w:szCs w:val="18"/>
              </w:rPr>
              <w:t>Dr. Andrew Wiegand</w:t>
            </w:r>
            <w:r w:rsidRPr="008713C0">
              <w:rPr>
                <w:rFonts w:ascii="Arial" w:hAnsi="Arial" w:cs="Arial"/>
                <w:sz w:val="18"/>
                <w:szCs w:val="18"/>
              </w:rPr>
              <w:br/>
              <w:t xml:space="preserve">President, CEO, and </w:t>
            </w:r>
            <w:r w:rsidR="008A6AA4">
              <w:rPr>
                <w:rFonts w:ascii="Arial" w:hAnsi="Arial" w:cs="Arial"/>
                <w:sz w:val="18"/>
                <w:szCs w:val="18"/>
              </w:rPr>
              <w:t>senior advisor</w:t>
            </w:r>
            <w:r w:rsidRPr="008713C0" w:rsidR="008A6AA4">
              <w:rPr>
                <w:rFonts w:ascii="Arial" w:hAnsi="Arial" w:cs="Arial"/>
                <w:sz w:val="18"/>
                <w:szCs w:val="18"/>
              </w:rPr>
              <w:t xml:space="preserve"> </w:t>
            </w:r>
            <w:r w:rsidRPr="008713C0">
              <w:rPr>
                <w:rFonts w:ascii="Arial" w:hAnsi="Arial" w:cs="Arial"/>
                <w:sz w:val="18"/>
                <w:szCs w:val="18"/>
              </w:rPr>
              <w:br/>
              <w:t>(510) 763-1499</w:t>
            </w:r>
            <w:r>
              <w:rPr>
                <w:rFonts w:ascii="Arial" w:hAnsi="Arial" w:cs="Arial"/>
                <w:sz w:val="18"/>
                <w:szCs w:val="18"/>
              </w:rPr>
              <w:t>,</w:t>
            </w:r>
            <w:r w:rsidRPr="008713C0">
              <w:rPr>
                <w:rFonts w:ascii="Arial" w:hAnsi="Arial" w:cs="Arial"/>
                <w:sz w:val="18"/>
                <w:szCs w:val="18"/>
              </w:rPr>
              <w:t xml:space="preserve"> </w:t>
            </w:r>
            <w:r>
              <w:rPr>
                <w:rFonts w:ascii="Arial" w:hAnsi="Arial" w:cs="Arial"/>
                <w:sz w:val="18"/>
                <w:szCs w:val="18"/>
              </w:rPr>
              <w:t xml:space="preserve">ext. </w:t>
            </w:r>
            <w:r w:rsidRPr="008713C0">
              <w:rPr>
                <w:rFonts w:ascii="Arial" w:hAnsi="Arial" w:cs="Arial"/>
                <w:sz w:val="18"/>
                <w:szCs w:val="18"/>
              </w:rPr>
              <w:t>636</w:t>
            </w:r>
          </w:p>
        </w:tc>
      </w:tr>
      <w:tr w14:paraId="391DCC25" w14:textId="11296264" w:rsidTr="000E3BAF">
        <w:tblPrEx>
          <w:tblW w:w="4473" w:type="pct"/>
          <w:tblCellMar>
            <w:left w:w="0" w:type="dxa"/>
            <w:right w:w="0" w:type="dxa"/>
          </w:tblCellMar>
          <w:tblLook w:val="04A0"/>
        </w:tblPrEx>
        <w:trPr>
          <w:cantSplit/>
          <w:trHeight w:val="665"/>
        </w:trPr>
        <w:tc>
          <w:tcPr>
            <w:tcW w:w="2604" w:type="pct"/>
            <w:tcBorders>
              <w:left w:val="nil"/>
              <w:bottom w:val="single" w:sz="4" w:space="0" w:color="auto"/>
              <w:right w:val="nil"/>
            </w:tcBorders>
            <w:shd w:val="clear" w:color="auto" w:fill="auto"/>
            <w:tcMar>
              <w:top w:w="0" w:type="dxa"/>
              <w:left w:w="108" w:type="dxa"/>
              <w:bottom w:w="0" w:type="dxa"/>
              <w:right w:w="108" w:type="dxa"/>
            </w:tcMar>
          </w:tcPr>
          <w:p w:rsidR="00532FFC" w:rsidRPr="008713C0" w:rsidP="00472BDB" w14:paraId="188C9E9B" w14:textId="49DB7A61">
            <w:pPr>
              <w:keepNext/>
              <w:keepLines/>
              <w:spacing w:before="40" w:after="20"/>
              <w:rPr>
                <w:rFonts w:ascii="Arial" w:hAnsi="Arial" w:cs="Arial"/>
                <w:sz w:val="18"/>
                <w:szCs w:val="18"/>
              </w:rPr>
            </w:pPr>
          </w:p>
        </w:tc>
        <w:tc>
          <w:tcPr>
            <w:tcW w:w="2396" w:type="pct"/>
            <w:tcBorders>
              <w:left w:val="nil"/>
              <w:bottom w:val="single" w:sz="4" w:space="0" w:color="auto"/>
              <w:right w:val="nil"/>
            </w:tcBorders>
            <w:shd w:val="clear" w:color="auto" w:fill="auto"/>
            <w:tcMar>
              <w:top w:w="0" w:type="dxa"/>
              <w:left w:w="108" w:type="dxa"/>
              <w:bottom w:w="0" w:type="dxa"/>
              <w:right w:w="108" w:type="dxa"/>
            </w:tcMar>
          </w:tcPr>
          <w:p w:rsidR="00532FFC" w:rsidRPr="008713C0" w:rsidP="00A84001" w14:paraId="4582770B" w14:textId="21994CF0">
            <w:pPr>
              <w:keepNext/>
              <w:keepLines/>
              <w:spacing w:before="40" w:after="120"/>
              <w:rPr>
                <w:rFonts w:ascii="Arial" w:hAnsi="Arial" w:cs="Arial"/>
                <w:sz w:val="18"/>
                <w:szCs w:val="18"/>
              </w:rPr>
            </w:pPr>
            <w:r w:rsidRPr="008713C0">
              <w:rPr>
                <w:rFonts w:ascii="Arial" w:hAnsi="Arial" w:cs="Arial"/>
                <w:sz w:val="18"/>
                <w:szCs w:val="18"/>
              </w:rPr>
              <w:t>Mr. Christian Geckeler</w:t>
            </w:r>
            <w:r w:rsidRPr="008713C0">
              <w:rPr>
                <w:rFonts w:ascii="Arial" w:hAnsi="Arial" w:cs="Arial"/>
                <w:sz w:val="18"/>
                <w:szCs w:val="18"/>
              </w:rPr>
              <w:br/>
              <w:t xml:space="preserve">Senior </w:t>
            </w:r>
            <w:r>
              <w:rPr>
                <w:rFonts w:ascii="Arial" w:hAnsi="Arial" w:cs="Arial"/>
                <w:sz w:val="18"/>
                <w:szCs w:val="18"/>
              </w:rPr>
              <w:t>a</w:t>
            </w:r>
            <w:r w:rsidRPr="008713C0">
              <w:rPr>
                <w:rFonts w:ascii="Arial" w:hAnsi="Arial" w:cs="Arial"/>
                <w:sz w:val="18"/>
                <w:szCs w:val="18"/>
              </w:rPr>
              <w:t>ssociate</w:t>
            </w:r>
            <w:r w:rsidRPr="008713C0">
              <w:rPr>
                <w:rFonts w:ascii="Arial" w:hAnsi="Arial" w:cs="Arial"/>
                <w:sz w:val="18"/>
                <w:szCs w:val="18"/>
              </w:rPr>
              <w:br/>
              <w:t>(510) 788-2461</w:t>
            </w:r>
          </w:p>
        </w:tc>
      </w:tr>
    </w:tbl>
    <w:bookmarkEnd w:id="12"/>
    <w:p w:rsidR="00690F56" w:rsidP="00722AFB" w14:paraId="608739E9" w14:textId="5CA4FCC1">
      <w:pPr>
        <w:pStyle w:val="StyleNumberedquestionLeft0Hanging031"/>
        <w:rPr>
          <w:b w:val="0"/>
          <w:bCs w:val="0"/>
        </w:rPr>
      </w:pPr>
      <w:r w:rsidRPr="00A16D75">
        <w:t>9.</w:t>
      </w:r>
      <w:r w:rsidR="00472BDB">
        <w:rPr>
          <w:b w:val="0"/>
          <w:bCs w:val="0"/>
        </w:rPr>
        <w:t xml:space="preserve"> </w:t>
      </w:r>
      <w:r w:rsidR="00722AFB">
        <w:rPr>
          <w:b w:val="0"/>
          <w:bCs w:val="0"/>
        </w:rPr>
        <w:tab/>
      </w:r>
      <w:r w:rsidRPr="00A16D75">
        <w:t>Explain any decision to provide any payments or gift</w:t>
      </w:r>
      <w:r w:rsidRPr="00A16D75" w:rsidR="009441E2">
        <w:t>s</w:t>
      </w:r>
      <w:r w:rsidRPr="00A16D75">
        <w:t xml:space="preserve"> to respondents, other than </w:t>
      </w:r>
      <w:r w:rsidRPr="00A16D75" w:rsidR="006E1A08">
        <w:t>remuneration</w:t>
      </w:r>
      <w:r w:rsidRPr="00A16D75">
        <w:t xml:space="preserve"> of contractors or grantees.</w:t>
      </w:r>
    </w:p>
    <w:p w:rsidR="00690F56" w:rsidRPr="00C13C48" w:rsidP="4FAD0E80" w14:paraId="3EC59954" w14:textId="15F3463E">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4FAD0E80">
        <w:rPr>
          <w:rFonts w:ascii="Times New Roman" w:hAnsi="Times New Roman"/>
        </w:rPr>
        <w:t>Program or partner staff will not receive any</w:t>
      </w:r>
      <w:r w:rsidRPr="4FAD0E80" w:rsidR="00C13C48">
        <w:rPr>
          <w:rFonts w:ascii="Times New Roman" w:hAnsi="Times New Roman"/>
        </w:rPr>
        <w:t xml:space="preserve"> payments </w:t>
      </w:r>
      <w:r w:rsidRPr="4FAD0E80" w:rsidR="00B327A3">
        <w:rPr>
          <w:rFonts w:ascii="Times New Roman" w:hAnsi="Times New Roman"/>
        </w:rPr>
        <w:t xml:space="preserve">or gifts </w:t>
      </w:r>
      <w:r w:rsidRPr="4FAD0E80">
        <w:rPr>
          <w:rFonts w:ascii="Times New Roman" w:hAnsi="Times New Roman"/>
        </w:rPr>
        <w:t>because</w:t>
      </w:r>
      <w:r w:rsidRPr="4FAD0E80" w:rsidR="00B327A3">
        <w:rPr>
          <w:rFonts w:ascii="Times New Roman" w:hAnsi="Times New Roman"/>
        </w:rPr>
        <w:t xml:space="preserve"> activities </w:t>
      </w:r>
      <w:r w:rsidRPr="4FAD0E80">
        <w:rPr>
          <w:rFonts w:ascii="Times New Roman" w:hAnsi="Times New Roman"/>
        </w:rPr>
        <w:t>will</w:t>
      </w:r>
      <w:r w:rsidRPr="4FAD0E80" w:rsidR="00B327A3">
        <w:rPr>
          <w:rFonts w:ascii="Times New Roman" w:hAnsi="Times New Roman"/>
        </w:rPr>
        <w:t xml:space="preserve"> be carried out in the course of their employment, </w:t>
      </w:r>
      <w:r w:rsidRPr="4FAD0E80">
        <w:rPr>
          <w:rFonts w:ascii="Times New Roman" w:hAnsi="Times New Roman"/>
        </w:rPr>
        <w:t xml:space="preserve">with </w:t>
      </w:r>
      <w:r w:rsidRPr="4FAD0E80" w:rsidR="00B327A3">
        <w:rPr>
          <w:rFonts w:ascii="Times New Roman" w:hAnsi="Times New Roman"/>
        </w:rPr>
        <w:t xml:space="preserve">no additional compensation outside of their normal pay. </w:t>
      </w:r>
      <w:r w:rsidRPr="4FAD0E80" w:rsidR="001370CB">
        <w:rPr>
          <w:rFonts w:ascii="Times New Roman" w:hAnsi="Times New Roman"/>
        </w:rPr>
        <w:t>To achieve a response rate</w:t>
      </w:r>
      <w:r w:rsidRPr="4FAD0E80" w:rsidR="007D0528">
        <w:rPr>
          <w:rFonts w:ascii="Times New Roman" w:hAnsi="Times New Roman"/>
        </w:rPr>
        <w:t xml:space="preserve"> that will enable us </w:t>
      </w:r>
      <w:r w:rsidRPr="4FAD0E80" w:rsidR="001370CB">
        <w:rPr>
          <w:rFonts w:ascii="Times New Roman" w:hAnsi="Times New Roman"/>
        </w:rPr>
        <w:t>to obtain reliable impact estimates, r</w:t>
      </w:r>
      <w:r w:rsidRPr="4FAD0E80" w:rsidR="00B327A3">
        <w:rPr>
          <w:rFonts w:ascii="Times New Roman" w:hAnsi="Times New Roman"/>
        </w:rPr>
        <w:t xml:space="preserve">espondents who complete the </w:t>
      </w:r>
      <w:r w:rsidRPr="4FAD0E80" w:rsidR="00DC193A">
        <w:rPr>
          <w:rFonts w:ascii="Times New Roman" w:hAnsi="Times New Roman"/>
        </w:rPr>
        <w:t xml:space="preserve">study participant </w:t>
      </w:r>
      <w:r w:rsidRPr="4FAD0E80" w:rsidR="008F0BAC">
        <w:rPr>
          <w:rFonts w:ascii="Times New Roman" w:hAnsi="Times New Roman"/>
        </w:rPr>
        <w:t>follow-up survey</w:t>
      </w:r>
      <w:r w:rsidRPr="4FAD0E80" w:rsidR="009C4CBD">
        <w:rPr>
          <w:rFonts w:ascii="Times New Roman" w:hAnsi="Times New Roman"/>
        </w:rPr>
        <w:t xml:space="preserve"> </w:t>
      </w:r>
      <w:r w:rsidRPr="4FAD0E80" w:rsidR="00C13C48">
        <w:rPr>
          <w:rFonts w:ascii="Times New Roman" w:hAnsi="Times New Roman"/>
        </w:rPr>
        <w:t>will receive a $</w:t>
      </w:r>
      <w:r w:rsidRPr="4FAD0E80" w:rsidR="008F0BAC">
        <w:rPr>
          <w:rFonts w:ascii="Times New Roman" w:hAnsi="Times New Roman"/>
        </w:rPr>
        <w:t>25</w:t>
      </w:r>
      <w:r w:rsidRPr="4FAD0E80" w:rsidR="00C13C48">
        <w:rPr>
          <w:rFonts w:ascii="Times New Roman" w:hAnsi="Times New Roman"/>
        </w:rPr>
        <w:t xml:space="preserve"> gift card</w:t>
      </w:r>
      <w:r w:rsidRPr="4FAD0E80" w:rsidR="002F38D0">
        <w:rPr>
          <w:rFonts w:ascii="Times New Roman" w:hAnsi="Times New Roman"/>
        </w:rPr>
        <w:t xml:space="preserve"> </w:t>
      </w:r>
      <w:r w:rsidRPr="4FAD0E80" w:rsidR="005830E6">
        <w:rPr>
          <w:rFonts w:ascii="Times New Roman" w:hAnsi="Times New Roman"/>
        </w:rPr>
        <w:t>as</w:t>
      </w:r>
      <w:r w:rsidRPr="4FAD0E80" w:rsidR="00B200CB">
        <w:rPr>
          <w:rFonts w:ascii="Times New Roman" w:hAnsi="Times New Roman"/>
        </w:rPr>
        <w:t xml:space="preserve"> </w:t>
      </w:r>
      <w:r w:rsidRPr="4FAD0E80" w:rsidR="00C70306">
        <w:rPr>
          <w:rFonts w:ascii="Times New Roman" w:hAnsi="Times New Roman"/>
        </w:rPr>
        <w:t xml:space="preserve">a </w:t>
      </w:r>
      <w:r w:rsidR="00B33613">
        <w:rPr>
          <w:rFonts w:ascii="Times New Roman" w:hAnsi="Times New Roman"/>
        </w:rPr>
        <w:t>'</w:t>
      </w:r>
      <w:r w:rsidRPr="4FAD0E80" w:rsidR="00C70306">
        <w:rPr>
          <w:rFonts w:ascii="Times New Roman" w:hAnsi="Times New Roman"/>
        </w:rPr>
        <w:t>thank you</w:t>
      </w:r>
      <w:r w:rsidR="00B33613">
        <w:rPr>
          <w:rFonts w:ascii="Times New Roman" w:hAnsi="Times New Roman"/>
        </w:rPr>
        <w:t>'</w:t>
      </w:r>
      <w:r w:rsidRPr="4FAD0E80" w:rsidR="00C70306">
        <w:rPr>
          <w:rFonts w:ascii="Times New Roman" w:hAnsi="Times New Roman"/>
        </w:rPr>
        <w:t xml:space="preserve"> </w:t>
      </w:r>
      <w:r w:rsidRPr="4FAD0E80" w:rsidR="00B200CB">
        <w:rPr>
          <w:rFonts w:ascii="Times New Roman" w:hAnsi="Times New Roman"/>
        </w:rPr>
        <w:t>for their time</w:t>
      </w:r>
      <w:r w:rsidRPr="4FAD0E80" w:rsidR="00C13C48">
        <w:rPr>
          <w:rFonts w:ascii="Times New Roman" w:hAnsi="Times New Roman"/>
        </w:rPr>
        <w:t>.</w:t>
      </w:r>
      <w:r w:rsidR="0014170B">
        <w:rPr>
          <w:rFonts w:ascii="Times New Roman" w:hAnsi="Times New Roman"/>
        </w:rPr>
        <w:t xml:space="preserve"> </w:t>
      </w:r>
      <w:r w:rsidR="0042787F">
        <w:rPr>
          <w:rFonts w:ascii="Times New Roman" w:hAnsi="Times New Roman"/>
        </w:rPr>
        <w:t>In addition to physical gift cards</w:t>
      </w:r>
      <w:r w:rsidR="00E82AF2">
        <w:rPr>
          <w:rFonts w:ascii="Times New Roman" w:hAnsi="Times New Roman"/>
        </w:rPr>
        <w:t xml:space="preserve">, respondents </w:t>
      </w:r>
      <w:r w:rsidR="00925B54">
        <w:rPr>
          <w:rFonts w:ascii="Times New Roman" w:hAnsi="Times New Roman"/>
        </w:rPr>
        <w:t xml:space="preserve">will have the option of </w:t>
      </w:r>
      <w:r w:rsidR="00925B54">
        <w:rPr>
          <w:rFonts w:ascii="Times New Roman" w:hAnsi="Times New Roman"/>
        </w:rPr>
        <w:t xml:space="preserve">selecting an electronic gift card through the digital incentive platform BHN Rewards. </w:t>
      </w:r>
      <w:r w:rsidR="007E513A">
        <w:rPr>
          <w:rFonts w:ascii="Times New Roman" w:hAnsi="Times New Roman"/>
        </w:rPr>
        <w:t xml:space="preserve">Both physical and </w:t>
      </w:r>
      <w:r w:rsidR="001048E0">
        <w:rPr>
          <w:rFonts w:ascii="Times New Roman" w:hAnsi="Times New Roman"/>
        </w:rPr>
        <w:t xml:space="preserve">electronic gift cards will be provided by the study team from evaluation resources. </w:t>
      </w:r>
      <w:r w:rsidRPr="0014170B" w:rsidR="0014170B">
        <w:rPr>
          <w:rFonts w:ascii="Times New Roman" w:hAnsi="Times New Roman"/>
        </w:rPr>
        <w:t>Decades of research indicate monetary incentives increase response rates without compromising data quality (Grauenhorst et al., 2016; Mercer et al. 2015; Sundstrom et al., 201</w:t>
      </w:r>
      <w:r w:rsidR="006930BA">
        <w:rPr>
          <w:rFonts w:ascii="Times New Roman" w:hAnsi="Times New Roman"/>
        </w:rPr>
        <w:t>6</w:t>
      </w:r>
      <w:r w:rsidRPr="0014170B" w:rsidR="0014170B">
        <w:rPr>
          <w:rFonts w:ascii="Times New Roman" w:hAnsi="Times New Roman"/>
        </w:rPr>
        <w:t xml:space="preserve">; Singer and Ye 2013; </w:t>
      </w:r>
      <w:r w:rsidRPr="0014170B" w:rsidR="0014170B">
        <w:rPr>
          <w:rFonts w:ascii="Times New Roman" w:hAnsi="Times New Roman"/>
        </w:rPr>
        <w:t>Laguilles</w:t>
      </w:r>
      <w:r w:rsidRPr="0014170B" w:rsidR="0014170B">
        <w:rPr>
          <w:rFonts w:ascii="Times New Roman" w:hAnsi="Times New Roman"/>
        </w:rPr>
        <w:t xml:space="preserve"> et al., 2011; de Leeuw and de Heer 2002; Singer and Kulka 2000)</w:t>
      </w:r>
      <w:r w:rsidR="00BC6692">
        <w:rPr>
          <w:rFonts w:ascii="Times New Roman" w:hAnsi="Times New Roman"/>
        </w:rPr>
        <w:t>.</w:t>
      </w:r>
    </w:p>
    <w:p w:rsidR="00690F56" w:rsidP="00722AFB" w14:paraId="0BFB46C5" w14:textId="40816FB3">
      <w:pPr>
        <w:pStyle w:val="StyleNumberedquestionLeft0Hanging031"/>
        <w:rPr>
          <w:b w:val="0"/>
          <w:bCs w:val="0"/>
        </w:rPr>
      </w:pPr>
      <w:r w:rsidRPr="00A16D75">
        <w:t>10.</w:t>
      </w:r>
      <w:r w:rsidR="00472BDB">
        <w:rPr>
          <w:b w:val="0"/>
          <w:bCs w:val="0"/>
        </w:rPr>
        <w:t xml:space="preserve"> </w:t>
      </w:r>
      <w:r w:rsidR="00722AFB">
        <w:rPr>
          <w:b w:val="0"/>
          <w:bCs w:val="0"/>
        </w:rPr>
        <w:tab/>
      </w:r>
      <w:r w:rsidRPr="00A16D75">
        <w:t>Describe any assurance of confidentiality provided to respondents and the basis for the assurance in statute, regulation, or agency policy.</w:t>
      </w:r>
    </w:p>
    <w:p w:rsidR="00A11086" w:rsidP="00690F56" w14:paraId="7C398CAD" w14:textId="33C738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Pr>
          <w:rFonts w:ascii="Times New Roman" w:hAnsi="Times New Roman"/>
          <w:bCs/>
        </w:rPr>
        <w:t>I</w:t>
      </w:r>
      <w:r w:rsidRPr="00572D1A" w:rsidR="00572D1A">
        <w:rPr>
          <w:rFonts w:ascii="Times New Roman" w:hAnsi="Times New Roman"/>
          <w:bCs/>
        </w:rPr>
        <w:t xml:space="preserve">nformation collected will be kept private to the extent permitted by law. The </w:t>
      </w:r>
      <w:r>
        <w:rPr>
          <w:rFonts w:ascii="Times New Roman" w:hAnsi="Times New Roman"/>
          <w:bCs/>
        </w:rPr>
        <w:t xml:space="preserve">evaluation </w:t>
      </w:r>
      <w:r w:rsidRPr="00572D1A" w:rsidR="00572D1A">
        <w:rPr>
          <w:rFonts w:ascii="Times New Roman" w:hAnsi="Times New Roman"/>
          <w:bCs/>
        </w:rPr>
        <w:t xml:space="preserve">team complies with DOL data security requirements by implementing security controls for processes that it routinely uses in projects that involve sensitive data. Further, the </w:t>
      </w:r>
      <w:r>
        <w:rPr>
          <w:rFonts w:ascii="Times New Roman" w:hAnsi="Times New Roman"/>
          <w:bCs/>
        </w:rPr>
        <w:t>evaluation</w:t>
      </w:r>
      <w:r w:rsidRPr="00572D1A" w:rsidR="00572D1A">
        <w:rPr>
          <w:rFonts w:ascii="Times New Roman" w:hAnsi="Times New Roman"/>
          <w:bCs/>
        </w:rPr>
        <w:t xml:space="preserve"> is being conducted in accordance with all relevant regulations and requirements. </w:t>
      </w:r>
    </w:p>
    <w:p w:rsidR="00690F56" w:rsidP="00722AFB" w14:paraId="3F71900A" w14:textId="40A6FBF8">
      <w:pPr>
        <w:pStyle w:val="StyleNumberedquestionLeft0Hanging031"/>
        <w:rPr>
          <w:b w:val="0"/>
          <w:bCs w:val="0"/>
        </w:rPr>
      </w:pPr>
      <w:r w:rsidRPr="00A16D75">
        <w:t xml:space="preserve">11. </w:t>
      </w:r>
      <w:r w:rsidR="00722AFB">
        <w:tab/>
      </w:r>
      <w:r w:rsidRPr="00A16D75">
        <w:t xml:space="preserve">Provide additional justification for any questions of a sensitive nature, such as sexual behavior and attitudes, religious beliefs, and other matters that are commonly considered private. This justification should include the reasons why the </w:t>
      </w:r>
      <w:r w:rsidRPr="00A16D75" w:rsidR="00C667F3">
        <w:t>a</w:t>
      </w:r>
      <w:r w:rsidRPr="00A16D75">
        <w:t>gency considers the questions necessary, the specific uses to be made of the information, the explanation to be given to persons from whom the information is requested, and any steps to be taken to obtain their consent.</w:t>
      </w:r>
    </w:p>
    <w:p w:rsidR="00B200CB" w:rsidRPr="00472BDB" w:rsidP="00C457A7" w14:paraId="2A040D41" w14:textId="0F2FC4C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Times New Roman" w:hAnsi="Times New Roman"/>
          <w:bCs/>
        </w:rPr>
      </w:pPr>
      <w:r w:rsidRPr="00472BDB">
        <w:rPr>
          <w:rFonts w:ascii="Times New Roman" w:hAnsi="Times New Roman"/>
          <w:bCs/>
        </w:rPr>
        <w:t>E</w:t>
      </w:r>
      <w:r w:rsidRPr="00472BDB" w:rsidR="00E14AFE">
        <w:rPr>
          <w:rFonts w:ascii="Times New Roman" w:hAnsi="Times New Roman"/>
          <w:bCs/>
        </w:rPr>
        <w:t>valuat</w:t>
      </w:r>
      <w:r w:rsidRPr="00472BDB">
        <w:rPr>
          <w:rFonts w:ascii="Times New Roman" w:hAnsi="Times New Roman"/>
          <w:bCs/>
        </w:rPr>
        <w:t xml:space="preserve">ing </w:t>
      </w:r>
      <w:r w:rsidRPr="00472BDB" w:rsidR="00E14AFE">
        <w:rPr>
          <w:rFonts w:ascii="Times New Roman" w:hAnsi="Times New Roman"/>
          <w:bCs/>
        </w:rPr>
        <w:t>the Pathway Home grant</w:t>
      </w:r>
      <w:r w:rsidRPr="00472BDB" w:rsidR="00366E52">
        <w:rPr>
          <w:rFonts w:ascii="Times New Roman" w:hAnsi="Times New Roman"/>
          <w:bCs/>
        </w:rPr>
        <w:t xml:space="preserve"> program</w:t>
      </w:r>
      <w:r w:rsidRPr="00472BDB" w:rsidR="00E14AFE">
        <w:rPr>
          <w:rFonts w:ascii="Times New Roman" w:hAnsi="Times New Roman"/>
          <w:bCs/>
        </w:rPr>
        <w:t xml:space="preserve"> using impact study methodology requires </w:t>
      </w:r>
      <w:r w:rsidRPr="00472BDB">
        <w:rPr>
          <w:rFonts w:ascii="Times New Roman" w:hAnsi="Times New Roman"/>
          <w:bCs/>
        </w:rPr>
        <w:t xml:space="preserve">asking </w:t>
      </w:r>
      <w:r w:rsidRPr="00472BDB" w:rsidR="00E14AFE">
        <w:rPr>
          <w:rFonts w:ascii="Times New Roman" w:hAnsi="Times New Roman"/>
          <w:bCs/>
        </w:rPr>
        <w:t xml:space="preserve">sensitive questions </w:t>
      </w:r>
      <w:r w:rsidRPr="00472BDB">
        <w:rPr>
          <w:rFonts w:ascii="Times New Roman" w:hAnsi="Times New Roman"/>
          <w:bCs/>
        </w:rPr>
        <w:t>about</w:t>
      </w:r>
      <w:r w:rsidRPr="00472BDB" w:rsidR="00E14AFE">
        <w:rPr>
          <w:rFonts w:ascii="Times New Roman" w:hAnsi="Times New Roman"/>
          <w:bCs/>
        </w:rPr>
        <w:t xml:space="preserve"> </w:t>
      </w:r>
      <w:r w:rsidRPr="00472BDB">
        <w:rPr>
          <w:rFonts w:ascii="Times New Roman" w:hAnsi="Times New Roman"/>
          <w:bCs/>
        </w:rPr>
        <w:t>S</w:t>
      </w:r>
      <w:r w:rsidRPr="00472BDB" w:rsidR="00E14AFE">
        <w:rPr>
          <w:rFonts w:ascii="Times New Roman" w:hAnsi="Times New Roman"/>
          <w:bCs/>
        </w:rPr>
        <w:t xml:space="preserve">ocial </w:t>
      </w:r>
      <w:r w:rsidRPr="00472BDB">
        <w:rPr>
          <w:rFonts w:ascii="Times New Roman" w:hAnsi="Times New Roman"/>
          <w:bCs/>
        </w:rPr>
        <w:t>S</w:t>
      </w:r>
      <w:r w:rsidRPr="00472BDB" w:rsidR="00E14AFE">
        <w:rPr>
          <w:rFonts w:ascii="Times New Roman" w:hAnsi="Times New Roman"/>
          <w:bCs/>
        </w:rPr>
        <w:t>ecurity numbers,</w:t>
      </w:r>
      <w:r>
        <w:rPr>
          <w:rStyle w:val="FootnoteReference"/>
          <w:rFonts w:ascii="Times New Roman" w:hAnsi="Times New Roman"/>
          <w:bCs/>
        </w:rPr>
        <w:footnoteReference w:id="7"/>
      </w:r>
      <w:r w:rsidRPr="00472BDB" w:rsidR="00E14AFE">
        <w:rPr>
          <w:rFonts w:ascii="Times New Roman" w:hAnsi="Times New Roman"/>
          <w:bCs/>
        </w:rPr>
        <w:t xml:space="preserve"> wage rates and earnings, economic hardships, and involvement in the criminal justice system. </w:t>
      </w:r>
      <w:r w:rsidRPr="00472BDB">
        <w:rPr>
          <w:rFonts w:ascii="Times New Roman" w:hAnsi="Times New Roman"/>
          <w:bCs/>
        </w:rPr>
        <w:t>Past evaluations have included similar questions without any evidence of significant harm.</w:t>
      </w:r>
      <w:r>
        <w:rPr>
          <w:rStyle w:val="FootnoteReference"/>
          <w:rFonts w:ascii="Times New Roman" w:hAnsi="Times New Roman"/>
          <w:bCs/>
        </w:rPr>
        <w:footnoteReference w:id="8"/>
      </w:r>
      <w:r w:rsidRPr="00472BDB">
        <w:rPr>
          <w:rFonts w:ascii="Times New Roman" w:hAnsi="Times New Roman"/>
          <w:bCs/>
        </w:rPr>
        <w:t xml:space="preserve"> As described earlier, all sample members will be assured of the privacy of their responses before being asked to complete the </w:t>
      </w:r>
      <w:r w:rsidR="00BE0193">
        <w:rPr>
          <w:rFonts w:ascii="Times New Roman" w:hAnsi="Times New Roman"/>
          <w:bCs/>
        </w:rPr>
        <w:t>follow-up</w:t>
      </w:r>
      <w:r w:rsidRPr="00472BDB" w:rsidR="00BE0193">
        <w:rPr>
          <w:rFonts w:ascii="Times New Roman" w:hAnsi="Times New Roman"/>
          <w:bCs/>
        </w:rPr>
        <w:t xml:space="preserve"> </w:t>
      </w:r>
      <w:r w:rsidRPr="00472BDB">
        <w:rPr>
          <w:rFonts w:ascii="Times New Roman" w:hAnsi="Times New Roman"/>
          <w:bCs/>
        </w:rPr>
        <w:t>survey and will be informed that they can skip any questions they do not wish to answer. All data will be reported in aggregate, summary format only, eliminating the possibility of individual identification and ensuring that individual responses are private.</w:t>
      </w:r>
      <w:r w:rsidRPr="00472BDB" w:rsidR="00472BDB">
        <w:rPr>
          <w:rFonts w:ascii="Times New Roman" w:hAnsi="Times New Roman"/>
          <w:bCs/>
        </w:rPr>
        <w:t xml:space="preserve"> </w:t>
      </w:r>
    </w:p>
    <w:p w:rsidR="00E14AFE" w:rsidRPr="00472BDB" w:rsidP="00472BDB" w14:paraId="5FFF0E2E" w14:textId="3DA8A58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bCs/>
        </w:rPr>
      </w:pPr>
      <w:r w:rsidRPr="00472BDB">
        <w:rPr>
          <w:rFonts w:ascii="Times New Roman" w:hAnsi="Times New Roman"/>
          <w:bCs/>
        </w:rPr>
        <w:t xml:space="preserve">The </w:t>
      </w:r>
      <w:r w:rsidRPr="00472BDB" w:rsidR="006C409C">
        <w:rPr>
          <w:rFonts w:ascii="Times New Roman" w:hAnsi="Times New Roman"/>
          <w:bCs/>
        </w:rPr>
        <w:t xml:space="preserve">evaluation </w:t>
      </w:r>
      <w:r w:rsidRPr="00472BDB">
        <w:rPr>
          <w:rFonts w:ascii="Times New Roman" w:hAnsi="Times New Roman"/>
          <w:bCs/>
        </w:rPr>
        <w:t xml:space="preserve">team will seek </w:t>
      </w:r>
      <w:r w:rsidRPr="00472BDB" w:rsidR="00527E98">
        <w:rPr>
          <w:rFonts w:ascii="Times New Roman" w:hAnsi="Times New Roman"/>
          <w:bCs/>
        </w:rPr>
        <w:t>i</w:t>
      </w:r>
      <w:r w:rsidRPr="00472BDB">
        <w:rPr>
          <w:rFonts w:ascii="Times New Roman" w:hAnsi="Times New Roman"/>
          <w:bCs/>
        </w:rPr>
        <w:t xml:space="preserve">nstitutional </w:t>
      </w:r>
      <w:r w:rsidRPr="00472BDB" w:rsidR="00527E98">
        <w:rPr>
          <w:rFonts w:ascii="Times New Roman" w:hAnsi="Times New Roman"/>
          <w:bCs/>
        </w:rPr>
        <w:t>r</w:t>
      </w:r>
      <w:r w:rsidRPr="00472BDB">
        <w:rPr>
          <w:rFonts w:ascii="Times New Roman" w:hAnsi="Times New Roman"/>
          <w:bCs/>
        </w:rPr>
        <w:t xml:space="preserve">eview </w:t>
      </w:r>
      <w:r w:rsidRPr="00472BDB" w:rsidR="00527E98">
        <w:rPr>
          <w:rFonts w:ascii="Times New Roman" w:hAnsi="Times New Roman"/>
          <w:bCs/>
        </w:rPr>
        <w:t>b</w:t>
      </w:r>
      <w:r w:rsidRPr="00472BDB">
        <w:rPr>
          <w:rFonts w:ascii="Times New Roman" w:hAnsi="Times New Roman"/>
          <w:bCs/>
        </w:rPr>
        <w:t xml:space="preserve">oard approval for final, OMB-approved instruments. </w:t>
      </w:r>
    </w:p>
    <w:p w:rsidR="00690F56" w:rsidRPr="00A16D75" w:rsidP="00722AFB" w14:paraId="39124B7D" w14:textId="611D400B">
      <w:pPr>
        <w:pStyle w:val="StyleNumberedquestionLeft0Hanging031"/>
        <w:rPr>
          <w:b w:val="0"/>
          <w:bCs w:val="0"/>
        </w:rPr>
      </w:pPr>
      <w:r w:rsidRPr="00A16D75">
        <w:t>12.</w:t>
      </w:r>
      <w:r w:rsidR="00472BDB">
        <w:rPr>
          <w:b w:val="0"/>
          <w:bCs w:val="0"/>
        </w:rPr>
        <w:t xml:space="preserve"> </w:t>
      </w:r>
      <w:r w:rsidR="00722AFB">
        <w:rPr>
          <w:b w:val="0"/>
          <w:bCs w:val="0"/>
        </w:rPr>
        <w:tab/>
      </w:r>
      <w:r w:rsidRPr="00A16D75">
        <w:t>Provide estimates of the hour burden of the collection of information.</w:t>
      </w:r>
      <w:r w:rsidR="00472BDB">
        <w:rPr>
          <w:b w:val="0"/>
          <w:bCs w:val="0"/>
        </w:rPr>
        <w:t xml:space="preserve"> </w:t>
      </w:r>
      <w:r w:rsidRPr="00A16D75">
        <w:t>The statement should:</w:t>
      </w:r>
    </w:p>
    <w:p w:rsidR="00690F56" w:rsidRPr="00A16D75" w:rsidP="00A84001" w14:paraId="6B440E9A" w14:textId="49BF2778">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A16D75">
        <w:rPr>
          <w:b/>
          <w:bCs/>
        </w:rPr>
        <w:t>Indicate the number of respondents, frequency of response, annual hour burden, and an explanation o</w:t>
      </w:r>
      <w:r w:rsidRPr="00A16D75" w:rsidR="00D2331B">
        <w:rPr>
          <w:b/>
          <w:bCs/>
        </w:rPr>
        <w:t xml:space="preserve">f </w:t>
      </w:r>
      <w:r w:rsidRPr="00A16D75">
        <w:rPr>
          <w:b/>
          <w:bCs/>
        </w:rPr>
        <w:t>how the burden was estimated.</w:t>
      </w:r>
      <w:r w:rsidR="00472BDB">
        <w:rPr>
          <w:b/>
          <w:bCs/>
        </w:rPr>
        <w:t xml:space="preserve"> </w:t>
      </w:r>
      <w:r w:rsidRPr="00A16D75">
        <w:rPr>
          <w:b/>
          <w:bCs/>
        </w:rPr>
        <w:t>Unless directed to do so, agencies should not conduct special surveys to obtain information on which to base hour burden estimates.</w:t>
      </w:r>
      <w:r w:rsidR="00472BDB">
        <w:rPr>
          <w:b/>
          <w:bCs/>
        </w:rPr>
        <w:t xml:space="preserve"> </w:t>
      </w:r>
      <w:r w:rsidRPr="00A16D75">
        <w:rPr>
          <w:b/>
          <w:bCs/>
        </w:rPr>
        <w:t>Consultation with a sample (fewer than 10) of potential respondents is desirable.</w:t>
      </w:r>
      <w:r w:rsidR="00472BDB">
        <w:rPr>
          <w:b/>
          <w:bCs/>
        </w:rPr>
        <w:t xml:space="preserve"> </w:t>
      </w:r>
      <w:r w:rsidRPr="00A16D75">
        <w:rPr>
          <w:b/>
          <w:bCs/>
        </w:rPr>
        <w:t>If the hour burden on respondents is expected to vary widely because of differences in activity, size, or complexity, show the range of estimated hour burden, and explain the reasons for the variance.</w:t>
      </w:r>
      <w:r w:rsidR="00472BDB">
        <w:rPr>
          <w:b/>
          <w:bCs/>
        </w:rPr>
        <w:t xml:space="preserve"> </w:t>
      </w:r>
      <w:r w:rsidRPr="00A16D75">
        <w:rPr>
          <w:b/>
          <w:bCs/>
        </w:rPr>
        <w:t xml:space="preserve">General, </w:t>
      </w:r>
      <w:r w:rsidRPr="00A16D75">
        <w:rPr>
          <w:b/>
          <w:bCs/>
        </w:rPr>
        <w:t>estimates should not include burden hours</w:t>
      </w:r>
      <w:r w:rsidRPr="00A16D75" w:rsidR="00CD215D">
        <w:rPr>
          <w:b/>
          <w:bCs/>
        </w:rPr>
        <w:t xml:space="preserve"> </w:t>
      </w:r>
      <w:r w:rsidRPr="00A16D75">
        <w:rPr>
          <w:b/>
          <w:bCs/>
        </w:rPr>
        <w:t>for customary and usual business practices.</w:t>
      </w:r>
    </w:p>
    <w:p w:rsidR="007A7F79" w:rsidRPr="00A16D75" w:rsidP="00A84001" w14:paraId="37614E37" w14:textId="77777777">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722AFB">
        <w:rPr>
          <w:b/>
          <w:bCs/>
        </w:rPr>
        <w:t xml:space="preserve">If this </w:t>
      </w:r>
      <w:r w:rsidRPr="00A16D75">
        <w:rPr>
          <w:b/>
          <w:bCs/>
        </w:rPr>
        <w:t>request for approval covers more than one form, provide separate hour burden estimates for each form.</w:t>
      </w:r>
    </w:p>
    <w:p w:rsidR="00CD215D" w:rsidRPr="00A16D75" w:rsidP="00A84001" w14:paraId="163C0E79" w14:textId="350A6800">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A16D75">
        <w:rPr>
          <w:b/>
          <w:bCs/>
        </w:rPr>
        <w:t>Provide estimates of annualized cost to respondents for the hour burdens for collections of information, identifying and using appropriate wage rate categories.</w:t>
      </w:r>
      <w:r w:rsidR="00472BDB">
        <w:rPr>
          <w:b/>
          <w:bCs/>
        </w:rPr>
        <w:t xml:space="preserve"> </w:t>
      </w:r>
      <w:r w:rsidRPr="00A16D75">
        <w:rPr>
          <w:b/>
          <w:bCs/>
        </w:rPr>
        <w:t>The cost of contracting out or paying outside parties for information collection activities should not be included here.</w:t>
      </w:r>
      <w:r w:rsidR="00472BDB">
        <w:rPr>
          <w:b/>
          <w:bCs/>
        </w:rPr>
        <w:t xml:space="preserve"> </w:t>
      </w:r>
      <w:r w:rsidRPr="00A16D75">
        <w:rPr>
          <w:b/>
          <w:bCs/>
        </w:rPr>
        <w:t xml:space="preserve">Instead, </w:t>
      </w:r>
      <w:r w:rsidRPr="00A16D75" w:rsidR="00312124">
        <w:rPr>
          <w:b/>
          <w:bCs/>
        </w:rPr>
        <w:t>this cost</w:t>
      </w:r>
      <w:r w:rsidRPr="00A16D75" w:rsidR="00C667F3">
        <w:rPr>
          <w:b/>
          <w:bCs/>
        </w:rPr>
        <w:t xml:space="preserve"> should be included in Item 14</w:t>
      </w:r>
      <w:r w:rsidRPr="00A16D75">
        <w:rPr>
          <w:b/>
          <w:bCs/>
        </w:rPr>
        <w:t>.</w:t>
      </w:r>
    </w:p>
    <w:p w:rsidR="006A2A1F" w:rsidRPr="006A2A1F" w:rsidP="00C457A7" w14:paraId="6D4B5982" w14:textId="6B9A8781">
      <w:pPr>
        <w:spacing w:after="120"/>
        <w:rPr>
          <w:rFonts w:ascii="Times New Roman" w:hAnsi="Times New Roman"/>
        </w:rPr>
      </w:pPr>
      <w:r w:rsidRPr="006A2A1F">
        <w:rPr>
          <w:rFonts w:ascii="Times New Roman" w:hAnsi="Times New Roman"/>
        </w:rPr>
        <w:t>Table A.</w:t>
      </w:r>
      <w:r w:rsidR="003B7174">
        <w:rPr>
          <w:rFonts w:ascii="Times New Roman" w:hAnsi="Times New Roman"/>
        </w:rPr>
        <w:t>2</w:t>
      </w:r>
      <w:r w:rsidR="00626012">
        <w:rPr>
          <w:rFonts w:ascii="Times New Roman" w:hAnsi="Times New Roman"/>
        </w:rPr>
        <w:t xml:space="preserve"> </w:t>
      </w:r>
      <w:r w:rsidRPr="006A2A1F">
        <w:rPr>
          <w:rFonts w:ascii="Times New Roman" w:hAnsi="Times New Roman"/>
        </w:rPr>
        <w:t xml:space="preserve">includes assumptions about the annual number of respondents expected, the average number of responses per respondent, the average hours of burden per response, the annual burden hours estimated, the time value assumed for respondents, and the total annualized monetary burden hours for the </w:t>
      </w:r>
      <w:r w:rsidR="005815A3">
        <w:rPr>
          <w:rFonts w:ascii="Times New Roman" w:hAnsi="Times New Roman"/>
        </w:rPr>
        <w:t>following activities:</w:t>
      </w:r>
      <w:r w:rsidRPr="006A2A1F">
        <w:rPr>
          <w:rFonts w:ascii="Times New Roman" w:hAnsi="Times New Roman"/>
        </w:rPr>
        <w:t xml:space="preserve"> </w:t>
      </w:r>
    </w:p>
    <w:p w:rsidR="00C01822" w:rsidRPr="00CC05FC" w:rsidP="00C457A7" w14:paraId="6A38351A" w14:textId="28845FFA">
      <w:pPr>
        <w:pStyle w:val="ListParagraph"/>
        <w:numPr>
          <w:ilvl w:val="0"/>
          <w:numId w:val="23"/>
        </w:numPr>
        <w:spacing w:after="120"/>
        <w:ind w:left="360" w:hanging="360"/>
        <w:rPr>
          <w:rFonts w:ascii="Times New Roman" w:hAnsi="Times New Roman"/>
        </w:rPr>
      </w:pPr>
      <w:r w:rsidRPr="492F0508">
        <w:rPr>
          <w:rFonts w:ascii="Times New Roman" w:hAnsi="Times New Roman"/>
          <w:b/>
          <w:bCs/>
        </w:rPr>
        <w:t>Study participant follow-up survey.</w:t>
      </w:r>
      <w:r w:rsidRPr="492F0508">
        <w:rPr>
          <w:rFonts w:ascii="Times New Roman" w:hAnsi="Times New Roman"/>
        </w:rPr>
        <w:t xml:space="preserve"> As part of the impact study, </w:t>
      </w:r>
      <w:r w:rsidRPr="492F0508" w:rsidR="000100F4">
        <w:rPr>
          <w:rFonts w:ascii="Times New Roman" w:hAnsi="Times New Roman"/>
        </w:rPr>
        <w:t>the evaluation team will administer this survey to about 2,</w:t>
      </w:r>
      <w:r w:rsidRPr="492F0508" w:rsidR="007C18DE">
        <w:rPr>
          <w:rFonts w:ascii="Times New Roman" w:hAnsi="Times New Roman"/>
        </w:rPr>
        <w:t>5</w:t>
      </w:r>
      <w:r w:rsidRPr="492F0508" w:rsidR="000100F4">
        <w:rPr>
          <w:rFonts w:ascii="Times New Roman" w:hAnsi="Times New Roman"/>
        </w:rPr>
        <w:t xml:space="preserve">00 study participants. </w:t>
      </w:r>
      <w:r w:rsidRPr="492F0508" w:rsidR="3904FDCC">
        <w:rPr>
          <w:rFonts w:ascii="Times New Roman" w:hAnsi="Times New Roman"/>
        </w:rPr>
        <w:t xml:space="preserve">It is estimated that </w:t>
      </w:r>
      <w:r w:rsidRPr="492F0508" w:rsidR="000100F4">
        <w:rPr>
          <w:rFonts w:ascii="Times New Roman" w:hAnsi="Times New Roman"/>
        </w:rPr>
        <w:t xml:space="preserve">each respondent will spend about </w:t>
      </w:r>
      <w:r w:rsidRPr="492F0508" w:rsidR="00BE7D82">
        <w:rPr>
          <w:rFonts w:ascii="Times New Roman" w:hAnsi="Times New Roman"/>
        </w:rPr>
        <w:t xml:space="preserve">25 </w:t>
      </w:r>
      <w:r w:rsidRPr="492F0508" w:rsidR="000100F4">
        <w:rPr>
          <w:rFonts w:ascii="Times New Roman" w:hAnsi="Times New Roman"/>
        </w:rPr>
        <w:t xml:space="preserve">minutes </w:t>
      </w:r>
      <w:r w:rsidRPr="492F0508" w:rsidR="003E0485">
        <w:rPr>
          <w:rFonts w:ascii="Times New Roman" w:hAnsi="Times New Roman"/>
        </w:rPr>
        <w:t>(.42 hours)</w:t>
      </w:r>
      <w:r w:rsidRPr="492F0508" w:rsidR="000100F4">
        <w:rPr>
          <w:rFonts w:ascii="Times New Roman" w:hAnsi="Times New Roman"/>
        </w:rPr>
        <w:t xml:space="preserve"> on the survey. </w:t>
      </w:r>
      <w:r w:rsidRPr="492F0508" w:rsidR="000D4E90">
        <w:rPr>
          <w:rFonts w:ascii="Times New Roman" w:hAnsi="Times New Roman"/>
        </w:rPr>
        <w:t xml:space="preserve">Given the very transient nature of this population, </w:t>
      </w:r>
      <w:r w:rsidRPr="492F0508" w:rsidR="3D1451FC">
        <w:rPr>
          <w:rFonts w:ascii="Times New Roman" w:hAnsi="Times New Roman"/>
        </w:rPr>
        <w:t xml:space="preserve">the response rate is </w:t>
      </w:r>
      <w:r w:rsidRPr="492F0508" w:rsidR="000100F4">
        <w:rPr>
          <w:rFonts w:ascii="Times New Roman" w:hAnsi="Times New Roman"/>
        </w:rPr>
        <w:t>expect</w:t>
      </w:r>
      <w:r w:rsidRPr="492F0508" w:rsidR="62FD109D">
        <w:rPr>
          <w:rFonts w:ascii="Times New Roman" w:hAnsi="Times New Roman"/>
        </w:rPr>
        <w:t>ed to be</w:t>
      </w:r>
      <w:r w:rsidRPr="492F0508" w:rsidR="000100F4">
        <w:rPr>
          <w:rFonts w:ascii="Times New Roman" w:hAnsi="Times New Roman"/>
        </w:rPr>
        <w:t xml:space="preserve"> 64 percent, or about </w:t>
      </w:r>
      <w:r w:rsidRPr="492F0508" w:rsidR="007C18DE">
        <w:rPr>
          <w:rFonts w:ascii="Times New Roman" w:hAnsi="Times New Roman"/>
        </w:rPr>
        <w:t>1</w:t>
      </w:r>
      <w:r w:rsidRPr="492F0508" w:rsidR="0C0E75BF">
        <w:rPr>
          <w:rFonts w:ascii="Times New Roman" w:hAnsi="Times New Roman"/>
        </w:rPr>
        <w:t>,</w:t>
      </w:r>
      <w:r w:rsidRPr="492F0508" w:rsidR="007C18DE">
        <w:rPr>
          <w:rFonts w:ascii="Times New Roman" w:hAnsi="Times New Roman"/>
        </w:rPr>
        <w:t xml:space="preserve">600 </w:t>
      </w:r>
      <w:r w:rsidRPr="492F0508" w:rsidR="2A019B43">
        <w:rPr>
          <w:rFonts w:ascii="Times New Roman" w:hAnsi="Times New Roman"/>
        </w:rPr>
        <w:t xml:space="preserve">individuals </w:t>
      </w:r>
      <w:r w:rsidRPr="492F0508" w:rsidR="00CB4DDD">
        <w:rPr>
          <w:rFonts w:ascii="Times New Roman" w:hAnsi="Times New Roman"/>
        </w:rPr>
        <w:t>(533 annualized over three years)</w:t>
      </w:r>
      <w:r w:rsidRPr="492F0508" w:rsidR="006B3B0F">
        <w:rPr>
          <w:rFonts w:ascii="Times New Roman" w:hAnsi="Times New Roman"/>
        </w:rPr>
        <w:t>,</w:t>
      </w:r>
      <w:r w:rsidRPr="492F0508" w:rsidR="00CB4DDD">
        <w:rPr>
          <w:rFonts w:ascii="Times New Roman" w:hAnsi="Times New Roman"/>
        </w:rPr>
        <w:t xml:space="preserve"> </w:t>
      </w:r>
      <w:r w:rsidRPr="492F0508" w:rsidR="6FDA0163">
        <w:rPr>
          <w:rFonts w:ascii="Times New Roman" w:hAnsi="Times New Roman"/>
        </w:rPr>
        <w:t xml:space="preserve">who </w:t>
      </w:r>
      <w:r w:rsidRPr="492F0508" w:rsidR="000100F4">
        <w:rPr>
          <w:rFonts w:ascii="Times New Roman" w:hAnsi="Times New Roman"/>
        </w:rPr>
        <w:t xml:space="preserve">will complete the survey. </w:t>
      </w:r>
      <w:r w:rsidRPr="492F0508" w:rsidR="003A1E8D">
        <w:rPr>
          <w:rFonts w:ascii="Times New Roman" w:hAnsi="Times New Roman"/>
        </w:rPr>
        <w:t xml:space="preserve">This is </w:t>
      </w:r>
      <w:r w:rsidR="00A47A19">
        <w:rPr>
          <w:rFonts w:ascii="Times New Roman" w:hAnsi="Times New Roman"/>
        </w:rPr>
        <w:t xml:space="preserve">lower than older studies </w:t>
      </w:r>
      <w:r w:rsidR="00C767A9">
        <w:rPr>
          <w:rFonts w:ascii="Times New Roman" w:hAnsi="Times New Roman"/>
        </w:rPr>
        <w:t>involving a</w:t>
      </w:r>
      <w:r w:rsidR="00A47A19">
        <w:rPr>
          <w:rFonts w:ascii="Times New Roman" w:hAnsi="Times New Roman"/>
        </w:rPr>
        <w:t xml:space="preserve"> </w:t>
      </w:r>
      <w:r w:rsidR="00C767A9">
        <w:rPr>
          <w:rFonts w:ascii="Times New Roman" w:hAnsi="Times New Roman"/>
        </w:rPr>
        <w:t>formerly incarcerated</w:t>
      </w:r>
      <w:r w:rsidR="00A47A19">
        <w:rPr>
          <w:rFonts w:ascii="Times New Roman" w:hAnsi="Times New Roman"/>
        </w:rPr>
        <w:t xml:space="preserve"> population, but </w:t>
      </w:r>
      <w:r w:rsidRPr="492F0508" w:rsidR="003A1E8D">
        <w:rPr>
          <w:rFonts w:ascii="Times New Roman" w:hAnsi="Times New Roman"/>
        </w:rPr>
        <w:t xml:space="preserve">consistent with response rates </w:t>
      </w:r>
      <w:r w:rsidRPr="492F0508" w:rsidR="00BF3A70">
        <w:rPr>
          <w:rFonts w:ascii="Times New Roman" w:hAnsi="Times New Roman"/>
        </w:rPr>
        <w:t xml:space="preserve">in </w:t>
      </w:r>
      <w:r w:rsidR="00C767A9">
        <w:rPr>
          <w:rFonts w:ascii="Times New Roman" w:hAnsi="Times New Roman"/>
        </w:rPr>
        <w:t xml:space="preserve">more recent </w:t>
      </w:r>
      <w:r w:rsidRPr="492F0508" w:rsidR="008A73AB">
        <w:rPr>
          <w:rFonts w:ascii="Times New Roman" w:hAnsi="Times New Roman"/>
        </w:rPr>
        <w:t xml:space="preserve">studies </w:t>
      </w:r>
      <w:r w:rsidRPr="492F0508" w:rsidR="00BF3A70">
        <w:rPr>
          <w:rFonts w:ascii="Times New Roman" w:hAnsi="Times New Roman"/>
        </w:rPr>
        <w:t>involving</w:t>
      </w:r>
      <w:r w:rsidRPr="492F0508" w:rsidR="008A73AB">
        <w:rPr>
          <w:rFonts w:ascii="Times New Roman" w:hAnsi="Times New Roman"/>
        </w:rPr>
        <w:t xml:space="preserve"> </w:t>
      </w:r>
      <w:r w:rsidRPr="492F0508" w:rsidR="003A1E8D">
        <w:rPr>
          <w:rFonts w:ascii="Times New Roman" w:hAnsi="Times New Roman"/>
        </w:rPr>
        <w:t xml:space="preserve">other hard-to-reach populations </w:t>
      </w:r>
      <w:r w:rsidRPr="492F0508" w:rsidR="008A73AB">
        <w:rPr>
          <w:rFonts w:ascii="Times New Roman" w:hAnsi="Times New Roman"/>
        </w:rPr>
        <w:t>that have used</w:t>
      </w:r>
      <w:r w:rsidRPr="492F0508" w:rsidR="003A1E8D">
        <w:rPr>
          <w:rFonts w:ascii="Times New Roman" w:hAnsi="Times New Roman"/>
        </w:rPr>
        <w:t xml:space="preserve"> a similar design. </w:t>
      </w:r>
      <w:r w:rsidR="00A47A19">
        <w:rPr>
          <w:rFonts w:ascii="Times New Roman" w:hAnsi="Times New Roman"/>
        </w:rPr>
        <w:t>T</w:t>
      </w:r>
      <w:r w:rsidR="00741D4B">
        <w:rPr>
          <w:rFonts w:ascii="Times New Roman" w:hAnsi="Times New Roman"/>
        </w:rPr>
        <w:t>he Evaluation of Seven Second Chance Act Adult Demonstration Programs</w:t>
      </w:r>
      <w:r w:rsidR="000758D1">
        <w:rPr>
          <w:rFonts w:ascii="Times New Roman" w:hAnsi="Times New Roman"/>
        </w:rPr>
        <w:t xml:space="preserve"> (D’Amico et al. 2017)</w:t>
      </w:r>
      <w:r w:rsidR="00741D4B">
        <w:rPr>
          <w:rFonts w:ascii="Times New Roman" w:hAnsi="Times New Roman"/>
        </w:rPr>
        <w:t xml:space="preserve">, </w:t>
      </w:r>
      <w:r w:rsidR="005A55E2">
        <w:rPr>
          <w:rFonts w:ascii="Times New Roman" w:hAnsi="Times New Roman"/>
        </w:rPr>
        <w:t xml:space="preserve">which utilized </w:t>
      </w:r>
      <w:r w:rsidR="00B918B5">
        <w:rPr>
          <w:rFonts w:ascii="Times New Roman" w:hAnsi="Times New Roman"/>
        </w:rPr>
        <w:t xml:space="preserve">a web survey with phone </w:t>
      </w:r>
      <w:r w:rsidR="00DF714C">
        <w:rPr>
          <w:rFonts w:ascii="Times New Roman" w:hAnsi="Times New Roman"/>
        </w:rPr>
        <w:t>and in-person field follow-up</w:t>
      </w:r>
      <w:r w:rsidR="008F2765">
        <w:rPr>
          <w:rFonts w:ascii="Times New Roman" w:hAnsi="Times New Roman"/>
        </w:rPr>
        <w:t xml:space="preserve"> from 2013 to 2014 </w:t>
      </w:r>
      <w:r w:rsidR="00E559E4">
        <w:rPr>
          <w:rFonts w:ascii="Times New Roman" w:hAnsi="Times New Roman"/>
        </w:rPr>
        <w:t xml:space="preserve">with formerly incarcerated individuals </w:t>
      </w:r>
      <w:r w:rsidR="008F2765">
        <w:rPr>
          <w:rFonts w:ascii="Times New Roman" w:hAnsi="Times New Roman"/>
        </w:rPr>
        <w:t xml:space="preserve">achieved an 82.3 percent response rate. </w:t>
      </w:r>
      <w:r w:rsidR="00383F10">
        <w:rPr>
          <w:rFonts w:ascii="Times New Roman" w:hAnsi="Times New Roman"/>
        </w:rPr>
        <w:t xml:space="preserve">However, </w:t>
      </w:r>
      <w:r w:rsidR="00F67A8F">
        <w:rPr>
          <w:rFonts w:ascii="Times New Roman" w:hAnsi="Times New Roman"/>
        </w:rPr>
        <w:t xml:space="preserve">some individuals were enrolled in the study after release </w:t>
      </w:r>
      <w:r w:rsidR="00E559E4">
        <w:rPr>
          <w:rFonts w:ascii="Times New Roman" w:hAnsi="Times New Roman"/>
        </w:rPr>
        <w:t xml:space="preserve">from incarceration </w:t>
      </w:r>
      <w:r w:rsidR="00F67A8F">
        <w:rPr>
          <w:rFonts w:ascii="Times New Roman" w:hAnsi="Times New Roman"/>
        </w:rPr>
        <w:t>and may have been able to provide more accurate contact information. T</w:t>
      </w:r>
      <w:r w:rsidRPr="492F0508" w:rsidR="003A1E8D">
        <w:rPr>
          <w:rFonts w:ascii="Times New Roman" w:hAnsi="Times New Roman"/>
        </w:rPr>
        <w:t xml:space="preserve">he </w:t>
      </w:r>
      <w:r w:rsidRPr="492F0508" w:rsidR="00B445C1">
        <w:rPr>
          <w:rFonts w:ascii="Times New Roman" w:hAnsi="Times New Roman"/>
        </w:rPr>
        <w:t xml:space="preserve">Evaluation of the </w:t>
      </w:r>
      <w:r w:rsidRPr="492F0508" w:rsidR="003A1E8D">
        <w:rPr>
          <w:rFonts w:ascii="Times New Roman" w:hAnsi="Times New Roman"/>
        </w:rPr>
        <w:t>SNAP Employment &amp; Training Pilot</w:t>
      </w:r>
      <w:r w:rsidRPr="492F0508" w:rsidR="00B445C1">
        <w:rPr>
          <w:rFonts w:ascii="Times New Roman" w:hAnsi="Times New Roman"/>
        </w:rPr>
        <w:t>s</w:t>
      </w:r>
      <w:r w:rsidRPr="492F0508" w:rsidR="0061321C">
        <w:rPr>
          <w:rFonts w:ascii="Times New Roman" w:hAnsi="Times New Roman"/>
        </w:rPr>
        <w:t xml:space="preserve"> (OMB #</w:t>
      </w:r>
      <w:r w:rsidRPr="492F0508" w:rsidR="008A73AB">
        <w:rPr>
          <w:rFonts w:ascii="Times New Roman" w:hAnsi="Times New Roman"/>
        </w:rPr>
        <w:t>0584-0604</w:t>
      </w:r>
      <w:r w:rsidRPr="492F0508" w:rsidR="00E70AE9">
        <w:rPr>
          <w:rFonts w:ascii="Times New Roman" w:hAnsi="Times New Roman"/>
        </w:rPr>
        <w:t>)</w:t>
      </w:r>
      <w:r w:rsidRPr="492F0508" w:rsidR="003A1E8D">
        <w:rPr>
          <w:rFonts w:ascii="Times New Roman" w:hAnsi="Times New Roman"/>
        </w:rPr>
        <w:t>,</w:t>
      </w:r>
      <w:r w:rsidRPr="492F0508" w:rsidR="00E70AE9">
        <w:rPr>
          <w:rFonts w:ascii="Times New Roman" w:hAnsi="Times New Roman"/>
        </w:rPr>
        <w:t xml:space="preserve"> </w:t>
      </w:r>
      <w:r w:rsidRPr="492F0508" w:rsidR="008A73AB">
        <w:rPr>
          <w:rFonts w:ascii="Times New Roman" w:hAnsi="Times New Roman"/>
        </w:rPr>
        <w:t>which also utilized a web survey with phone and in-person field follow-up</w:t>
      </w:r>
      <w:r w:rsidR="001A7C1A">
        <w:rPr>
          <w:rFonts w:ascii="Times New Roman" w:hAnsi="Times New Roman"/>
        </w:rPr>
        <w:t xml:space="preserve"> of SNAP participants</w:t>
      </w:r>
      <w:r w:rsidRPr="492F0508" w:rsidR="008A73AB">
        <w:rPr>
          <w:rFonts w:ascii="Times New Roman" w:hAnsi="Times New Roman"/>
        </w:rPr>
        <w:t xml:space="preserve">, </w:t>
      </w:r>
      <w:r w:rsidR="00337EED">
        <w:rPr>
          <w:rFonts w:ascii="Times New Roman" w:hAnsi="Times New Roman"/>
        </w:rPr>
        <w:t xml:space="preserve">achieved a </w:t>
      </w:r>
      <w:r w:rsidRPr="492F0508" w:rsidR="00E70AE9">
        <w:rPr>
          <w:rFonts w:ascii="Times New Roman" w:hAnsi="Times New Roman"/>
        </w:rPr>
        <w:t>respon</w:t>
      </w:r>
      <w:r w:rsidRPr="492F0508" w:rsidR="0034257F">
        <w:rPr>
          <w:rFonts w:ascii="Times New Roman" w:hAnsi="Times New Roman"/>
        </w:rPr>
        <w:t>s</w:t>
      </w:r>
      <w:r w:rsidRPr="008D7AEF" w:rsidR="00E70AE9">
        <w:rPr>
          <w:rFonts w:ascii="Times New Roman" w:hAnsi="Times New Roman"/>
        </w:rPr>
        <w:t xml:space="preserve">e rate for the 12-month follow-up survey </w:t>
      </w:r>
      <w:r w:rsidRPr="008D7AEF" w:rsidR="00337EED">
        <w:rPr>
          <w:rFonts w:ascii="Times New Roman" w:hAnsi="Times New Roman"/>
        </w:rPr>
        <w:t xml:space="preserve">of only </w:t>
      </w:r>
      <w:r w:rsidRPr="008D7AEF" w:rsidR="004B3E58">
        <w:rPr>
          <w:rFonts w:ascii="Times New Roman" w:hAnsi="Times New Roman"/>
        </w:rPr>
        <w:t>60</w:t>
      </w:r>
      <w:r w:rsidRPr="008D7AEF" w:rsidR="00925520">
        <w:rPr>
          <w:rFonts w:ascii="Times New Roman" w:hAnsi="Times New Roman"/>
        </w:rPr>
        <w:t xml:space="preserve"> percent</w:t>
      </w:r>
      <w:r w:rsidRPr="008D7AEF" w:rsidR="00BC6FEC">
        <w:rPr>
          <w:rFonts w:ascii="Times New Roman" w:hAnsi="Times New Roman"/>
        </w:rPr>
        <w:t xml:space="preserve"> in 20</w:t>
      </w:r>
      <w:r w:rsidRPr="008D7AEF" w:rsidR="008D7AEF">
        <w:rPr>
          <w:rFonts w:ascii="Times New Roman" w:hAnsi="Times New Roman"/>
        </w:rPr>
        <w:t>18</w:t>
      </w:r>
      <w:r w:rsidRPr="008D7AEF" w:rsidR="004B3E58">
        <w:rPr>
          <w:rFonts w:ascii="Times New Roman" w:hAnsi="Times New Roman"/>
        </w:rPr>
        <w:t>.</w:t>
      </w:r>
      <w:r w:rsidRPr="008D7AEF" w:rsidR="003A1E8D">
        <w:rPr>
          <w:rFonts w:ascii="Times New Roman" w:hAnsi="Times New Roman"/>
        </w:rPr>
        <w:t xml:space="preserve"> </w:t>
      </w:r>
      <w:r w:rsidRPr="008D7AEF" w:rsidR="000100F4">
        <w:rPr>
          <w:rFonts w:ascii="Times New Roman" w:hAnsi="Times New Roman"/>
        </w:rPr>
        <w:t>The</w:t>
      </w:r>
      <w:r w:rsidRPr="492F0508" w:rsidR="000100F4">
        <w:rPr>
          <w:rFonts w:ascii="Times New Roman" w:hAnsi="Times New Roman"/>
        </w:rPr>
        <w:t xml:space="preserve"> annualized burden is approximately </w:t>
      </w:r>
      <w:r w:rsidRPr="492F0508" w:rsidR="002E7C0C">
        <w:rPr>
          <w:rFonts w:ascii="Times New Roman" w:hAnsi="Times New Roman"/>
        </w:rPr>
        <w:t>222</w:t>
      </w:r>
      <w:r w:rsidRPr="492F0508" w:rsidR="00D33EFA">
        <w:rPr>
          <w:rFonts w:ascii="Times New Roman" w:hAnsi="Times New Roman"/>
        </w:rPr>
        <w:t xml:space="preserve"> </w:t>
      </w:r>
      <w:r w:rsidRPr="492F0508" w:rsidR="000100F4">
        <w:rPr>
          <w:rFonts w:ascii="Times New Roman" w:hAnsi="Times New Roman"/>
        </w:rPr>
        <w:t>hours.</w:t>
      </w:r>
    </w:p>
    <w:p w:rsidR="00C01822" w:rsidRPr="0081571B" w:rsidP="00C457A7" w14:paraId="29712F4F" w14:textId="41E3803D">
      <w:pPr>
        <w:pStyle w:val="ListParagraph"/>
        <w:numPr>
          <w:ilvl w:val="0"/>
          <w:numId w:val="23"/>
        </w:numPr>
        <w:spacing w:after="120"/>
        <w:ind w:left="360" w:hanging="360"/>
      </w:pPr>
      <w:r>
        <w:rPr>
          <w:rFonts w:ascii="Times New Roman" w:hAnsi="Times New Roman"/>
          <w:b/>
          <w:bCs/>
        </w:rPr>
        <w:t>Structured</w:t>
      </w:r>
      <w:r w:rsidRPr="492F0508">
        <w:rPr>
          <w:rFonts w:ascii="Times New Roman" w:hAnsi="Times New Roman"/>
          <w:b/>
          <w:bCs/>
        </w:rPr>
        <w:t xml:space="preserve"> discussions with grantee staff.</w:t>
      </w:r>
      <w:r w:rsidRPr="492F0508">
        <w:rPr>
          <w:rFonts w:ascii="Times New Roman" w:hAnsi="Times New Roman"/>
        </w:rPr>
        <w:t xml:space="preserve"> As part of the implementation study,</w:t>
      </w:r>
      <w:r w:rsidRPr="492F0508" w:rsidR="000100F4">
        <w:rPr>
          <w:rFonts w:ascii="Times New Roman" w:hAnsi="Times New Roman"/>
        </w:rPr>
        <w:t xml:space="preserve"> the </w:t>
      </w:r>
      <w:r w:rsidR="00E27D52">
        <w:rPr>
          <w:rFonts w:ascii="Times New Roman" w:hAnsi="Times New Roman"/>
        </w:rPr>
        <w:t xml:space="preserve">contractor </w:t>
      </w:r>
      <w:r w:rsidRPr="492F0508" w:rsidR="000100F4">
        <w:rPr>
          <w:rFonts w:ascii="Times New Roman" w:hAnsi="Times New Roman"/>
        </w:rPr>
        <w:t>evaluation team will conduct virtual discussions with</w:t>
      </w:r>
      <w:r w:rsidRPr="492F0508" w:rsidR="006E58A6">
        <w:rPr>
          <w:rFonts w:ascii="Times New Roman" w:hAnsi="Times New Roman"/>
        </w:rPr>
        <w:t xml:space="preserve"> grantee staff. </w:t>
      </w:r>
      <w:r w:rsidRPr="492F0508" w:rsidR="00724BEF">
        <w:rPr>
          <w:rFonts w:ascii="Times New Roman" w:hAnsi="Times New Roman"/>
        </w:rPr>
        <w:t xml:space="preserve">For group discussions, </w:t>
      </w:r>
      <w:r w:rsidRPr="492F0508" w:rsidR="5F17EDB1">
        <w:rPr>
          <w:rFonts w:ascii="Times New Roman" w:hAnsi="Times New Roman"/>
        </w:rPr>
        <w:t>the contractor</w:t>
      </w:r>
      <w:r w:rsidRPr="492F0508" w:rsidR="006E58A6">
        <w:rPr>
          <w:rFonts w:ascii="Times New Roman" w:hAnsi="Times New Roman"/>
        </w:rPr>
        <w:t xml:space="preserve"> will invite staff from </w:t>
      </w:r>
      <w:r w:rsidRPr="492F0508" w:rsidR="00724BEF">
        <w:rPr>
          <w:rFonts w:ascii="Times New Roman" w:hAnsi="Times New Roman"/>
        </w:rPr>
        <w:t>16 grantees</w:t>
      </w:r>
      <w:r w:rsidRPr="492F0508" w:rsidR="006E58A6">
        <w:rPr>
          <w:rFonts w:ascii="Times New Roman" w:hAnsi="Times New Roman"/>
        </w:rPr>
        <w:t xml:space="preserve">, for a total of about </w:t>
      </w:r>
      <w:r w:rsidRPr="492F0508" w:rsidR="00F33755">
        <w:rPr>
          <w:rFonts w:ascii="Times New Roman" w:hAnsi="Times New Roman"/>
        </w:rPr>
        <w:t>32</w:t>
      </w:r>
      <w:r w:rsidRPr="492F0508" w:rsidR="006E58A6">
        <w:rPr>
          <w:rFonts w:ascii="Times New Roman" w:hAnsi="Times New Roman"/>
        </w:rPr>
        <w:t xml:space="preserve"> staff members. </w:t>
      </w:r>
      <w:r w:rsidRPr="492F0508" w:rsidR="16EEE47E">
        <w:rPr>
          <w:rFonts w:ascii="Times New Roman" w:hAnsi="Times New Roman"/>
        </w:rPr>
        <w:t xml:space="preserve">About </w:t>
      </w:r>
      <w:r w:rsidRPr="492F0508" w:rsidR="00633A8B">
        <w:rPr>
          <w:rFonts w:ascii="Times New Roman" w:hAnsi="Times New Roman"/>
        </w:rPr>
        <w:t>9</w:t>
      </w:r>
      <w:r w:rsidRPr="492F0508" w:rsidR="006E58A6">
        <w:rPr>
          <w:rFonts w:ascii="Times New Roman" w:hAnsi="Times New Roman"/>
        </w:rPr>
        <w:t xml:space="preserve">0 percent </w:t>
      </w:r>
      <w:r w:rsidRPr="492F0508" w:rsidR="7CB6F229">
        <w:rPr>
          <w:rFonts w:ascii="Times New Roman" w:hAnsi="Times New Roman"/>
        </w:rPr>
        <w:t xml:space="preserve">of the </w:t>
      </w:r>
      <w:r w:rsidRPr="492F0508">
        <w:rPr>
          <w:rFonts w:ascii="Times New Roman" w:hAnsi="Times New Roman"/>
        </w:rPr>
        <w:t>invited</w:t>
      </w:r>
      <w:r w:rsidRPr="492F0508" w:rsidR="7CB6F229">
        <w:rPr>
          <w:rFonts w:ascii="Times New Roman" w:hAnsi="Times New Roman"/>
        </w:rPr>
        <w:t xml:space="preserve"> staff are expected </w:t>
      </w:r>
      <w:r w:rsidRPr="492F0508" w:rsidR="006E58A6">
        <w:rPr>
          <w:rFonts w:ascii="Times New Roman" w:hAnsi="Times New Roman"/>
        </w:rPr>
        <w:t>to participate, meaning approximately 2</w:t>
      </w:r>
      <w:r w:rsidRPr="492F0508" w:rsidR="008D5627">
        <w:rPr>
          <w:rFonts w:ascii="Times New Roman" w:hAnsi="Times New Roman"/>
        </w:rPr>
        <w:t>9</w:t>
      </w:r>
      <w:r w:rsidRPr="492F0508" w:rsidR="006E58A6">
        <w:rPr>
          <w:rFonts w:ascii="Times New Roman" w:hAnsi="Times New Roman"/>
        </w:rPr>
        <w:t xml:space="preserve"> grantee staff. Discussion groups will average </w:t>
      </w:r>
      <w:r w:rsidRPr="492F0508" w:rsidR="00C2018E">
        <w:rPr>
          <w:rFonts w:ascii="Times New Roman" w:hAnsi="Times New Roman"/>
        </w:rPr>
        <w:t xml:space="preserve">90 </w:t>
      </w:r>
      <w:r w:rsidRPr="492F0508" w:rsidR="006E58A6">
        <w:rPr>
          <w:rFonts w:ascii="Times New Roman" w:hAnsi="Times New Roman"/>
        </w:rPr>
        <w:t xml:space="preserve">minutes. The annualized burden is approximately </w:t>
      </w:r>
      <w:r w:rsidRPr="492F0508" w:rsidR="00445B4E">
        <w:rPr>
          <w:rFonts w:ascii="Times New Roman" w:hAnsi="Times New Roman"/>
        </w:rPr>
        <w:t>1</w:t>
      </w:r>
      <w:r w:rsidRPr="492F0508" w:rsidR="008C4FB8">
        <w:rPr>
          <w:rFonts w:ascii="Times New Roman" w:hAnsi="Times New Roman"/>
        </w:rPr>
        <w:t>4.5</w:t>
      </w:r>
      <w:r w:rsidRPr="492F0508" w:rsidR="00445B4E">
        <w:rPr>
          <w:rFonts w:ascii="Times New Roman" w:hAnsi="Times New Roman"/>
        </w:rPr>
        <w:t xml:space="preserve"> </w:t>
      </w:r>
      <w:r w:rsidRPr="492F0508" w:rsidR="006E58A6">
        <w:rPr>
          <w:rFonts w:ascii="Times New Roman" w:hAnsi="Times New Roman"/>
        </w:rPr>
        <w:t>hours.</w:t>
      </w:r>
      <w:r w:rsidRPr="492F0508" w:rsidR="00C2018E">
        <w:rPr>
          <w:rFonts w:ascii="Times New Roman" w:hAnsi="Times New Roman"/>
        </w:rPr>
        <w:t xml:space="preserve"> </w:t>
      </w:r>
      <w:r w:rsidRPr="492F0508" w:rsidR="00724BEF">
        <w:rPr>
          <w:rFonts w:ascii="Times New Roman" w:hAnsi="Times New Roman"/>
        </w:rPr>
        <w:t xml:space="preserve">The </w:t>
      </w:r>
      <w:r>
        <w:rPr>
          <w:rFonts w:ascii="Times New Roman" w:hAnsi="Times New Roman"/>
        </w:rPr>
        <w:t>contractor</w:t>
      </w:r>
      <w:r w:rsidRPr="492F0508" w:rsidR="00724BEF">
        <w:rPr>
          <w:rFonts w:ascii="Times New Roman" w:hAnsi="Times New Roman"/>
        </w:rPr>
        <w:t xml:space="preserve"> will also conduct </w:t>
      </w:r>
      <w:r w:rsidRPr="492F0508" w:rsidR="00177854">
        <w:rPr>
          <w:rFonts w:ascii="Times New Roman" w:hAnsi="Times New Roman"/>
        </w:rPr>
        <w:t>one</w:t>
      </w:r>
      <w:r w:rsidRPr="492F0508" w:rsidR="00724BEF">
        <w:rPr>
          <w:rFonts w:ascii="Times New Roman" w:hAnsi="Times New Roman"/>
        </w:rPr>
        <w:t>-on-one</w:t>
      </w:r>
      <w:r w:rsidRPr="492F0508" w:rsidR="00177854">
        <w:rPr>
          <w:rFonts w:ascii="Times New Roman" w:hAnsi="Times New Roman"/>
        </w:rPr>
        <w:t xml:space="preserve"> or two-on</w:t>
      </w:r>
      <w:r w:rsidRPr="492F0508" w:rsidR="00075F92">
        <w:rPr>
          <w:rFonts w:ascii="Times New Roman" w:hAnsi="Times New Roman"/>
        </w:rPr>
        <w:t>-one</w:t>
      </w:r>
      <w:r w:rsidRPr="492F0508" w:rsidR="00724BEF">
        <w:rPr>
          <w:rFonts w:ascii="Times New Roman" w:hAnsi="Times New Roman"/>
        </w:rPr>
        <w:t xml:space="preserve"> calls with staff from th</w:t>
      </w:r>
      <w:r w:rsidRPr="492F0508" w:rsidR="00EE6C64">
        <w:rPr>
          <w:rFonts w:ascii="Times New Roman" w:hAnsi="Times New Roman"/>
        </w:rPr>
        <w:t xml:space="preserve">e 6 impact sites. </w:t>
      </w:r>
      <w:r w:rsidRPr="492F0508" w:rsidR="4AB35AF0">
        <w:rPr>
          <w:rFonts w:ascii="Times New Roman" w:hAnsi="Times New Roman"/>
        </w:rPr>
        <w:t xml:space="preserve">The contractor </w:t>
      </w:r>
      <w:r w:rsidRPr="492F0508" w:rsidR="00EE6C64">
        <w:rPr>
          <w:rFonts w:ascii="Times New Roman" w:hAnsi="Times New Roman"/>
        </w:rPr>
        <w:t>expect</w:t>
      </w:r>
      <w:r w:rsidRPr="492F0508" w:rsidR="2F075D32">
        <w:rPr>
          <w:rFonts w:ascii="Times New Roman" w:hAnsi="Times New Roman"/>
        </w:rPr>
        <w:t>s</w:t>
      </w:r>
      <w:r w:rsidRPr="492F0508" w:rsidR="00EE6C64">
        <w:rPr>
          <w:rFonts w:ascii="Times New Roman" w:hAnsi="Times New Roman"/>
        </w:rPr>
        <w:t xml:space="preserve"> about </w:t>
      </w:r>
      <w:r w:rsidRPr="492F0508" w:rsidR="008D5627">
        <w:rPr>
          <w:rFonts w:ascii="Times New Roman" w:hAnsi="Times New Roman"/>
        </w:rPr>
        <w:t>11</w:t>
      </w:r>
      <w:r w:rsidRPr="492F0508" w:rsidR="00EE6C64">
        <w:rPr>
          <w:rFonts w:ascii="Times New Roman" w:hAnsi="Times New Roman"/>
        </w:rPr>
        <w:t xml:space="preserve"> people</w:t>
      </w:r>
      <w:r w:rsidR="00F02BBD">
        <w:rPr>
          <w:rFonts w:ascii="Times New Roman" w:hAnsi="Times New Roman"/>
        </w:rPr>
        <w:t xml:space="preserve"> (90 percent)</w:t>
      </w:r>
      <w:r w:rsidRPr="492F0508" w:rsidR="00EE6C64">
        <w:rPr>
          <w:rFonts w:ascii="Times New Roman" w:hAnsi="Times New Roman"/>
        </w:rPr>
        <w:t xml:space="preserve"> to participate in th</w:t>
      </w:r>
      <w:r w:rsidRPr="492F0508" w:rsidR="00075F92">
        <w:rPr>
          <w:rFonts w:ascii="Times New Roman" w:hAnsi="Times New Roman"/>
        </w:rPr>
        <w:t>ese calls</w:t>
      </w:r>
      <w:r w:rsidRPr="492F0508" w:rsidR="2775F597">
        <w:rPr>
          <w:rFonts w:ascii="Times New Roman" w:hAnsi="Times New Roman"/>
        </w:rPr>
        <w:t xml:space="preserve">, which are </w:t>
      </w:r>
      <w:r w:rsidRPr="492F0508" w:rsidR="00E91F84">
        <w:rPr>
          <w:rFonts w:ascii="Times New Roman" w:hAnsi="Times New Roman"/>
        </w:rPr>
        <w:t>estimate</w:t>
      </w:r>
      <w:r w:rsidRPr="492F0508" w:rsidR="0817115E">
        <w:rPr>
          <w:rFonts w:ascii="Times New Roman" w:hAnsi="Times New Roman"/>
        </w:rPr>
        <w:t>d</w:t>
      </w:r>
      <w:r w:rsidR="00D6075D">
        <w:rPr>
          <w:rFonts w:ascii="Times New Roman" w:hAnsi="Times New Roman"/>
        </w:rPr>
        <w:t xml:space="preserve"> </w:t>
      </w:r>
      <w:r w:rsidR="00B636E9">
        <w:rPr>
          <w:rFonts w:ascii="Times New Roman" w:hAnsi="Times New Roman"/>
        </w:rPr>
        <w:t>to</w:t>
      </w:r>
      <w:r w:rsidRPr="492F0508" w:rsidR="23F413B7">
        <w:rPr>
          <w:rFonts w:ascii="Times New Roman" w:hAnsi="Times New Roman"/>
        </w:rPr>
        <w:t xml:space="preserve"> </w:t>
      </w:r>
      <w:r w:rsidRPr="492F0508" w:rsidR="00E91F84">
        <w:rPr>
          <w:rFonts w:ascii="Times New Roman" w:hAnsi="Times New Roman"/>
        </w:rPr>
        <w:t xml:space="preserve">average </w:t>
      </w:r>
      <w:r w:rsidRPr="492F0508" w:rsidR="00960452">
        <w:rPr>
          <w:rFonts w:ascii="Times New Roman" w:hAnsi="Times New Roman"/>
        </w:rPr>
        <w:t>90</w:t>
      </w:r>
      <w:r w:rsidRPr="492F0508" w:rsidR="00E91F84">
        <w:rPr>
          <w:rFonts w:ascii="Times New Roman" w:hAnsi="Times New Roman"/>
        </w:rPr>
        <w:t xml:space="preserve"> minutes. The annualized burden is approximately </w:t>
      </w:r>
      <w:r w:rsidRPr="492F0508" w:rsidR="004B061E">
        <w:rPr>
          <w:rFonts w:ascii="Times New Roman" w:hAnsi="Times New Roman"/>
        </w:rPr>
        <w:t>5.5</w:t>
      </w:r>
      <w:r w:rsidRPr="492F0508" w:rsidR="00E91F84">
        <w:rPr>
          <w:rFonts w:ascii="Times New Roman" w:hAnsi="Times New Roman"/>
        </w:rPr>
        <w:t xml:space="preserve"> hours.</w:t>
      </w:r>
      <w:r w:rsidRPr="492F0508" w:rsidR="0000737A">
        <w:rPr>
          <w:rFonts w:ascii="Times New Roman" w:hAnsi="Times New Roman"/>
        </w:rPr>
        <w:t xml:space="preserve"> The </w:t>
      </w:r>
      <w:r w:rsidRPr="492F0508" w:rsidR="00D87B44">
        <w:rPr>
          <w:rFonts w:ascii="Times New Roman" w:hAnsi="Times New Roman"/>
        </w:rPr>
        <w:t xml:space="preserve">group discussions and one-on-one or two-on-one calls </w:t>
      </w:r>
      <w:r w:rsidRPr="492F0508" w:rsidR="006552B7">
        <w:rPr>
          <w:rFonts w:ascii="Times New Roman" w:hAnsi="Times New Roman"/>
        </w:rPr>
        <w:t>will include a total of approximately 40 grantee staff (13 annualized over three years)</w:t>
      </w:r>
      <w:r w:rsidRPr="492F0508" w:rsidR="00257C84">
        <w:rPr>
          <w:rFonts w:ascii="Times New Roman" w:hAnsi="Times New Roman"/>
        </w:rPr>
        <w:t xml:space="preserve"> and 20 hours of annualized burden.</w:t>
      </w:r>
    </w:p>
    <w:p w:rsidR="006626FF" w:rsidRPr="00A84001" w:rsidP="00A84001" w14:paraId="3CD4954E" w14:textId="12D9D8D8">
      <w:pPr>
        <w:pStyle w:val="MarkforTableTitle"/>
        <w:spacing w:before="240"/>
      </w:pPr>
      <w:r>
        <w:t>Table A.</w:t>
      </w:r>
      <w:r w:rsidR="003B7174">
        <w:t>2</w:t>
      </w:r>
      <w:r>
        <w:t xml:space="preserve">. Estimated </w:t>
      </w:r>
      <w:r w:rsidR="002C6D9E">
        <w:t>A</w:t>
      </w:r>
      <w:r w:rsidR="005565F6">
        <w:t xml:space="preserve">nnualized </w:t>
      </w:r>
      <w:r w:rsidR="002C6D9E">
        <w:t>R</w:t>
      </w:r>
      <w:r w:rsidR="005565F6">
        <w:t xml:space="preserve">espondent </w:t>
      </w:r>
      <w:r w:rsidR="002C6D9E">
        <w:t>C</w:t>
      </w:r>
      <w:r w:rsidR="005565F6">
        <w:t xml:space="preserve">ost and </w:t>
      </w:r>
      <w:r w:rsidR="002C6D9E">
        <w:t>H</w:t>
      </w:r>
      <w:r w:rsidR="005565F6">
        <w:t xml:space="preserve">our </w:t>
      </w:r>
      <w:r w:rsidR="002C6D9E">
        <w:t>B</w:t>
      </w:r>
      <w:r w:rsidR="005565F6">
        <w:t>urden</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530"/>
        <w:gridCol w:w="1080"/>
        <w:gridCol w:w="990"/>
        <w:gridCol w:w="964"/>
        <w:gridCol w:w="1118"/>
        <w:gridCol w:w="1119"/>
        <w:gridCol w:w="1119"/>
      </w:tblGrid>
      <w:tr w14:paraId="2DF04903" w14:textId="77777777" w:rsidTr="00D64C45">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0"/>
        </w:trPr>
        <w:tc>
          <w:tcPr>
            <w:tcW w:w="1525" w:type="dxa"/>
            <w:shd w:val="clear" w:color="auto" w:fill="auto"/>
            <w:vAlign w:val="bottom"/>
            <w:hideMark/>
          </w:tcPr>
          <w:p w:rsidR="006626FF" w:rsidRPr="005E0F98" w:rsidP="00A84001" w14:paraId="427095BF" w14:textId="50F4CB3B">
            <w:pPr>
              <w:spacing w:before="20" w:after="20" w:line="276" w:lineRule="auto"/>
              <w:ind w:left="-72"/>
              <w:rPr>
                <w:rFonts w:ascii="Arial" w:hAnsi="Arial" w:cs="Arial"/>
                <w:b/>
                <w:sz w:val="18"/>
                <w:szCs w:val="18"/>
              </w:rPr>
            </w:pPr>
            <w:r w:rsidRPr="005E0F98">
              <w:rPr>
                <w:rFonts w:ascii="Arial" w:hAnsi="Arial" w:cs="Arial"/>
                <w:b/>
                <w:sz w:val="18"/>
                <w:szCs w:val="18"/>
              </w:rPr>
              <w:t>Activity</w:t>
            </w:r>
          </w:p>
        </w:tc>
        <w:tc>
          <w:tcPr>
            <w:tcW w:w="1530" w:type="dxa"/>
            <w:shd w:val="clear" w:color="auto" w:fill="auto"/>
            <w:vAlign w:val="bottom"/>
            <w:hideMark/>
          </w:tcPr>
          <w:p w:rsidR="006626FF" w:rsidRPr="005E0F98" w:rsidP="00E35AC7" w14:paraId="742D9401" w14:textId="7B8BEB89">
            <w:pPr>
              <w:spacing w:before="20" w:after="20" w:line="276" w:lineRule="auto"/>
              <w:ind w:left="-103" w:right="-161"/>
              <w:jc w:val="center"/>
              <w:rPr>
                <w:rFonts w:ascii="Arial" w:hAnsi="Arial" w:cs="Arial"/>
                <w:b/>
                <w:sz w:val="18"/>
                <w:szCs w:val="18"/>
              </w:rPr>
            </w:pPr>
            <w:r w:rsidRPr="005E0F98">
              <w:rPr>
                <w:rFonts w:ascii="Arial" w:hAnsi="Arial" w:cs="Arial"/>
                <w:b/>
                <w:sz w:val="18"/>
                <w:szCs w:val="18"/>
              </w:rPr>
              <w:t xml:space="preserve">No. of </w:t>
            </w:r>
            <w:r w:rsidRPr="005E0F98">
              <w:rPr>
                <w:rFonts w:ascii="Arial" w:hAnsi="Arial" w:cs="Arial"/>
                <w:b/>
                <w:sz w:val="18"/>
                <w:szCs w:val="18"/>
              </w:rPr>
              <w:t>respondents</w:t>
            </w:r>
            <w:r w:rsidRPr="005E0F98">
              <w:rPr>
                <w:rFonts w:ascii="Arial" w:hAnsi="Arial" w:cs="Arial"/>
                <w:b/>
                <w:sz w:val="18"/>
                <w:szCs w:val="18"/>
                <w:vertAlign w:val="superscript"/>
              </w:rPr>
              <w:t>a</w:t>
            </w:r>
          </w:p>
        </w:tc>
        <w:tc>
          <w:tcPr>
            <w:tcW w:w="1080" w:type="dxa"/>
            <w:shd w:val="clear" w:color="auto" w:fill="auto"/>
            <w:vAlign w:val="bottom"/>
          </w:tcPr>
          <w:p w:rsidR="006626FF" w:rsidRPr="005E0F98" w:rsidP="00E35AC7" w14:paraId="7FA16DC5" w14:textId="202E44E3">
            <w:pPr>
              <w:spacing w:before="20" w:after="20" w:line="276" w:lineRule="auto"/>
              <w:ind w:left="-103" w:right="-161"/>
              <w:jc w:val="center"/>
              <w:rPr>
                <w:rFonts w:ascii="Arial" w:hAnsi="Arial" w:cs="Arial"/>
                <w:b/>
                <w:sz w:val="18"/>
                <w:szCs w:val="18"/>
              </w:rPr>
            </w:pPr>
            <w:r w:rsidRPr="005E0F98">
              <w:rPr>
                <w:rFonts w:ascii="Arial" w:hAnsi="Arial" w:cs="Arial"/>
                <w:b/>
                <w:sz w:val="18"/>
                <w:szCs w:val="18"/>
              </w:rPr>
              <w:t>No. of responses</w:t>
            </w:r>
            <w:r w:rsidR="005E0F98">
              <w:rPr>
                <w:rFonts w:ascii="Arial" w:hAnsi="Arial" w:cs="Arial"/>
                <w:b/>
                <w:sz w:val="18"/>
                <w:szCs w:val="18"/>
              </w:rPr>
              <w:t xml:space="preserve"> </w:t>
            </w:r>
            <w:r w:rsidRPr="005E0F98">
              <w:rPr>
                <w:rFonts w:ascii="Arial" w:hAnsi="Arial" w:cs="Arial"/>
                <w:b/>
                <w:sz w:val="18"/>
                <w:szCs w:val="18"/>
              </w:rPr>
              <w:t>per respondent</w:t>
            </w:r>
          </w:p>
        </w:tc>
        <w:tc>
          <w:tcPr>
            <w:tcW w:w="990" w:type="dxa"/>
            <w:shd w:val="clear" w:color="auto" w:fill="auto"/>
            <w:vAlign w:val="bottom"/>
            <w:hideMark/>
          </w:tcPr>
          <w:p w:rsidR="006626FF" w:rsidRPr="005E0F98" w:rsidP="00E35AC7" w14:paraId="6EFD2450" w14:textId="461AB660">
            <w:pPr>
              <w:spacing w:before="20" w:after="20" w:line="276" w:lineRule="auto"/>
              <w:ind w:left="-103" w:right="-161"/>
              <w:jc w:val="center"/>
              <w:rPr>
                <w:rFonts w:ascii="Arial" w:hAnsi="Arial" w:cs="Arial"/>
                <w:b/>
                <w:sz w:val="18"/>
                <w:szCs w:val="18"/>
              </w:rPr>
            </w:pPr>
            <w:r w:rsidRPr="005E0F98">
              <w:rPr>
                <w:rFonts w:ascii="Arial" w:hAnsi="Arial" w:cs="Arial"/>
                <w:b/>
                <w:sz w:val="18"/>
                <w:szCs w:val="18"/>
              </w:rPr>
              <w:t>Total responses</w:t>
            </w:r>
          </w:p>
        </w:tc>
        <w:tc>
          <w:tcPr>
            <w:tcW w:w="964" w:type="dxa"/>
            <w:shd w:val="clear" w:color="auto" w:fill="auto"/>
            <w:vAlign w:val="bottom"/>
            <w:hideMark/>
          </w:tcPr>
          <w:p w:rsidR="006626FF" w:rsidRPr="005E0F98" w:rsidP="00E35AC7" w14:paraId="0066F3BF" w14:textId="0DB33FFD">
            <w:pPr>
              <w:spacing w:before="20" w:after="20" w:line="276" w:lineRule="auto"/>
              <w:ind w:left="-103" w:right="-161"/>
              <w:jc w:val="center"/>
              <w:rPr>
                <w:rFonts w:ascii="Arial" w:hAnsi="Arial" w:cs="Arial"/>
                <w:b/>
                <w:sz w:val="18"/>
                <w:szCs w:val="18"/>
              </w:rPr>
            </w:pPr>
            <w:r w:rsidRPr="005E0F98">
              <w:rPr>
                <w:rFonts w:ascii="Arial" w:hAnsi="Arial" w:cs="Arial"/>
                <w:b/>
                <w:sz w:val="18"/>
                <w:szCs w:val="18"/>
              </w:rPr>
              <w:t>Average burden (hours)</w:t>
            </w:r>
          </w:p>
        </w:tc>
        <w:tc>
          <w:tcPr>
            <w:tcW w:w="1118" w:type="dxa"/>
            <w:shd w:val="clear" w:color="auto" w:fill="auto"/>
            <w:vAlign w:val="bottom"/>
            <w:hideMark/>
          </w:tcPr>
          <w:p w:rsidR="006626FF" w:rsidRPr="005E0F98" w:rsidP="00E35AC7" w14:paraId="08A1A268" w14:textId="1B452286">
            <w:pPr>
              <w:spacing w:before="20" w:after="20" w:line="276" w:lineRule="auto"/>
              <w:ind w:left="-103" w:right="-161"/>
              <w:jc w:val="center"/>
              <w:rPr>
                <w:rFonts w:ascii="Arial" w:hAnsi="Arial" w:cs="Arial"/>
                <w:b/>
                <w:sz w:val="18"/>
                <w:szCs w:val="18"/>
              </w:rPr>
            </w:pPr>
            <w:r w:rsidRPr="005E0F98">
              <w:rPr>
                <w:rFonts w:ascii="Arial" w:hAnsi="Arial" w:cs="Arial"/>
                <w:b/>
                <w:sz w:val="18"/>
                <w:szCs w:val="18"/>
              </w:rPr>
              <w:t>Total burden (hours)</w:t>
            </w:r>
          </w:p>
        </w:tc>
        <w:tc>
          <w:tcPr>
            <w:tcW w:w="1119" w:type="dxa"/>
            <w:shd w:val="clear" w:color="auto" w:fill="auto"/>
            <w:vAlign w:val="bottom"/>
            <w:hideMark/>
          </w:tcPr>
          <w:p w:rsidR="006626FF" w:rsidRPr="005E0F98" w:rsidP="00E35AC7" w14:paraId="238CBA4F" w14:textId="136D67A1">
            <w:pPr>
              <w:spacing w:before="20" w:after="20" w:line="276" w:lineRule="auto"/>
              <w:ind w:left="-103" w:right="-161"/>
              <w:jc w:val="center"/>
              <w:rPr>
                <w:rFonts w:ascii="Arial" w:hAnsi="Arial" w:cs="Arial"/>
                <w:b/>
                <w:sz w:val="18"/>
                <w:szCs w:val="18"/>
              </w:rPr>
            </w:pPr>
            <w:r w:rsidRPr="005E0F98">
              <w:rPr>
                <w:rFonts w:ascii="Arial" w:hAnsi="Arial" w:cs="Arial"/>
                <w:b/>
                <w:sz w:val="18"/>
                <w:szCs w:val="18"/>
              </w:rPr>
              <w:t>Hourly</w:t>
            </w:r>
            <w:r w:rsidR="005E0F98">
              <w:rPr>
                <w:rFonts w:ascii="Arial" w:hAnsi="Arial" w:cs="Arial"/>
                <w:b/>
                <w:sz w:val="18"/>
                <w:szCs w:val="18"/>
              </w:rPr>
              <w:t xml:space="preserve"> </w:t>
            </w:r>
            <w:r w:rsidRPr="005E0F98">
              <w:rPr>
                <w:rFonts w:ascii="Arial" w:hAnsi="Arial" w:cs="Arial"/>
                <w:b/>
                <w:sz w:val="18"/>
                <w:szCs w:val="18"/>
              </w:rPr>
              <w:t xml:space="preserve">wage </w:t>
            </w:r>
            <w:r w:rsidRPr="005E0F98">
              <w:rPr>
                <w:rFonts w:ascii="Arial" w:hAnsi="Arial" w:cs="Arial"/>
                <w:b/>
                <w:sz w:val="18"/>
                <w:szCs w:val="18"/>
              </w:rPr>
              <w:t>rate</w:t>
            </w:r>
            <w:r w:rsidRPr="005E0F98">
              <w:rPr>
                <w:rFonts w:ascii="Arial" w:hAnsi="Arial" w:cs="Arial"/>
                <w:b/>
                <w:sz w:val="18"/>
                <w:szCs w:val="18"/>
                <w:vertAlign w:val="superscript"/>
              </w:rPr>
              <w:t>b</w:t>
            </w:r>
          </w:p>
        </w:tc>
        <w:tc>
          <w:tcPr>
            <w:tcW w:w="1119" w:type="dxa"/>
            <w:shd w:val="clear" w:color="auto" w:fill="auto"/>
            <w:vAlign w:val="bottom"/>
            <w:hideMark/>
          </w:tcPr>
          <w:p w:rsidR="006626FF" w:rsidRPr="005E0F98" w:rsidP="00D64C45" w14:paraId="68D42730" w14:textId="61345A69">
            <w:pPr>
              <w:spacing w:before="20" w:after="20" w:line="276" w:lineRule="auto"/>
              <w:ind w:left="-103" w:right="-161"/>
              <w:jc w:val="both"/>
              <w:rPr>
                <w:rFonts w:ascii="Arial" w:hAnsi="Arial" w:cs="Arial"/>
                <w:b/>
                <w:sz w:val="18"/>
                <w:szCs w:val="18"/>
              </w:rPr>
            </w:pPr>
            <w:r>
              <w:rPr>
                <w:rFonts w:ascii="Arial" w:hAnsi="Arial" w:cs="Arial"/>
                <w:b/>
                <w:sz w:val="18"/>
                <w:szCs w:val="18"/>
              </w:rPr>
              <w:t>M</w:t>
            </w:r>
            <w:r w:rsidRPr="005E0F98">
              <w:rPr>
                <w:rFonts w:ascii="Arial" w:hAnsi="Arial" w:cs="Arial"/>
                <w:b/>
                <w:sz w:val="18"/>
                <w:szCs w:val="18"/>
              </w:rPr>
              <w:t xml:space="preserve">onetized </w:t>
            </w:r>
            <w:r>
              <w:rPr>
                <w:rFonts w:ascii="Arial" w:hAnsi="Arial" w:cs="Arial"/>
                <w:b/>
                <w:sz w:val="18"/>
                <w:szCs w:val="18"/>
              </w:rPr>
              <w:t>Value of Time</w:t>
            </w:r>
          </w:p>
        </w:tc>
      </w:tr>
      <w:tr w14:paraId="531A7370" w14:textId="77777777" w:rsidTr="00D64C45">
        <w:tblPrEx>
          <w:tblW w:w="9445" w:type="dxa"/>
          <w:tblLayout w:type="fixed"/>
          <w:tblLook w:val="04A0"/>
        </w:tblPrEx>
        <w:trPr>
          <w:trHeight w:val="300"/>
        </w:trPr>
        <w:tc>
          <w:tcPr>
            <w:tcW w:w="1525" w:type="dxa"/>
            <w:shd w:val="clear" w:color="auto" w:fill="auto"/>
          </w:tcPr>
          <w:p w:rsidR="005670A8" w:rsidRPr="005E0F98" w:rsidP="003B44C4" w14:paraId="08C1C7B8" w14:textId="251CB024">
            <w:pPr>
              <w:tabs>
                <w:tab w:val="decimal" w:pos="567"/>
              </w:tabs>
              <w:spacing w:before="20" w:after="20"/>
              <w:rPr>
                <w:rFonts w:ascii="Arial" w:hAnsi="Arial" w:cs="Arial"/>
                <w:color w:val="000000"/>
                <w:sz w:val="18"/>
                <w:szCs w:val="18"/>
              </w:rPr>
            </w:pPr>
            <w:r w:rsidRPr="005E686D">
              <w:rPr>
                <w:rFonts w:ascii="Arial" w:hAnsi="Arial" w:cs="Arial"/>
                <w:color w:val="000000"/>
                <w:sz w:val="18"/>
                <w:szCs w:val="18"/>
              </w:rPr>
              <w:t>St</w:t>
            </w:r>
            <w:r w:rsidRPr="00475FA8">
              <w:rPr>
                <w:rFonts w:ascii="Arial" w:hAnsi="Arial" w:cs="Arial"/>
                <w:color w:val="000000"/>
                <w:sz w:val="18"/>
                <w:szCs w:val="18"/>
              </w:rPr>
              <w:t>udy participant follow-up survey</w:t>
            </w:r>
          </w:p>
        </w:tc>
        <w:tc>
          <w:tcPr>
            <w:tcW w:w="1530" w:type="dxa"/>
            <w:shd w:val="clear" w:color="auto" w:fill="auto"/>
          </w:tcPr>
          <w:p w:rsidR="005670A8" w:rsidP="005670A8" w14:paraId="0D17893B" w14:textId="3E162EE3">
            <w:pPr>
              <w:spacing w:before="20" w:after="20" w:line="276" w:lineRule="auto"/>
              <w:jc w:val="center"/>
              <w:rPr>
                <w:rFonts w:ascii="Arial" w:hAnsi="Arial" w:cs="Arial"/>
                <w:color w:val="000000"/>
                <w:sz w:val="18"/>
                <w:szCs w:val="18"/>
              </w:rPr>
            </w:pPr>
            <w:r>
              <w:rPr>
                <w:rFonts w:ascii="Arial" w:hAnsi="Arial" w:cs="Arial"/>
                <w:color w:val="000000"/>
                <w:sz w:val="18"/>
                <w:szCs w:val="18"/>
              </w:rPr>
              <w:t>533</w:t>
            </w:r>
          </w:p>
        </w:tc>
        <w:tc>
          <w:tcPr>
            <w:tcW w:w="1080" w:type="dxa"/>
            <w:shd w:val="clear" w:color="auto" w:fill="auto"/>
          </w:tcPr>
          <w:p w:rsidR="005670A8" w:rsidRPr="005E0F98" w:rsidP="005670A8" w14:paraId="5AF8566D" w14:textId="7B6B8F67">
            <w:pPr>
              <w:spacing w:before="20" w:after="20" w:line="276" w:lineRule="auto"/>
              <w:jc w:val="center"/>
              <w:rPr>
                <w:rFonts w:ascii="Arial" w:hAnsi="Arial" w:cs="Arial"/>
                <w:color w:val="000000"/>
                <w:sz w:val="18"/>
                <w:szCs w:val="18"/>
              </w:rPr>
            </w:pPr>
            <w:r>
              <w:rPr>
                <w:rFonts w:ascii="Arial" w:hAnsi="Arial" w:cs="Arial"/>
                <w:color w:val="000000"/>
                <w:sz w:val="18"/>
                <w:szCs w:val="18"/>
              </w:rPr>
              <w:t>1</w:t>
            </w:r>
          </w:p>
        </w:tc>
        <w:tc>
          <w:tcPr>
            <w:tcW w:w="990" w:type="dxa"/>
            <w:shd w:val="clear" w:color="auto" w:fill="auto"/>
          </w:tcPr>
          <w:p w:rsidR="005670A8" w:rsidP="005670A8" w14:paraId="04188412" w14:textId="741196ED">
            <w:pPr>
              <w:spacing w:before="20" w:after="20" w:line="276" w:lineRule="auto"/>
              <w:jc w:val="center"/>
              <w:rPr>
                <w:rFonts w:ascii="Arial" w:hAnsi="Arial" w:cs="Arial"/>
                <w:sz w:val="18"/>
                <w:szCs w:val="18"/>
              </w:rPr>
            </w:pPr>
            <w:r>
              <w:rPr>
                <w:rFonts w:ascii="Arial" w:hAnsi="Arial" w:cs="Arial"/>
                <w:sz w:val="18"/>
                <w:szCs w:val="18"/>
              </w:rPr>
              <w:t>533</w:t>
            </w:r>
          </w:p>
        </w:tc>
        <w:tc>
          <w:tcPr>
            <w:tcW w:w="964" w:type="dxa"/>
            <w:shd w:val="clear" w:color="auto" w:fill="auto"/>
          </w:tcPr>
          <w:p w:rsidR="005670A8" w:rsidRPr="005E0F98" w:rsidP="005670A8" w14:paraId="3B8F4C4E" w14:textId="61D7ECF2">
            <w:pPr>
              <w:spacing w:before="20" w:after="20" w:line="276" w:lineRule="auto"/>
              <w:jc w:val="center"/>
              <w:rPr>
                <w:rFonts w:ascii="Arial" w:hAnsi="Arial" w:cs="Arial"/>
                <w:color w:val="000000"/>
                <w:sz w:val="18"/>
                <w:szCs w:val="18"/>
              </w:rPr>
            </w:pPr>
            <w:r>
              <w:rPr>
                <w:rFonts w:ascii="Arial" w:hAnsi="Arial" w:cs="Arial"/>
                <w:color w:val="000000"/>
                <w:sz w:val="18"/>
                <w:szCs w:val="18"/>
              </w:rPr>
              <w:t>.</w:t>
            </w:r>
            <w:r w:rsidR="00B43B50">
              <w:rPr>
                <w:rFonts w:ascii="Arial" w:hAnsi="Arial" w:cs="Arial"/>
                <w:color w:val="000000"/>
                <w:sz w:val="18"/>
                <w:szCs w:val="18"/>
              </w:rPr>
              <w:t>42</w:t>
            </w:r>
          </w:p>
        </w:tc>
        <w:tc>
          <w:tcPr>
            <w:tcW w:w="1118" w:type="dxa"/>
            <w:shd w:val="clear" w:color="auto" w:fill="auto"/>
          </w:tcPr>
          <w:p w:rsidR="005670A8" w:rsidP="005670A8" w14:paraId="036F14CC" w14:textId="33A9DAA7">
            <w:pPr>
              <w:spacing w:before="20" w:after="20" w:line="276" w:lineRule="auto"/>
              <w:jc w:val="center"/>
              <w:rPr>
                <w:rFonts w:ascii="Arial" w:hAnsi="Arial" w:cs="Arial"/>
                <w:color w:val="000000"/>
                <w:sz w:val="18"/>
                <w:szCs w:val="18"/>
              </w:rPr>
            </w:pPr>
            <w:r>
              <w:rPr>
                <w:rFonts w:ascii="Arial" w:hAnsi="Arial" w:cs="Arial"/>
                <w:color w:val="000000"/>
                <w:sz w:val="18"/>
                <w:szCs w:val="18"/>
              </w:rPr>
              <w:t>222</w:t>
            </w:r>
          </w:p>
        </w:tc>
        <w:tc>
          <w:tcPr>
            <w:tcW w:w="1119" w:type="dxa"/>
            <w:shd w:val="clear" w:color="auto" w:fill="auto"/>
          </w:tcPr>
          <w:p w:rsidR="005670A8" w:rsidRPr="005E0F98" w:rsidP="005670A8" w14:paraId="577D7C06" w14:textId="69876939">
            <w:pPr>
              <w:spacing w:before="20" w:after="20" w:line="276" w:lineRule="auto"/>
              <w:jc w:val="center"/>
              <w:rPr>
                <w:rFonts w:ascii="Arial" w:hAnsi="Arial" w:cs="Arial"/>
                <w:color w:val="000000"/>
                <w:sz w:val="18"/>
                <w:szCs w:val="18"/>
              </w:rPr>
            </w:pPr>
            <w:r>
              <w:rPr>
                <w:rFonts w:ascii="Arial" w:hAnsi="Arial" w:cs="Arial"/>
                <w:color w:val="000000"/>
                <w:sz w:val="18"/>
                <w:szCs w:val="18"/>
              </w:rPr>
              <w:t>$7.25</w:t>
            </w:r>
          </w:p>
        </w:tc>
        <w:tc>
          <w:tcPr>
            <w:tcW w:w="1119" w:type="dxa"/>
            <w:shd w:val="clear" w:color="auto" w:fill="auto"/>
          </w:tcPr>
          <w:p w:rsidR="005670A8" w:rsidRPr="005E0F98" w:rsidP="005670A8" w14:paraId="040BC893" w14:textId="333FF919">
            <w:pPr>
              <w:spacing w:before="20" w:after="20" w:line="276" w:lineRule="auto"/>
              <w:jc w:val="center"/>
              <w:rPr>
                <w:rFonts w:ascii="Arial" w:hAnsi="Arial" w:cs="Arial"/>
                <w:color w:val="000000"/>
                <w:sz w:val="18"/>
                <w:szCs w:val="18"/>
              </w:rPr>
            </w:pPr>
            <w:r>
              <w:rPr>
                <w:rFonts w:ascii="Arial" w:hAnsi="Arial" w:cs="Arial"/>
                <w:color w:val="000000"/>
                <w:sz w:val="18"/>
                <w:szCs w:val="18"/>
              </w:rPr>
              <w:t>$1,</w:t>
            </w:r>
            <w:r w:rsidR="00C951B2">
              <w:rPr>
                <w:rFonts w:ascii="Arial" w:hAnsi="Arial" w:cs="Arial"/>
                <w:color w:val="000000"/>
                <w:sz w:val="18"/>
                <w:szCs w:val="18"/>
              </w:rPr>
              <w:t>6</w:t>
            </w:r>
            <w:r w:rsidR="00A96210">
              <w:rPr>
                <w:rFonts w:ascii="Arial" w:hAnsi="Arial" w:cs="Arial"/>
                <w:color w:val="000000"/>
                <w:sz w:val="18"/>
                <w:szCs w:val="18"/>
              </w:rPr>
              <w:t>10</w:t>
            </w:r>
            <w:r w:rsidR="00C951B2">
              <w:rPr>
                <w:rFonts w:ascii="Arial" w:hAnsi="Arial" w:cs="Arial"/>
                <w:color w:val="000000"/>
                <w:sz w:val="18"/>
                <w:szCs w:val="18"/>
              </w:rPr>
              <w:t xml:space="preserve"> </w:t>
            </w:r>
          </w:p>
        </w:tc>
      </w:tr>
      <w:tr w14:paraId="031A593F" w14:textId="77777777" w:rsidTr="00D64C45">
        <w:tblPrEx>
          <w:tblW w:w="9445" w:type="dxa"/>
          <w:tblLayout w:type="fixed"/>
          <w:tblLook w:val="04A0"/>
        </w:tblPrEx>
        <w:trPr>
          <w:trHeight w:val="300"/>
        </w:trPr>
        <w:tc>
          <w:tcPr>
            <w:tcW w:w="1525" w:type="dxa"/>
            <w:shd w:val="clear" w:color="auto" w:fill="auto"/>
          </w:tcPr>
          <w:p w:rsidR="005670A8" w:rsidRPr="005E0F98" w:rsidP="005670A8" w14:paraId="31E7D3E2" w14:textId="4FBB7E73">
            <w:pPr>
              <w:tabs>
                <w:tab w:val="decimal" w:pos="567"/>
              </w:tabs>
              <w:spacing w:before="20" w:after="20"/>
              <w:ind w:left="-18"/>
              <w:rPr>
                <w:rFonts w:ascii="Arial" w:hAnsi="Arial" w:cs="Arial"/>
                <w:color w:val="000000"/>
                <w:sz w:val="18"/>
                <w:szCs w:val="18"/>
              </w:rPr>
            </w:pPr>
            <w:r>
              <w:rPr>
                <w:rFonts w:ascii="Arial" w:hAnsi="Arial" w:cs="Arial"/>
                <w:color w:val="000000"/>
                <w:sz w:val="18"/>
                <w:szCs w:val="18"/>
              </w:rPr>
              <w:t>Structured</w:t>
            </w:r>
            <w:r w:rsidRPr="005E686D">
              <w:rPr>
                <w:rFonts w:ascii="Arial" w:hAnsi="Arial" w:cs="Arial"/>
                <w:color w:val="000000"/>
                <w:sz w:val="18"/>
                <w:szCs w:val="18"/>
              </w:rPr>
              <w:t xml:space="preserve"> discussion</w:t>
            </w:r>
            <w:r w:rsidR="006352CC">
              <w:rPr>
                <w:rFonts w:ascii="Arial" w:hAnsi="Arial" w:cs="Arial"/>
                <w:color w:val="000000"/>
                <w:sz w:val="18"/>
                <w:szCs w:val="18"/>
              </w:rPr>
              <w:t>s</w:t>
            </w:r>
            <w:r w:rsidRPr="005E686D">
              <w:rPr>
                <w:rFonts w:ascii="Arial" w:hAnsi="Arial" w:cs="Arial"/>
                <w:color w:val="000000"/>
                <w:sz w:val="18"/>
                <w:szCs w:val="18"/>
              </w:rPr>
              <w:t xml:space="preserve"> with grantee</w:t>
            </w:r>
            <w:r w:rsidR="007826CD">
              <w:rPr>
                <w:rFonts w:ascii="Arial" w:hAnsi="Arial" w:cs="Arial"/>
                <w:color w:val="000000"/>
                <w:sz w:val="18"/>
                <w:szCs w:val="18"/>
              </w:rPr>
              <w:t xml:space="preserve"> </w:t>
            </w:r>
            <w:r w:rsidR="006352CC">
              <w:rPr>
                <w:rFonts w:ascii="Arial" w:hAnsi="Arial" w:cs="Arial"/>
                <w:color w:val="000000"/>
                <w:sz w:val="18"/>
                <w:szCs w:val="18"/>
              </w:rPr>
              <w:t>staff</w:t>
            </w:r>
          </w:p>
        </w:tc>
        <w:tc>
          <w:tcPr>
            <w:tcW w:w="1530" w:type="dxa"/>
            <w:shd w:val="clear" w:color="auto" w:fill="auto"/>
          </w:tcPr>
          <w:p w:rsidR="005670A8" w:rsidP="005670A8" w14:paraId="25B8458B" w14:textId="6A941DF2">
            <w:pPr>
              <w:spacing w:before="20" w:after="20" w:line="276" w:lineRule="auto"/>
              <w:jc w:val="center"/>
              <w:rPr>
                <w:rFonts w:ascii="Arial" w:hAnsi="Arial" w:cs="Arial"/>
                <w:color w:val="000000"/>
                <w:sz w:val="18"/>
                <w:szCs w:val="18"/>
              </w:rPr>
            </w:pPr>
            <w:r>
              <w:rPr>
                <w:rFonts w:ascii="Arial" w:hAnsi="Arial" w:cs="Arial"/>
                <w:color w:val="000000"/>
                <w:sz w:val="18"/>
                <w:szCs w:val="18"/>
              </w:rPr>
              <w:t>1</w:t>
            </w:r>
            <w:r w:rsidR="00FF4A9C">
              <w:rPr>
                <w:rFonts w:ascii="Arial" w:hAnsi="Arial" w:cs="Arial"/>
                <w:color w:val="000000"/>
                <w:sz w:val="18"/>
                <w:szCs w:val="18"/>
              </w:rPr>
              <w:t>3</w:t>
            </w:r>
          </w:p>
        </w:tc>
        <w:tc>
          <w:tcPr>
            <w:tcW w:w="1080" w:type="dxa"/>
            <w:shd w:val="clear" w:color="auto" w:fill="auto"/>
          </w:tcPr>
          <w:p w:rsidR="005670A8" w:rsidRPr="005E0F98" w:rsidP="005670A8" w14:paraId="2950A111" w14:textId="6869695D">
            <w:pPr>
              <w:spacing w:before="20" w:after="20" w:line="276" w:lineRule="auto"/>
              <w:jc w:val="center"/>
              <w:rPr>
                <w:rFonts w:ascii="Arial" w:hAnsi="Arial" w:cs="Arial"/>
                <w:color w:val="000000"/>
                <w:sz w:val="18"/>
                <w:szCs w:val="18"/>
              </w:rPr>
            </w:pPr>
            <w:r>
              <w:rPr>
                <w:rFonts w:ascii="Arial" w:hAnsi="Arial" w:cs="Arial"/>
                <w:color w:val="000000"/>
                <w:sz w:val="18"/>
                <w:szCs w:val="18"/>
              </w:rPr>
              <w:t>1</w:t>
            </w:r>
          </w:p>
        </w:tc>
        <w:tc>
          <w:tcPr>
            <w:tcW w:w="990" w:type="dxa"/>
            <w:shd w:val="clear" w:color="auto" w:fill="auto"/>
          </w:tcPr>
          <w:p w:rsidR="005670A8" w:rsidP="005670A8" w14:paraId="153FCC2A" w14:textId="730B5460">
            <w:pPr>
              <w:spacing w:before="20" w:after="20" w:line="276" w:lineRule="auto"/>
              <w:jc w:val="center"/>
              <w:rPr>
                <w:rFonts w:ascii="Arial" w:hAnsi="Arial" w:cs="Arial"/>
                <w:sz w:val="18"/>
                <w:szCs w:val="18"/>
              </w:rPr>
            </w:pPr>
            <w:r>
              <w:rPr>
                <w:rFonts w:ascii="Arial" w:hAnsi="Arial" w:cs="Arial"/>
                <w:sz w:val="18"/>
                <w:szCs w:val="18"/>
              </w:rPr>
              <w:t>1</w:t>
            </w:r>
            <w:r w:rsidR="00FF4A9C">
              <w:rPr>
                <w:rFonts w:ascii="Arial" w:hAnsi="Arial" w:cs="Arial"/>
                <w:sz w:val="18"/>
                <w:szCs w:val="18"/>
              </w:rPr>
              <w:t>3</w:t>
            </w:r>
          </w:p>
        </w:tc>
        <w:tc>
          <w:tcPr>
            <w:tcW w:w="964" w:type="dxa"/>
            <w:shd w:val="clear" w:color="auto" w:fill="auto"/>
          </w:tcPr>
          <w:p w:rsidR="005670A8" w:rsidRPr="005E0F98" w:rsidP="005670A8" w14:paraId="4B882992" w14:textId="6C9F8C01">
            <w:pPr>
              <w:spacing w:before="20" w:after="20" w:line="276" w:lineRule="auto"/>
              <w:jc w:val="center"/>
              <w:rPr>
                <w:rFonts w:ascii="Arial" w:hAnsi="Arial" w:cs="Arial"/>
                <w:color w:val="000000"/>
                <w:sz w:val="18"/>
                <w:szCs w:val="18"/>
              </w:rPr>
            </w:pPr>
            <w:r>
              <w:rPr>
                <w:rFonts w:ascii="Arial" w:hAnsi="Arial" w:cs="Arial"/>
                <w:color w:val="000000"/>
                <w:sz w:val="18"/>
                <w:szCs w:val="18"/>
              </w:rPr>
              <w:t>1</w:t>
            </w:r>
            <w:r w:rsidR="00014218">
              <w:rPr>
                <w:rFonts w:ascii="Arial" w:hAnsi="Arial" w:cs="Arial"/>
                <w:color w:val="000000"/>
                <w:sz w:val="18"/>
                <w:szCs w:val="18"/>
              </w:rPr>
              <w:t>.5</w:t>
            </w:r>
          </w:p>
        </w:tc>
        <w:tc>
          <w:tcPr>
            <w:tcW w:w="1118" w:type="dxa"/>
            <w:shd w:val="clear" w:color="auto" w:fill="auto"/>
          </w:tcPr>
          <w:p w:rsidR="005670A8" w:rsidP="005670A8" w14:paraId="41AF965D" w14:textId="1D2F1ECC">
            <w:pPr>
              <w:spacing w:before="20" w:after="20" w:line="276" w:lineRule="auto"/>
              <w:jc w:val="center"/>
              <w:rPr>
                <w:rFonts w:ascii="Arial" w:hAnsi="Arial" w:cs="Arial"/>
                <w:color w:val="000000"/>
                <w:sz w:val="18"/>
                <w:szCs w:val="18"/>
              </w:rPr>
            </w:pPr>
            <w:r>
              <w:rPr>
                <w:rFonts w:ascii="Arial" w:hAnsi="Arial" w:cs="Arial"/>
                <w:color w:val="000000"/>
                <w:sz w:val="18"/>
                <w:szCs w:val="18"/>
              </w:rPr>
              <w:t>20</w:t>
            </w:r>
          </w:p>
        </w:tc>
        <w:tc>
          <w:tcPr>
            <w:tcW w:w="1119" w:type="dxa"/>
            <w:shd w:val="clear" w:color="auto" w:fill="auto"/>
          </w:tcPr>
          <w:p w:rsidR="005670A8" w:rsidRPr="005E0F98" w:rsidP="005670A8" w14:paraId="08283CD7" w14:textId="4F43E7C2">
            <w:pPr>
              <w:spacing w:before="20" w:after="20" w:line="276" w:lineRule="auto"/>
              <w:jc w:val="center"/>
              <w:rPr>
                <w:rFonts w:ascii="Arial" w:hAnsi="Arial" w:cs="Arial"/>
                <w:color w:val="000000"/>
                <w:sz w:val="18"/>
                <w:szCs w:val="18"/>
              </w:rPr>
            </w:pPr>
            <w:r>
              <w:rPr>
                <w:rFonts w:ascii="Arial" w:hAnsi="Arial" w:cs="Arial"/>
                <w:color w:val="000000"/>
                <w:sz w:val="18"/>
                <w:szCs w:val="18"/>
              </w:rPr>
              <w:t>$</w:t>
            </w:r>
            <w:r w:rsidR="009656D9">
              <w:rPr>
                <w:rFonts w:ascii="Arial" w:hAnsi="Arial" w:cs="Arial"/>
                <w:color w:val="000000"/>
                <w:sz w:val="18"/>
                <w:szCs w:val="18"/>
              </w:rPr>
              <w:t>36.92</w:t>
            </w:r>
          </w:p>
        </w:tc>
        <w:tc>
          <w:tcPr>
            <w:tcW w:w="1119" w:type="dxa"/>
            <w:shd w:val="clear" w:color="auto" w:fill="auto"/>
          </w:tcPr>
          <w:p w:rsidR="005670A8" w:rsidRPr="005E0F98" w:rsidP="005670A8" w14:paraId="0AB2A96C" w14:textId="7C6E9D74">
            <w:pPr>
              <w:spacing w:before="20" w:after="20" w:line="276" w:lineRule="auto"/>
              <w:jc w:val="center"/>
              <w:rPr>
                <w:rFonts w:ascii="Arial" w:hAnsi="Arial" w:cs="Arial"/>
                <w:color w:val="000000"/>
                <w:sz w:val="18"/>
                <w:szCs w:val="18"/>
              </w:rPr>
            </w:pPr>
            <w:r>
              <w:rPr>
                <w:rFonts w:ascii="Arial" w:hAnsi="Arial" w:cs="Arial"/>
                <w:color w:val="000000"/>
                <w:sz w:val="18"/>
                <w:szCs w:val="18"/>
              </w:rPr>
              <w:t>$</w:t>
            </w:r>
            <w:r w:rsidR="00751C3C">
              <w:rPr>
                <w:rFonts w:ascii="Arial" w:hAnsi="Arial" w:cs="Arial"/>
                <w:color w:val="000000"/>
                <w:sz w:val="18"/>
                <w:szCs w:val="18"/>
              </w:rPr>
              <w:t>738</w:t>
            </w:r>
          </w:p>
        </w:tc>
      </w:tr>
      <w:tr w14:paraId="2C13C603" w14:textId="77777777" w:rsidTr="00D64C45">
        <w:tblPrEx>
          <w:tblW w:w="9445" w:type="dxa"/>
          <w:tblLayout w:type="fixed"/>
          <w:tblLook w:val="04A0"/>
        </w:tblPrEx>
        <w:trPr>
          <w:trHeight w:val="300"/>
        </w:trPr>
        <w:tc>
          <w:tcPr>
            <w:tcW w:w="1525" w:type="dxa"/>
            <w:shd w:val="clear" w:color="auto" w:fill="auto"/>
          </w:tcPr>
          <w:p w:rsidR="005670A8" w:rsidRPr="005E0F98" w:rsidP="005670A8" w14:paraId="10753054" w14:textId="414880C1">
            <w:pPr>
              <w:tabs>
                <w:tab w:val="decimal" w:pos="567"/>
              </w:tabs>
              <w:spacing w:before="20" w:after="20"/>
              <w:ind w:left="-18"/>
              <w:rPr>
                <w:rFonts w:ascii="Arial" w:hAnsi="Arial" w:cs="Arial"/>
                <w:color w:val="000000"/>
                <w:sz w:val="18"/>
                <w:szCs w:val="18"/>
              </w:rPr>
            </w:pPr>
            <w:r w:rsidRPr="005E0F98">
              <w:rPr>
                <w:rFonts w:ascii="Arial" w:hAnsi="Arial" w:cs="Arial"/>
                <w:b/>
                <w:color w:val="000000"/>
                <w:sz w:val="18"/>
                <w:szCs w:val="18"/>
              </w:rPr>
              <w:t>Total</w:t>
            </w:r>
          </w:p>
        </w:tc>
        <w:tc>
          <w:tcPr>
            <w:tcW w:w="1530" w:type="dxa"/>
            <w:shd w:val="clear" w:color="auto" w:fill="auto"/>
          </w:tcPr>
          <w:p w:rsidR="005670A8" w:rsidRPr="006D0149" w:rsidP="005670A8" w14:paraId="7ACBB6B1" w14:textId="75277B18">
            <w:pPr>
              <w:spacing w:before="20" w:after="20" w:line="276" w:lineRule="auto"/>
              <w:jc w:val="center"/>
              <w:rPr>
                <w:rFonts w:ascii="Arial" w:hAnsi="Arial" w:cs="Arial"/>
                <w:b/>
                <w:bCs/>
                <w:color w:val="000000"/>
                <w:sz w:val="18"/>
                <w:szCs w:val="18"/>
              </w:rPr>
            </w:pPr>
            <w:r w:rsidRPr="006D0149">
              <w:rPr>
                <w:rFonts w:ascii="Arial" w:hAnsi="Arial" w:cs="Arial"/>
                <w:b/>
                <w:bCs/>
                <w:color w:val="000000"/>
                <w:sz w:val="18"/>
                <w:szCs w:val="18"/>
              </w:rPr>
              <w:t>54</w:t>
            </w:r>
            <w:r w:rsidRPr="006D0149" w:rsidR="00E97682">
              <w:rPr>
                <w:rFonts w:ascii="Arial" w:hAnsi="Arial" w:cs="Arial"/>
                <w:b/>
                <w:bCs/>
                <w:color w:val="000000"/>
                <w:sz w:val="18"/>
                <w:szCs w:val="18"/>
              </w:rPr>
              <w:t>6</w:t>
            </w:r>
          </w:p>
        </w:tc>
        <w:tc>
          <w:tcPr>
            <w:tcW w:w="1080" w:type="dxa"/>
            <w:shd w:val="clear" w:color="auto" w:fill="000000" w:themeFill="text1"/>
          </w:tcPr>
          <w:p w:rsidR="005670A8" w:rsidRPr="005E0F98" w:rsidP="005670A8" w14:paraId="742C9CA2" w14:textId="77777777">
            <w:pPr>
              <w:spacing w:before="20" w:after="20" w:line="276" w:lineRule="auto"/>
              <w:jc w:val="center"/>
              <w:rPr>
                <w:rFonts w:ascii="Arial" w:hAnsi="Arial" w:cs="Arial"/>
                <w:color w:val="000000"/>
                <w:sz w:val="18"/>
                <w:szCs w:val="18"/>
              </w:rPr>
            </w:pPr>
          </w:p>
        </w:tc>
        <w:tc>
          <w:tcPr>
            <w:tcW w:w="990" w:type="dxa"/>
            <w:shd w:val="clear" w:color="auto" w:fill="auto"/>
          </w:tcPr>
          <w:p w:rsidR="005670A8" w:rsidRPr="006D0149" w:rsidP="005670A8" w14:paraId="6E81E843" w14:textId="4E1194FF">
            <w:pPr>
              <w:spacing w:before="20" w:after="20" w:line="276" w:lineRule="auto"/>
              <w:jc w:val="center"/>
              <w:rPr>
                <w:rFonts w:ascii="Arial" w:hAnsi="Arial" w:cs="Arial"/>
                <w:b/>
                <w:bCs/>
                <w:sz w:val="18"/>
                <w:szCs w:val="18"/>
              </w:rPr>
            </w:pPr>
            <w:r w:rsidRPr="006D0149">
              <w:rPr>
                <w:rFonts w:ascii="Arial" w:hAnsi="Arial" w:cs="Arial"/>
                <w:b/>
                <w:bCs/>
                <w:sz w:val="18"/>
                <w:szCs w:val="18"/>
              </w:rPr>
              <w:t>54</w:t>
            </w:r>
            <w:r w:rsidRPr="006D0149" w:rsidR="00E97682">
              <w:rPr>
                <w:rFonts w:ascii="Arial" w:hAnsi="Arial" w:cs="Arial"/>
                <w:b/>
                <w:bCs/>
                <w:sz w:val="18"/>
                <w:szCs w:val="18"/>
              </w:rPr>
              <w:t>6</w:t>
            </w:r>
          </w:p>
        </w:tc>
        <w:tc>
          <w:tcPr>
            <w:tcW w:w="964" w:type="dxa"/>
            <w:shd w:val="clear" w:color="auto" w:fill="000000" w:themeFill="text1"/>
          </w:tcPr>
          <w:p w:rsidR="005670A8" w:rsidRPr="005E0F98" w:rsidP="005670A8" w14:paraId="08B84476" w14:textId="138DCA37">
            <w:pPr>
              <w:spacing w:before="20" w:after="20" w:line="276" w:lineRule="auto"/>
              <w:jc w:val="center"/>
              <w:rPr>
                <w:rFonts w:ascii="Arial" w:hAnsi="Arial" w:cs="Arial"/>
                <w:color w:val="000000"/>
                <w:sz w:val="18"/>
                <w:szCs w:val="18"/>
              </w:rPr>
            </w:pPr>
          </w:p>
        </w:tc>
        <w:tc>
          <w:tcPr>
            <w:tcW w:w="1118" w:type="dxa"/>
            <w:shd w:val="clear" w:color="auto" w:fill="auto"/>
          </w:tcPr>
          <w:p w:rsidR="005670A8" w:rsidRPr="005E0F98" w:rsidP="005670A8" w14:paraId="2027088F" w14:textId="4B65C7A4">
            <w:pPr>
              <w:spacing w:before="20" w:after="20" w:line="276" w:lineRule="auto"/>
              <w:jc w:val="center"/>
              <w:rPr>
                <w:rFonts w:ascii="Arial" w:hAnsi="Arial" w:cs="Arial"/>
                <w:color w:val="000000"/>
                <w:sz w:val="18"/>
                <w:szCs w:val="18"/>
              </w:rPr>
            </w:pPr>
            <w:r>
              <w:rPr>
                <w:rFonts w:ascii="Arial" w:hAnsi="Arial" w:cs="Arial"/>
                <w:b/>
                <w:color w:val="000000"/>
                <w:sz w:val="18"/>
                <w:szCs w:val="18"/>
              </w:rPr>
              <w:t>2</w:t>
            </w:r>
            <w:r w:rsidR="00E97682">
              <w:rPr>
                <w:rFonts w:ascii="Arial" w:hAnsi="Arial" w:cs="Arial"/>
                <w:b/>
                <w:color w:val="000000"/>
                <w:sz w:val="18"/>
                <w:szCs w:val="18"/>
              </w:rPr>
              <w:t>42</w:t>
            </w:r>
          </w:p>
        </w:tc>
        <w:tc>
          <w:tcPr>
            <w:tcW w:w="1119" w:type="dxa"/>
            <w:shd w:val="clear" w:color="auto" w:fill="000000" w:themeFill="text1"/>
          </w:tcPr>
          <w:p w:rsidR="005670A8" w:rsidRPr="005E0F98" w:rsidP="005670A8" w14:paraId="14801771" w14:textId="77777777">
            <w:pPr>
              <w:spacing w:before="20" w:after="20" w:line="276" w:lineRule="auto"/>
              <w:jc w:val="center"/>
              <w:rPr>
                <w:rFonts w:ascii="Arial" w:hAnsi="Arial" w:cs="Arial"/>
                <w:color w:val="000000"/>
                <w:sz w:val="18"/>
                <w:szCs w:val="18"/>
              </w:rPr>
            </w:pPr>
          </w:p>
        </w:tc>
        <w:tc>
          <w:tcPr>
            <w:tcW w:w="1119" w:type="dxa"/>
            <w:shd w:val="clear" w:color="auto" w:fill="auto"/>
          </w:tcPr>
          <w:p w:rsidR="005670A8" w:rsidRPr="005E0F98" w:rsidP="005670A8" w14:paraId="110FF417" w14:textId="54C0B6F3">
            <w:pPr>
              <w:spacing w:before="20" w:after="20" w:line="276" w:lineRule="auto"/>
              <w:jc w:val="center"/>
              <w:rPr>
                <w:rFonts w:ascii="Arial" w:hAnsi="Arial" w:cs="Arial"/>
                <w:sz w:val="18"/>
                <w:szCs w:val="18"/>
              </w:rPr>
            </w:pPr>
            <w:r w:rsidRPr="005E0F98">
              <w:rPr>
                <w:rFonts w:ascii="Arial" w:hAnsi="Arial" w:cs="Arial"/>
                <w:b/>
                <w:bCs/>
                <w:color w:val="000000"/>
                <w:sz w:val="18"/>
                <w:szCs w:val="18"/>
              </w:rPr>
              <w:t>$</w:t>
            </w:r>
            <w:r w:rsidR="004103D2">
              <w:rPr>
                <w:rFonts w:ascii="Arial" w:hAnsi="Arial" w:cs="Arial"/>
                <w:b/>
                <w:bCs/>
                <w:color w:val="000000"/>
                <w:sz w:val="18"/>
                <w:szCs w:val="18"/>
              </w:rPr>
              <w:t>2,</w:t>
            </w:r>
            <w:r w:rsidR="00E97682">
              <w:rPr>
                <w:rFonts w:ascii="Arial" w:hAnsi="Arial" w:cs="Arial"/>
                <w:b/>
                <w:bCs/>
                <w:color w:val="000000"/>
                <w:sz w:val="18"/>
                <w:szCs w:val="18"/>
              </w:rPr>
              <w:t>348</w:t>
            </w:r>
          </w:p>
        </w:tc>
      </w:tr>
    </w:tbl>
    <w:p w:rsidR="00C13C48" w:rsidP="00C13C48" w14:paraId="7F876F76" w14:textId="76CFDF16">
      <w:pPr>
        <w:pStyle w:val="TableSignificanceCaption"/>
        <w:spacing w:before="120"/>
        <w:rPr>
          <w:vertAlign w:val="superscript"/>
        </w:rPr>
      </w:pPr>
      <w:r>
        <w:t xml:space="preserve">Note: Numbers are rounded to the nearest whole number for all columns other than the </w:t>
      </w:r>
      <w:r w:rsidR="00B33613">
        <w:t>"</w:t>
      </w:r>
      <w:r w:rsidR="0078345D">
        <w:t>average burden hours</w:t>
      </w:r>
      <w:r w:rsidR="00B33613">
        <w:t>"</w:t>
      </w:r>
      <w:r w:rsidR="0078345D">
        <w:t xml:space="preserve"> and </w:t>
      </w:r>
      <w:r w:rsidR="00B33613">
        <w:t>"</w:t>
      </w:r>
      <w:r w:rsidR="0078345D">
        <w:t>Hourly wage rate</w:t>
      </w:r>
      <w:r w:rsidR="00B33613">
        <w:t>"</w:t>
      </w:r>
      <w:r>
        <w:t xml:space="preserve"> column</w:t>
      </w:r>
      <w:r w:rsidR="0078345D">
        <w:t>s</w:t>
      </w:r>
      <w:r>
        <w:t>.</w:t>
      </w:r>
    </w:p>
    <w:p w:rsidR="00C13C48" w:rsidRPr="006A2F6F" w:rsidP="00C13C48" w14:paraId="09CBFC4E" w14:textId="77777777">
      <w:pPr>
        <w:tabs>
          <w:tab w:val="left" w:pos="1080"/>
        </w:tabs>
        <w:spacing w:before="60"/>
        <w:rPr>
          <w:rFonts w:ascii="Arial" w:hAnsi="Arial"/>
          <w:sz w:val="18"/>
        </w:rPr>
      </w:pPr>
      <w:r w:rsidRPr="008713C0">
        <w:rPr>
          <w:rFonts w:ascii="Arial" w:hAnsi="Arial"/>
          <w:sz w:val="18"/>
          <w:vertAlign w:val="superscript"/>
        </w:rPr>
        <w:t>a</w:t>
      </w:r>
      <w:r w:rsidRPr="006A2F6F">
        <w:rPr>
          <w:rFonts w:ascii="Arial" w:hAnsi="Arial"/>
          <w:sz w:val="18"/>
        </w:rPr>
        <w:t>All</w:t>
      </w:r>
      <w:r w:rsidRPr="006A2F6F">
        <w:rPr>
          <w:rFonts w:ascii="Arial" w:hAnsi="Arial"/>
          <w:sz w:val="18"/>
        </w:rPr>
        <w:t xml:space="preserve"> annual totals reflect a three</w:t>
      </w:r>
      <w:r>
        <w:rPr>
          <w:rFonts w:ascii="Arial" w:hAnsi="Arial"/>
          <w:sz w:val="18"/>
        </w:rPr>
        <w:t>-</w:t>
      </w:r>
      <w:r w:rsidRPr="006A2F6F">
        <w:rPr>
          <w:rFonts w:ascii="Arial" w:hAnsi="Arial"/>
          <w:sz w:val="18"/>
        </w:rPr>
        <w:t>year clearance and study data collection period. Estimates are rounded to the nearest whole number.</w:t>
      </w:r>
    </w:p>
    <w:p w:rsidR="00C13C48" w:rsidRPr="006A2F6F" w:rsidP="00C13C48" w14:paraId="719AE851" w14:textId="46E43AD0">
      <w:pPr>
        <w:tabs>
          <w:tab w:val="left" w:pos="1080"/>
        </w:tabs>
        <w:spacing w:before="60"/>
        <w:rPr>
          <w:rFonts w:ascii="Arial" w:hAnsi="Arial"/>
          <w:sz w:val="18"/>
        </w:rPr>
      </w:pPr>
      <w:r w:rsidRPr="006A2F6F">
        <w:rPr>
          <w:rFonts w:ascii="Arial" w:hAnsi="Arial"/>
          <w:sz w:val="18"/>
          <w:vertAlign w:val="superscript"/>
        </w:rPr>
        <w:t>b</w:t>
      </w:r>
      <w:r w:rsidRPr="006A2F6F">
        <w:rPr>
          <w:rFonts w:ascii="Arial" w:hAnsi="Arial"/>
          <w:sz w:val="18"/>
        </w:rPr>
        <w:t>The</w:t>
      </w:r>
      <w:r w:rsidRPr="006A2F6F">
        <w:rPr>
          <w:rFonts w:ascii="Arial" w:hAnsi="Arial"/>
          <w:sz w:val="18"/>
        </w:rPr>
        <w:t xml:space="preserve"> average hourly wages </w:t>
      </w:r>
      <w:r w:rsidRPr="004C57DF">
        <w:rPr>
          <w:rFonts w:ascii="Arial" w:hAnsi="Arial"/>
          <w:sz w:val="18"/>
        </w:rPr>
        <w:t>were obtained from the U.S. Bureau of Labor Statistics, National, State, Metropolitan, and Nonmetropolitan Area Occupational Employment and Wage Estimates, May 20</w:t>
      </w:r>
      <w:r w:rsidRPr="004C57DF" w:rsidR="00E4234D">
        <w:rPr>
          <w:rFonts w:ascii="Arial" w:hAnsi="Arial"/>
          <w:sz w:val="18"/>
        </w:rPr>
        <w:t>2</w:t>
      </w:r>
      <w:r w:rsidRPr="004C57DF" w:rsidR="00B12D3E">
        <w:rPr>
          <w:rFonts w:ascii="Arial" w:hAnsi="Arial"/>
          <w:sz w:val="18"/>
        </w:rPr>
        <w:t>1</w:t>
      </w:r>
      <w:r w:rsidRPr="004C57DF">
        <w:rPr>
          <w:rFonts w:ascii="Arial" w:hAnsi="Arial"/>
          <w:sz w:val="18"/>
        </w:rPr>
        <w:t xml:space="preserve"> (accessed at</w:t>
      </w:r>
      <w:r w:rsidR="003F5376">
        <w:rPr>
          <w:rFonts w:ascii="Arial" w:hAnsi="Arial"/>
          <w:sz w:val="18"/>
        </w:rPr>
        <w:t xml:space="preserve"> </w:t>
      </w:r>
      <w:hyperlink r:id="rId11" w:history="1">
        <w:r w:rsidRPr="0026264D" w:rsidR="003F5376">
          <w:rPr>
            <w:rStyle w:val="Hyperlink"/>
            <w:rFonts w:ascii="Arial" w:hAnsi="Arial"/>
            <w:sz w:val="18"/>
          </w:rPr>
          <w:t>https://www.bls.gov/oes/2021/may/oes_nat.htm</w:t>
        </w:r>
      </w:hyperlink>
      <w:r w:rsidR="003F5376">
        <w:rPr>
          <w:rFonts w:ascii="Arial" w:hAnsi="Arial"/>
          <w:sz w:val="18"/>
        </w:rPr>
        <w:t xml:space="preserve"> </w:t>
      </w:r>
      <w:r w:rsidRPr="004C57DF">
        <w:rPr>
          <w:rFonts w:ascii="Arial" w:hAnsi="Arial"/>
          <w:sz w:val="18"/>
        </w:rPr>
        <w:t xml:space="preserve">on </w:t>
      </w:r>
      <w:r w:rsidRPr="004C57DF" w:rsidR="00B12D3E">
        <w:rPr>
          <w:rFonts w:ascii="Arial" w:hAnsi="Arial"/>
          <w:sz w:val="18"/>
        </w:rPr>
        <w:t>December 5</w:t>
      </w:r>
      <w:r w:rsidRPr="004C57DF">
        <w:rPr>
          <w:rFonts w:ascii="Arial" w:hAnsi="Arial"/>
          <w:sz w:val="18"/>
        </w:rPr>
        <w:t>, 202</w:t>
      </w:r>
      <w:r w:rsidRPr="004C57DF" w:rsidR="00B12D3E">
        <w:rPr>
          <w:rFonts w:ascii="Arial" w:hAnsi="Arial"/>
          <w:sz w:val="18"/>
        </w:rPr>
        <w:t>2</w:t>
      </w:r>
      <w:r w:rsidRPr="004C57DF">
        <w:rPr>
          <w:rFonts w:ascii="Arial" w:hAnsi="Arial"/>
          <w:sz w:val="18"/>
        </w:rPr>
        <w:t xml:space="preserve">). </w:t>
      </w:r>
      <w:r w:rsidR="00422BC2">
        <w:rPr>
          <w:rStyle w:val="normaltextrun"/>
          <w:rFonts w:ascii="Arial" w:hAnsi="Arial" w:cs="Arial"/>
          <w:color w:val="000000"/>
          <w:sz w:val="18"/>
          <w:szCs w:val="18"/>
          <w:shd w:val="clear" w:color="auto" w:fill="FFFFFF"/>
        </w:rPr>
        <w:t>Estimates of administrators</w:t>
      </w:r>
      <w:r w:rsidR="00B33613">
        <w:rPr>
          <w:rStyle w:val="normaltextrun"/>
          <w:rFonts w:ascii="Arial" w:hAnsi="Arial" w:cs="Arial"/>
          <w:color w:val="000000"/>
          <w:sz w:val="18"/>
          <w:szCs w:val="18"/>
          <w:shd w:val="clear" w:color="auto" w:fill="FFFFFF"/>
        </w:rPr>
        <w:t>'</w:t>
      </w:r>
      <w:r w:rsidR="00422BC2">
        <w:rPr>
          <w:rStyle w:val="normaltextrun"/>
          <w:rFonts w:ascii="Arial" w:hAnsi="Arial" w:cs="Arial"/>
          <w:color w:val="000000"/>
          <w:sz w:val="18"/>
          <w:szCs w:val="18"/>
          <w:shd w:val="clear" w:color="auto" w:fill="FFFFFF"/>
        </w:rPr>
        <w:t xml:space="preserve"> wages are based on the average wages for </w:t>
      </w:r>
      <w:r w:rsidR="00B33613">
        <w:rPr>
          <w:rStyle w:val="normaltextrun"/>
          <w:rFonts w:ascii="Arial" w:hAnsi="Arial" w:cs="Arial"/>
          <w:color w:val="000000"/>
          <w:sz w:val="18"/>
          <w:szCs w:val="18"/>
          <w:shd w:val="clear" w:color="auto" w:fill="FFFFFF"/>
        </w:rPr>
        <w:t>"</w:t>
      </w:r>
      <w:r w:rsidR="00422BC2">
        <w:rPr>
          <w:rStyle w:val="normaltextrun"/>
          <w:rFonts w:ascii="Arial" w:hAnsi="Arial" w:cs="Arial"/>
          <w:color w:val="000000"/>
          <w:sz w:val="18"/>
          <w:szCs w:val="18"/>
          <w:shd w:val="clear" w:color="auto" w:fill="FFFFFF"/>
        </w:rPr>
        <w:t>social and community service managers</w:t>
      </w:r>
      <w:r w:rsidR="00B33613">
        <w:rPr>
          <w:rStyle w:val="normaltextrun"/>
          <w:rFonts w:ascii="Arial" w:hAnsi="Arial" w:cs="Arial"/>
          <w:color w:val="000000"/>
          <w:sz w:val="18"/>
          <w:szCs w:val="18"/>
          <w:shd w:val="clear" w:color="auto" w:fill="FFFFFF"/>
        </w:rPr>
        <w:t>"</w:t>
      </w:r>
      <w:r w:rsidR="00422BC2">
        <w:rPr>
          <w:rStyle w:val="normaltextrun"/>
          <w:rFonts w:ascii="Arial" w:hAnsi="Arial" w:cs="Arial"/>
          <w:color w:val="000000"/>
          <w:sz w:val="18"/>
          <w:szCs w:val="18"/>
          <w:shd w:val="clear" w:color="auto" w:fill="FFFFFF"/>
        </w:rPr>
        <w:t xml:space="preserve"> ($36.</w:t>
      </w:r>
      <w:r w:rsidR="009656D9">
        <w:rPr>
          <w:rStyle w:val="normaltextrun"/>
          <w:rFonts w:ascii="Arial" w:hAnsi="Arial" w:cs="Arial"/>
          <w:color w:val="000000"/>
          <w:sz w:val="18"/>
          <w:szCs w:val="18"/>
          <w:shd w:val="clear" w:color="auto" w:fill="FFFFFF"/>
        </w:rPr>
        <w:t>92</w:t>
      </w:r>
      <w:r w:rsidR="00422BC2">
        <w:rPr>
          <w:rStyle w:val="normaltextrun"/>
          <w:rFonts w:ascii="Arial" w:hAnsi="Arial" w:cs="Arial"/>
          <w:color w:val="000000"/>
          <w:sz w:val="18"/>
          <w:szCs w:val="18"/>
          <w:shd w:val="clear" w:color="auto" w:fill="FFFFFF"/>
        </w:rPr>
        <w:t xml:space="preserve">). </w:t>
      </w:r>
      <w:r w:rsidRPr="004C57DF">
        <w:rPr>
          <w:rFonts w:ascii="Arial" w:hAnsi="Arial"/>
          <w:sz w:val="18"/>
        </w:rPr>
        <w:t>Monetized estimates for participants were assumed to be the federal minimum wage of $7.25.</w:t>
      </w:r>
      <w:r>
        <w:rPr>
          <w:rFonts w:ascii="Arial" w:hAnsi="Arial"/>
          <w:sz w:val="18"/>
        </w:rPr>
        <w:t xml:space="preserve"> </w:t>
      </w:r>
    </w:p>
    <w:p w:rsidR="00CD215D" w:rsidRPr="00A16D75" w:rsidP="00722AFB" w14:paraId="4F65FC61" w14:textId="1EE5F8EC">
      <w:pPr>
        <w:pStyle w:val="StyleNumberedquestionLeft0Hanging031"/>
        <w:rPr>
          <w:b w:val="0"/>
        </w:rPr>
      </w:pPr>
      <w:r w:rsidRPr="00A16D75">
        <w:t>13.</w:t>
      </w:r>
      <w:r w:rsidR="00472BDB">
        <w:rPr>
          <w:b w:val="0"/>
        </w:rPr>
        <w:t xml:space="preserve"> </w:t>
      </w:r>
      <w:r w:rsidR="00722AFB">
        <w:rPr>
          <w:b w:val="0"/>
        </w:rPr>
        <w:tab/>
      </w:r>
      <w:r w:rsidRPr="00A16D75">
        <w:t xml:space="preserve">Provide an estimate of </w:t>
      </w:r>
      <w:r w:rsidRPr="00A16D75" w:rsidR="00C667F3">
        <w:t>the tot</w:t>
      </w:r>
      <w:r w:rsidRPr="00A16D75">
        <w:t>al annual cost burden to respondents or recordkeepers resulting from the collection of information.</w:t>
      </w:r>
      <w:r w:rsidR="00472BDB">
        <w:rPr>
          <w:b w:val="0"/>
        </w:rPr>
        <w:t xml:space="preserve"> </w:t>
      </w:r>
      <w:r w:rsidRPr="00A16D75">
        <w:t xml:space="preserve">(Do not include the cost of any hour </w:t>
      </w:r>
      <w:r w:rsidRPr="00A16D75" w:rsidR="00C667F3">
        <w:t>burden shown in Items 12 and 14</w:t>
      </w:r>
      <w:r w:rsidRPr="00A16D75">
        <w:t>)</w:t>
      </w:r>
      <w:r w:rsidRPr="00A16D75" w:rsidR="00C667F3">
        <w:t>.</w:t>
      </w:r>
    </w:p>
    <w:p w:rsidR="00CD215D" w:rsidRPr="00722AFB" w:rsidP="00A84001" w14:paraId="0BF353B3" w14:textId="2DDE4D5F">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722AFB">
        <w:rPr>
          <w:b/>
          <w:bCs/>
        </w:rPr>
        <w:t>The cost estimate should be split into two components:</w:t>
      </w:r>
      <w:r w:rsidRPr="00722AFB" w:rsidR="00472BDB">
        <w:rPr>
          <w:b/>
          <w:bCs/>
        </w:rPr>
        <w:t xml:space="preserve"> </w:t>
      </w:r>
      <w:r w:rsidRPr="00722AFB" w:rsidR="00AB4DC3">
        <w:rPr>
          <w:b/>
          <w:bCs/>
        </w:rPr>
        <w:t>(a) a total capital</w:t>
      </w:r>
      <w:r w:rsidRPr="00722AFB" w:rsidR="005E0F98">
        <w:rPr>
          <w:b/>
          <w:bCs/>
        </w:rPr>
        <w:t xml:space="preserve"> </w:t>
      </w:r>
      <w:r w:rsidRPr="00722AFB" w:rsidR="009441E2">
        <w:rPr>
          <w:b/>
          <w:bCs/>
        </w:rPr>
        <w:t>a</w:t>
      </w:r>
      <w:r w:rsidRPr="00722AFB" w:rsidR="00AB4DC3">
        <w:rPr>
          <w:b/>
          <w:bCs/>
        </w:rPr>
        <w:t>nd</w:t>
      </w:r>
      <w:r w:rsidRPr="00722AFB" w:rsidR="00584F8D">
        <w:rPr>
          <w:b/>
          <w:bCs/>
        </w:rPr>
        <w:t xml:space="preserve"> </w:t>
      </w:r>
      <w:r w:rsidRPr="00722AFB" w:rsidR="00AB4DC3">
        <w:rPr>
          <w:b/>
          <w:bCs/>
        </w:rPr>
        <w:t xml:space="preserve">start </w:t>
      </w:r>
      <w:r w:rsidRPr="00722AFB">
        <w:rPr>
          <w:b/>
          <w:bCs/>
        </w:rPr>
        <w:t>up</w:t>
      </w:r>
      <w:r w:rsidRPr="00722AFB">
        <w:rPr>
          <w:b/>
          <w:bCs/>
        </w:rPr>
        <w:t xml:space="preserve"> cost component </w:t>
      </w:r>
      <w:r w:rsidRPr="00722AFB" w:rsidR="00C667F3">
        <w:rPr>
          <w:b/>
          <w:bCs/>
        </w:rPr>
        <w:t>(</w:t>
      </w:r>
      <w:r w:rsidRPr="00722AFB">
        <w:rPr>
          <w:b/>
          <w:bCs/>
        </w:rPr>
        <w:t>annualized over its expected useful life)</w:t>
      </w:r>
      <w:r w:rsidRPr="00722AFB" w:rsidR="00C667F3">
        <w:rPr>
          <w:b/>
          <w:bCs/>
        </w:rPr>
        <w:t>;</w:t>
      </w:r>
      <w:r w:rsidRPr="00722AFB">
        <w:rPr>
          <w:b/>
          <w:bCs/>
        </w:rPr>
        <w:t xml:space="preserve"> and (b) a</w:t>
      </w:r>
      <w:r w:rsidRPr="00722AFB" w:rsidR="005E0F98">
        <w:rPr>
          <w:b/>
          <w:bCs/>
        </w:rPr>
        <w:t xml:space="preserve"> </w:t>
      </w:r>
      <w:r w:rsidRPr="00722AFB">
        <w:rPr>
          <w:b/>
          <w:bCs/>
        </w:rPr>
        <w:t>total operation and maintenance and purchase of service component.</w:t>
      </w:r>
      <w:r w:rsidRPr="00722AFB" w:rsidR="00472BDB">
        <w:rPr>
          <w:b/>
          <w:bCs/>
        </w:rPr>
        <w:t xml:space="preserve"> </w:t>
      </w:r>
      <w:r w:rsidRPr="00722AFB">
        <w:rPr>
          <w:b/>
          <w:bCs/>
        </w:rPr>
        <w:t>The estimates</w:t>
      </w:r>
      <w:r w:rsidRPr="00722AFB" w:rsidR="00584F8D">
        <w:rPr>
          <w:b/>
          <w:bCs/>
        </w:rPr>
        <w:t xml:space="preserve"> </w:t>
      </w:r>
      <w:r w:rsidRPr="00722AFB">
        <w:rPr>
          <w:b/>
          <w:bCs/>
        </w:rPr>
        <w:t xml:space="preserve">should </w:t>
      </w:r>
      <w:r w:rsidRPr="00722AFB">
        <w:rPr>
          <w:b/>
          <w:bCs/>
        </w:rPr>
        <w:t>take into account</w:t>
      </w:r>
      <w:r w:rsidRPr="00722AFB">
        <w:rPr>
          <w:b/>
          <w:bCs/>
        </w:rPr>
        <w:t xml:space="preserve"> costs associated with generating, maintaining, and disclosing or providing the information.</w:t>
      </w:r>
      <w:r w:rsidRPr="00722AFB" w:rsidR="00472BDB">
        <w:rPr>
          <w:b/>
          <w:bCs/>
        </w:rPr>
        <w:t xml:space="preserve"> </w:t>
      </w:r>
      <w:r w:rsidRPr="00722AFB">
        <w:rPr>
          <w:b/>
          <w:bCs/>
        </w:rPr>
        <w:t xml:space="preserve">Include descriptions of methods used to estimate major cost factors including system and technology acquisition, expected useful life of capital equipment, the discount rate(s), and the </w:t>
      </w:r>
      <w:r w:rsidRPr="00722AFB">
        <w:rPr>
          <w:b/>
          <w:bCs/>
        </w:rPr>
        <w:t>time period</w:t>
      </w:r>
      <w:r w:rsidRPr="00722AFB">
        <w:rPr>
          <w:b/>
          <w:bCs/>
        </w:rPr>
        <w:t xml:space="preserve"> over which costs will be incurred.</w:t>
      </w:r>
      <w:r w:rsidRPr="00722AFB" w:rsidR="00472BDB">
        <w:rPr>
          <w:b/>
          <w:bCs/>
        </w:rPr>
        <w:t xml:space="preserve"> </w:t>
      </w:r>
      <w:r w:rsidRPr="00722AFB">
        <w:rPr>
          <w:b/>
          <w:bCs/>
        </w:rPr>
        <w:t xml:space="preserve">Capital and start-up costs include, among other items, preparations for collecting information such as purchasing computers and software; monitoring, sampling, </w:t>
      </w:r>
      <w:r w:rsidRPr="00722AFB">
        <w:rPr>
          <w:b/>
          <w:bCs/>
        </w:rPr>
        <w:t>drilling</w:t>
      </w:r>
      <w:r w:rsidRPr="00722AFB">
        <w:rPr>
          <w:b/>
          <w:bCs/>
        </w:rPr>
        <w:t xml:space="preserve"> and testing equipment; and record storage facilities.</w:t>
      </w:r>
    </w:p>
    <w:p w:rsidR="00CD215D" w:rsidRPr="00722AFB" w:rsidP="00A84001" w14:paraId="4945C473" w14:textId="7E62E71C">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722AFB">
        <w:rPr>
          <w:b/>
          <w:bCs/>
        </w:rPr>
        <w:t>If cost estimates are expected to vary widely, agencies should present ranges of cost burdens and explain the reasons for the variance.</w:t>
      </w:r>
      <w:r w:rsidRPr="00722AFB" w:rsidR="00472BDB">
        <w:rPr>
          <w:b/>
          <w:bCs/>
        </w:rPr>
        <w:t xml:space="preserve"> </w:t>
      </w:r>
      <w:r w:rsidRPr="00722AFB">
        <w:rPr>
          <w:b/>
          <w:bCs/>
        </w:rPr>
        <w:t>The cost of purchasing or contracting out information collection services should be a part of this cost burden estimate.</w:t>
      </w:r>
      <w:r w:rsidRPr="00722AFB" w:rsidR="00472BDB">
        <w:rPr>
          <w:b/>
          <w:bCs/>
        </w:rPr>
        <w:t xml:space="preserve"> </w:t>
      </w:r>
      <w:r w:rsidRPr="00722AFB">
        <w:rPr>
          <w:b/>
          <w:bCs/>
        </w:rPr>
        <w:t xml:space="preserve">In developing cost burden estimates, agencies may consult with a sample of respondents (fewer than 10), utilize the 60-day pre-OMB submission public comment </w:t>
      </w:r>
      <w:r w:rsidRPr="00722AFB">
        <w:rPr>
          <w:b/>
          <w:bCs/>
        </w:rPr>
        <w:t>process</w:t>
      </w:r>
      <w:r w:rsidRPr="00722AFB">
        <w:rPr>
          <w:b/>
          <w:bCs/>
        </w:rPr>
        <w:t xml:space="preserve"> and use existing economic or regulatory impact analysis associated with the rulemaking containing the information collection, as appropriate.</w:t>
      </w:r>
    </w:p>
    <w:p w:rsidR="00CD215D" w:rsidRPr="00722AFB" w:rsidP="00A84001" w14:paraId="32127F6A" w14:textId="77777777">
      <w:pPr>
        <w:pStyle w:val="Level1"/>
        <w:widowControl/>
        <w:numPr>
          <w:ilvl w:val="0"/>
          <w:numId w:val="34"/>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10"/>
        <w:rPr>
          <w:b/>
          <w:bCs/>
        </w:rPr>
      </w:pPr>
      <w:r w:rsidRPr="00722AFB">
        <w:rPr>
          <w:b/>
          <w:bCs/>
        </w:rPr>
        <w:t xml:space="preserve">Generally, estimates should not include purchases of equipment or services, or portions thereof, made: (1) prior to October 1, 1995, (2) to achieve regulatory compliance with requirements not associated with the information collection, (3) </w:t>
      </w:r>
      <w:r w:rsidRPr="00722AFB">
        <w:rPr>
          <w:b/>
          <w:bCs/>
        </w:rPr>
        <w:t>for reasons other than to provide information or keep records for the government, or (4) as part of customary and usual business or private practices.</w:t>
      </w:r>
    </w:p>
    <w:p w:rsidR="00CD215D" w:rsidRPr="00A16D75" w:rsidP="00A84001"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ind w:left="810"/>
        <w:rPr>
          <w:rFonts w:ascii="Times New Roman" w:hAnsi="Times New Roman"/>
        </w:rPr>
      </w:pPr>
    </w:p>
    <w:p w:rsidR="00690F56" w:rsidP="75F0A9AB" w14:paraId="726D62FC" w14:textId="3EE1C231">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75F0A9AB">
        <w:rPr>
          <w:rFonts w:ascii="Times New Roman" w:hAnsi="Times New Roman"/>
        </w:rPr>
        <w:t xml:space="preserve">There will be no direct costs to respondents for the </w:t>
      </w:r>
      <w:r w:rsidRPr="75F0A9AB" w:rsidR="424D0591">
        <w:rPr>
          <w:rFonts w:ascii="Times New Roman" w:hAnsi="Times New Roman"/>
        </w:rPr>
        <w:t xml:space="preserve">two information collections identified in this request for the </w:t>
      </w:r>
      <w:r w:rsidRPr="75F0A9AB" w:rsidR="00A1555E">
        <w:rPr>
          <w:rFonts w:ascii="Times New Roman" w:hAnsi="Times New Roman"/>
        </w:rPr>
        <w:t>Pathway Home</w:t>
      </w:r>
      <w:r w:rsidRPr="75F0A9AB">
        <w:rPr>
          <w:rFonts w:ascii="Times New Roman" w:hAnsi="Times New Roman"/>
        </w:rPr>
        <w:t xml:space="preserve"> </w:t>
      </w:r>
      <w:r w:rsidRPr="75F0A9AB" w:rsidR="00366E52">
        <w:rPr>
          <w:rFonts w:ascii="Times New Roman" w:hAnsi="Times New Roman"/>
        </w:rPr>
        <w:t>E</w:t>
      </w:r>
      <w:r w:rsidRPr="75F0A9AB">
        <w:rPr>
          <w:rFonts w:ascii="Times New Roman" w:hAnsi="Times New Roman"/>
        </w:rPr>
        <w:t>valuation</w:t>
      </w:r>
      <w:r w:rsidRPr="75F0A9AB" w:rsidR="77B3FE48">
        <w:rPr>
          <w:rFonts w:ascii="Times New Roman" w:hAnsi="Times New Roman"/>
        </w:rPr>
        <w:t>.</w:t>
      </w:r>
    </w:p>
    <w:p w:rsidR="00690F56" w:rsidP="00722AFB" w14:paraId="697B43F9" w14:textId="6EF69B3B">
      <w:pPr>
        <w:pStyle w:val="StyleNumberedquestionLeft0Hanging031"/>
        <w:rPr>
          <w:b w:val="0"/>
          <w:bCs w:val="0"/>
        </w:rPr>
      </w:pPr>
      <w:r w:rsidRPr="00A16D75">
        <w:t>14.</w:t>
      </w:r>
      <w:r w:rsidR="00472BDB">
        <w:rPr>
          <w:b w:val="0"/>
          <w:bCs w:val="0"/>
        </w:rPr>
        <w:t xml:space="preserve"> </w:t>
      </w:r>
      <w:r w:rsidR="00722AFB">
        <w:rPr>
          <w:b w:val="0"/>
          <w:bCs w:val="0"/>
        </w:rPr>
        <w:tab/>
      </w:r>
      <w:r w:rsidRPr="00A16D75">
        <w:t>Provide estimates of the annualized cost to the Federal Government.</w:t>
      </w:r>
      <w:r w:rsidR="00472BDB">
        <w:rPr>
          <w:b w:val="0"/>
          <w:bCs w:val="0"/>
        </w:rPr>
        <w:t xml:space="preserve"> </w:t>
      </w:r>
      <w:r w:rsidRPr="00A16D75">
        <w:t>Also, provide a description of the method used to estimate cost, which should include quantification of hours, operational expenses (such as equipment, overhead, printing, and support staff), any other expense that would not have been incurred without this collection of information.</w:t>
      </w:r>
      <w:r w:rsidR="00472BDB">
        <w:rPr>
          <w:b w:val="0"/>
          <w:bCs w:val="0"/>
        </w:rPr>
        <w:t xml:space="preserve"> </w:t>
      </w:r>
      <w:r w:rsidRPr="00A16D75">
        <w:t>Agencies also may aggregate cost estimates from Items 12, 13, and 14 into a single table.</w:t>
      </w:r>
    </w:p>
    <w:p w:rsidR="00F22F62" w:rsidRPr="0014041C" w:rsidP="75F0A9AB" w14:paraId="200CCEA2" w14:textId="34E2EC30">
      <w:pPr>
        <w:pStyle w:val="NormalSS"/>
        <w:numPr>
          <w:ilvl w:val="0"/>
          <w:numId w:val="26"/>
        </w:numPr>
        <w:rPr>
          <w:color w:val="1A1818"/>
          <w:lang w:val="en"/>
        </w:rPr>
      </w:pPr>
      <w:r>
        <w:t>The total cost to the federal government is $</w:t>
      </w:r>
      <w:r w:rsidR="00322D38">
        <w:t>2,214,049</w:t>
      </w:r>
      <w:r>
        <w:t xml:space="preserve">. </w:t>
      </w:r>
      <w:r w:rsidRPr="75F0A9AB">
        <w:rPr>
          <w:color w:val="1A1818"/>
          <w:lang w:val="en"/>
        </w:rPr>
        <w:t>Therefore, the annualized cost is $</w:t>
      </w:r>
      <w:r w:rsidR="00322D38">
        <w:t>2,214,049</w:t>
      </w:r>
      <w:r w:rsidRPr="75F0A9AB">
        <w:rPr>
          <w:color w:val="1A1818"/>
          <w:lang w:val="en"/>
        </w:rPr>
        <w:t xml:space="preserve"> / 3 </w:t>
      </w:r>
      <w:r w:rsidRPr="75F0A9AB" w:rsidR="005E5D44">
        <w:rPr>
          <w:color w:val="1A1818"/>
          <w:lang w:val="en"/>
        </w:rPr>
        <w:t>= $</w:t>
      </w:r>
      <w:r w:rsidR="003433AB">
        <w:rPr>
          <w:color w:val="1A1818"/>
          <w:lang w:val="en"/>
        </w:rPr>
        <w:t>738,016</w:t>
      </w:r>
      <w:r w:rsidRPr="75F0A9AB">
        <w:rPr>
          <w:color w:val="1A1818"/>
          <w:lang w:val="en"/>
        </w:rPr>
        <w:t xml:space="preserve">. </w:t>
      </w:r>
    </w:p>
    <w:p w:rsidR="00115742" w:rsidRPr="001176DF" w:rsidP="00115742" w14:paraId="30711840" w14:textId="265FF1D2">
      <w:pPr>
        <w:pStyle w:val="NormalSS"/>
      </w:pPr>
      <w:r w:rsidRPr="001176DF">
        <w:t xml:space="preserve">Costs result from the following categories: </w:t>
      </w:r>
    </w:p>
    <w:p w:rsidR="00115742" w:rsidP="00115742" w14:paraId="7DBC27E3" w14:textId="092A315B">
      <w:pPr>
        <w:pStyle w:val="Bullet"/>
        <w:numPr>
          <w:ilvl w:val="0"/>
          <w:numId w:val="17"/>
        </w:numPr>
        <w:tabs>
          <w:tab w:val="left" w:pos="360"/>
          <w:tab w:val="clear" w:pos="432"/>
        </w:tabs>
        <w:spacing w:after="180"/>
      </w:pPr>
      <w:r w:rsidRPr="001176DF">
        <w:t xml:space="preserve">The estimated cost to the federal government for the contractor to carry out </w:t>
      </w:r>
      <w:r w:rsidR="00FA2E2C">
        <w:t xml:space="preserve">the data collection activities included in this package </w:t>
      </w:r>
      <w:r w:rsidR="005551B9">
        <w:t>is</w:t>
      </w:r>
      <w:r w:rsidRPr="001176DF">
        <w:t xml:space="preserve"> </w:t>
      </w:r>
      <w:r w:rsidRPr="00F22F62" w:rsidR="00F22F62">
        <w:t>$</w:t>
      </w:r>
      <w:r w:rsidRPr="00790A8E" w:rsidR="00790A8E">
        <w:t>2,077,123</w:t>
      </w:r>
      <w:r w:rsidRPr="001176DF">
        <w:t>.</w:t>
      </w:r>
      <w:r w:rsidRPr="00A817B7">
        <w:t xml:space="preserve"> Annualized over three years of data collection, this comes to</w:t>
      </w:r>
      <w:r>
        <w:t xml:space="preserve"> $</w:t>
      </w:r>
      <w:r w:rsidRPr="00790A8E" w:rsidR="005E5D44">
        <w:t xml:space="preserve">692,374 </w:t>
      </w:r>
      <w:r w:rsidR="005E5D44">
        <w:t>per</w:t>
      </w:r>
      <w:r>
        <w:t xml:space="preserve"> year.</w:t>
      </w:r>
    </w:p>
    <w:p w:rsidR="00115742" w:rsidRPr="00F96C41" w:rsidP="00115742" w14:paraId="36532B19" w14:textId="4797C0ED">
      <w:pPr>
        <w:pStyle w:val="Bullet"/>
        <w:numPr>
          <w:ilvl w:val="0"/>
          <w:numId w:val="17"/>
        </w:numPr>
        <w:tabs>
          <w:tab w:val="left" w:pos="360"/>
          <w:tab w:val="clear" w:pos="432"/>
        </w:tabs>
        <w:spacing w:after="180"/>
      </w:pPr>
      <w:r>
        <w:t>The annual cost DOL will bear for federal technical staff to oversee the contract is estimated to be $</w:t>
      </w:r>
      <w:r w:rsidR="008C29A4">
        <w:t>45,642</w:t>
      </w:r>
      <w:r>
        <w:t xml:space="preserve">. </w:t>
      </w:r>
      <w:r w:rsidR="364EC82F">
        <w:t xml:space="preserve">The </w:t>
      </w:r>
      <w:r>
        <w:t>expect</w:t>
      </w:r>
      <w:r w:rsidR="471FD5DA">
        <w:t xml:space="preserve">ed </w:t>
      </w:r>
      <w:r>
        <w:t>annual level of effort to perform these duties will require 200 hours for one Washington, DC–based Federal GS 14 Step 2 employee earning $65.</w:t>
      </w:r>
      <w:r w:rsidR="008C29A4">
        <w:t xml:space="preserve">54 </w:t>
      </w:r>
      <w:r>
        <w:t>per hour, and 200 hours for one Washington, DC–based Federal GS 15 Step 2 employee earning $</w:t>
      </w:r>
      <w:r w:rsidR="008C29A4">
        <w:t>77.09</w:t>
      </w:r>
      <w:r>
        <w:t xml:space="preserve"> per hour. (See Office of Personnel Management 202</w:t>
      </w:r>
      <w:r w:rsidR="008C29A4">
        <w:t>3</w:t>
      </w:r>
      <w:r>
        <w:t xml:space="preserve"> Hourly Salary Table at </w:t>
      </w:r>
      <w:r w:rsidR="008C29A4">
        <w:t>https://www.opm.gov/policy-data-oversight/pay-leave/salaries-wages/salary-tables/23Tables/html/DCB_h.aspx</w:t>
      </w:r>
      <w:r>
        <w:t xml:space="preserve">.) To account for fringe benefits and other overhead costs, the agency has applied a multiplication factor of 1.6. Thus, [(200 hours </w:t>
      </w:r>
      <w:r w:rsidR="00B15901">
        <w:t>×</w:t>
      </w:r>
      <w:r>
        <w:t xml:space="preserve"> $65.</w:t>
      </w:r>
      <w:r w:rsidR="008C29A4">
        <w:t>54</w:t>
      </w:r>
      <w:r>
        <w:t xml:space="preserve">) + (200 hours </w:t>
      </w:r>
      <w:r w:rsidR="00B15901">
        <w:t>×</w:t>
      </w:r>
      <w:r>
        <w:t xml:space="preserve"> $</w:t>
      </w:r>
      <w:r w:rsidR="008C29A4">
        <w:t>77.09</w:t>
      </w:r>
      <w:r>
        <w:t xml:space="preserve">)] </w:t>
      </w:r>
      <w:r w:rsidR="00B15901">
        <w:t>×</w:t>
      </w:r>
      <w:r>
        <w:t xml:space="preserve"> 1.6 = $</w:t>
      </w:r>
      <w:r w:rsidR="008C29A4">
        <w:t>45,642</w:t>
      </w:r>
      <w:r>
        <w:t xml:space="preserve">. </w:t>
      </w:r>
      <w:r w:rsidR="00BF4BDC">
        <w:t xml:space="preserve">Over </w:t>
      </w:r>
      <w:r w:rsidR="00E86C2F">
        <w:t xml:space="preserve">three years, the total cost is $45,642 × 3 = </w:t>
      </w:r>
      <w:r w:rsidR="00F676F2">
        <w:t>$136,926.</w:t>
      </w:r>
    </w:p>
    <w:p w:rsidR="00690F56" w:rsidRPr="00722AFB" w:rsidP="00722AFB" w14:paraId="0BCEB47E" w14:textId="77777777">
      <w:pPr>
        <w:pStyle w:val="StyleNumberedquestionLeft0Hanging031"/>
      </w:pPr>
      <w:r w:rsidRPr="00A16D75">
        <w:t>15.</w:t>
      </w:r>
      <w:r w:rsidRPr="00A16D75">
        <w:tab/>
        <w:t>Explain the reasons for any</w:t>
      </w:r>
      <w:r w:rsidRPr="00A16D75" w:rsidR="00882AB5">
        <w:t xml:space="preserve"> program changes or adjustments.</w:t>
      </w:r>
    </w:p>
    <w:p w:rsidR="00690F56" w:rsidP="00690F56" w14:paraId="5321AF4F" w14:textId="1B869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15742">
        <w:rPr>
          <w:rFonts w:ascii="Times New Roman" w:hAnsi="Times New Roman"/>
        </w:rPr>
        <w:t>This is a new information collection.</w:t>
      </w:r>
    </w:p>
    <w:p w:rsidR="00690F56" w:rsidP="00722AFB" w14:paraId="4E4F3DC5" w14:textId="64B68965">
      <w:pPr>
        <w:pStyle w:val="StyleNumberedquestionLeft0Hanging031"/>
      </w:pPr>
      <w:r w:rsidRPr="00A16D75">
        <w:t>1</w:t>
      </w:r>
      <w:r w:rsidRPr="00A16D75" w:rsidR="00882AB5">
        <w:t xml:space="preserve">6. </w:t>
      </w:r>
      <w:r w:rsidR="00722AFB">
        <w:tab/>
      </w:r>
      <w:r w:rsidRPr="00A16D75">
        <w:t>For collections of information whose results will be published, outline plans for tabulations, and publication.</w:t>
      </w:r>
      <w:r w:rsidR="00472BDB">
        <w:rPr>
          <w:b w:val="0"/>
          <w:bCs w:val="0"/>
        </w:rPr>
        <w:t xml:space="preserve"> </w:t>
      </w:r>
      <w:r w:rsidRPr="00A16D75">
        <w:t>Address any complex analytical techniques that will be used.</w:t>
      </w:r>
      <w:r w:rsidR="00472BDB">
        <w:rPr>
          <w:b w:val="0"/>
          <w:bCs w:val="0"/>
        </w:rPr>
        <w:t xml:space="preserve"> </w:t>
      </w:r>
      <w:r w:rsidRPr="00A16D75">
        <w:t>Provide the time schedule for the entire project, including beginning and ending dates of the collection of information, completion of report, publication dates, and other actions.</w:t>
      </w:r>
    </w:p>
    <w:p w:rsidR="000A1AA0" w:rsidRPr="00722AFB" w:rsidP="00722AFB" w14:paraId="1D869D22" w14:textId="27527319">
      <w:pPr>
        <w:pStyle w:val="NormalSS"/>
        <w:keepNext/>
        <w:spacing w:before="240"/>
        <w:ind w:firstLine="0"/>
        <w:rPr>
          <w:rFonts w:eastAsiaTheme="majorEastAsia"/>
          <w:b/>
          <w:color w:val="44546A" w:themeColor="text2"/>
        </w:rPr>
      </w:pPr>
      <w:r w:rsidRPr="00722AFB">
        <w:rPr>
          <w:rFonts w:eastAsiaTheme="majorEastAsia"/>
          <w:b/>
          <w:color w:val="44546A" w:themeColor="text2"/>
        </w:rPr>
        <w:t>Analysis plan</w:t>
      </w:r>
    </w:p>
    <w:p w:rsidR="00566D77" w:rsidP="75F0A9AB" w14:paraId="0D84DAB1" w14:textId="6C92A712">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sidRPr="492F0508">
        <w:rPr>
          <w:rFonts w:ascii="Times New Roman" w:hAnsi="Times New Roman"/>
        </w:rPr>
        <w:t xml:space="preserve">The </w:t>
      </w:r>
      <w:r w:rsidRPr="492F0508" w:rsidR="00481476">
        <w:rPr>
          <w:rFonts w:ascii="Times New Roman" w:hAnsi="Times New Roman"/>
        </w:rPr>
        <w:t>follow-up</w:t>
      </w:r>
      <w:r w:rsidRPr="492F0508">
        <w:rPr>
          <w:rFonts w:ascii="Times New Roman" w:hAnsi="Times New Roman"/>
        </w:rPr>
        <w:t xml:space="preserve"> survey data will </w:t>
      </w:r>
      <w:r w:rsidRPr="492F0508" w:rsidR="00DA73E3">
        <w:rPr>
          <w:rFonts w:ascii="Times New Roman" w:hAnsi="Times New Roman"/>
        </w:rPr>
        <w:t>be used to provide</w:t>
      </w:r>
      <w:r w:rsidRPr="492F0508">
        <w:rPr>
          <w:rFonts w:ascii="Times New Roman" w:hAnsi="Times New Roman"/>
        </w:rPr>
        <w:t xml:space="preserve"> simple descriptive measures </w:t>
      </w:r>
      <w:r w:rsidRPr="492F0508" w:rsidR="00743BE0">
        <w:rPr>
          <w:rFonts w:ascii="Times New Roman" w:hAnsi="Times New Roman"/>
        </w:rPr>
        <w:t>about the outcomes of Pathway Home participants</w:t>
      </w:r>
      <w:r w:rsidR="006A0332">
        <w:rPr>
          <w:rFonts w:ascii="Times New Roman" w:hAnsi="Times New Roman"/>
        </w:rPr>
        <w:t xml:space="preserve"> such as averages</w:t>
      </w:r>
      <w:r w:rsidR="00D956AE">
        <w:rPr>
          <w:rFonts w:ascii="Times New Roman" w:hAnsi="Times New Roman"/>
        </w:rPr>
        <w:t xml:space="preserve">, medians, and percentiles of the </w:t>
      </w:r>
      <w:r w:rsidR="00D956AE">
        <w:rPr>
          <w:rFonts w:ascii="Times New Roman" w:hAnsi="Times New Roman"/>
        </w:rPr>
        <w:t>outcomes</w:t>
      </w:r>
      <w:r w:rsidRPr="492F0508" w:rsidR="00743BE0">
        <w:rPr>
          <w:rFonts w:ascii="Times New Roman" w:hAnsi="Times New Roman"/>
        </w:rPr>
        <w:t xml:space="preserve">. In addition, </w:t>
      </w:r>
      <w:r w:rsidRPr="492F0508" w:rsidR="7D0F457B">
        <w:rPr>
          <w:rFonts w:ascii="Times New Roman" w:hAnsi="Times New Roman"/>
        </w:rPr>
        <w:t>the contractor</w:t>
      </w:r>
      <w:r w:rsidR="00E8253D">
        <w:rPr>
          <w:rFonts w:ascii="Times New Roman" w:hAnsi="Times New Roman"/>
        </w:rPr>
        <w:t xml:space="preserve"> </w:t>
      </w:r>
      <w:r w:rsidRPr="492F0508" w:rsidR="00DA73E3">
        <w:rPr>
          <w:rFonts w:ascii="Times New Roman" w:hAnsi="Times New Roman"/>
        </w:rPr>
        <w:t>will use data from the follow-up survey</w:t>
      </w:r>
      <w:r w:rsidRPr="492F0508" w:rsidR="00126244">
        <w:rPr>
          <w:rFonts w:ascii="Times New Roman" w:hAnsi="Times New Roman"/>
        </w:rPr>
        <w:t xml:space="preserve"> </w:t>
      </w:r>
      <w:r w:rsidRPr="492F0508" w:rsidR="00533BD0">
        <w:rPr>
          <w:rFonts w:ascii="Times New Roman" w:hAnsi="Times New Roman"/>
        </w:rPr>
        <w:t xml:space="preserve">to </w:t>
      </w:r>
      <w:r w:rsidRPr="492F0508" w:rsidR="00126244">
        <w:rPr>
          <w:rFonts w:ascii="Times New Roman" w:hAnsi="Times New Roman"/>
        </w:rPr>
        <w:t xml:space="preserve">estimate the impact </w:t>
      </w:r>
      <w:r w:rsidRPr="492F0508" w:rsidR="00DA73E3">
        <w:rPr>
          <w:rFonts w:ascii="Times New Roman" w:hAnsi="Times New Roman"/>
        </w:rPr>
        <w:t>of the Pathway Home program on participants.</w:t>
      </w:r>
    </w:p>
    <w:p w:rsidR="00065894" w:rsidP="75F0A9AB" w14:paraId="41C73633" w14:textId="2A0E7F7F">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sidRPr="492F0508">
        <w:rPr>
          <w:rFonts w:ascii="Times New Roman" w:hAnsi="Times New Roman"/>
        </w:rPr>
        <w:t xml:space="preserve">As described in </w:t>
      </w:r>
      <w:r w:rsidRPr="492F0508" w:rsidR="00BE763E">
        <w:rPr>
          <w:rFonts w:ascii="Times New Roman" w:hAnsi="Times New Roman"/>
        </w:rPr>
        <w:t>1290–0039</w:t>
      </w:r>
      <w:r w:rsidRPr="492F0508" w:rsidR="00533BD0">
        <w:rPr>
          <w:rFonts w:ascii="Times New Roman" w:hAnsi="Times New Roman"/>
        </w:rPr>
        <w:t>,</w:t>
      </w:r>
      <w:r w:rsidRPr="492F0508">
        <w:rPr>
          <w:rFonts w:ascii="Times New Roman" w:hAnsi="Times New Roman"/>
        </w:rPr>
        <w:t xml:space="preserve"> </w:t>
      </w:r>
      <w:r w:rsidRPr="492F0508" w:rsidR="00AB7846">
        <w:rPr>
          <w:rFonts w:ascii="Times New Roman" w:hAnsi="Times New Roman"/>
        </w:rPr>
        <w:t>t</w:t>
      </w:r>
      <w:r w:rsidRPr="492F0508">
        <w:rPr>
          <w:rFonts w:ascii="Times New Roman" w:hAnsi="Times New Roman"/>
        </w:rPr>
        <w:t xml:space="preserve">he impact evaluation will use a quasi-experimental design to estimate the impact of participation relative to a group of individuals who were </w:t>
      </w:r>
      <w:r w:rsidRPr="492F0508">
        <w:rPr>
          <w:rFonts w:ascii="Times New Roman" w:hAnsi="Times New Roman"/>
        </w:rPr>
        <w:t>similar to</w:t>
      </w:r>
      <w:r w:rsidRPr="492F0508" w:rsidR="6A4E403C">
        <w:rPr>
          <w:rFonts w:ascii="Times New Roman" w:hAnsi="Times New Roman"/>
        </w:rPr>
        <w:t xml:space="preserve"> the </w:t>
      </w:r>
      <w:r w:rsidRPr="492F0508">
        <w:rPr>
          <w:rFonts w:ascii="Times New Roman" w:hAnsi="Times New Roman"/>
        </w:rPr>
        <w:t xml:space="preserve">  </w:t>
      </w:r>
      <w:r w:rsidR="001A29A8">
        <w:rPr>
          <w:rFonts w:ascii="Times New Roman" w:hAnsi="Times New Roman"/>
        </w:rPr>
        <w:t>program group</w:t>
      </w:r>
      <w:r w:rsidRPr="492F0508">
        <w:rPr>
          <w:rFonts w:ascii="Times New Roman" w:hAnsi="Times New Roman"/>
        </w:rPr>
        <w:t xml:space="preserve"> but were not eligible for </w:t>
      </w:r>
      <w:r w:rsidRPr="492F0508" w:rsidR="3CD3860D">
        <w:rPr>
          <w:rFonts w:ascii="Times New Roman" w:hAnsi="Times New Roman"/>
        </w:rPr>
        <w:t>services.</w:t>
      </w:r>
      <w:r w:rsidRPr="492F0508">
        <w:rPr>
          <w:rFonts w:ascii="Times New Roman" w:hAnsi="Times New Roman"/>
        </w:rPr>
        <w:t xml:space="preserve"> </w:t>
      </w:r>
      <w:r w:rsidRPr="492F0508" w:rsidR="00AB7846">
        <w:rPr>
          <w:rFonts w:ascii="Times New Roman" w:hAnsi="Times New Roman"/>
        </w:rPr>
        <w:t>T</w:t>
      </w:r>
      <w:r w:rsidRPr="492F0508">
        <w:rPr>
          <w:rFonts w:ascii="Times New Roman" w:hAnsi="Times New Roman"/>
        </w:rPr>
        <w:t>he impact study</w:t>
      </w:r>
      <w:r w:rsidRPr="492F0508" w:rsidR="00D86D33">
        <w:rPr>
          <w:rFonts w:ascii="Times New Roman" w:hAnsi="Times New Roman"/>
        </w:rPr>
        <w:t xml:space="preserve"> will in</w:t>
      </w:r>
      <w:r w:rsidRPr="492F0508" w:rsidR="60AD4219">
        <w:rPr>
          <w:rFonts w:ascii="Times New Roman" w:hAnsi="Times New Roman"/>
        </w:rPr>
        <w:t xml:space="preserve">volve </w:t>
      </w:r>
      <w:r w:rsidRPr="492F0508" w:rsidR="00D86D33">
        <w:rPr>
          <w:rFonts w:ascii="Times New Roman" w:hAnsi="Times New Roman"/>
        </w:rPr>
        <w:t>approximately six</w:t>
      </w:r>
      <w:r w:rsidRPr="492F0508">
        <w:rPr>
          <w:rFonts w:ascii="Times New Roman" w:hAnsi="Times New Roman"/>
        </w:rPr>
        <w:t xml:space="preserve"> grantees</w:t>
      </w:r>
      <w:r w:rsidRPr="492F0508" w:rsidR="4D6915E0">
        <w:rPr>
          <w:rFonts w:ascii="Times New Roman" w:hAnsi="Times New Roman"/>
        </w:rPr>
        <w:t xml:space="preserve">, that have been </w:t>
      </w:r>
      <w:r w:rsidRPr="492F0508">
        <w:rPr>
          <w:rFonts w:ascii="Times New Roman" w:hAnsi="Times New Roman"/>
        </w:rPr>
        <w:t xml:space="preserve">selected based on their program activities and the feasibility of implementing </w:t>
      </w:r>
      <w:r w:rsidRPr="492F0508" w:rsidR="77EB0B6A">
        <w:rPr>
          <w:rFonts w:ascii="Times New Roman" w:hAnsi="Times New Roman"/>
        </w:rPr>
        <w:t xml:space="preserve">the </w:t>
      </w:r>
      <w:r w:rsidRPr="492F0508">
        <w:rPr>
          <w:rFonts w:ascii="Times New Roman" w:hAnsi="Times New Roman"/>
        </w:rPr>
        <w:t>study design at their facility.</w:t>
      </w:r>
      <w:r w:rsidRPr="492F0508" w:rsidR="009444CE">
        <w:rPr>
          <w:rFonts w:ascii="Times New Roman" w:hAnsi="Times New Roman"/>
        </w:rPr>
        <w:t xml:space="preserve"> Study participants will be either enrolled as </w:t>
      </w:r>
      <w:r w:rsidR="006A0D67">
        <w:rPr>
          <w:rFonts w:ascii="Times New Roman" w:hAnsi="Times New Roman"/>
        </w:rPr>
        <w:t>program</w:t>
      </w:r>
      <w:r w:rsidRPr="492F0508" w:rsidR="006A0D67">
        <w:rPr>
          <w:rFonts w:ascii="Times New Roman" w:hAnsi="Times New Roman"/>
        </w:rPr>
        <w:t xml:space="preserve"> </w:t>
      </w:r>
      <w:r w:rsidRPr="492F0508" w:rsidR="009444CE">
        <w:rPr>
          <w:rFonts w:ascii="Times New Roman" w:hAnsi="Times New Roman"/>
        </w:rPr>
        <w:t xml:space="preserve">group members, those who enrolled in the Pathway Home program, or </w:t>
      </w:r>
      <w:r w:rsidRPr="492F0508" w:rsidR="0018668A">
        <w:rPr>
          <w:rFonts w:ascii="Times New Roman" w:hAnsi="Times New Roman"/>
        </w:rPr>
        <w:t>comparison group members.</w:t>
      </w:r>
      <w:r w:rsidRPr="492F0508" w:rsidR="0008252F">
        <w:rPr>
          <w:rFonts w:ascii="Times New Roman" w:hAnsi="Times New Roman"/>
        </w:rPr>
        <w:t xml:space="preserve"> </w:t>
      </w:r>
      <w:r w:rsidRPr="492F0508" w:rsidR="00963631">
        <w:rPr>
          <w:rFonts w:ascii="Times New Roman" w:hAnsi="Times New Roman"/>
        </w:rPr>
        <w:t xml:space="preserve">To </w:t>
      </w:r>
      <w:r w:rsidRPr="492F0508">
        <w:rPr>
          <w:rFonts w:ascii="Times New Roman" w:hAnsi="Times New Roman"/>
        </w:rPr>
        <w:t xml:space="preserve">estimate the impact of the Pathway Home program on participants, responses from members of the </w:t>
      </w:r>
      <w:r w:rsidR="006A0D67">
        <w:rPr>
          <w:rFonts w:ascii="Times New Roman" w:hAnsi="Times New Roman"/>
        </w:rPr>
        <w:t>program</w:t>
      </w:r>
      <w:r w:rsidRPr="492F0508" w:rsidR="006A0D67">
        <w:rPr>
          <w:rFonts w:ascii="Times New Roman" w:hAnsi="Times New Roman"/>
        </w:rPr>
        <w:t xml:space="preserve"> </w:t>
      </w:r>
      <w:r w:rsidRPr="492F0508">
        <w:rPr>
          <w:rFonts w:ascii="Times New Roman" w:hAnsi="Times New Roman"/>
        </w:rPr>
        <w:t xml:space="preserve">group </w:t>
      </w:r>
      <w:r w:rsidRPr="492F0508" w:rsidR="24A23FB8">
        <w:rPr>
          <w:rFonts w:ascii="Times New Roman" w:hAnsi="Times New Roman"/>
        </w:rPr>
        <w:t xml:space="preserve">will be compared </w:t>
      </w:r>
      <w:r w:rsidRPr="492F0508">
        <w:rPr>
          <w:rFonts w:ascii="Times New Roman" w:hAnsi="Times New Roman"/>
        </w:rPr>
        <w:t>to responses from members of the comparison group. Responses to open-ended questions will be</w:t>
      </w:r>
      <w:r w:rsidRPr="492F0508" w:rsidR="00FE73A7">
        <w:rPr>
          <w:rFonts w:ascii="Times New Roman" w:hAnsi="Times New Roman"/>
        </w:rPr>
        <w:t xml:space="preserve"> transformed into discrete outcomes by</w:t>
      </w:r>
      <w:r w:rsidRPr="492F0508">
        <w:rPr>
          <w:rFonts w:ascii="Times New Roman" w:hAnsi="Times New Roman"/>
        </w:rPr>
        <w:t xml:space="preserve"> cod</w:t>
      </w:r>
      <w:r w:rsidRPr="492F0508" w:rsidR="00FE73A7">
        <w:rPr>
          <w:rFonts w:ascii="Times New Roman" w:hAnsi="Times New Roman"/>
        </w:rPr>
        <w:t>ing</w:t>
      </w:r>
      <w:r w:rsidRPr="492F0508">
        <w:rPr>
          <w:rFonts w:ascii="Times New Roman" w:hAnsi="Times New Roman"/>
        </w:rPr>
        <w:t xml:space="preserve"> to identify key themes across respondents.</w:t>
      </w:r>
    </w:p>
    <w:p w:rsidR="00951DE7" w:rsidRPr="003E6997" w:rsidP="492F0508" w14:paraId="52C15C9A" w14:textId="5C40E687">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sidRPr="003E6997">
        <w:rPr>
          <w:rFonts w:ascii="Times New Roman" w:hAnsi="Times New Roman"/>
        </w:rPr>
        <w:t xml:space="preserve">Because the surveys will be collected more than a year following enrollment in the study, participant contact information may be outdated. Additionally, some participants may not provide contact information at baseline, further limiting </w:t>
      </w:r>
      <w:r w:rsidRPr="003E6997" w:rsidR="1E598F9C">
        <w:rPr>
          <w:rFonts w:ascii="Times New Roman" w:hAnsi="Times New Roman"/>
        </w:rPr>
        <w:t xml:space="preserve">the </w:t>
      </w:r>
      <w:r w:rsidRPr="003E6997">
        <w:rPr>
          <w:rFonts w:ascii="Times New Roman" w:hAnsi="Times New Roman"/>
        </w:rPr>
        <w:t xml:space="preserve">ability to contact them when their surveys </w:t>
      </w:r>
      <w:r w:rsidR="00430EB8">
        <w:rPr>
          <w:rFonts w:ascii="Times New Roman" w:hAnsi="Times New Roman"/>
        </w:rPr>
        <w:t>are</w:t>
      </w:r>
      <w:r w:rsidRPr="003E6997">
        <w:rPr>
          <w:rFonts w:ascii="Times New Roman" w:hAnsi="Times New Roman"/>
        </w:rPr>
        <w:t xml:space="preserve"> available. Finally, some participants may choose not to participate in the follow-up survey. To address </w:t>
      </w:r>
      <w:r>
        <w:rPr>
          <w:rFonts w:ascii="Times New Roman" w:hAnsi="Times New Roman"/>
        </w:rPr>
        <w:t>non-response</w:t>
      </w:r>
      <w:r w:rsidRPr="003E6997">
        <w:rPr>
          <w:rFonts w:ascii="Times New Roman" w:hAnsi="Times New Roman"/>
        </w:rPr>
        <w:t xml:space="preserve"> data in the follow-up survey, </w:t>
      </w:r>
      <w:r w:rsidR="001226E6">
        <w:rPr>
          <w:rFonts w:ascii="Times New Roman" w:hAnsi="Times New Roman"/>
        </w:rPr>
        <w:t>all analyses</w:t>
      </w:r>
      <w:r w:rsidR="3F071D03">
        <w:rPr>
          <w:rFonts w:ascii="Times New Roman" w:hAnsi="Times New Roman"/>
        </w:rPr>
        <w:t xml:space="preserve"> will be adjusted</w:t>
      </w:r>
      <w:r w:rsidR="001226E6">
        <w:rPr>
          <w:rFonts w:ascii="Times New Roman" w:hAnsi="Times New Roman"/>
        </w:rPr>
        <w:t xml:space="preserve"> using the follow-up survey data using a</w:t>
      </w:r>
      <w:r w:rsidRPr="003E6997">
        <w:rPr>
          <w:rFonts w:ascii="Times New Roman" w:hAnsi="Times New Roman"/>
        </w:rPr>
        <w:t xml:space="preserve"> nonresponse adjustment. </w:t>
      </w:r>
      <w:r w:rsidRPr="003E6997" w:rsidR="71CA3B32">
        <w:rPr>
          <w:rFonts w:ascii="Times New Roman" w:hAnsi="Times New Roman"/>
        </w:rPr>
        <w:t xml:space="preserve"> </w:t>
      </w:r>
      <w:r w:rsidRPr="003E6997" w:rsidR="344D1C2A">
        <w:rPr>
          <w:rFonts w:ascii="Times New Roman" w:hAnsi="Times New Roman"/>
        </w:rPr>
        <w:t>This will involve</w:t>
      </w:r>
      <w:r w:rsidRPr="003E6997">
        <w:rPr>
          <w:rFonts w:ascii="Times New Roman" w:hAnsi="Times New Roman"/>
        </w:rPr>
        <w:t xml:space="preserve"> </w:t>
      </w:r>
      <w:r w:rsidRPr="003E6997" w:rsidR="00E01207">
        <w:rPr>
          <w:rFonts w:ascii="Times New Roman" w:hAnsi="Times New Roman"/>
        </w:rPr>
        <w:t>creating</w:t>
      </w:r>
      <w:r w:rsidRPr="003E6997">
        <w:rPr>
          <w:rFonts w:ascii="Times New Roman" w:hAnsi="Times New Roman"/>
        </w:rPr>
        <w:t xml:space="preserve"> balance tables to assess whether there is systematic nonresponse to the follow-up survey within the sample of </w:t>
      </w:r>
      <w:r w:rsidR="001226E6">
        <w:rPr>
          <w:rFonts w:ascii="Times New Roman" w:hAnsi="Times New Roman"/>
        </w:rPr>
        <w:t>study p</w:t>
      </w:r>
      <w:r w:rsidRPr="003E6997">
        <w:rPr>
          <w:rFonts w:ascii="Times New Roman" w:hAnsi="Times New Roman"/>
        </w:rPr>
        <w:t xml:space="preserve">articipants. If </w:t>
      </w:r>
      <w:r w:rsidRPr="003E6997" w:rsidR="4BA4CDBA">
        <w:rPr>
          <w:rFonts w:ascii="Times New Roman" w:hAnsi="Times New Roman"/>
        </w:rPr>
        <w:t xml:space="preserve">it is </w:t>
      </w:r>
      <w:r w:rsidRPr="003E6997">
        <w:rPr>
          <w:rFonts w:ascii="Times New Roman" w:hAnsi="Times New Roman"/>
        </w:rPr>
        <w:t>determine</w:t>
      </w:r>
      <w:r w:rsidRPr="003E6997" w:rsidR="3BF3874B">
        <w:rPr>
          <w:rFonts w:ascii="Times New Roman" w:hAnsi="Times New Roman"/>
        </w:rPr>
        <w:t>d</w:t>
      </w:r>
      <w:r w:rsidRPr="003E6997">
        <w:rPr>
          <w:rFonts w:ascii="Times New Roman" w:hAnsi="Times New Roman"/>
        </w:rPr>
        <w:t xml:space="preserve"> that systematic nonresponse is likely to be an issue, </w:t>
      </w:r>
      <w:r w:rsidR="007E5BDC">
        <w:rPr>
          <w:rFonts w:ascii="Times New Roman" w:hAnsi="Times New Roman"/>
        </w:rPr>
        <w:t>non-response weights</w:t>
      </w:r>
      <w:r w:rsidR="2B47BCF3">
        <w:rPr>
          <w:rFonts w:ascii="Times New Roman" w:hAnsi="Times New Roman"/>
        </w:rPr>
        <w:t xml:space="preserve"> will be added</w:t>
      </w:r>
      <w:r w:rsidRPr="003E6997">
        <w:rPr>
          <w:rFonts w:ascii="Times New Roman" w:hAnsi="Times New Roman"/>
        </w:rPr>
        <w:t xml:space="preserve">. </w:t>
      </w:r>
      <w:r w:rsidRPr="003E6997" w:rsidR="4E7C464E">
        <w:rPr>
          <w:rFonts w:ascii="Times New Roman" w:hAnsi="Times New Roman"/>
        </w:rPr>
        <w:t xml:space="preserve">This will be done </w:t>
      </w:r>
      <w:r w:rsidRPr="003E6997">
        <w:rPr>
          <w:rFonts w:ascii="Times New Roman" w:hAnsi="Times New Roman"/>
        </w:rPr>
        <w:t xml:space="preserve">by estimating </w:t>
      </w:r>
      <m:oMath>
        <m:sSub>
          <m:sSubPr>
            <m:ctrlPr>
              <w:rPr>
                <w:rFonts w:ascii="Cambria Math" w:hAnsi="Cambria Math"/>
              </w:rPr>
            </m:ctrlPr>
          </m:sSubPr>
          <m:e>
            <m:r>
              <w:rPr>
                <w:rFonts w:ascii="Cambria Math" w:hAnsi="Cambria Math"/>
              </w:rPr>
              <m:t>p(f|X</m:t>
            </m:r>
          </m:e>
          <m:sub>
            <m:r>
              <w:rPr>
                <w:rFonts w:ascii="Cambria Math" w:hAnsi="Cambria Math"/>
              </w:rPr>
              <m:t>i</m:t>
            </m:r>
          </m:sub>
        </m:sSub>
        <m:r>
          <w:rPr>
            <w:rFonts w:ascii="Cambria Math" w:hAnsi="Cambria Math"/>
          </w:rPr>
          <m:t>)</m:t>
        </m:r>
      </m:oMath>
      <w:r w:rsidRPr="003E6997">
        <w:rPr>
          <w:rFonts w:ascii="Times New Roman" w:hAnsi="Times New Roman"/>
        </w:rPr>
        <w:t xml:space="preserve">, the probability that individual </w:t>
      </w:r>
      <w:r w:rsidRPr="492F0508">
        <w:rPr>
          <w:rFonts w:ascii="Times New Roman" w:hAnsi="Times New Roman"/>
          <w:i/>
          <w:iCs/>
        </w:rPr>
        <w:t>i</w:t>
      </w:r>
      <w:r w:rsidRPr="003E6997">
        <w:rPr>
          <w:rFonts w:ascii="Times New Roman" w:hAnsi="Times New Roman"/>
        </w:rPr>
        <w:t xml:space="preserve"> responded to the follow-up survey</w:t>
      </w:r>
      <w:r w:rsidR="00234A3A">
        <w:rPr>
          <w:rFonts w:ascii="Times New Roman" w:hAnsi="Times New Roman"/>
        </w:rPr>
        <w:t xml:space="preserve"> </w:t>
      </w:r>
      <w:r w:rsidR="001C41B7">
        <w:rPr>
          <w:rFonts w:ascii="Times New Roman" w:hAnsi="Times New Roman"/>
        </w:rPr>
        <w:t>given their set of baseline characteristics</w:t>
      </w:r>
      <w:r w:rsidR="00FB02D9">
        <w:rPr>
          <w:rFonts w:ascii="Times New Roman" w:hAnsi="Times New Roman"/>
        </w:rPr>
        <w:t xml:space="preserve"> (</w:t>
      </w:r>
      <w:r w:rsidRPr="492F0508" w:rsidR="00FB02D9">
        <w:rPr>
          <w:rFonts w:ascii="Times New Roman" w:hAnsi="Times New Roman"/>
          <w:i/>
          <w:iCs/>
        </w:rPr>
        <w:t>X</w:t>
      </w:r>
      <w:r w:rsidRPr="492F0508" w:rsidR="00FB02D9">
        <w:rPr>
          <w:rFonts w:ascii="Times New Roman" w:hAnsi="Times New Roman"/>
          <w:i/>
          <w:iCs/>
          <w:vertAlign w:val="subscript"/>
        </w:rPr>
        <w:t>i</w:t>
      </w:r>
      <w:r w:rsidR="00FB02D9">
        <w:rPr>
          <w:rFonts w:ascii="Times New Roman" w:hAnsi="Times New Roman"/>
        </w:rPr>
        <w:t>)</w:t>
      </w:r>
      <w:r w:rsidR="001C41B7">
        <w:rPr>
          <w:rFonts w:ascii="Times New Roman" w:hAnsi="Times New Roman"/>
        </w:rPr>
        <w:t xml:space="preserve">. </w:t>
      </w:r>
      <w:r w:rsidRPr="003E6997">
        <w:rPr>
          <w:rFonts w:ascii="Times New Roman" w:hAnsi="Times New Roman"/>
        </w:rPr>
        <w:t xml:space="preserve">This will be done using a logistic regression based on covariates from the </w:t>
      </w:r>
      <w:r w:rsidR="001C41B7">
        <w:rPr>
          <w:rFonts w:ascii="Times New Roman" w:hAnsi="Times New Roman"/>
        </w:rPr>
        <w:t>baseline</w:t>
      </w:r>
      <w:r w:rsidRPr="003E6997">
        <w:rPr>
          <w:rFonts w:ascii="Times New Roman" w:hAnsi="Times New Roman"/>
        </w:rPr>
        <w:t xml:space="preserve"> information form.</w:t>
      </w:r>
      <w:r>
        <w:rPr>
          <w:rStyle w:val="FootnoteReference"/>
          <w:rFonts w:ascii="Times New Roman" w:hAnsi="Times New Roman"/>
        </w:rPr>
        <w:footnoteReference w:id="9"/>
      </w:r>
      <w:r w:rsidRPr="003E6997">
        <w:rPr>
          <w:rFonts w:ascii="Times New Roman" w:hAnsi="Times New Roman"/>
        </w:rPr>
        <w:t xml:space="preserve"> </w:t>
      </w:r>
      <w:r w:rsidRPr="003E6997" w:rsidR="7C051187">
        <w:rPr>
          <w:rFonts w:ascii="Times New Roman" w:hAnsi="Times New Roman"/>
        </w:rPr>
        <w:t xml:space="preserve">The contractor </w:t>
      </w:r>
      <w:r w:rsidRPr="003E6997">
        <w:rPr>
          <w:rFonts w:ascii="Times New Roman" w:hAnsi="Times New Roman"/>
        </w:rPr>
        <w:t>will then calculate weights for responders to the follow-up survey</w:t>
      </w:r>
      <w:r w:rsidR="00ED31F0">
        <w:rPr>
          <w:rFonts w:ascii="Times New Roman" w:hAnsi="Times New Roman"/>
        </w:rPr>
        <w:t xml:space="preserve"> as</w:t>
      </w:r>
      <w:r w:rsidRPr="003E6997">
        <w:rPr>
          <w:rFonts w:ascii="Times New Roman" w:hAnsi="Times New Roman"/>
        </w:rPr>
        <w:t xml:space="preserve"> </w:t>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f>
          <m:fPr>
            <m:type m:val="lin"/>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p(f|X</m:t>
                </m:r>
              </m:e>
              <m:sub>
                <m:r>
                  <w:rPr>
                    <w:rFonts w:ascii="Cambria Math" w:hAnsi="Cambria Math"/>
                  </w:rPr>
                  <m:t>i</m:t>
                </m:r>
              </m:sub>
            </m:sSub>
            <m:r>
              <w:rPr>
                <w:rFonts w:ascii="Cambria Math" w:hAnsi="Cambria Math"/>
              </w:rPr>
              <m:t>)</m:t>
            </m:r>
          </m:den>
        </m:f>
      </m:oMath>
      <w:r w:rsidRPr="003E6997">
        <w:rPr>
          <w:rFonts w:ascii="Times New Roman" w:hAnsi="Times New Roman"/>
        </w:rPr>
        <w:t xml:space="preserve">. In the event of large outliers, </w:t>
      </w:r>
      <w:r w:rsidRPr="003E6997" w:rsidR="2185BE41">
        <w:rPr>
          <w:rFonts w:ascii="Times New Roman" w:hAnsi="Times New Roman"/>
        </w:rPr>
        <w:t xml:space="preserve">the contractor </w:t>
      </w:r>
      <w:r w:rsidRPr="003E6997">
        <w:rPr>
          <w:rFonts w:ascii="Times New Roman" w:hAnsi="Times New Roman"/>
        </w:rPr>
        <w:t>will make an outlier adjustment.</w:t>
      </w:r>
    </w:p>
    <w:p w:rsidR="008A206D" w:rsidP="492F0508" w14:paraId="02D3B398" w14:textId="09CA08E9">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sidRPr="003E6997">
        <w:rPr>
          <w:rFonts w:ascii="Times New Roman" w:hAnsi="Times New Roman"/>
        </w:rPr>
        <w:t xml:space="preserve">The analysis will also involve an </w:t>
      </w:r>
      <w:r w:rsidRPr="003E6997" w:rsidR="006A62E6">
        <w:rPr>
          <w:rFonts w:ascii="Times New Roman" w:hAnsi="Times New Roman"/>
        </w:rPr>
        <w:t xml:space="preserve">estimate the impact of the Pathway Home program </w:t>
      </w:r>
      <w:r w:rsidRPr="003E6997" w:rsidR="00951DE7">
        <w:rPr>
          <w:rFonts w:ascii="Times New Roman" w:hAnsi="Times New Roman"/>
        </w:rPr>
        <w:t xml:space="preserve">using </w:t>
      </w:r>
      <w:r w:rsidR="00D4319D">
        <w:rPr>
          <w:rFonts w:ascii="Times New Roman" w:hAnsi="Times New Roman"/>
        </w:rPr>
        <w:t xml:space="preserve">ordinary least square </w:t>
      </w:r>
      <w:r w:rsidRPr="003E6997" w:rsidR="006A62E6">
        <w:rPr>
          <w:rFonts w:ascii="Times New Roman" w:hAnsi="Times New Roman"/>
        </w:rPr>
        <w:t xml:space="preserve">regression </w:t>
      </w:r>
      <w:r w:rsidRPr="003E6997" w:rsidR="00951DE7">
        <w:rPr>
          <w:rFonts w:ascii="Times New Roman" w:hAnsi="Times New Roman"/>
        </w:rPr>
        <w:t>analyses</w:t>
      </w:r>
      <w:r w:rsidR="00D4319D">
        <w:rPr>
          <w:rFonts w:ascii="Times New Roman" w:hAnsi="Times New Roman"/>
        </w:rPr>
        <w:t xml:space="preserve"> (continuous outcomes) and logistic regression analyses (binary outcomes)</w:t>
      </w:r>
      <w:r w:rsidRPr="003E6997" w:rsidR="00951DE7">
        <w:rPr>
          <w:rFonts w:ascii="Times New Roman" w:hAnsi="Times New Roman"/>
        </w:rPr>
        <w:t xml:space="preserve"> </w:t>
      </w:r>
      <w:r w:rsidRPr="003E6997" w:rsidR="006A62E6">
        <w:rPr>
          <w:rFonts w:ascii="Times New Roman" w:hAnsi="Times New Roman"/>
        </w:rPr>
        <w:t>controlling for individuals</w:t>
      </w:r>
      <w:r w:rsidR="00B33613">
        <w:rPr>
          <w:rFonts w:ascii="Times New Roman" w:hAnsi="Times New Roman"/>
        </w:rPr>
        <w:t>'</w:t>
      </w:r>
      <w:r w:rsidRPr="003E6997" w:rsidR="006A62E6">
        <w:rPr>
          <w:rFonts w:ascii="Times New Roman" w:hAnsi="Times New Roman"/>
        </w:rPr>
        <w:t xml:space="preserve"> </w:t>
      </w:r>
      <w:r w:rsidRPr="003E6997" w:rsidR="00951DE7">
        <w:rPr>
          <w:rFonts w:ascii="Times New Roman" w:hAnsi="Times New Roman"/>
        </w:rPr>
        <w:t>baseline characteristics</w:t>
      </w:r>
      <w:r w:rsidRPr="003E6997" w:rsidR="006A62E6">
        <w:rPr>
          <w:rFonts w:ascii="Times New Roman" w:hAnsi="Times New Roman"/>
        </w:rPr>
        <w:t>.</w:t>
      </w:r>
      <w:r w:rsidR="00E275FD">
        <w:rPr>
          <w:rFonts w:ascii="Times New Roman" w:hAnsi="Times New Roman"/>
        </w:rPr>
        <w:t xml:space="preserve"> Given the large number of possible covariates, </w:t>
      </w:r>
      <w:r w:rsidR="54AC0095">
        <w:rPr>
          <w:rFonts w:ascii="Times New Roman" w:hAnsi="Times New Roman"/>
        </w:rPr>
        <w:t xml:space="preserve">the contractor </w:t>
      </w:r>
      <w:r w:rsidR="00E275FD">
        <w:rPr>
          <w:rFonts w:ascii="Times New Roman" w:hAnsi="Times New Roman"/>
        </w:rPr>
        <w:t>will consider using a machine learning method such as LASSO to select which covariates to include in the analysis.</w:t>
      </w:r>
      <w:r w:rsidRPr="003E6997" w:rsidR="006A62E6">
        <w:rPr>
          <w:rFonts w:ascii="Times New Roman" w:hAnsi="Times New Roman"/>
        </w:rPr>
        <w:t xml:space="preserve"> </w:t>
      </w:r>
      <w:r>
        <w:rPr>
          <w:rFonts w:ascii="Times New Roman" w:hAnsi="Times New Roman"/>
        </w:rPr>
        <w:t xml:space="preserve">Prior to this analysis, </w:t>
      </w:r>
      <w:r w:rsidR="3FDEAE1E">
        <w:rPr>
          <w:rFonts w:ascii="Times New Roman" w:hAnsi="Times New Roman"/>
        </w:rPr>
        <w:t xml:space="preserve">the contractor </w:t>
      </w:r>
      <w:r>
        <w:rPr>
          <w:rFonts w:ascii="Times New Roman" w:hAnsi="Times New Roman"/>
        </w:rPr>
        <w:t xml:space="preserve">will </w:t>
      </w:r>
      <w:r w:rsidR="002446BA">
        <w:rPr>
          <w:rFonts w:ascii="Times New Roman" w:hAnsi="Times New Roman"/>
        </w:rPr>
        <w:t xml:space="preserve">create balance tables to assess whether there </w:t>
      </w:r>
      <w:r w:rsidR="005630C0">
        <w:rPr>
          <w:rFonts w:ascii="Times New Roman" w:hAnsi="Times New Roman"/>
        </w:rPr>
        <w:t xml:space="preserve">are systematic differences in baseline characteristics between the </w:t>
      </w:r>
      <w:r w:rsidR="006A0D67">
        <w:rPr>
          <w:rFonts w:ascii="Times New Roman" w:hAnsi="Times New Roman"/>
        </w:rPr>
        <w:t xml:space="preserve">program </w:t>
      </w:r>
      <w:r w:rsidR="005630C0">
        <w:rPr>
          <w:rFonts w:ascii="Times New Roman" w:hAnsi="Times New Roman"/>
        </w:rPr>
        <w:t>and comparison groups. If likely systematic differences</w:t>
      </w:r>
      <w:r w:rsidR="27765B9D">
        <w:rPr>
          <w:rFonts w:ascii="Times New Roman" w:hAnsi="Times New Roman"/>
        </w:rPr>
        <w:t xml:space="preserve"> are identified</w:t>
      </w:r>
      <w:r w:rsidR="005630C0">
        <w:rPr>
          <w:rFonts w:ascii="Times New Roman" w:hAnsi="Times New Roman"/>
        </w:rPr>
        <w:t xml:space="preserve">, </w:t>
      </w:r>
      <w:r w:rsidR="553D7548">
        <w:rPr>
          <w:rFonts w:ascii="Times New Roman" w:hAnsi="Times New Roman"/>
        </w:rPr>
        <w:t xml:space="preserve">the contractor </w:t>
      </w:r>
      <w:r w:rsidR="005630C0">
        <w:rPr>
          <w:rFonts w:ascii="Times New Roman" w:hAnsi="Times New Roman"/>
        </w:rPr>
        <w:t xml:space="preserve">will adjust analyses using inverse probability weights. In the case that the analyses </w:t>
      </w:r>
      <w:r w:rsidR="00EB19A4">
        <w:rPr>
          <w:rFonts w:ascii="Times New Roman" w:hAnsi="Times New Roman"/>
        </w:rPr>
        <w:t xml:space="preserve">need to be adjusted for both selection into the </w:t>
      </w:r>
      <w:r w:rsidR="006A0D67">
        <w:rPr>
          <w:rFonts w:ascii="Times New Roman" w:hAnsi="Times New Roman"/>
        </w:rPr>
        <w:t xml:space="preserve">program </w:t>
      </w:r>
      <w:r w:rsidR="00EB19A4">
        <w:rPr>
          <w:rFonts w:ascii="Times New Roman" w:hAnsi="Times New Roman"/>
        </w:rPr>
        <w:t>group and selection into survey response, combined weights will be estimated a</w:t>
      </w:r>
      <w:r w:rsidR="003E5D6B">
        <w:rPr>
          <w:rFonts w:ascii="Times New Roman" w:hAnsi="Times New Roman"/>
        </w:rPr>
        <w:t xml:space="preserve">s </w:t>
      </w:r>
      <m:oMath>
        <m:sSub>
          <m:sSubPr>
            <m:ctrlPr>
              <w:rPr>
                <w:rFonts w:ascii="Cambria Math" w:hAnsi="Cambria Math"/>
                <w:i/>
              </w:rPr>
            </m:ctrlPr>
          </m:sSubPr>
          <m:e>
            <m:r>
              <w:rPr>
                <w:rFonts w:ascii="Cambria Math" w:hAnsi="Cambria Math"/>
              </w:rPr>
              <m:t>w</m:t>
            </m:r>
          </m:e>
          <m:sub>
            <m:r>
              <w:rPr>
                <w:rFonts w:ascii="Cambria Math" w:hAnsi="Cambria Math"/>
              </w:rPr>
              <m:t>id</m:t>
            </m:r>
          </m:sub>
        </m:sSub>
        <m:r>
          <w:rPr>
            <w:rFonts w:ascii="Cambria Math" w:hAnsi="Cambria Math"/>
          </w:rPr>
          <m:t>=</m:t>
        </m:r>
        <m:f>
          <m:fPr>
            <m:type m:val="lin"/>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p(f|X</m:t>
                </m:r>
              </m:e>
              <m:sub>
                <m:r>
                  <w:rPr>
                    <w:rFonts w:ascii="Cambria Math" w:hAnsi="Cambria Math"/>
                  </w:rPr>
                  <m:t>i</m:t>
                </m:r>
              </m:sub>
            </m:sSub>
            <m:r>
              <w:rPr>
                <w:rFonts w:ascii="Cambria Math" w:hAnsi="Cambria Math"/>
              </w:rPr>
              <m:t>)</m:t>
            </m:r>
          </m:den>
        </m:f>
        <m:r>
          <w:rPr>
            <w:rFonts w:ascii="Cambria Math" w:hAnsi="Cambria Math"/>
          </w:rPr>
          <m:t>×</m:t>
        </m:r>
        <m:f>
          <m:fPr>
            <m:type m:val="lin"/>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p(t|X</m:t>
                </m:r>
              </m:e>
              <m:sub>
                <m:r>
                  <w:rPr>
                    <w:rFonts w:ascii="Cambria Math" w:hAnsi="Cambria Math"/>
                  </w:rPr>
                  <m:t>i</m:t>
                </m:r>
              </m:sub>
            </m:sSub>
            <m:r>
              <w:rPr>
                <w:rFonts w:ascii="Cambria Math" w:hAnsi="Cambria Math"/>
              </w:rPr>
              <m:t>)</m:t>
            </m:r>
          </m:den>
        </m:f>
      </m:oMath>
      <w:r w:rsidR="00FB02D9">
        <w:rPr>
          <w:rFonts w:ascii="Times New Roman" w:hAnsi="Times New Roman"/>
        </w:rPr>
        <w:t xml:space="preserve"> where </w:t>
      </w:r>
      <m:oMath>
        <m:sSub>
          <m:sSubPr>
            <m:ctrlPr>
              <w:rPr>
                <w:rFonts w:ascii="Cambria Math" w:hAnsi="Cambria Math"/>
              </w:rPr>
            </m:ctrlPr>
          </m:sSubPr>
          <m:e>
            <m:r>
              <w:rPr>
                <w:rFonts w:ascii="Cambria Math" w:hAnsi="Cambria Math"/>
              </w:rPr>
              <m:t>p(t|X</m:t>
            </m:r>
          </m:e>
          <m:sub>
            <m:r>
              <w:rPr>
                <w:rFonts w:ascii="Cambria Math" w:hAnsi="Cambria Math"/>
              </w:rPr>
              <m:t>i</m:t>
            </m:r>
          </m:sub>
        </m:sSub>
        <m:r>
          <w:rPr>
            <w:rFonts w:ascii="Cambria Math" w:hAnsi="Cambria Math"/>
          </w:rPr>
          <m:t>)</m:t>
        </m:r>
      </m:oMath>
      <w:r w:rsidR="00FB02D9">
        <w:rPr>
          <w:rFonts w:ascii="Times New Roman" w:hAnsi="Times New Roman"/>
        </w:rPr>
        <w:t xml:space="preserve"> is the probability of individual </w:t>
      </w:r>
      <w:r w:rsidRPr="492F0508" w:rsidR="00FB02D9">
        <w:rPr>
          <w:rFonts w:ascii="Times New Roman" w:hAnsi="Times New Roman"/>
          <w:i/>
          <w:iCs/>
        </w:rPr>
        <w:t xml:space="preserve">i </w:t>
      </w:r>
      <w:r w:rsidR="00FB02D9">
        <w:rPr>
          <w:rFonts w:ascii="Times New Roman" w:hAnsi="Times New Roman"/>
        </w:rPr>
        <w:t xml:space="preserve">being in the </w:t>
      </w:r>
      <w:r w:rsidR="006A0D67">
        <w:rPr>
          <w:rFonts w:ascii="Times New Roman" w:hAnsi="Times New Roman"/>
        </w:rPr>
        <w:t xml:space="preserve">program </w:t>
      </w:r>
      <w:r w:rsidR="00FB02D9">
        <w:rPr>
          <w:rFonts w:ascii="Times New Roman" w:hAnsi="Times New Roman"/>
        </w:rPr>
        <w:t>group conditional on their baseline characteristics.</w:t>
      </w:r>
    </w:p>
    <w:p w:rsidR="006A62E6" w:rsidP="492F0508" w14:paraId="4541403A" w14:textId="2549964F">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sidRPr="492F0508">
        <w:rPr>
          <w:rFonts w:ascii="Times New Roman" w:hAnsi="Times New Roman"/>
        </w:rPr>
        <w:t xml:space="preserve">The contractor </w:t>
      </w:r>
      <w:r w:rsidRPr="492F0508" w:rsidR="00E275FD">
        <w:rPr>
          <w:rFonts w:ascii="Times New Roman" w:hAnsi="Times New Roman"/>
        </w:rPr>
        <w:t xml:space="preserve">will also consider </w:t>
      </w:r>
      <w:r w:rsidRPr="492F0508">
        <w:rPr>
          <w:rFonts w:ascii="Times New Roman" w:hAnsi="Times New Roman"/>
        </w:rPr>
        <w:t>estimat</w:t>
      </w:r>
      <w:r w:rsidRPr="492F0508" w:rsidR="00E275FD">
        <w:rPr>
          <w:rFonts w:ascii="Times New Roman" w:hAnsi="Times New Roman"/>
        </w:rPr>
        <w:t>ing</w:t>
      </w:r>
      <w:r w:rsidRPr="492F0508">
        <w:rPr>
          <w:rFonts w:ascii="Times New Roman" w:hAnsi="Times New Roman"/>
        </w:rPr>
        <w:t xml:space="preserve"> </w:t>
      </w:r>
      <w:r w:rsidRPr="492F0508" w:rsidR="00E275FD">
        <w:rPr>
          <w:rFonts w:ascii="Times New Roman" w:hAnsi="Times New Roman"/>
        </w:rPr>
        <w:t>grantee</w:t>
      </w:r>
      <w:r w:rsidRPr="492F0508">
        <w:rPr>
          <w:rFonts w:ascii="Times New Roman" w:hAnsi="Times New Roman"/>
        </w:rPr>
        <w:t xml:space="preserve">-specific effects by using Bayesian analysis to bring together information on the </w:t>
      </w:r>
      <w:r w:rsidRPr="492F0508" w:rsidR="00E275FD">
        <w:rPr>
          <w:rFonts w:ascii="Times New Roman" w:hAnsi="Times New Roman"/>
        </w:rPr>
        <w:t>grantee</w:t>
      </w:r>
      <w:r w:rsidRPr="492F0508">
        <w:rPr>
          <w:rFonts w:ascii="Times New Roman" w:hAnsi="Times New Roman"/>
        </w:rPr>
        <w:t>-specific estimate of the program</w:t>
      </w:r>
      <w:r w:rsidRPr="492F0508" w:rsidR="00B33613">
        <w:rPr>
          <w:rFonts w:ascii="Times New Roman" w:hAnsi="Times New Roman"/>
        </w:rPr>
        <w:t>'</w:t>
      </w:r>
      <w:r w:rsidRPr="492F0508">
        <w:rPr>
          <w:rFonts w:ascii="Times New Roman" w:hAnsi="Times New Roman"/>
        </w:rPr>
        <w:t>s impact and the estimated effects of other partnerships</w:t>
      </w:r>
      <w:r w:rsidRPr="492F0508" w:rsidR="00B33613">
        <w:rPr>
          <w:rFonts w:ascii="Times New Roman" w:hAnsi="Times New Roman"/>
        </w:rPr>
        <w:t>'</w:t>
      </w:r>
      <w:r w:rsidRPr="492F0508">
        <w:rPr>
          <w:rFonts w:ascii="Times New Roman" w:hAnsi="Times New Roman"/>
        </w:rPr>
        <w:t xml:space="preserve"> programs. To generate Bayesian impact estimates for each of the </w:t>
      </w:r>
      <w:r w:rsidRPr="492F0508" w:rsidR="00E275FD">
        <w:rPr>
          <w:rFonts w:ascii="Times New Roman" w:hAnsi="Times New Roman"/>
        </w:rPr>
        <w:t>approximately six</w:t>
      </w:r>
      <w:r w:rsidRPr="492F0508">
        <w:rPr>
          <w:rFonts w:ascii="Times New Roman" w:hAnsi="Times New Roman"/>
        </w:rPr>
        <w:t xml:space="preserve"> partnerships</w:t>
      </w:r>
      <w:r w:rsidRPr="492F0508" w:rsidR="00E275FD">
        <w:rPr>
          <w:rFonts w:ascii="Times New Roman" w:hAnsi="Times New Roman"/>
        </w:rPr>
        <w:t xml:space="preserve"> in the impact study</w:t>
      </w:r>
      <w:r w:rsidRPr="492F0508">
        <w:rPr>
          <w:rFonts w:ascii="Times New Roman" w:hAnsi="Times New Roman"/>
        </w:rPr>
        <w:t xml:space="preserve">, </w:t>
      </w:r>
      <w:r w:rsidRPr="492F0508" w:rsidR="5139AC49">
        <w:rPr>
          <w:rFonts w:ascii="Times New Roman" w:hAnsi="Times New Roman"/>
        </w:rPr>
        <w:t xml:space="preserve">the contractor </w:t>
      </w:r>
      <w:r w:rsidRPr="492F0508">
        <w:rPr>
          <w:rFonts w:ascii="Times New Roman" w:hAnsi="Times New Roman"/>
        </w:rPr>
        <w:t xml:space="preserve">will first estimate </w:t>
      </w:r>
      <w:r w:rsidRPr="492F0508" w:rsidR="00E275FD">
        <w:rPr>
          <w:rFonts w:ascii="Times New Roman" w:hAnsi="Times New Roman"/>
        </w:rPr>
        <w:t>grantee</w:t>
      </w:r>
      <w:r w:rsidRPr="492F0508">
        <w:rPr>
          <w:rFonts w:ascii="Times New Roman" w:hAnsi="Times New Roman"/>
        </w:rPr>
        <w:t xml:space="preserve">-specific estimates using </w:t>
      </w:r>
      <w:r w:rsidRPr="492F0508" w:rsidR="00E275FD">
        <w:rPr>
          <w:rFonts w:ascii="Times New Roman" w:hAnsi="Times New Roman"/>
        </w:rPr>
        <w:t>regression analysis</w:t>
      </w:r>
      <w:r w:rsidRPr="492F0508">
        <w:rPr>
          <w:rFonts w:ascii="Times New Roman" w:hAnsi="Times New Roman"/>
        </w:rPr>
        <w:t xml:space="preserve">. </w:t>
      </w:r>
      <w:r w:rsidRPr="492F0508" w:rsidR="641F68AA">
        <w:rPr>
          <w:rFonts w:ascii="Times New Roman" w:hAnsi="Times New Roman"/>
        </w:rPr>
        <w:t xml:space="preserve">The contractor </w:t>
      </w:r>
      <w:r w:rsidRPr="492F0508">
        <w:rPr>
          <w:rFonts w:ascii="Times New Roman" w:hAnsi="Times New Roman"/>
        </w:rPr>
        <w:t>will then use the impact estimates for the other partnerships to fit a prior distribution of treatment effects</w:t>
      </w:r>
      <w:r w:rsidRPr="492F0508" w:rsidR="00E275FD">
        <w:rPr>
          <w:rFonts w:ascii="Times New Roman" w:hAnsi="Times New Roman"/>
        </w:rPr>
        <w:t>.</w:t>
      </w:r>
    </w:p>
    <w:p w:rsidR="00815D0A" w:rsidP="00A84001" w14:paraId="63A99F3E" w14:textId="26C48A9E">
      <w:pPr>
        <w:pStyle w:val="NormalSS"/>
        <w:keepNext/>
        <w:spacing w:before="240"/>
        <w:ind w:firstLine="0"/>
      </w:pPr>
      <w:r>
        <w:t xml:space="preserve">Analysis of data from the </w:t>
      </w:r>
      <w:r w:rsidR="00C05D1D">
        <w:t xml:space="preserve">structured </w:t>
      </w:r>
      <w:r>
        <w:t xml:space="preserve">discussions with grantee staff will involve coding the qualitative data into key topics. The </w:t>
      </w:r>
      <w:r w:rsidR="651A5331">
        <w:t xml:space="preserve">contractor </w:t>
      </w:r>
      <w:r>
        <w:t>evaluation team will begin by writing up detailed notes from virtual discussion groups in a structured format. To code the qualitative data for key themes and topics, a coding scheme will be developed and organized according to key research questions and topics as well as constructs from the CCAT and CFIR frameworks. Each segment of coded data will be assigned a negative or positive flag to identify barriers to and facilitators of implementation. This process will reduce the data into a manageable number of topics and themes for analysis.</w:t>
      </w:r>
      <w:r w:rsidRPr="492F0508">
        <w:rPr>
          <w:vertAlign w:val="superscript"/>
        </w:rPr>
        <w:t xml:space="preserve"> </w:t>
      </w:r>
      <w:r>
        <w:t>The evaluation team will then code the data using qualitative analysis software. To ensure reliability across team staff, all coders will code an initial set of documents and compare codes to identify and resolve discrepancies.</w:t>
      </w:r>
    </w:p>
    <w:p w:rsidR="000A1AA0" w:rsidRPr="00722AFB" w:rsidP="00A84001" w14:paraId="2021828B" w14:textId="0A6BC678">
      <w:pPr>
        <w:pStyle w:val="NormalSS"/>
        <w:keepNext/>
        <w:spacing w:before="240"/>
        <w:ind w:firstLine="0"/>
        <w:rPr>
          <w:rFonts w:eastAsiaTheme="majorEastAsia"/>
          <w:b/>
          <w:color w:val="44546A" w:themeColor="text2"/>
        </w:rPr>
      </w:pPr>
      <w:r w:rsidRPr="00722AFB">
        <w:rPr>
          <w:rFonts w:eastAsiaTheme="majorEastAsia"/>
          <w:b/>
          <w:color w:val="44546A" w:themeColor="text2"/>
        </w:rPr>
        <w:t>Publications</w:t>
      </w:r>
    </w:p>
    <w:p w:rsidR="00955A1B" w:rsidP="75F0A9AB" w14:paraId="704DADD7" w14:textId="7957C495">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sidRPr="75F0A9AB">
        <w:rPr>
          <w:rFonts w:ascii="Times New Roman" w:hAnsi="Times New Roman"/>
        </w:rPr>
        <w:t xml:space="preserve">The evaluation includes an implementation </w:t>
      </w:r>
      <w:r w:rsidRPr="75F0A9AB" w:rsidR="0053122E">
        <w:rPr>
          <w:rFonts w:ascii="Times New Roman" w:hAnsi="Times New Roman"/>
        </w:rPr>
        <w:t xml:space="preserve">study </w:t>
      </w:r>
      <w:r w:rsidRPr="75F0A9AB">
        <w:rPr>
          <w:rFonts w:ascii="Times New Roman" w:hAnsi="Times New Roman"/>
        </w:rPr>
        <w:t>and an impact study.</w:t>
      </w:r>
      <w:r w:rsidRPr="75F0A9AB" w:rsidR="001176B0">
        <w:rPr>
          <w:rFonts w:ascii="Times New Roman" w:hAnsi="Times New Roman"/>
        </w:rPr>
        <w:t xml:space="preserve"> </w:t>
      </w:r>
      <w:r w:rsidRPr="75F0A9AB" w:rsidR="00770294">
        <w:rPr>
          <w:rFonts w:ascii="Times New Roman" w:hAnsi="Times New Roman"/>
        </w:rPr>
        <w:t xml:space="preserve">In 2022, a </w:t>
      </w:r>
      <w:r w:rsidRPr="75F0A9AB" w:rsidR="002529D6">
        <w:rPr>
          <w:rFonts w:ascii="Times New Roman" w:hAnsi="Times New Roman"/>
        </w:rPr>
        <w:t>public-facing</w:t>
      </w:r>
      <w:r w:rsidRPr="75F0A9AB" w:rsidR="00770294">
        <w:rPr>
          <w:rFonts w:ascii="Times New Roman" w:hAnsi="Times New Roman"/>
        </w:rPr>
        <w:t xml:space="preserve"> design report </w:t>
      </w:r>
      <w:r w:rsidRPr="75F0A9AB" w:rsidR="002529D6">
        <w:rPr>
          <w:rFonts w:ascii="Times New Roman" w:hAnsi="Times New Roman"/>
        </w:rPr>
        <w:t xml:space="preserve">was released describing the implementation study. </w:t>
      </w:r>
      <w:r w:rsidRPr="75F0A9AB" w:rsidR="002C030A">
        <w:rPr>
          <w:rFonts w:ascii="Times New Roman" w:hAnsi="Times New Roman"/>
        </w:rPr>
        <w:t>In 202</w:t>
      </w:r>
      <w:r w:rsidRPr="75F0A9AB" w:rsidR="00A0615F">
        <w:rPr>
          <w:rFonts w:ascii="Times New Roman" w:hAnsi="Times New Roman"/>
        </w:rPr>
        <w:t>3</w:t>
      </w:r>
      <w:r w:rsidRPr="75F0A9AB" w:rsidR="002C030A">
        <w:rPr>
          <w:rFonts w:ascii="Times New Roman" w:hAnsi="Times New Roman"/>
        </w:rPr>
        <w:t xml:space="preserve">, a public-facing design report will be submitted for the impact study. </w:t>
      </w:r>
      <w:r w:rsidRPr="00C2489B" w:rsidR="002C030A">
        <w:rPr>
          <w:rFonts w:ascii="Times New Roman" w:hAnsi="Times New Roman"/>
        </w:rPr>
        <w:t>Data collection</w:t>
      </w:r>
      <w:r w:rsidRPr="75F0A9AB" w:rsidR="002C030A">
        <w:rPr>
          <w:rFonts w:ascii="Times New Roman" w:hAnsi="Times New Roman"/>
        </w:rPr>
        <w:t xml:space="preserve"> for the implementation and impact studies will begin in 202</w:t>
      </w:r>
      <w:r w:rsidRPr="75F0A9AB" w:rsidR="005C7C22">
        <w:rPr>
          <w:rFonts w:ascii="Times New Roman" w:hAnsi="Times New Roman"/>
        </w:rPr>
        <w:t>3</w:t>
      </w:r>
      <w:r w:rsidRPr="75F0A9AB" w:rsidR="002C030A">
        <w:rPr>
          <w:rFonts w:ascii="Times New Roman" w:hAnsi="Times New Roman"/>
        </w:rPr>
        <w:t xml:space="preserve"> and </w:t>
      </w:r>
      <w:r w:rsidRPr="00C2489B" w:rsidR="002C030A">
        <w:rPr>
          <w:rFonts w:ascii="Times New Roman" w:hAnsi="Times New Roman"/>
        </w:rPr>
        <w:t>will end in 202</w:t>
      </w:r>
      <w:r w:rsidRPr="00C2489B" w:rsidR="00E0190D">
        <w:rPr>
          <w:rFonts w:ascii="Times New Roman" w:hAnsi="Times New Roman"/>
        </w:rPr>
        <w:t>5</w:t>
      </w:r>
      <w:r w:rsidRPr="00C2489B" w:rsidR="002C030A">
        <w:rPr>
          <w:rFonts w:ascii="Times New Roman" w:hAnsi="Times New Roman"/>
        </w:rPr>
        <w:t>.</w:t>
      </w:r>
      <w:r w:rsidRPr="75F0A9AB" w:rsidR="002C030A">
        <w:rPr>
          <w:rFonts w:ascii="Times New Roman" w:hAnsi="Times New Roman"/>
        </w:rPr>
        <w:t xml:space="preserve"> </w:t>
      </w:r>
      <w:r w:rsidRPr="75F0A9AB" w:rsidR="0078767C">
        <w:rPr>
          <w:rFonts w:ascii="Times New Roman" w:hAnsi="Times New Roman"/>
        </w:rPr>
        <w:t xml:space="preserve">Based on the data collection </w:t>
      </w:r>
      <w:r w:rsidRPr="75F0A9AB" w:rsidR="00E200A6">
        <w:rPr>
          <w:rFonts w:ascii="Times New Roman" w:hAnsi="Times New Roman"/>
        </w:rPr>
        <w:t>activities</w:t>
      </w:r>
      <w:r w:rsidRPr="75F0A9AB" w:rsidR="0078767C">
        <w:rPr>
          <w:rFonts w:ascii="Times New Roman" w:hAnsi="Times New Roman"/>
        </w:rPr>
        <w:t xml:space="preserve"> described in the previous OMB package and this clearance request, t</w:t>
      </w:r>
      <w:r w:rsidRPr="75F0A9AB">
        <w:rPr>
          <w:rFonts w:ascii="Times New Roman" w:hAnsi="Times New Roman"/>
        </w:rPr>
        <w:t>he following products will be developed:</w:t>
      </w:r>
    </w:p>
    <w:p w:rsidR="00115742" w:rsidP="492F0508" w14:paraId="5894589C" w14:textId="385A21CA">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492F0508">
        <w:rPr>
          <w:rFonts w:ascii="Times New Roman" w:hAnsi="Times New Roman"/>
          <w:b/>
          <w:bCs/>
        </w:rPr>
        <w:t xml:space="preserve">Implementation study briefs. </w:t>
      </w:r>
      <w:r w:rsidR="00CF7D62">
        <w:rPr>
          <w:rFonts w:ascii="Times New Roman" w:hAnsi="Times New Roman"/>
        </w:rPr>
        <w:t xml:space="preserve">The first </w:t>
      </w:r>
      <w:r w:rsidR="00C444E9">
        <w:rPr>
          <w:rFonts w:ascii="Times New Roman" w:hAnsi="Times New Roman"/>
        </w:rPr>
        <w:t>i</w:t>
      </w:r>
      <w:r w:rsidRPr="492F0508" w:rsidR="006B5637">
        <w:rPr>
          <w:rFonts w:ascii="Times New Roman" w:hAnsi="Times New Roman"/>
        </w:rPr>
        <w:t>mplementation study</w:t>
      </w:r>
      <w:r w:rsidRPr="492F0508" w:rsidR="002C030A">
        <w:rPr>
          <w:rFonts w:ascii="Times New Roman" w:hAnsi="Times New Roman"/>
        </w:rPr>
        <w:t xml:space="preserve"> brief</w:t>
      </w:r>
      <w:r w:rsidR="00C444E9">
        <w:rPr>
          <w:rFonts w:ascii="Times New Roman" w:hAnsi="Times New Roman"/>
        </w:rPr>
        <w:t xml:space="preserve"> was published in August 2022. Other study </w:t>
      </w:r>
      <w:r w:rsidRPr="492F0508" w:rsidR="002C030A">
        <w:rPr>
          <w:rFonts w:ascii="Times New Roman" w:hAnsi="Times New Roman"/>
        </w:rPr>
        <w:t xml:space="preserve">briefs </w:t>
      </w:r>
      <w:r w:rsidR="002251E6">
        <w:rPr>
          <w:rFonts w:ascii="Times New Roman" w:hAnsi="Times New Roman"/>
        </w:rPr>
        <w:t>are estimated to be published in Fall 2023 and Spring 2024.</w:t>
      </w:r>
      <w:r w:rsidRPr="492F0508" w:rsidR="002C030A">
        <w:rPr>
          <w:rFonts w:ascii="Times New Roman" w:hAnsi="Times New Roman"/>
        </w:rPr>
        <w:t xml:space="preserve"> </w:t>
      </w:r>
      <w:r w:rsidRPr="492F0508" w:rsidR="0037327B">
        <w:rPr>
          <w:rFonts w:ascii="Times New Roman" w:hAnsi="Times New Roman"/>
        </w:rPr>
        <w:t xml:space="preserve">The briefs will focus </w:t>
      </w:r>
      <w:r w:rsidRPr="492F0508" w:rsidR="00FC60A4">
        <w:rPr>
          <w:rFonts w:ascii="Times New Roman" w:hAnsi="Times New Roman"/>
        </w:rPr>
        <w:t xml:space="preserve">on special topics of interest to DOL that may include: </w:t>
      </w:r>
    </w:p>
    <w:p w:rsidR="00FC60A4" w:rsidP="00C457A7" w14:paraId="3BE4C56B" w14:textId="5AEF6B47">
      <w:pPr>
        <w:pStyle w:val="Bullet"/>
        <w:spacing w:before="120"/>
        <w:ind w:left="360"/>
      </w:pPr>
      <w:r>
        <w:t>An overview of who was initially served by the grantees and what strategies the</w:t>
      </w:r>
      <w:r w:rsidR="00AC6286">
        <w:t xml:space="preserve"> grantees</w:t>
      </w:r>
      <w:r>
        <w:t xml:space="preserve"> used to recruit </w:t>
      </w:r>
      <w:r w:rsidR="00AC6286">
        <w:t xml:space="preserve">participants </w:t>
      </w:r>
      <w:r>
        <w:t xml:space="preserve">to the program, as well as recruitment and enrollment challenges and lessons learned. </w:t>
      </w:r>
    </w:p>
    <w:p w:rsidR="00FC60A4" w:rsidP="00C457A7" w14:paraId="52766C4B" w14:textId="795FFBD0">
      <w:pPr>
        <w:pStyle w:val="Bullet"/>
        <w:spacing w:before="120"/>
        <w:ind w:left="360"/>
      </w:pPr>
      <w:r>
        <w:t xml:space="preserve">An overview of the program models </w:t>
      </w:r>
      <w:r w:rsidR="00AC6286">
        <w:t xml:space="preserve">used </w:t>
      </w:r>
      <w:r>
        <w:t xml:space="preserve">across the two cohorts of grantees and an overview of services and innovative practices based on responses to the grantee and facility surveys and virtual discussions with </w:t>
      </w:r>
      <w:r w:rsidR="00365C82">
        <w:t xml:space="preserve">grantee </w:t>
      </w:r>
      <w:r>
        <w:t>staff.</w:t>
      </w:r>
    </w:p>
    <w:p w:rsidR="00FC60A4" w:rsidP="00C457A7" w14:paraId="24254B98" w14:textId="0214E241">
      <w:pPr>
        <w:pStyle w:val="Bullet"/>
        <w:spacing w:before="120"/>
        <w:ind w:left="360"/>
      </w:pPr>
      <w:r>
        <w:t>Partnerships developed under the program focusing on how the grantees identified different partners to support Pathway Home program planning and implementation and the trends across grantees in the types of partnerships that showed promise. The paper w</w:t>
      </w:r>
      <w:r w:rsidR="00D46B59">
        <w:t>ill</w:t>
      </w:r>
      <w:r>
        <w:t xml:space="preserve"> also discuss the challenges, successes, and lessons learned around forming these partnerships. </w:t>
      </w:r>
    </w:p>
    <w:p w:rsidR="00115742" w:rsidRPr="00115742" w:rsidP="75F0A9AB" w14:paraId="4E1837D5" w14:textId="69837139">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sidRPr="492F0508">
        <w:rPr>
          <w:rFonts w:ascii="Times New Roman" w:hAnsi="Times New Roman"/>
          <w:b/>
          <w:bCs/>
        </w:rPr>
        <w:t>Implementation study report.</w:t>
      </w:r>
      <w:r w:rsidRPr="492F0508">
        <w:rPr>
          <w:rFonts w:ascii="Times New Roman" w:hAnsi="Times New Roman"/>
        </w:rPr>
        <w:t xml:space="preserve"> The </w:t>
      </w:r>
      <w:r w:rsidRPr="492F0508" w:rsidR="006C409C">
        <w:rPr>
          <w:rFonts w:ascii="Times New Roman" w:hAnsi="Times New Roman"/>
        </w:rPr>
        <w:t xml:space="preserve">evaluation </w:t>
      </w:r>
      <w:r w:rsidRPr="492F0508">
        <w:rPr>
          <w:rFonts w:ascii="Times New Roman" w:hAnsi="Times New Roman"/>
        </w:rPr>
        <w:t xml:space="preserve">team will complete a report describing the findings from the implementation study. This report will document how sites were selected for the evaluation, as well as the characteristics of sites </w:t>
      </w:r>
      <w:r w:rsidRPr="492F0508" w:rsidR="00AB69A6">
        <w:rPr>
          <w:rFonts w:ascii="Times New Roman" w:hAnsi="Times New Roman"/>
        </w:rPr>
        <w:t xml:space="preserve">and </w:t>
      </w:r>
      <w:r w:rsidRPr="492F0508" w:rsidR="00AB69A6">
        <w:rPr>
          <w:rFonts w:ascii="Times New Roman" w:hAnsi="Times New Roman"/>
        </w:rPr>
        <w:t>correctional facility</w:t>
      </w:r>
      <w:r w:rsidRPr="492F0508" w:rsidR="00AB69A6">
        <w:rPr>
          <w:rFonts w:ascii="Times New Roman" w:hAnsi="Times New Roman"/>
        </w:rPr>
        <w:t xml:space="preserve"> partners </w:t>
      </w:r>
      <w:r w:rsidRPr="492F0508">
        <w:rPr>
          <w:rFonts w:ascii="Times New Roman" w:hAnsi="Times New Roman"/>
        </w:rPr>
        <w:t xml:space="preserve">that participated. The report will also discuss </w:t>
      </w:r>
      <w:r w:rsidRPr="492F0508" w:rsidR="00FC60A4">
        <w:rPr>
          <w:rFonts w:ascii="Times New Roman" w:hAnsi="Times New Roman"/>
        </w:rPr>
        <w:t>participant</w:t>
      </w:r>
      <w:r w:rsidRPr="492F0508" w:rsidR="003E2431">
        <w:rPr>
          <w:rFonts w:ascii="Times New Roman" w:hAnsi="Times New Roman"/>
        </w:rPr>
        <w:t>s</w:t>
      </w:r>
      <w:r w:rsidRPr="492F0508" w:rsidR="00B33613">
        <w:rPr>
          <w:rFonts w:ascii="Times New Roman" w:hAnsi="Times New Roman"/>
        </w:rPr>
        <w:t>'</w:t>
      </w:r>
      <w:r w:rsidRPr="492F0508" w:rsidR="00FC60A4">
        <w:rPr>
          <w:rFonts w:ascii="Times New Roman" w:hAnsi="Times New Roman"/>
        </w:rPr>
        <w:t xml:space="preserve"> experiences with the program</w:t>
      </w:r>
      <w:r w:rsidRPr="492F0508">
        <w:rPr>
          <w:rFonts w:ascii="Times New Roman" w:hAnsi="Times New Roman"/>
        </w:rPr>
        <w:t>, the</w:t>
      </w:r>
      <w:r w:rsidRPr="492F0508" w:rsidR="00FC60A4">
        <w:rPr>
          <w:rFonts w:ascii="Times New Roman" w:hAnsi="Times New Roman"/>
        </w:rPr>
        <w:t xml:space="preserve"> </w:t>
      </w:r>
      <w:r w:rsidRPr="492F0508" w:rsidR="00FC60A4">
        <w:rPr>
          <w:rFonts w:ascii="Times New Roman" w:hAnsi="Times New Roman"/>
        </w:rPr>
        <w:t>coordination and</w:t>
      </w:r>
      <w:r w:rsidRPr="492F0508">
        <w:rPr>
          <w:rFonts w:ascii="Times New Roman" w:hAnsi="Times New Roman"/>
        </w:rPr>
        <w:t xml:space="preserve"> delivery of services, </w:t>
      </w:r>
      <w:r w:rsidRPr="492F0508" w:rsidR="00AB69A6">
        <w:rPr>
          <w:rFonts w:ascii="Times New Roman" w:hAnsi="Times New Roman"/>
        </w:rPr>
        <w:t xml:space="preserve">any </w:t>
      </w:r>
      <w:r w:rsidRPr="492F0508">
        <w:rPr>
          <w:rFonts w:ascii="Times New Roman" w:hAnsi="Times New Roman"/>
        </w:rPr>
        <w:t>challenges to serving participants</w:t>
      </w:r>
      <w:r w:rsidRPr="492F0508" w:rsidR="00AB69A6">
        <w:rPr>
          <w:rFonts w:ascii="Times New Roman" w:hAnsi="Times New Roman"/>
        </w:rPr>
        <w:t>, and lessons learned</w:t>
      </w:r>
      <w:r w:rsidRPr="492F0508">
        <w:rPr>
          <w:rFonts w:ascii="Times New Roman" w:hAnsi="Times New Roman"/>
        </w:rPr>
        <w:t xml:space="preserve">. </w:t>
      </w:r>
      <w:r w:rsidR="00C3344D">
        <w:rPr>
          <w:rFonts w:ascii="Times New Roman" w:hAnsi="Times New Roman"/>
        </w:rPr>
        <w:t>It is estimated that the report will be published in Fall 2024.</w:t>
      </w:r>
      <w:r w:rsidRPr="492F0508" w:rsidR="2A04AF8C">
        <w:rPr>
          <w:rFonts w:ascii="Times New Roman" w:hAnsi="Times New Roman"/>
        </w:rPr>
        <w:t xml:space="preserve">  </w:t>
      </w:r>
    </w:p>
    <w:p w:rsidR="00690F56" w:rsidP="492F0508" w14:paraId="510180C3" w14:textId="2098B879">
      <w:pPr>
        <w:widowControl/>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sidRPr="492F0508">
        <w:rPr>
          <w:rFonts w:ascii="Times New Roman" w:hAnsi="Times New Roman"/>
          <w:b/>
          <w:bCs/>
        </w:rPr>
        <w:t>Impact study final report.</w:t>
      </w:r>
      <w:r w:rsidRPr="492F0508">
        <w:rPr>
          <w:rFonts w:ascii="Times New Roman" w:hAnsi="Times New Roman"/>
        </w:rPr>
        <w:t xml:space="preserve"> The </w:t>
      </w:r>
      <w:r w:rsidRPr="492F0508" w:rsidR="001E6C4E">
        <w:rPr>
          <w:rFonts w:ascii="Times New Roman" w:hAnsi="Times New Roman"/>
        </w:rPr>
        <w:t xml:space="preserve">evaluation </w:t>
      </w:r>
      <w:r w:rsidRPr="492F0508">
        <w:rPr>
          <w:rFonts w:ascii="Times New Roman" w:hAnsi="Times New Roman"/>
        </w:rPr>
        <w:t xml:space="preserve">team also will complete </w:t>
      </w:r>
      <w:r w:rsidRPr="492F0508" w:rsidR="00620116">
        <w:rPr>
          <w:rFonts w:ascii="Times New Roman" w:hAnsi="Times New Roman"/>
        </w:rPr>
        <w:t xml:space="preserve">a </w:t>
      </w:r>
      <w:r w:rsidRPr="492F0508">
        <w:rPr>
          <w:rFonts w:ascii="Times New Roman" w:hAnsi="Times New Roman"/>
        </w:rPr>
        <w:t xml:space="preserve">final report documenting </w:t>
      </w:r>
      <w:r w:rsidRPr="492F0508" w:rsidR="003E2431">
        <w:rPr>
          <w:rFonts w:ascii="Times New Roman" w:hAnsi="Times New Roman"/>
        </w:rPr>
        <w:t xml:space="preserve">how accessing </w:t>
      </w:r>
      <w:r w:rsidRPr="492F0508" w:rsidR="00A1555E">
        <w:rPr>
          <w:rFonts w:ascii="Times New Roman" w:hAnsi="Times New Roman"/>
        </w:rPr>
        <w:t>Pathway Home</w:t>
      </w:r>
      <w:r w:rsidRPr="492F0508">
        <w:rPr>
          <w:rFonts w:ascii="Times New Roman" w:hAnsi="Times New Roman"/>
        </w:rPr>
        <w:t xml:space="preserve"> </w:t>
      </w:r>
      <w:r w:rsidRPr="492F0508" w:rsidR="00366E52">
        <w:rPr>
          <w:rFonts w:ascii="Times New Roman" w:hAnsi="Times New Roman"/>
        </w:rPr>
        <w:t>g</w:t>
      </w:r>
      <w:r w:rsidRPr="492F0508">
        <w:rPr>
          <w:rFonts w:ascii="Times New Roman" w:hAnsi="Times New Roman"/>
        </w:rPr>
        <w:t xml:space="preserve">rant services </w:t>
      </w:r>
      <w:r w:rsidRPr="492F0508" w:rsidR="003E2431">
        <w:rPr>
          <w:rFonts w:ascii="Times New Roman" w:hAnsi="Times New Roman"/>
        </w:rPr>
        <w:t xml:space="preserve">affected </w:t>
      </w:r>
      <w:r w:rsidRPr="492F0508">
        <w:rPr>
          <w:rFonts w:ascii="Times New Roman" w:hAnsi="Times New Roman"/>
        </w:rPr>
        <w:t>participants</w:t>
      </w:r>
      <w:r w:rsidRPr="492F0508" w:rsidR="00B33613">
        <w:rPr>
          <w:rFonts w:ascii="Times New Roman" w:hAnsi="Times New Roman"/>
        </w:rPr>
        <w:t>'</w:t>
      </w:r>
      <w:r w:rsidRPr="492F0508">
        <w:rPr>
          <w:rFonts w:ascii="Times New Roman" w:hAnsi="Times New Roman"/>
        </w:rPr>
        <w:t xml:space="preserve"> outcomes. Likely outcomes will include employment</w:t>
      </w:r>
      <w:r w:rsidRPr="492F0508" w:rsidR="003E2431">
        <w:rPr>
          <w:rFonts w:ascii="Times New Roman" w:hAnsi="Times New Roman"/>
        </w:rPr>
        <w:t>,</w:t>
      </w:r>
      <w:r w:rsidRPr="492F0508">
        <w:rPr>
          <w:rFonts w:ascii="Times New Roman" w:hAnsi="Times New Roman"/>
        </w:rPr>
        <w:t xml:space="preserve"> earnings</w:t>
      </w:r>
      <w:r w:rsidRPr="492F0508" w:rsidR="003E2431">
        <w:rPr>
          <w:rFonts w:ascii="Times New Roman" w:hAnsi="Times New Roman"/>
        </w:rPr>
        <w:t>,</w:t>
      </w:r>
      <w:r w:rsidRPr="492F0508">
        <w:rPr>
          <w:rFonts w:ascii="Times New Roman" w:hAnsi="Times New Roman"/>
        </w:rPr>
        <w:t xml:space="preserve"> and criminal justice involvement. This report will also examine the effects for key subgroups and present an analysis of the association between program components and participant outcomes.</w:t>
      </w:r>
      <w:r w:rsidR="00C3344D">
        <w:rPr>
          <w:rFonts w:ascii="Times New Roman" w:hAnsi="Times New Roman"/>
        </w:rPr>
        <w:t xml:space="preserve"> It is estimated that the report will be published in Summer 2026.</w:t>
      </w:r>
    </w:p>
    <w:p w:rsidR="00690F56" w:rsidRPr="00A16D75" w:rsidP="00722AFB" w14:paraId="6F473DAE" w14:textId="5B93D899">
      <w:pPr>
        <w:pStyle w:val="StyleNumberedquestionLeft0Hanging031"/>
        <w:rPr>
          <w:b w:val="0"/>
          <w:bCs w:val="0"/>
        </w:rPr>
      </w:pPr>
      <w:r w:rsidRPr="00A16D75">
        <w:t>17.</w:t>
      </w:r>
      <w:r w:rsidR="00472BDB">
        <w:rPr>
          <w:b w:val="0"/>
          <w:bCs w:val="0"/>
        </w:rPr>
        <w:t xml:space="preserve"> </w:t>
      </w:r>
      <w:r w:rsidR="00722AFB">
        <w:rPr>
          <w:b w:val="0"/>
          <w:bCs w:val="0"/>
        </w:rPr>
        <w:tab/>
      </w:r>
      <w:r w:rsidRPr="00A16D75">
        <w:t>If seeking approval to not display the expiration date for OMB approval of the information collection, explain the reasons that display would be inappropriate.</w:t>
      </w:r>
    </w:p>
    <w:p w:rsidR="00115742" w:rsidRPr="00A16D75" w:rsidP="00A84001" w14:paraId="3C08F28C" w14:textId="13CAFD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rPr>
          <w:rFonts w:ascii="Times New Roman" w:hAnsi="Times New Roman"/>
        </w:rPr>
      </w:pPr>
      <w:r w:rsidRPr="00115742">
        <w:rPr>
          <w:rFonts w:ascii="Times New Roman" w:hAnsi="Times New Roman"/>
        </w:rPr>
        <w:t xml:space="preserve">The OMB approval number and expiration date will be displayed or cited on all forms </w:t>
      </w:r>
      <w:r w:rsidR="00BA50E2">
        <w:rPr>
          <w:rFonts w:ascii="Times New Roman" w:hAnsi="Times New Roman"/>
        </w:rPr>
        <w:t>that are</w:t>
      </w:r>
      <w:r w:rsidRPr="00115742">
        <w:rPr>
          <w:rFonts w:ascii="Times New Roman" w:hAnsi="Times New Roman"/>
        </w:rPr>
        <w:t xml:space="preserve"> part of the data collection.</w:t>
      </w:r>
    </w:p>
    <w:p w:rsidR="000C3A92" w:rsidRPr="00A16D75" w:rsidP="00722AFB" w14:paraId="41EAB492" w14:textId="54F66878">
      <w:pPr>
        <w:pStyle w:val="StyleNumberedquestionLeft0Hanging031"/>
      </w:pPr>
      <w:r w:rsidRPr="00A16D75">
        <w:t>18.</w:t>
      </w:r>
      <w:r w:rsidR="005E0F98">
        <w:tab/>
      </w:r>
      <w:r w:rsidRPr="00A16D75">
        <w:t>Explain each exception to the certification statement.</w:t>
      </w:r>
    </w:p>
    <w:p w:rsidR="00115742" w:rsidRPr="00A16D75" w:rsidP="000C3A92" w14:paraId="343A6606" w14:textId="673D8C1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15742">
        <w:rPr>
          <w:rFonts w:ascii="Times New Roman" w:hAnsi="Times New Roman"/>
        </w:rPr>
        <w:t>No exceptions are necessary for this information collection.</w:t>
      </w:r>
    </w:p>
    <w:p w:rsidR="006F778B" w14:paraId="282D77EF" w14:textId="735ECB5C">
      <w:pPr>
        <w:widowControl/>
        <w:autoSpaceDE/>
        <w:autoSpaceDN/>
        <w:adjustRightInd/>
        <w:rPr>
          <w:rFonts w:ascii="Times New Roman" w:hAnsi="Times New Roman"/>
        </w:rPr>
      </w:pPr>
      <w:r>
        <w:rPr>
          <w:rFonts w:ascii="Times New Roman" w:hAnsi="Times New Roman"/>
        </w:rPr>
        <w:br w:type="page"/>
      </w:r>
    </w:p>
    <w:p w:rsidR="006F778B" w:rsidRPr="00C457A7" w:rsidP="00C457A7" w14:paraId="16AC89D3" w14:textId="30F5E255">
      <w:pPr>
        <w:keepNext/>
        <w:widowControl/>
        <w:pBdr>
          <w:bottom w:val="single" w:sz="2" w:space="1" w:color="auto"/>
        </w:pBdr>
        <w:tabs>
          <w:tab w:val="left" w:pos="432"/>
        </w:tabs>
        <w:autoSpaceDE/>
        <w:autoSpaceDN/>
        <w:adjustRightInd/>
        <w:spacing w:before="240" w:after="240"/>
        <w:ind w:left="432" w:hanging="432"/>
        <w:outlineLvl w:val="1"/>
        <w:rPr>
          <w:rFonts w:ascii="Arial Black" w:hAnsi="Arial Black"/>
          <w:caps/>
          <w:sz w:val="22"/>
          <w:szCs w:val="22"/>
        </w:rPr>
      </w:pPr>
      <w:r w:rsidRPr="00C457A7">
        <w:rPr>
          <w:rFonts w:ascii="Arial Black" w:hAnsi="Arial Black"/>
          <w:caps/>
          <w:sz w:val="22"/>
          <w:szCs w:val="22"/>
        </w:rPr>
        <w:t>REFERENCES</w:t>
      </w:r>
    </w:p>
    <w:p w:rsidR="00C658A7" w:rsidRPr="00C457A7" w:rsidP="00C457A7" w14:paraId="1020B9D4" w14:textId="5009BF58">
      <w:pPr>
        <w:pStyle w:val="Reference"/>
      </w:pPr>
      <w:r w:rsidRPr="00C457A7">
        <w:t>D’Amico, Ronald, Christian Geckeler and Hui Kim. 2017. “Evaluation of Second Chance Act Adult Demonstration Programs: Impact Findings at 18 Months.” Report to the U.S. Department</w:t>
      </w:r>
      <w:r w:rsidRPr="00C457A7" w:rsidR="00C457A7">
        <w:t xml:space="preserve"> </w:t>
      </w:r>
      <w:r w:rsidRPr="00C457A7">
        <w:t>of Justice, National Institute of Justice, grant number 2010‐RY‐BX‐0003.</w:t>
      </w:r>
    </w:p>
    <w:p w:rsidR="00BB7806" w:rsidRPr="00C457A7" w:rsidP="00C457A7" w14:paraId="22A01061" w14:textId="35BA16B8">
      <w:pPr>
        <w:pStyle w:val="Reference"/>
      </w:pPr>
      <w:r w:rsidRPr="00C457A7">
        <w:t xml:space="preserve">De Leeuw, E. D., &amp; de Heer, W. (2002). Trends in household survey nonresponse. In R. M. Groves, D. A. Dillman, J. L. </w:t>
      </w:r>
      <w:r w:rsidRPr="00C457A7">
        <w:t>Eltinge</w:t>
      </w:r>
      <w:r w:rsidRPr="00C457A7">
        <w:t>, &amp; J. A. Roderick (Eds.), Survey nonresponse (pp. 41-54). New York: Wiley.</w:t>
      </w:r>
    </w:p>
    <w:p w:rsidR="00C96A52" w:rsidRPr="00C457A7" w:rsidP="00C457A7" w14:paraId="3E119D5F" w14:textId="5708128C">
      <w:pPr>
        <w:pStyle w:val="Reference"/>
      </w:pPr>
      <w:r w:rsidRPr="00C457A7">
        <w:t>Grauenhorst, T., Blohm, M., &amp; Koch, A. (2016). Respondent incentives in a national face-to-face</w:t>
      </w:r>
      <w:r w:rsidRPr="00C457A7" w:rsidR="36A0FB0A">
        <w:t xml:space="preserve"> </w:t>
      </w:r>
      <w:r w:rsidRPr="00C457A7">
        <w:t>survey: Do they affect response quality? Field Methods, 28(3), 266-283.</w:t>
      </w:r>
    </w:p>
    <w:p w:rsidR="00BB7806" w:rsidRPr="00C457A7" w:rsidP="00C457A7" w14:paraId="22775442" w14:textId="2FF55475">
      <w:pPr>
        <w:pStyle w:val="Reference"/>
      </w:pPr>
      <w:r w:rsidRPr="00C457A7">
        <w:t>Laguilles</w:t>
      </w:r>
      <w:r w:rsidRPr="00C457A7">
        <w:t>, J. S., Williams, E. A., &amp; Saunders, D. B. (2011). Can lottery incentives boost web</w:t>
      </w:r>
      <w:r w:rsidRPr="00C457A7" w:rsidR="00C457A7">
        <w:t xml:space="preserve"> </w:t>
      </w:r>
      <w:r w:rsidRPr="00C457A7">
        <w:t>survey response rates? Findings from four experiments. Research in Higher Education,</w:t>
      </w:r>
      <w:r w:rsidRPr="00C457A7" w:rsidR="00C457A7">
        <w:t xml:space="preserve"> </w:t>
      </w:r>
      <w:r w:rsidRPr="00C457A7">
        <w:t xml:space="preserve">52(5), 537-553. </w:t>
      </w:r>
      <w:hyperlink r:id="rId12" w:history="1">
        <w:r w:rsidRPr="00C457A7">
          <w:rPr>
            <w:rStyle w:val="Hyperlink"/>
            <w:color w:val="auto"/>
            <w:u w:val="none"/>
          </w:rPr>
          <w:t>https://doi.org/10.1007/s11162-010-9203-2</w:t>
        </w:r>
      </w:hyperlink>
      <w:r w:rsidRPr="00C457A7">
        <w:t xml:space="preserve"> </w:t>
      </w:r>
    </w:p>
    <w:p w:rsidR="00005853" w:rsidRPr="00C457A7" w:rsidP="00C457A7" w14:paraId="3EBC06FB" w14:textId="73C7006F">
      <w:pPr>
        <w:pStyle w:val="Reference"/>
      </w:pPr>
      <w:r w:rsidRPr="00C457A7">
        <w:t>Mercer, Andrew Caporaso, David Cantor, Reanne Townsend, How Much Gets You How Much? Monetary Incentives and Response Rates in Household Surveys, Public Opinion Quarterly, Volume 79, Issue 1, Spring 2015, Pages 105–129</w:t>
      </w:r>
      <w:r w:rsidRPr="00C457A7" w:rsidR="00F46066">
        <w:t>.</w:t>
      </w:r>
      <w:r w:rsidRPr="00C457A7" w:rsidR="00E25C0F">
        <w:t xml:space="preserve"> </w:t>
      </w:r>
      <w:hyperlink r:id="rId13" w:history="1">
        <w:r w:rsidRPr="00C457A7" w:rsidR="00BC6692">
          <w:rPr>
            <w:rStyle w:val="Hyperlink"/>
            <w:color w:val="auto"/>
            <w:u w:val="none"/>
          </w:rPr>
          <w:t>https://doi.org/10.1093/poq/nfu059</w:t>
        </w:r>
      </w:hyperlink>
      <w:r w:rsidRPr="00C457A7" w:rsidR="00BC6692">
        <w:t xml:space="preserve"> </w:t>
      </w:r>
    </w:p>
    <w:p w:rsidR="007A7F79" w:rsidRPr="00C457A7" w:rsidP="00C457A7" w14:paraId="077F6D32" w14:textId="3CC1D9B6">
      <w:pPr>
        <w:pStyle w:val="Reference"/>
      </w:pPr>
      <w:r w:rsidRPr="00C457A7">
        <w:t>Singer, Eleanor, and C. Ye. 2013. "The Use and Effects of Incentives in Surveys." Annals of the American Academy of Political and Social Science, 645 (1): 112-141.</w:t>
      </w:r>
    </w:p>
    <w:p w:rsidR="00C575B5" w:rsidRPr="00C457A7" w:rsidP="00C457A7" w14:paraId="7219E267" w14:textId="216A5DE5">
      <w:pPr>
        <w:pStyle w:val="Reference"/>
      </w:pPr>
      <w:r w:rsidRPr="00C457A7">
        <w:t xml:space="preserve">Singer, Eleanor, and Richard A. Kulka. 2002. </w:t>
      </w:r>
      <w:r w:rsidRPr="00C457A7" w:rsidR="00B33613">
        <w:t>"</w:t>
      </w:r>
      <w:r w:rsidRPr="00C457A7">
        <w:t>Paying Respondents for Survey Participation.</w:t>
      </w:r>
      <w:r w:rsidRPr="00C457A7" w:rsidR="00B33613">
        <w:t>"</w:t>
      </w:r>
      <w:r w:rsidRPr="00C457A7">
        <w:t xml:space="preserve"> Pp. 105–28 in Michele Ver Ploeg, Robert A. Moffitt, and Constance F. Citro, eds., Studies of Welfare Populations: Data Collection and Research Issues. Washington, DC: National Academy Press.</w:t>
      </w:r>
    </w:p>
    <w:p w:rsidR="00BB7806" w:rsidRPr="00C457A7" w:rsidP="00C457A7" w14:paraId="37C752DC" w14:textId="6D3AC059">
      <w:pPr>
        <w:pStyle w:val="Reference"/>
      </w:pPr>
      <w:r w:rsidRPr="00C457A7">
        <w:t>Sundstrom, E. D., Hardin, E. E., &amp; Shaffer, M. J. (2016). Extra credit micro-incentives and</w:t>
      </w:r>
      <w:r w:rsidRPr="00C457A7" w:rsidR="00C457A7">
        <w:t xml:space="preserve"> </w:t>
      </w:r>
      <w:r w:rsidRPr="00C457A7">
        <w:t>response rates for online course evaluations: Two quasi-experiments. Teaching of</w:t>
      </w:r>
      <w:r w:rsidRPr="00C457A7" w:rsidR="00C457A7">
        <w:t xml:space="preserve"> </w:t>
      </w:r>
      <w:r w:rsidRPr="00C457A7">
        <w:t>Psychology, 43(4), 276-284.</w:t>
      </w:r>
      <w:bookmarkEnd w:id="0"/>
    </w:p>
    <w:sectPr w:rsidSect="00213B76">
      <w:headerReference w:type="default" r:id="rId14"/>
      <w:footerReference w:type="default" r:id="rId15"/>
      <w:pgSz w:w="12240" w:h="15840" w:code="1"/>
      <w:pgMar w:top="1440" w:right="1440" w:bottom="1440" w:left="1440" w:header="720" w:footer="100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49B0" w:rsidRPr="00EF0554" w:rsidP="005049B0" w14:paraId="1AC7581C" w14:textId="49D90F38">
    <w:pPr>
      <w:widowControl/>
      <w:tabs>
        <w:tab w:val="right" w:pos="9360"/>
      </w:tabs>
      <w:autoSpaceDE/>
      <w:autoSpaceDN/>
      <w:adjustRightInd/>
      <w:rPr>
        <w:rFonts w:ascii="Times New Roman" w:hAnsi="Times New Roman"/>
        <w:sz w:val="20"/>
        <w:szCs w:val="20"/>
      </w:rPr>
    </w:pPr>
    <w:r w:rsidRPr="00EF0554">
      <w:rPr>
        <w:rFonts w:ascii="Times New Roman" w:hAnsi="Times New Roman"/>
        <w:sz w:val="20"/>
        <w:szCs w:val="20"/>
      </w:rPr>
      <w:tab/>
    </w:r>
    <w:r w:rsidRPr="00EF0554">
      <w:rPr>
        <w:rFonts w:ascii="Times New Roman" w:hAnsi="Times New Roman"/>
        <w:sz w:val="20"/>
        <w:szCs w:val="20"/>
      </w:rPr>
      <w:fldChar w:fldCharType="begin"/>
    </w:r>
    <w:r w:rsidRPr="00EF0554">
      <w:rPr>
        <w:rFonts w:ascii="Times New Roman" w:hAnsi="Times New Roman"/>
        <w:sz w:val="20"/>
        <w:szCs w:val="20"/>
      </w:rPr>
      <w:instrText xml:space="preserve"> PAGE   \* MERGEFORMAT </w:instrText>
    </w:r>
    <w:r w:rsidRPr="00EF0554">
      <w:rPr>
        <w:rFonts w:ascii="Times New Roman" w:hAnsi="Times New Roman"/>
        <w:sz w:val="20"/>
        <w:szCs w:val="20"/>
      </w:rPr>
      <w:fldChar w:fldCharType="separate"/>
    </w:r>
    <w:r>
      <w:rPr>
        <w:rFonts w:ascii="Times New Roman" w:hAnsi="Times New Roman"/>
        <w:sz w:val="20"/>
        <w:szCs w:val="20"/>
      </w:rPr>
      <w:t>8</w:t>
    </w:r>
    <w:r w:rsidRPr="00EF0554">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75010" w14:paraId="48CA3F44" w14:textId="77777777">
      <w:r>
        <w:separator/>
      </w:r>
    </w:p>
  </w:footnote>
  <w:footnote w:type="continuationSeparator" w:id="1">
    <w:p w:rsidR="00875010" w14:paraId="5608A224" w14:textId="77777777">
      <w:r>
        <w:continuationSeparator/>
      </w:r>
    </w:p>
  </w:footnote>
  <w:footnote w:type="continuationNotice" w:id="2">
    <w:p w:rsidR="00875010" w14:paraId="730942A6" w14:textId="77777777"/>
  </w:footnote>
  <w:footnote w:id="3">
    <w:p w:rsidR="004A5CDB" w14:paraId="02F6F7E4" w14:textId="35863948">
      <w:pPr>
        <w:pStyle w:val="FootnoteText"/>
      </w:pPr>
      <w:r>
        <w:rPr>
          <w:rStyle w:val="FootnoteReference"/>
        </w:rPr>
        <w:footnoteRef/>
      </w:r>
      <w:r>
        <w:t xml:space="preserve"> </w:t>
      </w:r>
      <w:r w:rsidR="00D96FE9">
        <w:t>This project has received clearance under OMB No. 1290-0039 for other data collection activities.</w:t>
      </w:r>
    </w:p>
  </w:footnote>
  <w:footnote w:id="4">
    <w:p w:rsidR="00E02E38" w14:paraId="677D1F8A" w14:textId="5D77E695">
      <w:pPr>
        <w:pStyle w:val="FootnoteText"/>
      </w:pPr>
      <w:r>
        <w:rPr>
          <w:rStyle w:val="FootnoteReference"/>
        </w:rPr>
        <w:footnoteRef/>
      </w:r>
      <w:r>
        <w:t xml:space="preserve"> </w:t>
      </w:r>
      <w:r w:rsidRPr="008A4A4E">
        <w:t xml:space="preserve">Jones, Alexi. “Correctional Control 2018: Incarceration and Supervision by State.” </w:t>
      </w:r>
      <w:r>
        <w:t xml:space="preserve">Prison Policy Initiative, 2018. </w:t>
      </w:r>
      <w:r w:rsidRPr="008A4A4E">
        <w:t xml:space="preserve">Available at </w:t>
      </w:r>
      <w:hyperlink r:id="rId1" w:history="1">
        <w:r w:rsidRPr="008A4A4E">
          <w:rPr>
            <w:rStyle w:val="Hyperlink"/>
          </w:rPr>
          <w:t>https://www.prisonpolicy.org/reports/correctionalcontrol2018.html</w:t>
        </w:r>
      </w:hyperlink>
      <w:r w:rsidRPr="008A4A4E">
        <w:t>.</w:t>
      </w:r>
    </w:p>
  </w:footnote>
  <w:footnote w:id="5">
    <w:p w:rsidR="00E02E38" w14:paraId="1D18F461" w14:textId="4E282677">
      <w:pPr>
        <w:pStyle w:val="FootnoteText"/>
      </w:pPr>
      <w:r>
        <w:rPr>
          <w:rStyle w:val="FootnoteReference"/>
        </w:rPr>
        <w:footnoteRef/>
      </w:r>
      <w:r>
        <w:t xml:space="preserve"> </w:t>
      </w:r>
      <w:r w:rsidRPr="008A4A4E">
        <w:t xml:space="preserve">Looney, Adam, and Nicholas Turner. “Work and Opportunity Before and After Incarceration.” Washington, DC: Brookings Institution, 2018. Available at </w:t>
      </w:r>
      <w:hyperlink r:id="rId2" w:history="1">
        <w:r w:rsidRPr="008A4A4E">
          <w:rPr>
            <w:rStyle w:val="Hyperlink"/>
          </w:rPr>
          <w:t>https://pdfs.semanticscholar.org/399b/5d1747e721fdb63a5837296619528d361de6.pdf</w:t>
        </w:r>
      </w:hyperlink>
      <w:r w:rsidRPr="008A4A4E">
        <w:t>.</w:t>
      </w:r>
    </w:p>
  </w:footnote>
  <w:footnote w:id="6">
    <w:p w:rsidR="00185EA8" w14:paraId="4BDC829D" w14:textId="1AE7C33C">
      <w:pPr>
        <w:pStyle w:val="FootnoteText"/>
      </w:pPr>
      <w:r>
        <w:rPr>
          <w:rStyle w:val="FootnoteReference"/>
        </w:rPr>
        <w:footnoteRef/>
      </w:r>
      <w:r>
        <w:t xml:space="preserve"> </w:t>
      </w:r>
      <w:r w:rsidR="00D04866">
        <w:t>20 CFR Part 683</w:t>
      </w:r>
      <w:r w:rsidR="009D2F5D">
        <w:t xml:space="preserve"> </w:t>
      </w:r>
      <w:hyperlink r:id="rId3" w:history="1">
        <w:r w:rsidR="009D2F5D">
          <w:rPr>
            <w:rStyle w:val="Hyperlink"/>
          </w:rPr>
          <w:t>eCFR</w:t>
        </w:r>
        <w:r w:rsidR="009D2F5D">
          <w:rPr>
            <w:rStyle w:val="Hyperlink"/>
          </w:rPr>
          <w:t xml:space="preserve"> :</w:t>
        </w:r>
        <w:r w:rsidR="009D2F5D">
          <w:rPr>
            <w:rStyle w:val="Hyperlink"/>
          </w:rPr>
          <w:t>: 20 CFR Part 683 -- Administrative Provisions Under Title I of the Workforce Innovation and Opportunity Act</w:t>
        </w:r>
      </w:hyperlink>
    </w:p>
  </w:footnote>
  <w:footnote w:id="7">
    <w:p w:rsidR="005D5C50" w14:paraId="17F3B986" w14:textId="2C128D25">
      <w:pPr>
        <w:pStyle w:val="FootnoteText"/>
      </w:pPr>
      <w:r>
        <w:rPr>
          <w:rStyle w:val="FootnoteReference"/>
        </w:rPr>
        <w:footnoteRef/>
      </w:r>
      <w:r>
        <w:t xml:space="preserve"> Social Security numbers are collected primarily to link administrative data </w:t>
      </w:r>
      <w:r w:rsidR="00776FDF">
        <w:t>for outcomes.</w:t>
      </w:r>
    </w:p>
  </w:footnote>
  <w:footnote w:id="8">
    <w:p w:rsidR="0096586A" w14:paraId="369DE3FC" w14:textId="6B2D1F47">
      <w:pPr>
        <w:pStyle w:val="FootnoteText"/>
      </w:pPr>
      <w:r>
        <w:rPr>
          <w:rStyle w:val="FootnoteReference"/>
        </w:rPr>
        <w:footnoteRef/>
      </w:r>
      <w:r>
        <w:t xml:space="preserve"> </w:t>
      </w:r>
      <w:r w:rsidR="00AE0D37">
        <w:t xml:space="preserve">For example, the </w:t>
      </w:r>
      <w:r w:rsidRPr="00AE0D37" w:rsidR="00AE0D37">
        <w:t>Impact Evaluation of the YouthBuild Program</w:t>
      </w:r>
      <w:r w:rsidR="00AE0D37">
        <w:t xml:space="preserve"> (OMB</w:t>
      </w:r>
      <w:r w:rsidR="006F31D5">
        <w:t xml:space="preserve"> Control</w:t>
      </w:r>
      <w:r w:rsidR="0035497E">
        <w:t xml:space="preserve"> No </w:t>
      </w:r>
      <w:r w:rsidRPr="0035497E" w:rsidR="0035497E">
        <w:t>1205-0488</w:t>
      </w:r>
      <w:r w:rsidR="0035497E">
        <w:t>) included similar questions without any evidence of significant harm.</w:t>
      </w:r>
    </w:p>
  </w:footnote>
  <w:footnote w:id="9">
    <w:p w:rsidR="00D72C4E" w14:paraId="6DA0404D" w14:textId="74CF2656">
      <w:pPr>
        <w:pStyle w:val="FootnoteText"/>
      </w:pPr>
      <w:r>
        <w:rPr>
          <w:rStyle w:val="FootnoteReference"/>
        </w:rPr>
        <w:footnoteRef/>
      </w:r>
      <w:r>
        <w:t xml:space="preserve"> If inverse probability weights are </w:t>
      </w:r>
      <w:r w:rsidR="008D68C9">
        <w:t xml:space="preserve">needed to adjust the comparison group to </w:t>
      </w:r>
      <w:r w:rsidR="008D68C9">
        <w:t xml:space="preserve">more closely resemble the </w:t>
      </w:r>
      <w:r w:rsidR="006A0D67">
        <w:t xml:space="preserve">program </w:t>
      </w:r>
      <w:r w:rsidR="008D68C9">
        <w:t>group</w:t>
      </w:r>
      <w:r w:rsidR="008D68C9">
        <w:t>, the logistic regression will be run incorporating these weights.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1FAC" w:rsidP="006D0149" w14:paraId="50D428F3" w14:textId="73232B65">
    <w:pPr>
      <w:widowControl/>
      <w:pBdr>
        <w:bottom w:val="single" w:sz="2" w:space="9" w:color="auto"/>
      </w:pBdr>
      <w:tabs>
        <w:tab w:val="right" w:pos="9360"/>
      </w:tabs>
      <w:autoSpaceDE/>
      <w:autoSpaceDN/>
      <w:adjustRightInd/>
      <w:rPr>
        <w:rFonts w:ascii="Arial" w:hAnsi="Arial" w:cs="Arial"/>
        <w:sz w:val="18"/>
        <w:szCs w:val="18"/>
      </w:rPr>
    </w:pPr>
    <w:r w:rsidRPr="002C798A">
      <w:rPr>
        <w:rFonts w:ascii="Arial" w:hAnsi="Arial" w:cs="Arial"/>
        <w:sz w:val="18"/>
        <w:szCs w:val="18"/>
      </w:rPr>
      <w:t>Pathway Home Grant Program Evaluation</w:t>
    </w:r>
    <w:r w:rsidRPr="002C798A">
      <w:rPr>
        <w:rFonts w:ascii="Arial" w:hAnsi="Arial" w:cs="Arial"/>
        <w:sz w:val="18"/>
        <w:szCs w:val="18"/>
      </w:rPr>
      <w:tab/>
    </w:r>
    <w:bookmarkStart w:id="14" w:name="_Hlk92205352"/>
  </w:p>
  <w:p w:rsidR="00E35AC7" w:rsidP="006D0149" w14:paraId="556E4AA3" w14:textId="7CDDD218">
    <w:pPr>
      <w:widowControl/>
      <w:pBdr>
        <w:bottom w:val="single" w:sz="2" w:space="9" w:color="auto"/>
      </w:pBdr>
      <w:tabs>
        <w:tab w:val="right" w:pos="9360"/>
      </w:tabs>
      <w:autoSpaceDE/>
      <w:autoSpaceDN/>
      <w:adjustRightInd/>
      <w:rPr>
        <w:rFonts w:ascii="Arial" w:hAnsi="Arial" w:cs="Arial"/>
        <w:sz w:val="18"/>
        <w:szCs w:val="18"/>
      </w:rPr>
    </w:pPr>
    <w:r w:rsidRPr="002C798A">
      <w:rPr>
        <w:rFonts w:ascii="Arial" w:hAnsi="Arial" w:cs="Arial"/>
        <w:caps/>
        <w:sz w:val="18"/>
        <w:szCs w:val="18"/>
      </w:rPr>
      <w:t xml:space="preserve">OMB </w:t>
    </w:r>
    <w:r w:rsidR="00851FAC">
      <w:rPr>
        <w:rFonts w:ascii="Arial" w:hAnsi="Arial" w:cs="Arial"/>
        <w:sz w:val="18"/>
        <w:szCs w:val="18"/>
      </w:rPr>
      <w:t>Control Number: 1290</w:t>
    </w:r>
    <w:r w:rsidRPr="009A384C" w:rsidR="00851FAC">
      <w:rPr>
        <w:rFonts w:ascii="Arial" w:hAnsi="Arial" w:cs="Arial"/>
        <w:sz w:val="18"/>
        <w:szCs w:val="18"/>
      </w:rPr>
      <w:t>-</w:t>
    </w:r>
    <w:r w:rsidR="00851FAC">
      <w:rPr>
        <w:rFonts w:ascii="Arial" w:hAnsi="Arial" w:cs="Arial"/>
        <w:sz w:val="18"/>
        <w:szCs w:val="18"/>
      </w:rPr>
      <w:t>XXXX</w:t>
    </w:r>
  </w:p>
  <w:p w:rsidR="00004A80" w:rsidP="006D0149" w14:paraId="524DE21A" w14:textId="77777777">
    <w:pPr>
      <w:widowControl/>
      <w:pBdr>
        <w:bottom w:val="single" w:sz="2" w:space="9" w:color="auto"/>
      </w:pBdr>
      <w:tabs>
        <w:tab w:val="right" w:pos="9360"/>
      </w:tabs>
      <w:autoSpaceDE/>
      <w:autoSpaceDN/>
      <w:adjustRightInd/>
      <w:rPr>
        <w:rFonts w:ascii="Arial" w:hAnsi="Arial" w:cs="Arial"/>
        <w:caps/>
        <w:sz w:val="18"/>
        <w:szCs w:val="18"/>
      </w:rPr>
    </w:pPr>
    <w:r>
      <w:rPr>
        <w:rFonts w:ascii="Arial" w:hAnsi="Arial" w:cs="Arial"/>
        <w:caps/>
        <w:sz w:val="18"/>
        <w:szCs w:val="18"/>
      </w:rPr>
      <w:t xml:space="preserve">OMB </w:t>
    </w:r>
    <w:r>
      <w:rPr>
        <w:rFonts w:ascii="Arial" w:hAnsi="Arial" w:cs="Arial"/>
        <w:sz w:val="18"/>
        <w:szCs w:val="18"/>
      </w:rPr>
      <w:t>Expiration Date</w:t>
    </w:r>
    <w:r>
      <w:rPr>
        <w:rFonts w:ascii="Arial" w:hAnsi="Arial" w:cs="Arial"/>
        <w:caps/>
        <w:sz w:val="18"/>
        <w:szCs w:val="18"/>
      </w:rPr>
      <w:t>: TBD</w:t>
    </w:r>
  </w:p>
  <w:p w:rsidR="00851FAC" w:rsidRPr="002C798A" w:rsidP="006D0149" w14:paraId="725AED80" w14:textId="11B47089">
    <w:pPr>
      <w:widowControl/>
      <w:pBdr>
        <w:bottom w:val="single" w:sz="2" w:space="9" w:color="auto"/>
      </w:pBdr>
      <w:tabs>
        <w:tab w:val="right" w:pos="9360"/>
      </w:tabs>
      <w:autoSpaceDE/>
      <w:autoSpaceDN/>
      <w:adjustRightInd/>
      <w:rPr>
        <w:rFonts w:ascii="Arial" w:hAnsi="Arial" w:cs="Arial"/>
        <w:caps/>
        <w:sz w:val="18"/>
        <w:szCs w:val="18"/>
      </w:rPr>
    </w:pPr>
    <w:r>
      <w:rPr>
        <w:rFonts w:ascii="Arial" w:hAnsi="Arial" w:cs="Arial"/>
        <w:caps/>
        <w:sz w:val="18"/>
        <w:szCs w:val="18"/>
      </w:rPr>
      <w:tab/>
    </w:r>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724E4FC"/>
    <w:lvl w:ilvl="0">
      <w:start w:val="1"/>
      <w:numFmt w:val="decimal"/>
      <w:lvlText w:val="%1."/>
      <w:lvlJc w:val="left"/>
      <w:pPr>
        <w:tabs>
          <w:tab w:val="num" w:pos="1800"/>
        </w:tabs>
        <w:ind w:left="1800" w:hanging="360"/>
      </w:pPr>
    </w:lvl>
  </w:abstractNum>
  <w:abstractNum w:abstractNumId="1">
    <w:nsid w:val="FFFFFF7D"/>
    <w:multiLevelType w:val="singleLevel"/>
    <w:tmpl w:val="BC92A23A"/>
    <w:lvl w:ilvl="0">
      <w:start w:val="1"/>
      <w:numFmt w:val="decimal"/>
      <w:lvlText w:val="%1."/>
      <w:lvlJc w:val="left"/>
      <w:pPr>
        <w:tabs>
          <w:tab w:val="num" w:pos="1440"/>
        </w:tabs>
        <w:ind w:left="1440" w:hanging="360"/>
      </w:pPr>
    </w:lvl>
  </w:abstractNum>
  <w:abstractNum w:abstractNumId="2">
    <w:nsid w:val="FFFFFF7E"/>
    <w:multiLevelType w:val="singleLevel"/>
    <w:tmpl w:val="4B3E1A6A"/>
    <w:lvl w:ilvl="0">
      <w:start w:val="1"/>
      <w:numFmt w:val="decimal"/>
      <w:lvlText w:val="%1."/>
      <w:lvlJc w:val="left"/>
      <w:pPr>
        <w:tabs>
          <w:tab w:val="num" w:pos="1080"/>
        </w:tabs>
        <w:ind w:left="1080" w:hanging="360"/>
      </w:pPr>
    </w:lvl>
  </w:abstractNum>
  <w:abstractNum w:abstractNumId="3">
    <w:nsid w:val="FFFFFF7F"/>
    <w:multiLevelType w:val="singleLevel"/>
    <w:tmpl w:val="3B2EB458"/>
    <w:lvl w:ilvl="0">
      <w:start w:val="1"/>
      <w:numFmt w:val="decimal"/>
      <w:lvlText w:val="%1."/>
      <w:lvlJc w:val="left"/>
      <w:pPr>
        <w:tabs>
          <w:tab w:val="num" w:pos="720"/>
        </w:tabs>
        <w:ind w:left="720" w:hanging="360"/>
      </w:pPr>
    </w:lvl>
  </w:abstractNum>
  <w:abstractNum w:abstractNumId="4">
    <w:nsid w:val="FFFFFF80"/>
    <w:multiLevelType w:val="singleLevel"/>
    <w:tmpl w:val="8894019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4FE01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C843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C2BD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4323C46"/>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D66434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28DA8BC6"/>
    <w:lvl w:ilvl="0">
      <w:start w:val="0"/>
      <w:numFmt w:val="bullet"/>
      <w:lvlText w:val="*"/>
      <w:lvlJc w:val="left"/>
    </w:lvl>
  </w:abstractNum>
  <w:abstractNum w:abstractNumId="1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2F22B12"/>
    <w:multiLevelType w:val="hybridMultilevel"/>
    <w:tmpl w:val="9FC4BB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7E16A70"/>
    <w:multiLevelType w:val="hybridMultilevel"/>
    <w:tmpl w:val="90162EBC"/>
    <w:lvl w:ilvl="0">
      <w:start w:val="1"/>
      <w:numFmt w:val="decimal"/>
      <w:lvlText w:val="%1."/>
      <w:lvlJc w:val="left"/>
      <w:pPr>
        <w:ind w:left="1080" w:hanging="72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C124BF9"/>
    <w:multiLevelType w:val="hybridMultilevel"/>
    <w:tmpl w:val="B2A4BA5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3A96E6C"/>
    <w:multiLevelType w:val="hybridMultilevel"/>
    <w:tmpl w:val="4AB6B936"/>
    <w:lvl w:ilvl="0">
      <w:start w:val="1"/>
      <w:numFmt w:val="decimal"/>
      <w:lvlText w:val="%1."/>
      <w:lvlJc w:val="left"/>
      <w:pPr>
        <w:ind w:left="816" w:hanging="456"/>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6072EF4"/>
    <w:multiLevelType w:val="hybridMultilevel"/>
    <w:tmpl w:val="D1C4C782"/>
    <w:lvl w:ilvl="0">
      <w:start w:val="1"/>
      <w:numFmt w:val="decimal"/>
      <w:lvlText w:val="%1."/>
      <w:lvlJc w:val="left"/>
      <w:pPr>
        <w:ind w:left="720" w:hanging="72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16EA553F"/>
    <w:multiLevelType w:val="hybridMultilevel"/>
    <w:tmpl w:val="D90AD6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20">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2C75E25"/>
    <w:multiLevelType w:val="hybridMultilevel"/>
    <w:tmpl w:val="19E4B5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4">
    <w:nsid w:val="33F91EAE"/>
    <w:multiLevelType w:val="hybridMultilevel"/>
    <w:tmpl w:val="4030CFD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9C569D6"/>
    <w:multiLevelType w:val="hybridMultilevel"/>
    <w:tmpl w:val="8710DB62"/>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6">
    <w:nsid w:val="4982439B"/>
    <w:multiLevelType w:val="hybridMultilevel"/>
    <w:tmpl w:val="33D276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9C6048B"/>
    <w:multiLevelType w:val="singleLevel"/>
    <w:tmpl w:val="B406F100"/>
    <w:lvl w:ilvl="0">
      <w:start w:val="1"/>
      <w:numFmt w:val="decimal"/>
      <w:pStyle w:val="NumberedBullet"/>
      <w:lvlText w:val="%1."/>
      <w:lvlJc w:val="left"/>
      <w:pPr>
        <w:tabs>
          <w:tab w:val="num" w:pos="792"/>
        </w:tabs>
        <w:ind w:left="792" w:hanging="360"/>
      </w:pPr>
      <w:rPr>
        <w:rFonts w:hint="default"/>
        <w:b w:val="0"/>
      </w:rPr>
    </w:lvl>
  </w:abstractNum>
  <w:abstractNum w:abstractNumId="2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595757F"/>
    <w:multiLevelType w:val="hybridMultilevel"/>
    <w:tmpl w:val="6352D4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631694E"/>
    <w:multiLevelType w:val="hybridMultilevel"/>
    <w:tmpl w:val="234C7986"/>
    <w:lvl w:ilvl="0">
      <w:start w:val="1"/>
      <w:numFmt w:val="bullet"/>
      <w:lvlText w:val=""/>
      <w:lvlJc w:val="left"/>
      <w:pPr>
        <w:ind w:left="720" w:hanging="360"/>
      </w:pPr>
      <w:rPr>
        <w:rFonts w:ascii="Symbol" w:hAnsi="Symbol" w:hint="default"/>
        <w:color w:val="auto"/>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DE97C03"/>
    <w:multiLevelType w:val="hybridMultilevel"/>
    <w:tmpl w:val="9EE66F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3">
    <w:nsid w:val="617C24EA"/>
    <w:multiLevelType w:val="hybridMultilevel"/>
    <w:tmpl w:val="A49694C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4">
    <w:nsid w:val="65AA780E"/>
    <w:multiLevelType w:val="hybridMultilevel"/>
    <w:tmpl w:val="0046FA2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6">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A395644"/>
    <w:multiLevelType w:val="hybridMultilevel"/>
    <w:tmpl w:val="9006A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A85361C"/>
    <w:multiLevelType w:val="hybridMultilevel"/>
    <w:tmpl w:val="11DA56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40">
    <w:nsid w:val="6FDB63D1"/>
    <w:multiLevelType w:val="hybridMultilevel"/>
    <w:tmpl w:val="13340BFA"/>
    <w:lvl w:ilvl="0">
      <w:start w:val="1"/>
      <w:numFmt w:val="bullet"/>
      <w:pStyle w:val="ResHighlightsBullet"/>
      <w:lvlText w:val=""/>
      <w:lvlJc w:val="left"/>
      <w:pPr>
        <w:ind w:left="490" w:hanging="360"/>
      </w:pPr>
      <w:rPr>
        <w:rFonts w:ascii="Symbol" w:hAnsi="Symbol" w:hint="default"/>
        <w:color w:val="046B5C"/>
        <w:sz w:val="24"/>
      </w:rPr>
    </w:lvl>
    <w:lvl w:ilvl="1" w:tentative="1">
      <w:start w:val="1"/>
      <w:numFmt w:val="bullet"/>
      <w:lvlText w:val="o"/>
      <w:lvlJc w:val="left"/>
      <w:pPr>
        <w:ind w:left="1570" w:hanging="360"/>
      </w:pPr>
      <w:rPr>
        <w:rFonts w:ascii="Courier New" w:hAnsi="Courier New" w:cs="Courier New" w:hint="default"/>
      </w:rPr>
    </w:lvl>
    <w:lvl w:ilvl="2" w:tentative="1">
      <w:start w:val="1"/>
      <w:numFmt w:val="bullet"/>
      <w:lvlText w:val=""/>
      <w:lvlJc w:val="left"/>
      <w:pPr>
        <w:ind w:left="2290" w:hanging="360"/>
      </w:pPr>
      <w:rPr>
        <w:rFonts w:ascii="Wingdings" w:hAnsi="Wingdings" w:hint="default"/>
      </w:rPr>
    </w:lvl>
    <w:lvl w:ilvl="3" w:tentative="1">
      <w:start w:val="1"/>
      <w:numFmt w:val="bullet"/>
      <w:lvlText w:val=""/>
      <w:lvlJc w:val="left"/>
      <w:pPr>
        <w:ind w:left="3010" w:hanging="360"/>
      </w:pPr>
      <w:rPr>
        <w:rFonts w:ascii="Symbol" w:hAnsi="Symbol" w:hint="default"/>
      </w:rPr>
    </w:lvl>
    <w:lvl w:ilvl="4" w:tentative="1">
      <w:start w:val="1"/>
      <w:numFmt w:val="bullet"/>
      <w:lvlText w:val="o"/>
      <w:lvlJc w:val="left"/>
      <w:pPr>
        <w:ind w:left="3730" w:hanging="360"/>
      </w:pPr>
      <w:rPr>
        <w:rFonts w:ascii="Courier New" w:hAnsi="Courier New" w:cs="Courier New" w:hint="default"/>
      </w:rPr>
    </w:lvl>
    <w:lvl w:ilvl="5" w:tentative="1">
      <w:start w:val="1"/>
      <w:numFmt w:val="bullet"/>
      <w:lvlText w:val=""/>
      <w:lvlJc w:val="left"/>
      <w:pPr>
        <w:ind w:left="4450" w:hanging="360"/>
      </w:pPr>
      <w:rPr>
        <w:rFonts w:ascii="Wingdings" w:hAnsi="Wingdings" w:hint="default"/>
      </w:rPr>
    </w:lvl>
    <w:lvl w:ilvl="6" w:tentative="1">
      <w:start w:val="1"/>
      <w:numFmt w:val="bullet"/>
      <w:lvlText w:val=""/>
      <w:lvlJc w:val="left"/>
      <w:pPr>
        <w:ind w:left="5170" w:hanging="360"/>
      </w:pPr>
      <w:rPr>
        <w:rFonts w:ascii="Symbol" w:hAnsi="Symbol" w:hint="default"/>
      </w:rPr>
    </w:lvl>
    <w:lvl w:ilvl="7" w:tentative="1">
      <w:start w:val="1"/>
      <w:numFmt w:val="bullet"/>
      <w:lvlText w:val="o"/>
      <w:lvlJc w:val="left"/>
      <w:pPr>
        <w:ind w:left="5890" w:hanging="360"/>
      </w:pPr>
      <w:rPr>
        <w:rFonts w:ascii="Courier New" w:hAnsi="Courier New" w:cs="Courier New" w:hint="default"/>
      </w:rPr>
    </w:lvl>
    <w:lvl w:ilvl="8" w:tentative="1">
      <w:start w:val="1"/>
      <w:numFmt w:val="bullet"/>
      <w:lvlText w:val=""/>
      <w:lvlJc w:val="left"/>
      <w:pPr>
        <w:ind w:left="6610" w:hanging="360"/>
      </w:pPr>
      <w:rPr>
        <w:rFonts w:ascii="Wingdings" w:hAnsi="Wingdings" w:hint="default"/>
      </w:rPr>
    </w:lvl>
  </w:abstractNum>
  <w:abstractNum w:abstractNumId="41">
    <w:nsid w:val="7020478C"/>
    <w:multiLevelType w:val="hybridMultilevel"/>
    <w:tmpl w:val="E894054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27A016F"/>
    <w:multiLevelType w:val="hybridMultilevel"/>
    <w:tmpl w:val="833CFD7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9F0481A"/>
    <w:multiLevelType w:val="hybridMultilevel"/>
    <w:tmpl w:val="2572E3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C966A27"/>
    <w:multiLevelType w:val="hybridMultilevel"/>
    <w:tmpl w:val="E62EFB5A"/>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16cid:durableId="1708021329">
    <w:abstractNumId w:val="1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028992998">
    <w:abstractNumId w:val="1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179441532">
    <w:abstractNumId w:val="19"/>
  </w:num>
  <w:num w:numId="4" w16cid:durableId="830675477">
    <w:abstractNumId w:val="32"/>
  </w:num>
  <w:num w:numId="5" w16cid:durableId="262692029">
    <w:abstractNumId w:val="15"/>
  </w:num>
  <w:num w:numId="6" w16cid:durableId="1013267442">
    <w:abstractNumId w:val="20"/>
  </w:num>
  <w:num w:numId="7" w16cid:durableId="106780878">
    <w:abstractNumId w:val="1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94463313">
    <w:abstractNumId w:val="36"/>
  </w:num>
  <w:num w:numId="9" w16cid:durableId="1054428302">
    <w:abstractNumId w:val="11"/>
  </w:num>
  <w:num w:numId="10" w16cid:durableId="588198908">
    <w:abstractNumId w:val="35"/>
  </w:num>
  <w:num w:numId="11" w16cid:durableId="1110777322">
    <w:abstractNumId w:val="23"/>
  </w:num>
  <w:num w:numId="12" w16cid:durableId="204685213">
    <w:abstractNumId w:val="28"/>
  </w:num>
  <w:num w:numId="13" w16cid:durableId="1440836250">
    <w:abstractNumId w:val="22"/>
  </w:num>
  <w:num w:numId="14" w16cid:durableId="284384274">
    <w:abstractNumId w:val="27"/>
  </w:num>
  <w:num w:numId="15" w16cid:durableId="354044147">
    <w:abstractNumId w:val="27"/>
    <w:lvlOverride w:ilvl="0">
      <w:startOverride w:val="1"/>
    </w:lvlOverride>
  </w:num>
  <w:num w:numId="16" w16cid:durableId="541013817">
    <w:abstractNumId w:val="41"/>
  </w:num>
  <w:num w:numId="17" w16cid:durableId="1657877175">
    <w:abstractNumId w:val="44"/>
    <w:lvlOverride w:ilvl="0">
      <w:startOverride w:val="1"/>
    </w:lvlOverride>
  </w:num>
  <w:num w:numId="18" w16cid:durableId="349334885">
    <w:abstractNumId w:val="21"/>
  </w:num>
  <w:num w:numId="19" w16cid:durableId="254435788">
    <w:abstractNumId w:val="12"/>
  </w:num>
  <w:num w:numId="20" w16cid:durableId="1853564981">
    <w:abstractNumId w:val="14"/>
  </w:num>
  <w:num w:numId="21" w16cid:durableId="1493987508">
    <w:abstractNumId w:val="42"/>
  </w:num>
  <w:num w:numId="22" w16cid:durableId="323509066">
    <w:abstractNumId w:val="34"/>
  </w:num>
  <w:num w:numId="23" w16cid:durableId="1660501722">
    <w:abstractNumId w:val="13"/>
  </w:num>
  <w:num w:numId="24" w16cid:durableId="238711301">
    <w:abstractNumId w:val="9"/>
  </w:num>
  <w:num w:numId="25" w16cid:durableId="38551093">
    <w:abstractNumId w:val="39"/>
  </w:num>
  <w:num w:numId="26" w16cid:durableId="237325606">
    <w:abstractNumId w:val="25"/>
  </w:num>
  <w:num w:numId="27" w16cid:durableId="1656838685">
    <w:abstractNumId w:val="29"/>
  </w:num>
  <w:num w:numId="28" w16cid:durableId="1229413602">
    <w:abstractNumId w:val="8"/>
  </w:num>
  <w:num w:numId="29" w16cid:durableId="86929735">
    <w:abstractNumId w:val="18"/>
  </w:num>
  <w:num w:numId="30" w16cid:durableId="1242638668">
    <w:abstractNumId w:val="17"/>
  </w:num>
  <w:num w:numId="31" w16cid:durableId="602810702">
    <w:abstractNumId w:val="24"/>
  </w:num>
  <w:num w:numId="32" w16cid:durableId="1401059710">
    <w:abstractNumId w:val="38"/>
  </w:num>
  <w:num w:numId="33" w16cid:durableId="487331348">
    <w:abstractNumId w:val="43"/>
  </w:num>
  <w:num w:numId="34" w16cid:durableId="1171217427">
    <w:abstractNumId w:val="30"/>
  </w:num>
  <w:num w:numId="35" w16cid:durableId="1611471610">
    <w:abstractNumId w:val="26"/>
  </w:num>
  <w:num w:numId="36" w16cid:durableId="859048937">
    <w:abstractNumId w:val="37"/>
  </w:num>
  <w:num w:numId="37" w16cid:durableId="1975215292">
    <w:abstractNumId w:val="40"/>
  </w:num>
  <w:num w:numId="38" w16cid:durableId="1167474601">
    <w:abstractNumId w:val="31"/>
  </w:num>
  <w:num w:numId="39" w16cid:durableId="597761727">
    <w:abstractNumId w:val="16"/>
  </w:num>
  <w:num w:numId="40" w16cid:durableId="124086961">
    <w:abstractNumId w:val="7"/>
  </w:num>
  <w:num w:numId="41" w16cid:durableId="339432194">
    <w:abstractNumId w:val="6"/>
  </w:num>
  <w:num w:numId="42" w16cid:durableId="2014602761">
    <w:abstractNumId w:val="5"/>
  </w:num>
  <w:num w:numId="43" w16cid:durableId="711004056">
    <w:abstractNumId w:val="4"/>
  </w:num>
  <w:num w:numId="44" w16cid:durableId="1925532749">
    <w:abstractNumId w:val="3"/>
  </w:num>
  <w:num w:numId="45" w16cid:durableId="1277525048">
    <w:abstractNumId w:val="2"/>
  </w:num>
  <w:num w:numId="46" w16cid:durableId="1902864010">
    <w:abstractNumId w:val="1"/>
  </w:num>
  <w:num w:numId="47" w16cid:durableId="698362676">
    <w:abstractNumId w:val="0"/>
  </w:num>
  <w:num w:numId="48" w16cid:durableId="1462866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56"/>
    <w:rsid w:val="00000976"/>
    <w:rsid w:val="00001D19"/>
    <w:rsid w:val="00002378"/>
    <w:rsid w:val="00002959"/>
    <w:rsid w:val="0000310D"/>
    <w:rsid w:val="00004A80"/>
    <w:rsid w:val="00004A9B"/>
    <w:rsid w:val="00005054"/>
    <w:rsid w:val="0000555E"/>
    <w:rsid w:val="00005853"/>
    <w:rsid w:val="00006D6C"/>
    <w:rsid w:val="0000737A"/>
    <w:rsid w:val="000100F4"/>
    <w:rsid w:val="000133FD"/>
    <w:rsid w:val="00014158"/>
    <w:rsid w:val="00014218"/>
    <w:rsid w:val="0001458E"/>
    <w:rsid w:val="00015068"/>
    <w:rsid w:val="000153DE"/>
    <w:rsid w:val="00016E9E"/>
    <w:rsid w:val="00020F69"/>
    <w:rsid w:val="00022303"/>
    <w:rsid w:val="00024B5A"/>
    <w:rsid w:val="000268EB"/>
    <w:rsid w:val="00026A32"/>
    <w:rsid w:val="000323A4"/>
    <w:rsid w:val="00033247"/>
    <w:rsid w:val="00033AB1"/>
    <w:rsid w:val="00034768"/>
    <w:rsid w:val="00035910"/>
    <w:rsid w:val="0003647B"/>
    <w:rsid w:val="000374C2"/>
    <w:rsid w:val="0003782D"/>
    <w:rsid w:val="0004107F"/>
    <w:rsid w:val="00042CBD"/>
    <w:rsid w:val="000435D4"/>
    <w:rsid w:val="0004457F"/>
    <w:rsid w:val="000458D2"/>
    <w:rsid w:val="0004622A"/>
    <w:rsid w:val="000473AE"/>
    <w:rsid w:val="00047DFF"/>
    <w:rsid w:val="00052174"/>
    <w:rsid w:val="00054A35"/>
    <w:rsid w:val="00056D09"/>
    <w:rsid w:val="00057689"/>
    <w:rsid w:val="00061F6C"/>
    <w:rsid w:val="0006247B"/>
    <w:rsid w:val="00063166"/>
    <w:rsid w:val="00064C87"/>
    <w:rsid w:val="00064E28"/>
    <w:rsid w:val="00065894"/>
    <w:rsid w:val="00065AB8"/>
    <w:rsid w:val="00070AB6"/>
    <w:rsid w:val="000733AC"/>
    <w:rsid w:val="0007383F"/>
    <w:rsid w:val="00074453"/>
    <w:rsid w:val="00075487"/>
    <w:rsid w:val="00075515"/>
    <w:rsid w:val="000758D1"/>
    <w:rsid w:val="00075C65"/>
    <w:rsid w:val="00075DD3"/>
    <w:rsid w:val="00075F92"/>
    <w:rsid w:val="0007622C"/>
    <w:rsid w:val="0007632D"/>
    <w:rsid w:val="00077FBB"/>
    <w:rsid w:val="00081CA6"/>
    <w:rsid w:val="0008252F"/>
    <w:rsid w:val="000836B1"/>
    <w:rsid w:val="00083E10"/>
    <w:rsid w:val="000918F0"/>
    <w:rsid w:val="0009282C"/>
    <w:rsid w:val="00094A5E"/>
    <w:rsid w:val="00095C30"/>
    <w:rsid w:val="00095E44"/>
    <w:rsid w:val="000967E4"/>
    <w:rsid w:val="000A1AA0"/>
    <w:rsid w:val="000A2EC1"/>
    <w:rsid w:val="000A36B9"/>
    <w:rsid w:val="000A4089"/>
    <w:rsid w:val="000A5CCD"/>
    <w:rsid w:val="000A7853"/>
    <w:rsid w:val="000B0391"/>
    <w:rsid w:val="000B122F"/>
    <w:rsid w:val="000B4875"/>
    <w:rsid w:val="000B54C5"/>
    <w:rsid w:val="000B5B3A"/>
    <w:rsid w:val="000B69D7"/>
    <w:rsid w:val="000B6F9D"/>
    <w:rsid w:val="000B6FB6"/>
    <w:rsid w:val="000B7D53"/>
    <w:rsid w:val="000C08A2"/>
    <w:rsid w:val="000C1C05"/>
    <w:rsid w:val="000C257C"/>
    <w:rsid w:val="000C33E4"/>
    <w:rsid w:val="000C3A92"/>
    <w:rsid w:val="000C512E"/>
    <w:rsid w:val="000C74FB"/>
    <w:rsid w:val="000D1350"/>
    <w:rsid w:val="000D2840"/>
    <w:rsid w:val="000D30D9"/>
    <w:rsid w:val="000D4E90"/>
    <w:rsid w:val="000D5D0C"/>
    <w:rsid w:val="000D6C33"/>
    <w:rsid w:val="000D6D0D"/>
    <w:rsid w:val="000D7D05"/>
    <w:rsid w:val="000D7F95"/>
    <w:rsid w:val="000E164D"/>
    <w:rsid w:val="000E1C64"/>
    <w:rsid w:val="000E2ACC"/>
    <w:rsid w:val="000E3667"/>
    <w:rsid w:val="000E3BAF"/>
    <w:rsid w:val="000E738B"/>
    <w:rsid w:val="000F0D8E"/>
    <w:rsid w:val="000F1CDD"/>
    <w:rsid w:val="000F3757"/>
    <w:rsid w:val="000F50AA"/>
    <w:rsid w:val="000F6359"/>
    <w:rsid w:val="000F6836"/>
    <w:rsid w:val="000F7F8E"/>
    <w:rsid w:val="0010185D"/>
    <w:rsid w:val="0010204F"/>
    <w:rsid w:val="00102106"/>
    <w:rsid w:val="00103C5C"/>
    <w:rsid w:val="001040D4"/>
    <w:rsid w:val="001048E0"/>
    <w:rsid w:val="001058A6"/>
    <w:rsid w:val="00106C31"/>
    <w:rsid w:val="001078BB"/>
    <w:rsid w:val="00107BDD"/>
    <w:rsid w:val="00110B54"/>
    <w:rsid w:val="001112B4"/>
    <w:rsid w:val="00111AF9"/>
    <w:rsid w:val="0011404A"/>
    <w:rsid w:val="001143F4"/>
    <w:rsid w:val="00114A53"/>
    <w:rsid w:val="00115436"/>
    <w:rsid w:val="00115454"/>
    <w:rsid w:val="0011552C"/>
    <w:rsid w:val="00115742"/>
    <w:rsid w:val="00116CD5"/>
    <w:rsid w:val="001170CC"/>
    <w:rsid w:val="001176B0"/>
    <w:rsid w:val="001176DF"/>
    <w:rsid w:val="00120E4F"/>
    <w:rsid w:val="001210CD"/>
    <w:rsid w:val="001217DD"/>
    <w:rsid w:val="00121829"/>
    <w:rsid w:val="001226E6"/>
    <w:rsid w:val="00123D60"/>
    <w:rsid w:val="00124217"/>
    <w:rsid w:val="00126244"/>
    <w:rsid w:val="00130DE9"/>
    <w:rsid w:val="001311EC"/>
    <w:rsid w:val="00133C47"/>
    <w:rsid w:val="001347CF"/>
    <w:rsid w:val="00134F59"/>
    <w:rsid w:val="00136657"/>
    <w:rsid w:val="001367B6"/>
    <w:rsid w:val="001369A2"/>
    <w:rsid w:val="001370CB"/>
    <w:rsid w:val="0013726F"/>
    <w:rsid w:val="00137433"/>
    <w:rsid w:val="0014041C"/>
    <w:rsid w:val="00140421"/>
    <w:rsid w:val="00140453"/>
    <w:rsid w:val="00141661"/>
    <w:rsid w:val="0014170B"/>
    <w:rsid w:val="00142D74"/>
    <w:rsid w:val="0014556E"/>
    <w:rsid w:val="00146D89"/>
    <w:rsid w:val="001470A8"/>
    <w:rsid w:val="0014755A"/>
    <w:rsid w:val="00151E19"/>
    <w:rsid w:val="0015322B"/>
    <w:rsid w:val="0015365E"/>
    <w:rsid w:val="00157A90"/>
    <w:rsid w:val="00162CEE"/>
    <w:rsid w:val="00163EA2"/>
    <w:rsid w:val="00164925"/>
    <w:rsid w:val="0016530B"/>
    <w:rsid w:val="001670C5"/>
    <w:rsid w:val="00171517"/>
    <w:rsid w:val="00172166"/>
    <w:rsid w:val="00172345"/>
    <w:rsid w:val="001746B3"/>
    <w:rsid w:val="00176F96"/>
    <w:rsid w:val="00177344"/>
    <w:rsid w:val="00177854"/>
    <w:rsid w:val="0018060F"/>
    <w:rsid w:val="00180B11"/>
    <w:rsid w:val="00180E5A"/>
    <w:rsid w:val="00183CE6"/>
    <w:rsid w:val="00185EA8"/>
    <w:rsid w:val="0018668A"/>
    <w:rsid w:val="0018679A"/>
    <w:rsid w:val="001900F5"/>
    <w:rsid w:val="0019325F"/>
    <w:rsid w:val="00196ED7"/>
    <w:rsid w:val="00197D0A"/>
    <w:rsid w:val="001A01ED"/>
    <w:rsid w:val="001A18A1"/>
    <w:rsid w:val="001A1B79"/>
    <w:rsid w:val="001A29A8"/>
    <w:rsid w:val="001A2B9A"/>
    <w:rsid w:val="001A3821"/>
    <w:rsid w:val="001A47D9"/>
    <w:rsid w:val="001A4C1E"/>
    <w:rsid w:val="001A5747"/>
    <w:rsid w:val="001A5778"/>
    <w:rsid w:val="001A5868"/>
    <w:rsid w:val="001A5A5D"/>
    <w:rsid w:val="001A7589"/>
    <w:rsid w:val="001A7C1A"/>
    <w:rsid w:val="001B0DC4"/>
    <w:rsid w:val="001B308B"/>
    <w:rsid w:val="001B5D68"/>
    <w:rsid w:val="001B7FEA"/>
    <w:rsid w:val="001C2618"/>
    <w:rsid w:val="001C41B7"/>
    <w:rsid w:val="001D0D8F"/>
    <w:rsid w:val="001D0F4E"/>
    <w:rsid w:val="001D10ED"/>
    <w:rsid w:val="001D2213"/>
    <w:rsid w:val="001D2D09"/>
    <w:rsid w:val="001D2D78"/>
    <w:rsid w:val="001D5DF1"/>
    <w:rsid w:val="001D67BB"/>
    <w:rsid w:val="001D6F99"/>
    <w:rsid w:val="001E0927"/>
    <w:rsid w:val="001E0E7F"/>
    <w:rsid w:val="001E24C2"/>
    <w:rsid w:val="001E2932"/>
    <w:rsid w:val="001E3596"/>
    <w:rsid w:val="001E5213"/>
    <w:rsid w:val="001E5750"/>
    <w:rsid w:val="001E5983"/>
    <w:rsid w:val="001E6C4E"/>
    <w:rsid w:val="001F1F55"/>
    <w:rsid w:val="001F2C4C"/>
    <w:rsid w:val="001F2E8E"/>
    <w:rsid w:val="001F32F3"/>
    <w:rsid w:val="001F3752"/>
    <w:rsid w:val="001F3AE5"/>
    <w:rsid w:val="001F570C"/>
    <w:rsid w:val="00203370"/>
    <w:rsid w:val="002036A1"/>
    <w:rsid w:val="00206DB6"/>
    <w:rsid w:val="00211418"/>
    <w:rsid w:val="00212110"/>
    <w:rsid w:val="002134B4"/>
    <w:rsid w:val="00213B76"/>
    <w:rsid w:val="0021571F"/>
    <w:rsid w:val="00216D1A"/>
    <w:rsid w:val="0021710C"/>
    <w:rsid w:val="0022034C"/>
    <w:rsid w:val="002203C9"/>
    <w:rsid w:val="00223503"/>
    <w:rsid w:val="002251E6"/>
    <w:rsid w:val="0022532F"/>
    <w:rsid w:val="002318CC"/>
    <w:rsid w:val="002319E2"/>
    <w:rsid w:val="00233970"/>
    <w:rsid w:val="00234A3A"/>
    <w:rsid w:val="002355AD"/>
    <w:rsid w:val="002365AA"/>
    <w:rsid w:val="00237691"/>
    <w:rsid w:val="00240168"/>
    <w:rsid w:val="002406E5"/>
    <w:rsid w:val="00240AC9"/>
    <w:rsid w:val="00242654"/>
    <w:rsid w:val="00242CA0"/>
    <w:rsid w:val="00243356"/>
    <w:rsid w:val="00243432"/>
    <w:rsid w:val="00244513"/>
    <w:rsid w:val="002446BA"/>
    <w:rsid w:val="00247146"/>
    <w:rsid w:val="0024741C"/>
    <w:rsid w:val="00250079"/>
    <w:rsid w:val="00250342"/>
    <w:rsid w:val="002506BE"/>
    <w:rsid w:val="0025215B"/>
    <w:rsid w:val="002529D6"/>
    <w:rsid w:val="002551C5"/>
    <w:rsid w:val="00256138"/>
    <w:rsid w:val="00256D74"/>
    <w:rsid w:val="00257C45"/>
    <w:rsid w:val="00257C84"/>
    <w:rsid w:val="00261F79"/>
    <w:rsid w:val="0026264D"/>
    <w:rsid w:val="00262E29"/>
    <w:rsid w:val="00264558"/>
    <w:rsid w:val="002649C9"/>
    <w:rsid w:val="0026546E"/>
    <w:rsid w:val="00267390"/>
    <w:rsid w:val="00272636"/>
    <w:rsid w:val="00273D58"/>
    <w:rsid w:val="00275CBB"/>
    <w:rsid w:val="002776BF"/>
    <w:rsid w:val="00277C1F"/>
    <w:rsid w:val="00280233"/>
    <w:rsid w:val="002803C5"/>
    <w:rsid w:val="00280742"/>
    <w:rsid w:val="00281057"/>
    <w:rsid w:val="0028139C"/>
    <w:rsid w:val="00281685"/>
    <w:rsid w:val="002816FF"/>
    <w:rsid w:val="00284930"/>
    <w:rsid w:val="002866AD"/>
    <w:rsid w:val="00286A18"/>
    <w:rsid w:val="00286BE3"/>
    <w:rsid w:val="0029135D"/>
    <w:rsid w:val="00292951"/>
    <w:rsid w:val="00293A8C"/>
    <w:rsid w:val="00293CD1"/>
    <w:rsid w:val="00293F9C"/>
    <w:rsid w:val="00294B64"/>
    <w:rsid w:val="00297182"/>
    <w:rsid w:val="00297EF3"/>
    <w:rsid w:val="002A25AD"/>
    <w:rsid w:val="002A2D0A"/>
    <w:rsid w:val="002A3962"/>
    <w:rsid w:val="002A3B19"/>
    <w:rsid w:val="002A3FDC"/>
    <w:rsid w:val="002A5972"/>
    <w:rsid w:val="002A6B80"/>
    <w:rsid w:val="002A7A00"/>
    <w:rsid w:val="002B10DC"/>
    <w:rsid w:val="002B1AFD"/>
    <w:rsid w:val="002B2BC2"/>
    <w:rsid w:val="002B470D"/>
    <w:rsid w:val="002B65A5"/>
    <w:rsid w:val="002C030A"/>
    <w:rsid w:val="002C1F36"/>
    <w:rsid w:val="002C6D9E"/>
    <w:rsid w:val="002C6EC6"/>
    <w:rsid w:val="002C753A"/>
    <w:rsid w:val="002C798A"/>
    <w:rsid w:val="002D025E"/>
    <w:rsid w:val="002D3897"/>
    <w:rsid w:val="002D5974"/>
    <w:rsid w:val="002D5CC8"/>
    <w:rsid w:val="002D5EE1"/>
    <w:rsid w:val="002E02EE"/>
    <w:rsid w:val="002E2063"/>
    <w:rsid w:val="002E238B"/>
    <w:rsid w:val="002E4200"/>
    <w:rsid w:val="002E4280"/>
    <w:rsid w:val="002E5A84"/>
    <w:rsid w:val="002E7C0C"/>
    <w:rsid w:val="002E7E79"/>
    <w:rsid w:val="002F2348"/>
    <w:rsid w:val="002F37EA"/>
    <w:rsid w:val="002F38D0"/>
    <w:rsid w:val="002F3CFC"/>
    <w:rsid w:val="002F52BC"/>
    <w:rsid w:val="002F547A"/>
    <w:rsid w:val="00301A49"/>
    <w:rsid w:val="0030292C"/>
    <w:rsid w:val="003039BE"/>
    <w:rsid w:val="00303DB7"/>
    <w:rsid w:val="00304132"/>
    <w:rsid w:val="00305B0B"/>
    <w:rsid w:val="00306588"/>
    <w:rsid w:val="003072EE"/>
    <w:rsid w:val="00307C43"/>
    <w:rsid w:val="003103DB"/>
    <w:rsid w:val="00312124"/>
    <w:rsid w:val="00313261"/>
    <w:rsid w:val="00313820"/>
    <w:rsid w:val="003146E8"/>
    <w:rsid w:val="00316902"/>
    <w:rsid w:val="0032199C"/>
    <w:rsid w:val="00322D38"/>
    <w:rsid w:val="003235A7"/>
    <w:rsid w:val="00323FC8"/>
    <w:rsid w:val="00324228"/>
    <w:rsid w:val="0032649A"/>
    <w:rsid w:val="0032790D"/>
    <w:rsid w:val="0033017B"/>
    <w:rsid w:val="0033075C"/>
    <w:rsid w:val="00332F98"/>
    <w:rsid w:val="00335520"/>
    <w:rsid w:val="0033681E"/>
    <w:rsid w:val="00337EED"/>
    <w:rsid w:val="0034030D"/>
    <w:rsid w:val="0034257F"/>
    <w:rsid w:val="003430A6"/>
    <w:rsid w:val="003433AB"/>
    <w:rsid w:val="00343F72"/>
    <w:rsid w:val="003448FC"/>
    <w:rsid w:val="00345597"/>
    <w:rsid w:val="003457E4"/>
    <w:rsid w:val="00350836"/>
    <w:rsid w:val="00350A7A"/>
    <w:rsid w:val="0035144D"/>
    <w:rsid w:val="00351F57"/>
    <w:rsid w:val="00354484"/>
    <w:rsid w:val="003548D8"/>
    <w:rsid w:val="0035497E"/>
    <w:rsid w:val="00362FC4"/>
    <w:rsid w:val="0036396F"/>
    <w:rsid w:val="00363CC2"/>
    <w:rsid w:val="003642BC"/>
    <w:rsid w:val="00365C82"/>
    <w:rsid w:val="00366E52"/>
    <w:rsid w:val="00370EF6"/>
    <w:rsid w:val="00371591"/>
    <w:rsid w:val="00371EEC"/>
    <w:rsid w:val="0037327B"/>
    <w:rsid w:val="003739C3"/>
    <w:rsid w:val="00374AE3"/>
    <w:rsid w:val="00375555"/>
    <w:rsid w:val="0037745C"/>
    <w:rsid w:val="00380058"/>
    <w:rsid w:val="00383F10"/>
    <w:rsid w:val="003844A8"/>
    <w:rsid w:val="00385EDB"/>
    <w:rsid w:val="00386A02"/>
    <w:rsid w:val="00386EE1"/>
    <w:rsid w:val="003876F3"/>
    <w:rsid w:val="00390426"/>
    <w:rsid w:val="00391383"/>
    <w:rsid w:val="003918F7"/>
    <w:rsid w:val="00394AEB"/>
    <w:rsid w:val="0039511B"/>
    <w:rsid w:val="0039683E"/>
    <w:rsid w:val="003A0B2C"/>
    <w:rsid w:val="003A0C7D"/>
    <w:rsid w:val="003A1E8D"/>
    <w:rsid w:val="003A1FA1"/>
    <w:rsid w:val="003A2FB5"/>
    <w:rsid w:val="003A6353"/>
    <w:rsid w:val="003A68D6"/>
    <w:rsid w:val="003B0C6F"/>
    <w:rsid w:val="003B0F91"/>
    <w:rsid w:val="003B1081"/>
    <w:rsid w:val="003B1D8B"/>
    <w:rsid w:val="003B2A99"/>
    <w:rsid w:val="003B2B12"/>
    <w:rsid w:val="003B322D"/>
    <w:rsid w:val="003B383D"/>
    <w:rsid w:val="003B44C4"/>
    <w:rsid w:val="003B5D4E"/>
    <w:rsid w:val="003B6C4D"/>
    <w:rsid w:val="003B7174"/>
    <w:rsid w:val="003B765A"/>
    <w:rsid w:val="003C13C6"/>
    <w:rsid w:val="003C6833"/>
    <w:rsid w:val="003D50FE"/>
    <w:rsid w:val="003D54CB"/>
    <w:rsid w:val="003D579C"/>
    <w:rsid w:val="003D5958"/>
    <w:rsid w:val="003D5FDE"/>
    <w:rsid w:val="003D6AC7"/>
    <w:rsid w:val="003E0485"/>
    <w:rsid w:val="003E2431"/>
    <w:rsid w:val="003E48B0"/>
    <w:rsid w:val="003E49A6"/>
    <w:rsid w:val="003E58B1"/>
    <w:rsid w:val="003E5D6B"/>
    <w:rsid w:val="003E5E34"/>
    <w:rsid w:val="003E60FD"/>
    <w:rsid w:val="003E6997"/>
    <w:rsid w:val="003F1B39"/>
    <w:rsid w:val="003F3686"/>
    <w:rsid w:val="003F4AD6"/>
    <w:rsid w:val="003F5376"/>
    <w:rsid w:val="003F53FB"/>
    <w:rsid w:val="003F57AD"/>
    <w:rsid w:val="00400B4D"/>
    <w:rsid w:val="00401CDD"/>
    <w:rsid w:val="00401F18"/>
    <w:rsid w:val="00402FD7"/>
    <w:rsid w:val="004045CB"/>
    <w:rsid w:val="00404C49"/>
    <w:rsid w:val="004056B7"/>
    <w:rsid w:val="00407310"/>
    <w:rsid w:val="004103D2"/>
    <w:rsid w:val="00410AC8"/>
    <w:rsid w:val="00412EAA"/>
    <w:rsid w:val="00414664"/>
    <w:rsid w:val="004158F6"/>
    <w:rsid w:val="004169B5"/>
    <w:rsid w:val="00416B51"/>
    <w:rsid w:val="00421D8C"/>
    <w:rsid w:val="00422BC2"/>
    <w:rsid w:val="0042446D"/>
    <w:rsid w:val="00424A4E"/>
    <w:rsid w:val="004260E8"/>
    <w:rsid w:val="0042787F"/>
    <w:rsid w:val="00430867"/>
    <w:rsid w:val="00430D72"/>
    <w:rsid w:val="00430EB8"/>
    <w:rsid w:val="00432D69"/>
    <w:rsid w:val="00433920"/>
    <w:rsid w:val="00435127"/>
    <w:rsid w:val="00435DE4"/>
    <w:rsid w:val="00436C51"/>
    <w:rsid w:val="004402FD"/>
    <w:rsid w:val="00442CD4"/>
    <w:rsid w:val="00443460"/>
    <w:rsid w:val="00444533"/>
    <w:rsid w:val="00444DAB"/>
    <w:rsid w:val="00445A4D"/>
    <w:rsid w:val="00445B4E"/>
    <w:rsid w:val="00445C6D"/>
    <w:rsid w:val="00446777"/>
    <w:rsid w:val="00446901"/>
    <w:rsid w:val="00447376"/>
    <w:rsid w:val="0044773C"/>
    <w:rsid w:val="004531FA"/>
    <w:rsid w:val="00454210"/>
    <w:rsid w:val="00454794"/>
    <w:rsid w:val="00454BFC"/>
    <w:rsid w:val="004605D4"/>
    <w:rsid w:val="004635AE"/>
    <w:rsid w:val="00463BE9"/>
    <w:rsid w:val="00465165"/>
    <w:rsid w:val="004662B4"/>
    <w:rsid w:val="00466F1E"/>
    <w:rsid w:val="0046704C"/>
    <w:rsid w:val="004672B5"/>
    <w:rsid w:val="00467D3F"/>
    <w:rsid w:val="0047167D"/>
    <w:rsid w:val="00472BDB"/>
    <w:rsid w:val="00473C6E"/>
    <w:rsid w:val="00473F1F"/>
    <w:rsid w:val="00475951"/>
    <w:rsid w:val="00475E25"/>
    <w:rsid w:val="00475FA8"/>
    <w:rsid w:val="00480ED8"/>
    <w:rsid w:val="00481476"/>
    <w:rsid w:val="004816EA"/>
    <w:rsid w:val="00482B64"/>
    <w:rsid w:val="00482C08"/>
    <w:rsid w:val="004844D1"/>
    <w:rsid w:val="00484621"/>
    <w:rsid w:val="0048559D"/>
    <w:rsid w:val="00487D87"/>
    <w:rsid w:val="00493AE1"/>
    <w:rsid w:val="00493B43"/>
    <w:rsid w:val="00494399"/>
    <w:rsid w:val="0049439A"/>
    <w:rsid w:val="00494A93"/>
    <w:rsid w:val="00494B48"/>
    <w:rsid w:val="00494D75"/>
    <w:rsid w:val="00496581"/>
    <w:rsid w:val="004A010B"/>
    <w:rsid w:val="004A07FA"/>
    <w:rsid w:val="004A1763"/>
    <w:rsid w:val="004A281C"/>
    <w:rsid w:val="004A2B7B"/>
    <w:rsid w:val="004A2C56"/>
    <w:rsid w:val="004A321A"/>
    <w:rsid w:val="004A5CDB"/>
    <w:rsid w:val="004A60CC"/>
    <w:rsid w:val="004A718D"/>
    <w:rsid w:val="004B061E"/>
    <w:rsid w:val="004B1E83"/>
    <w:rsid w:val="004B3E58"/>
    <w:rsid w:val="004B56C6"/>
    <w:rsid w:val="004B5BF9"/>
    <w:rsid w:val="004B5D35"/>
    <w:rsid w:val="004C2CF1"/>
    <w:rsid w:val="004C54E9"/>
    <w:rsid w:val="004C57DF"/>
    <w:rsid w:val="004C5B9F"/>
    <w:rsid w:val="004C62FD"/>
    <w:rsid w:val="004C690B"/>
    <w:rsid w:val="004D017B"/>
    <w:rsid w:val="004D1803"/>
    <w:rsid w:val="004D1C78"/>
    <w:rsid w:val="004D35BD"/>
    <w:rsid w:val="004D441E"/>
    <w:rsid w:val="004D46D1"/>
    <w:rsid w:val="004D4E9A"/>
    <w:rsid w:val="004D5249"/>
    <w:rsid w:val="004D6761"/>
    <w:rsid w:val="004D7195"/>
    <w:rsid w:val="004E1D95"/>
    <w:rsid w:val="004E1D9E"/>
    <w:rsid w:val="004E3FAD"/>
    <w:rsid w:val="004E421B"/>
    <w:rsid w:val="004E560F"/>
    <w:rsid w:val="004E72D7"/>
    <w:rsid w:val="004E7A18"/>
    <w:rsid w:val="004F1C43"/>
    <w:rsid w:val="004F2505"/>
    <w:rsid w:val="004F2B6B"/>
    <w:rsid w:val="004F3C67"/>
    <w:rsid w:val="004F454F"/>
    <w:rsid w:val="004F555C"/>
    <w:rsid w:val="004F585F"/>
    <w:rsid w:val="004F7148"/>
    <w:rsid w:val="005012E0"/>
    <w:rsid w:val="00502BB9"/>
    <w:rsid w:val="00503EC6"/>
    <w:rsid w:val="00503FD5"/>
    <w:rsid w:val="005049B0"/>
    <w:rsid w:val="00504DDD"/>
    <w:rsid w:val="00511542"/>
    <w:rsid w:val="00513005"/>
    <w:rsid w:val="00515141"/>
    <w:rsid w:val="005164DC"/>
    <w:rsid w:val="00521DD3"/>
    <w:rsid w:val="00522E79"/>
    <w:rsid w:val="005235F8"/>
    <w:rsid w:val="005261E2"/>
    <w:rsid w:val="005272D2"/>
    <w:rsid w:val="00527E98"/>
    <w:rsid w:val="00530EBD"/>
    <w:rsid w:val="0053122E"/>
    <w:rsid w:val="0053148E"/>
    <w:rsid w:val="0053197D"/>
    <w:rsid w:val="0053245D"/>
    <w:rsid w:val="0053282E"/>
    <w:rsid w:val="00532FFC"/>
    <w:rsid w:val="005339A6"/>
    <w:rsid w:val="00533BD0"/>
    <w:rsid w:val="00536BD1"/>
    <w:rsid w:val="00536F33"/>
    <w:rsid w:val="00536F69"/>
    <w:rsid w:val="005402DA"/>
    <w:rsid w:val="00541A0B"/>
    <w:rsid w:val="00542AE4"/>
    <w:rsid w:val="00543B7C"/>
    <w:rsid w:val="0054448B"/>
    <w:rsid w:val="00547A47"/>
    <w:rsid w:val="005551B9"/>
    <w:rsid w:val="005561BC"/>
    <w:rsid w:val="005565F6"/>
    <w:rsid w:val="00556712"/>
    <w:rsid w:val="00556F49"/>
    <w:rsid w:val="00560E8D"/>
    <w:rsid w:val="005613D4"/>
    <w:rsid w:val="0056181B"/>
    <w:rsid w:val="005630C0"/>
    <w:rsid w:val="00566D77"/>
    <w:rsid w:val="00566FF9"/>
    <w:rsid w:val="005670A8"/>
    <w:rsid w:val="00567912"/>
    <w:rsid w:val="00570098"/>
    <w:rsid w:val="00571257"/>
    <w:rsid w:val="0057231F"/>
    <w:rsid w:val="00572D1A"/>
    <w:rsid w:val="00573A9F"/>
    <w:rsid w:val="0057560E"/>
    <w:rsid w:val="00576CF2"/>
    <w:rsid w:val="005805E7"/>
    <w:rsid w:val="005815A3"/>
    <w:rsid w:val="00582DAF"/>
    <w:rsid w:val="005830E6"/>
    <w:rsid w:val="00583F5D"/>
    <w:rsid w:val="0058424C"/>
    <w:rsid w:val="005843BD"/>
    <w:rsid w:val="00584842"/>
    <w:rsid w:val="00584BFE"/>
    <w:rsid w:val="00584F8D"/>
    <w:rsid w:val="00585658"/>
    <w:rsid w:val="00586078"/>
    <w:rsid w:val="00590A55"/>
    <w:rsid w:val="00591E4F"/>
    <w:rsid w:val="00594A95"/>
    <w:rsid w:val="005976EC"/>
    <w:rsid w:val="005A0350"/>
    <w:rsid w:val="005A169D"/>
    <w:rsid w:val="005A29F9"/>
    <w:rsid w:val="005A55A9"/>
    <w:rsid w:val="005A55E2"/>
    <w:rsid w:val="005A698E"/>
    <w:rsid w:val="005B438B"/>
    <w:rsid w:val="005B55F8"/>
    <w:rsid w:val="005B5990"/>
    <w:rsid w:val="005B5ADD"/>
    <w:rsid w:val="005B7B06"/>
    <w:rsid w:val="005C1836"/>
    <w:rsid w:val="005C2578"/>
    <w:rsid w:val="005C4671"/>
    <w:rsid w:val="005C46C4"/>
    <w:rsid w:val="005C6147"/>
    <w:rsid w:val="005C7C22"/>
    <w:rsid w:val="005D008D"/>
    <w:rsid w:val="005D10BE"/>
    <w:rsid w:val="005D1EAB"/>
    <w:rsid w:val="005D34A1"/>
    <w:rsid w:val="005D3985"/>
    <w:rsid w:val="005D3DED"/>
    <w:rsid w:val="005D5C50"/>
    <w:rsid w:val="005D5F8C"/>
    <w:rsid w:val="005D6C4C"/>
    <w:rsid w:val="005E0F98"/>
    <w:rsid w:val="005E22E2"/>
    <w:rsid w:val="005E2EF7"/>
    <w:rsid w:val="005E3551"/>
    <w:rsid w:val="005E3C9F"/>
    <w:rsid w:val="005E3D93"/>
    <w:rsid w:val="005E4ABD"/>
    <w:rsid w:val="005E50C0"/>
    <w:rsid w:val="005E5148"/>
    <w:rsid w:val="005E5964"/>
    <w:rsid w:val="005E5D44"/>
    <w:rsid w:val="005E686D"/>
    <w:rsid w:val="005E70BF"/>
    <w:rsid w:val="005E789F"/>
    <w:rsid w:val="005F1B74"/>
    <w:rsid w:val="005F7543"/>
    <w:rsid w:val="005F78AF"/>
    <w:rsid w:val="0060114B"/>
    <w:rsid w:val="006015CA"/>
    <w:rsid w:val="0060542A"/>
    <w:rsid w:val="00611DE2"/>
    <w:rsid w:val="00612283"/>
    <w:rsid w:val="00612531"/>
    <w:rsid w:val="0061321C"/>
    <w:rsid w:val="0061498F"/>
    <w:rsid w:val="006167FC"/>
    <w:rsid w:val="00616AE8"/>
    <w:rsid w:val="00617450"/>
    <w:rsid w:val="0061780E"/>
    <w:rsid w:val="0061781E"/>
    <w:rsid w:val="006179AD"/>
    <w:rsid w:val="00620116"/>
    <w:rsid w:val="006204BB"/>
    <w:rsid w:val="006227B3"/>
    <w:rsid w:val="00625A6B"/>
    <w:rsid w:val="00626012"/>
    <w:rsid w:val="006310F0"/>
    <w:rsid w:val="00631D09"/>
    <w:rsid w:val="00631EE3"/>
    <w:rsid w:val="006336F5"/>
    <w:rsid w:val="00633A8B"/>
    <w:rsid w:val="00633D04"/>
    <w:rsid w:val="00633F4E"/>
    <w:rsid w:val="0063504F"/>
    <w:rsid w:val="006352CC"/>
    <w:rsid w:val="0064077B"/>
    <w:rsid w:val="00642220"/>
    <w:rsid w:val="00642BF1"/>
    <w:rsid w:val="00644532"/>
    <w:rsid w:val="00644C5E"/>
    <w:rsid w:val="006451DC"/>
    <w:rsid w:val="006455A6"/>
    <w:rsid w:val="00645E03"/>
    <w:rsid w:val="006475D9"/>
    <w:rsid w:val="00651FF6"/>
    <w:rsid w:val="00652ED1"/>
    <w:rsid w:val="006552B7"/>
    <w:rsid w:val="006565B6"/>
    <w:rsid w:val="0065712E"/>
    <w:rsid w:val="0066095D"/>
    <w:rsid w:val="00661093"/>
    <w:rsid w:val="006617C1"/>
    <w:rsid w:val="0066213F"/>
    <w:rsid w:val="006626FF"/>
    <w:rsid w:val="00664AF9"/>
    <w:rsid w:val="00664BD3"/>
    <w:rsid w:val="006650A8"/>
    <w:rsid w:val="00665A89"/>
    <w:rsid w:val="00666419"/>
    <w:rsid w:val="0066755B"/>
    <w:rsid w:val="006707C7"/>
    <w:rsid w:val="006720F2"/>
    <w:rsid w:val="00676D3A"/>
    <w:rsid w:val="00676EB7"/>
    <w:rsid w:val="0067772C"/>
    <w:rsid w:val="006810E6"/>
    <w:rsid w:val="00681335"/>
    <w:rsid w:val="00681668"/>
    <w:rsid w:val="0068224F"/>
    <w:rsid w:val="006824AF"/>
    <w:rsid w:val="006852F2"/>
    <w:rsid w:val="00685435"/>
    <w:rsid w:val="00690F56"/>
    <w:rsid w:val="0069111A"/>
    <w:rsid w:val="006930BA"/>
    <w:rsid w:val="00695D60"/>
    <w:rsid w:val="00696B20"/>
    <w:rsid w:val="006A0332"/>
    <w:rsid w:val="006A0D67"/>
    <w:rsid w:val="006A185E"/>
    <w:rsid w:val="006A21DC"/>
    <w:rsid w:val="006A2910"/>
    <w:rsid w:val="006A2A1F"/>
    <w:rsid w:val="006A2F6F"/>
    <w:rsid w:val="006A4220"/>
    <w:rsid w:val="006A4637"/>
    <w:rsid w:val="006A6162"/>
    <w:rsid w:val="006A62E6"/>
    <w:rsid w:val="006B0A9D"/>
    <w:rsid w:val="006B12FB"/>
    <w:rsid w:val="006B1EAB"/>
    <w:rsid w:val="006B36F9"/>
    <w:rsid w:val="006B3B0F"/>
    <w:rsid w:val="006B3EA0"/>
    <w:rsid w:val="006B5637"/>
    <w:rsid w:val="006C1B9F"/>
    <w:rsid w:val="006C39F8"/>
    <w:rsid w:val="006C3EE0"/>
    <w:rsid w:val="006C409C"/>
    <w:rsid w:val="006C5FAE"/>
    <w:rsid w:val="006D0149"/>
    <w:rsid w:val="006D06B3"/>
    <w:rsid w:val="006D20A6"/>
    <w:rsid w:val="006D4183"/>
    <w:rsid w:val="006E0232"/>
    <w:rsid w:val="006E04BD"/>
    <w:rsid w:val="006E1A08"/>
    <w:rsid w:val="006E2425"/>
    <w:rsid w:val="006E2FB8"/>
    <w:rsid w:val="006E424D"/>
    <w:rsid w:val="006E545D"/>
    <w:rsid w:val="006E58A6"/>
    <w:rsid w:val="006F0C68"/>
    <w:rsid w:val="006F27DB"/>
    <w:rsid w:val="006F31D5"/>
    <w:rsid w:val="006F4157"/>
    <w:rsid w:val="006F41AE"/>
    <w:rsid w:val="006F4410"/>
    <w:rsid w:val="006F45C1"/>
    <w:rsid w:val="006F5E3C"/>
    <w:rsid w:val="006F66F9"/>
    <w:rsid w:val="006F6AEB"/>
    <w:rsid w:val="006F6E13"/>
    <w:rsid w:val="006F778B"/>
    <w:rsid w:val="007010C5"/>
    <w:rsid w:val="007011F1"/>
    <w:rsid w:val="00701633"/>
    <w:rsid w:val="00702360"/>
    <w:rsid w:val="00702DE4"/>
    <w:rsid w:val="00702EFE"/>
    <w:rsid w:val="007052DB"/>
    <w:rsid w:val="00707C47"/>
    <w:rsid w:val="00707D4E"/>
    <w:rsid w:val="00707FAF"/>
    <w:rsid w:val="0071044C"/>
    <w:rsid w:val="007112C6"/>
    <w:rsid w:val="007127A1"/>
    <w:rsid w:val="00713ACE"/>
    <w:rsid w:val="0071536B"/>
    <w:rsid w:val="00715F82"/>
    <w:rsid w:val="007169CB"/>
    <w:rsid w:val="0071749C"/>
    <w:rsid w:val="007202C9"/>
    <w:rsid w:val="007202E2"/>
    <w:rsid w:val="00721025"/>
    <w:rsid w:val="00721ED1"/>
    <w:rsid w:val="00722AFB"/>
    <w:rsid w:val="007233D6"/>
    <w:rsid w:val="00724BEF"/>
    <w:rsid w:val="007263BA"/>
    <w:rsid w:val="00727D11"/>
    <w:rsid w:val="00727F72"/>
    <w:rsid w:val="007317F5"/>
    <w:rsid w:val="00732537"/>
    <w:rsid w:val="00733DDC"/>
    <w:rsid w:val="00737AFD"/>
    <w:rsid w:val="00737B65"/>
    <w:rsid w:val="007401CE"/>
    <w:rsid w:val="007412B6"/>
    <w:rsid w:val="00741D4B"/>
    <w:rsid w:val="0074238A"/>
    <w:rsid w:val="00743BE0"/>
    <w:rsid w:val="007455E9"/>
    <w:rsid w:val="007460D9"/>
    <w:rsid w:val="0074685A"/>
    <w:rsid w:val="0074738E"/>
    <w:rsid w:val="00750945"/>
    <w:rsid w:val="007518DE"/>
    <w:rsid w:val="00751C3C"/>
    <w:rsid w:val="007537E1"/>
    <w:rsid w:val="0075483C"/>
    <w:rsid w:val="00756211"/>
    <w:rsid w:val="00756ACD"/>
    <w:rsid w:val="0076203C"/>
    <w:rsid w:val="007624F8"/>
    <w:rsid w:val="007625DA"/>
    <w:rsid w:val="00762952"/>
    <w:rsid w:val="007636EC"/>
    <w:rsid w:val="00763BD6"/>
    <w:rsid w:val="00766F95"/>
    <w:rsid w:val="00767D37"/>
    <w:rsid w:val="0077024C"/>
    <w:rsid w:val="00770294"/>
    <w:rsid w:val="007714FA"/>
    <w:rsid w:val="00772F9E"/>
    <w:rsid w:val="0077383E"/>
    <w:rsid w:val="00774503"/>
    <w:rsid w:val="00774D97"/>
    <w:rsid w:val="00776FDF"/>
    <w:rsid w:val="00777CD2"/>
    <w:rsid w:val="00780062"/>
    <w:rsid w:val="0078038F"/>
    <w:rsid w:val="00782524"/>
    <w:rsid w:val="007826CD"/>
    <w:rsid w:val="0078285E"/>
    <w:rsid w:val="0078345D"/>
    <w:rsid w:val="00783A5D"/>
    <w:rsid w:val="00785FE9"/>
    <w:rsid w:val="00786E04"/>
    <w:rsid w:val="0078767C"/>
    <w:rsid w:val="00787DEA"/>
    <w:rsid w:val="00790A8E"/>
    <w:rsid w:val="00792EC0"/>
    <w:rsid w:val="007948E5"/>
    <w:rsid w:val="00794D7F"/>
    <w:rsid w:val="007951C3"/>
    <w:rsid w:val="007966C1"/>
    <w:rsid w:val="00797787"/>
    <w:rsid w:val="007A167B"/>
    <w:rsid w:val="007A1EA4"/>
    <w:rsid w:val="007A3022"/>
    <w:rsid w:val="007A60AC"/>
    <w:rsid w:val="007A7F79"/>
    <w:rsid w:val="007B0783"/>
    <w:rsid w:val="007B2353"/>
    <w:rsid w:val="007B2F1D"/>
    <w:rsid w:val="007B30B9"/>
    <w:rsid w:val="007B33AC"/>
    <w:rsid w:val="007B3F8B"/>
    <w:rsid w:val="007B5F12"/>
    <w:rsid w:val="007C00B7"/>
    <w:rsid w:val="007C0287"/>
    <w:rsid w:val="007C08AC"/>
    <w:rsid w:val="007C18DE"/>
    <w:rsid w:val="007C2167"/>
    <w:rsid w:val="007C21D7"/>
    <w:rsid w:val="007C504C"/>
    <w:rsid w:val="007C6670"/>
    <w:rsid w:val="007D0528"/>
    <w:rsid w:val="007D0E1A"/>
    <w:rsid w:val="007D193A"/>
    <w:rsid w:val="007D2448"/>
    <w:rsid w:val="007D3B51"/>
    <w:rsid w:val="007D46C2"/>
    <w:rsid w:val="007D4AC8"/>
    <w:rsid w:val="007D4E49"/>
    <w:rsid w:val="007D61D3"/>
    <w:rsid w:val="007E0B67"/>
    <w:rsid w:val="007E3183"/>
    <w:rsid w:val="007E4A99"/>
    <w:rsid w:val="007E513A"/>
    <w:rsid w:val="007E5BDC"/>
    <w:rsid w:val="007F1A20"/>
    <w:rsid w:val="007F27D6"/>
    <w:rsid w:val="007F35CF"/>
    <w:rsid w:val="007F3BA0"/>
    <w:rsid w:val="0080060F"/>
    <w:rsid w:val="00800C31"/>
    <w:rsid w:val="00802880"/>
    <w:rsid w:val="00803E7D"/>
    <w:rsid w:val="008040C0"/>
    <w:rsid w:val="0080429D"/>
    <w:rsid w:val="008043E5"/>
    <w:rsid w:val="00804586"/>
    <w:rsid w:val="00804A1A"/>
    <w:rsid w:val="008076B5"/>
    <w:rsid w:val="0081073D"/>
    <w:rsid w:val="00811E3D"/>
    <w:rsid w:val="008148DF"/>
    <w:rsid w:val="0081571B"/>
    <w:rsid w:val="00815D0A"/>
    <w:rsid w:val="00816EFA"/>
    <w:rsid w:val="00821679"/>
    <w:rsid w:val="00822AA9"/>
    <w:rsid w:val="00822CB6"/>
    <w:rsid w:val="00823663"/>
    <w:rsid w:val="00823E44"/>
    <w:rsid w:val="00824351"/>
    <w:rsid w:val="008258CC"/>
    <w:rsid w:val="00825A37"/>
    <w:rsid w:val="00826BC7"/>
    <w:rsid w:val="0082714B"/>
    <w:rsid w:val="00827A98"/>
    <w:rsid w:val="0083062C"/>
    <w:rsid w:val="008306FF"/>
    <w:rsid w:val="0083078B"/>
    <w:rsid w:val="00830957"/>
    <w:rsid w:val="008323ED"/>
    <w:rsid w:val="00832FFC"/>
    <w:rsid w:val="008347D1"/>
    <w:rsid w:val="00835955"/>
    <w:rsid w:val="00841E8D"/>
    <w:rsid w:val="00842407"/>
    <w:rsid w:val="00842AC5"/>
    <w:rsid w:val="00843763"/>
    <w:rsid w:val="00846701"/>
    <w:rsid w:val="00847FAB"/>
    <w:rsid w:val="00851156"/>
    <w:rsid w:val="00851FAC"/>
    <w:rsid w:val="00852276"/>
    <w:rsid w:val="008522B3"/>
    <w:rsid w:val="008524E5"/>
    <w:rsid w:val="008526F4"/>
    <w:rsid w:val="00853B72"/>
    <w:rsid w:val="008544C2"/>
    <w:rsid w:val="008553E2"/>
    <w:rsid w:val="00857395"/>
    <w:rsid w:val="0085776D"/>
    <w:rsid w:val="00862420"/>
    <w:rsid w:val="008624D5"/>
    <w:rsid w:val="00864255"/>
    <w:rsid w:val="00865679"/>
    <w:rsid w:val="00865AF7"/>
    <w:rsid w:val="00870DE6"/>
    <w:rsid w:val="008713C0"/>
    <w:rsid w:val="00871CA6"/>
    <w:rsid w:val="00875010"/>
    <w:rsid w:val="00875600"/>
    <w:rsid w:val="00881436"/>
    <w:rsid w:val="00882AB5"/>
    <w:rsid w:val="00882B1D"/>
    <w:rsid w:val="008866BD"/>
    <w:rsid w:val="0088672C"/>
    <w:rsid w:val="00886C1D"/>
    <w:rsid w:val="008878C9"/>
    <w:rsid w:val="008934AE"/>
    <w:rsid w:val="00893ABF"/>
    <w:rsid w:val="00893F7F"/>
    <w:rsid w:val="00894510"/>
    <w:rsid w:val="00895E3D"/>
    <w:rsid w:val="008A1F0C"/>
    <w:rsid w:val="008A206D"/>
    <w:rsid w:val="008A3788"/>
    <w:rsid w:val="008A40D1"/>
    <w:rsid w:val="008A4129"/>
    <w:rsid w:val="008A4A0B"/>
    <w:rsid w:val="008A4A4E"/>
    <w:rsid w:val="008A6AA4"/>
    <w:rsid w:val="008A73AB"/>
    <w:rsid w:val="008A77BD"/>
    <w:rsid w:val="008A7A0F"/>
    <w:rsid w:val="008B1A26"/>
    <w:rsid w:val="008B541B"/>
    <w:rsid w:val="008B65D5"/>
    <w:rsid w:val="008B6B9A"/>
    <w:rsid w:val="008C1C59"/>
    <w:rsid w:val="008C29A4"/>
    <w:rsid w:val="008C4267"/>
    <w:rsid w:val="008C4FB8"/>
    <w:rsid w:val="008C6D82"/>
    <w:rsid w:val="008D07ED"/>
    <w:rsid w:val="008D12B7"/>
    <w:rsid w:val="008D2A4C"/>
    <w:rsid w:val="008D4535"/>
    <w:rsid w:val="008D4F17"/>
    <w:rsid w:val="008D5324"/>
    <w:rsid w:val="008D5627"/>
    <w:rsid w:val="008D68C9"/>
    <w:rsid w:val="008D7382"/>
    <w:rsid w:val="008D7AEF"/>
    <w:rsid w:val="008E0897"/>
    <w:rsid w:val="008E2529"/>
    <w:rsid w:val="008E3852"/>
    <w:rsid w:val="008E6832"/>
    <w:rsid w:val="008F0BAC"/>
    <w:rsid w:val="008F0CB7"/>
    <w:rsid w:val="008F0D96"/>
    <w:rsid w:val="008F12E9"/>
    <w:rsid w:val="008F136A"/>
    <w:rsid w:val="008F1E09"/>
    <w:rsid w:val="008F2765"/>
    <w:rsid w:val="008F3704"/>
    <w:rsid w:val="008F4B27"/>
    <w:rsid w:val="008F5D74"/>
    <w:rsid w:val="008F61DC"/>
    <w:rsid w:val="008F6F83"/>
    <w:rsid w:val="00901003"/>
    <w:rsid w:val="0090158E"/>
    <w:rsid w:val="00901EF6"/>
    <w:rsid w:val="00902ADC"/>
    <w:rsid w:val="00902D5F"/>
    <w:rsid w:val="0090413E"/>
    <w:rsid w:val="0090444D"/>
    <w:rsid w:val="00904C00"/>
    <w:rsid w:val="00905483"/>
    <w:rsid w:val="009063B3"/>
    <w:rsid w:val="00907933"/>
    <w:rsid w:val="00907948"/>
    <w:rsid w:val="00912641"/>
    <w:rsid w:val="00914EC9"/>
    <w:rsid w:val="00914FBF"/>
    <w:rsid w:val="00915410"/>
    <w:rsid w:val="0091681B"/>
    <w:rsid w:val="00920C59"/>
    <w:rsid w:val="0092356D"/>
    <w:rsid w:val="00925520"/>
    <w:rsid w:val="00925B54"/>
    <w:rsid w:val="00925CFA"/>
    <w:rsid w:val="00926575"/>
    <w:rsid w:val="009271B1"/>
    <w:rsid w:val="00930FBA"/>
    <w:rsid w:val="00931B19"/>
    <w:rsid w:val="00933225"/>
    <w:rsid w:val="009357AE"/>
    <w:rsid w:val="00935C2E"/>
    <w:rsid w:val="00936524"/>
    <w:rsid w:val="00936F54"/>
    <w:rsid w:val="00940120"/>
    <w:rsid w:val="00942468"/>
    <w:rsid w:val="009426BF"/>
    <w:rsid w:val="00943C23"/>
    <w:rsid w:val="009441E2"/>
    <w:rsid w:val="009444CE"/>
    <w:rsid w:val="009500B7"/>
    <w:rsid w:val="00950C3B"/>
    <w:rsid w:val="00951ABE"/>
    <w:rsid w:val="00951DE7"/>
    <w:rsid w:val="00952652"/>
    <w:rsid w:val="00952D8B"/>
    <w:rsid w:val="00954A9F"/>
    <w:rsid w:val="00955A1B"/>
    <w:rsid w:val="00956393"/>
    <w:rsid w:val="00956CDF"/>
    <w:rsid w:val="00960452"/>
    <w:rsid w:val="0096361A"/>
    <w:rsid w:val="00963631"/>
    <w:rsid w:val="00963680"/>
    <w:rsid w:val="00964D3F"/>
    <w:rsid w:val="009652E0"/>
    <w:rsid w:val="009656D9"/>
    <w:rsid w:val="0096586A"/>
    <w:rsid w:val="009660A5"/>
    <w:rsid w:val="009700D9"/>
    <w:rsid w:val="009725A1"/>
    <w:rsid w:val="00973309"/>
    <w:rsid w:val="009734D8"/>
    <w:rsid w:val="00973F02"/>
    <w:rsid w:val="00974513"/>
    <w:rsid w:val="00975360"/>
    <w:rsid w:val="00975665"/>
    <w:rsid w:val="009774A3"/>
    <w:rsid w:val="00977E68"/>
    <w:rsid w:val="009818F0"/>
    <w:rsid w:val="00981B59"/>
    <w:rsid w:val="009833B4"/>
    <w:rsid w:val="009841E8"/>
    <w:rsid w:val="00985A40"/>
    <w:rsid w:val="00985C15"/>
    <w:rsid w:val="00985C43"/>
    <w:rsid w:val="009866A1"/>
    <w:rsid w:val="00987E26"/>
    <w:rsid w:val="009917EF"/>
    <w:rsid w:val="00991CA7"/>
    <w:rsid w:val="00992BA4"/>
    <w:rsid w:val="00993826"/>
    <w:rsid w:val="00993886"/>
    <w:rsid w:val="009A35F9"/>
    <w:rsid w:val="009A384C"/>
    <w:rsid w:val="009A5B0E"/>
    <w:rsid w:val="009A66AB"/>
    <w:rsid w:val="009A6CD1"/>
    <w:rsid w:val="009A6DCA"/>
    <w:rsid w:val="009B00FD"/>
    <w:rsid w:val="009B1BEA"/>
    <w:rsid w:val="009B38D1"/>
    <w:rsid w:val="009B3C3A"/>
    <w:rsid w:val="009B4116"/>
    <w:rsid w:val="009B66AE"/>
    <w:rsid w:val="009B7E3C"/>
    <w:rsid w:val="009C2A10"/>
    <w:rsid w:val="009C43DB"/>
    <w:rsid w:val="009C4CBD"/>
    <w:rsid w:val="009C515B"/>
    <w:rsid w:val="009C73B9"/>
    <w:rsid w:val="009C7AF9"/>
    <w:rsid w:val="009D082F"/>
    <w:rsid w:val="009D1EA2"/>
    <w:rsid w:val="009D255D"/>
    <w:rsid w:val="009D2F5D"/>
    <w:rsid w:val="009D51A1"/>
    <w:rsid w:val="009D6118"/>
    <w:rsid w:val="009D7C95"/>
    <w:rsid w:val="009E0141"/>
    <w:rsid w:val="009E234B"/>
    <w:rsid w:val="009E3AD1"/>
    <w:rsid w:val="009E588E"/>
    <w:rsid w:val="009E61CD"/>
    <w:rsid w:val="009F0704"/>
    <w:rsid w:val="009F0F55"/>
    <w:rsid w:val="009F1800"/>
    <w:rsid w:val="009F2870"/>
    <w:rsid w:val="009F3692"/>
    <w:rsid w:val="009F5177"/>
    <w:rsid w:val="009F52F3"/>
    <w:rsid w:val="009F5A89"/>
    <w:rsid w:val="009F5AB5"/>
    <w:rsid w:val="009F62D4"/>
    <w:rsid w:val="00A0071F"/>
    <w:rsid w:val="00A0615F"/>
    <w:rsid w:val="00A07F1A"/>
    <w:rsid w:val="00A10441"/>
    <w:rsid w:val="00A11086"/>
    <w:rsid w:val="00A1161A"/>
    <w:rsid w:val="00A11C76"/>
    <w:rsid w:val="00A12BCC"/>
    <w:rsid w:val="00A15094"/>
    <w:rsid w:val="00A1555E"/>
    <w:rsid w:val="00A15A6F"/>
    <w:rsid w:val="00A16D75"/>
    <w:rsid w:val="00A20BB1"/>
    <w:rsid w:val="00A21895"/>
    <w:rsid w:val="00A21F98"/>
    <w:rsid w:val="00A23E94"/>
    <w:rsid w:val="00A243D4"/>
    <w:rsid w:val="00A26444"/>
    <w:rsid w:val="00A27591"/>
    <w:rsid w:val="00A27EFB"/>
    <w:rsid w:val="00A309F7"/>
    <w:rsid w:val="00A417DC"/>
    <w:rsid w:val="00A41C21"/>
    <w:rsid w:val="00A4208A"/>
    <w:rsid w:val="00A4461B"/>
    <w:rsid w:val="00A45286"/>
    <w:rsid w:val="00A47940"/>
    <w:rsid w:val="00A47A19"/>
    <w:rsid w:val="00A47DA7"/>
    <w:rsid w:val="00A50755"/>
    <w:rsid w:val="00A5079E"/>
    <w:rsid w:val="00A52CCA"/>
    <w:rsid w:val="00A52DE7"/>
    <w:rsid w:val="00A54922"/>
    <w:rsid w:val="00A55023"/>
    <w:rsid w:val="00A55AFA"/>
    <w:rsid w:val="00A56B86"/>
    <w:rsid w:val="00A60AB1"/>
    <w:rsid w:val="00A62D3B"/>
    <w:rsid w:val="00A632EF"/>
    <w:rsid w:val="00A64A27"/>
    <w:rsid w:val="00A65766"/>
    <w:rsid w:val="00A677E9"/>
    <w:rsid w:val="00A67823"/>
    <w:rsid w:val="00A70048"/>
    <w:rsid w:val="00A731DD"/>
    <w:rsid w:val="00A737F9"/>
    <w:rsid w:val="00A73EFE"/>
    <w:rsid w:val="00A73F97"/>
    <w:rsid w:val="00A740AB"/>
    <w:rsid w:val="00A7461C"/>
    <w:rsid w:val="00A753AF"/>
    <w:rsid w:val="00A7748A"/>
    <w:rsid w:val="00A817B7"/>
    <w:rsid w:val="00A821F0"/>
    <w:rsid w:val="00A832A4"/>
    <w:rsid w:val="00A834BF"/>
    <w:rsid w:val="00A84001"/>
    <w:rsid w:val="00A8676F"/>
    <w:rsid w:val="00A874E6"/>
    <w:rsid w:val="00A90440"/>
    <w:rsid w:val="00A90769"/>
    <w:rsid w:val="00A938DA"/>
    <w:rsid w:val="00A946F5"/>
    <w:rsid w:val="00A94C11"/>
    <w:rsid w:val="00A95C2B"/>
    <w:rsid w:val="00A96210"/>
    <w:rsid w:val="00A96CAB"/>
    <w:rsid w:val="00A973AA"/>
    <w:rsid w:val="00AA0B88"/>
    <w:rsid w:val="00AA177A"/>
    <w:rsid w:val="00AA35F5"/>
    <w:rsid w:val="00AA48BC"/>
    <w:rsid w:val="00AA56B5"/>
    <w:rsid w:val="00AA57B3"/>
    <w:rsid w:val="00AA5A3B"/>
    <w:rsid w:val="00AA747E"/>
    <w:rsid w:val="00AB34C5"/>
    <w:rsid w:val="00AB4C8E"/>
    <w:rsid w:val="00AB4DC3"/>
    <w:rsid w:val="00AB69A6"/>
    <w:rsid w:val="00AB7141"/>
    <w:rsid w:val="00AB7846"/>
    <w:rsid w:val="00AC015B"/>
    <w:rsid w:val="00AC0931"/>
    <w:rsid w:val="00AC1743"/>
    <w:rsid w:val="00AC23EE"/>
    <w:rsid w:val="00AC2513"/>
    <w:rsid w:val="00AC29F0"/>
    <w:rsid w:val="00AC2DA0"/>
    <w:rsid w:val="00AC4877"/>
    <w:rsid w:val="00AC6286"/>
    <w:rsid w:val="00AC70A5"/>
    <w:rsid w:val="00AC73CF"/>
    <w:rsid w:val="00AC775D"/>
    <w:rsid w:val="00AD022F"/>
    <w:rsid w:val="00AD0855"/>
    <w:rsid w:val="00AD113F"/>
    <w:rsid w:val="00AD1AC5"/>
    <w:rsid w:val="00AD1E06"/>
    <w:rsid w:val="00AD21E1"/>
    <w:rsid w:val="00AD5566"/>
    <w:rsid w:val="00AD6BA6"/>
    <w:rsid w:val="00AD75AC"/>
    <w:rsid w:val="00AD79CC"/>
    <w:rsid w:val="00AE0781"/>
    <w:rsid w:val="00AE0BF6"/>
    <w:rsid w:val="00AE0D37"/>
    <w:rsid w:val="00AE1501"/>
    <w:rsid w:val="00AE1A11"/>
    <w:rsid w:val="00AE2FF3"/>
    <w:rsid w:val="00AE37ED"/>
    <w:rsid w:val="00AE4A91"/>
    <w:rsid w:val="00AE514A"/>
    <w:rsid w:val="00AE613F"/>
    <w:rsid w:val="00AE6393"/>
    <w:rsid w:val="00AE6879"/>
    <w:rsid w:val="00AF2C11"/>
    <w:rsid w:val="00AF348A"/>
    <w:rsid w:val="00AF3788"/>
    <w:rsid w:val="00AF5262"/>
    <w:rsid w:val="00AF5B5C"/>
    <w:rsid w:val="00AF7735"/>
    <w:rsid w:val="00AF7928"/>
    <w:rsid w:val="00B00B0C"/>
    <w:rsid w:val="00B02A01"/>
    <w:rsid w:val="00B02E00"/>
    <w:rsid w:val="00B03175"/>
    <w:rsid w:val="00B0366B"/>
    <w:rsid w:val="00B059E9"/>
    <w:rsid w:val="00B07F33"/>
    <w:rsid w:val="00B10324"/>
    <w:rsid w:val="00B11C5E"/>
    <w:rsid w:val="00B12D3E"/>
    <w:rsid w:val="00B12D44"/>
    <w:rsid w:val="00B15901"/>
    <w:rsid w:val="00B16851"/>
    <w:rsid w:val="00B1698C"/>
    <w:rsid w:val="00B200CB"/>
    <w:rsid w:val="00B203EC"/>
    <w:rsid w:val="00B22E6F"/>
    <w:rsid w:val="00B23B60"/>
    <w:rsid w:val="00B24E16"/>
    <w:rsid w:val="00B2636A"/>
    <w:rsid w:val="00B30620"/>
    <w:rsid w:val="00B3218F"/>
    <w:rsid w:val="00B327A3"/>
    <w:rsid w:val="00B33613"/>
    <w:rsid w:val="00B356AC"/>
    <w:rsid w:val="00B35DAD"/>
    <w:rsid w:val="00B3613C"/>
    <w:rsid w:val="00B37EC5"/>
    <w:rsid w:val="00B409E4"/>
    <w:rsid w:val="00B40DD8"/>
    <w:rsid w:val="00B40F62"/>
    <w:rsid w:val="00B415D6"/>
    <w:rsid w:val="00B41B0A"/>
    <w:rsid w:val="00B42C54"/>
    <w:rsid w:val="00B432E8"/>
    <w:rsid w:val="00B43B50"/>
    <w:rsid w:val="00B43D49"/>
    <w:rsid w:val="00B445C1"/>
    <w:rsid w:val="00B46043"/>
    <w:rsid w:val="00B4674B"/>
    <w:rsid w:val="00B4687C"/>
    <w:rsid w:val="00B46C65"/>
    <w:rsid w:val="00B47443"/>
    <w:rsid w:val="00B47B21"/>
    <w:rsid w:val="00B47C7B"/>
    <w:rsid w:val="00B535F6"/>
    <w:rsid w:val="00B5377A"/>
    <w:rsid w:val="00B55EF6"/>
    <w:rsid w:val="00B56BA6"/>
    <w:rsid w:val="00B57EEB"/>
    <w:rsid w:val="00B6025D"/>
    <w:rsid w:val="00B6181C"/>
    <w:rsid w:val="00B61F97"/>
    <w:rsid w:val="00B62A00"/>
    <w:rsid w:val="00B636D8"/>
    <w:rsid w:val="00B636E9"/>
    <w:rsid w:val="00B65A78"/>
    <w:rsid w:val="00B66231"/>
    <w:rsid w:val="00B6648D"/>
    <w:rsid w:val="00B66F73"/>
    <w:rsid w:val="00B673DC"/>
    <w:rsid w:val="00B7134F"/>
    <w:rsid w:val="00B735E2"/>
    <w:rsid w:val="00B739D4"/>
    <w:rsid w:val="00B762D7"/>
    <w:rsid w:val="00B769AC"/>
    <w:rsid w:val="00B80735"/>
    <w:rsid w:val="00B80B9E"/>
    <w:rsid w:val="00B82CC0"/>
    <w:rsid w:val="00B838F4"/>
    <w:rsid w:val="00B84355"/>
    <w:rsid w:val="00B857BE"/>
    <w:rsid w:val="00B9027B"/>
    <w:rsid w:val="00B90C1C"/>
    <w:rsid w:val="00B918B5"/>
    <w:rsid w:val="00B9415F"/>
    <w:rsid w:val="00B94B02"/>
    <w:rsid w:val="00B95201"/>
    <w:rsid w:val="00B96BF9"/>
    <w:rsid w:val="00BA00ED"/>
    <w:rsid w:val="00BA0F3E"/>
    <w:rsid w:val="00BA3708"/>
    <w:rsid w:val="00BA4C79"/>
    <w:rsid w:val="00BA50E2"/>
    <w:rsid w:val="00BA5F52"/>
    <w:rsid w:val="00BA6C9C"/>
    <w:rsid w:val="00BB0055"/>
    <w:rsid w:val="00BB00B0"/>
    <w:rsid w:val="00BB23E9"/>
    <w:rsid w:val="00BB3BAE"/>
    <w:rsid w:val="00BB3BEF"/>
    <w:rsid w:val="00BB4553"/>
    <w:rsid w:val="00BB62AC"/>
    <w:rsid w:val="00BB6D89"/>
    <w:rsid w:val="00BB7806"/>
    <w:rsid w:val="00BC0BC9"/>
    <w:rsid w:val="00BC0EF2"/>
    <w:rsid w:val="00BC2430"/>
    <w:rsid w:val="00BC3D08"/>
    <w:rsid w:val="00BC4AAB"/>
    <w:rsid w:val="00BC4F9F"/>
    <w:rsid w:val="00BC6692"/>
    <w:rsid w:val="00BC6899"/>
    <w:rsid w:val="00BC6A90"/>
    <w:rsid w:val="00BC6FEC"/>
    <w:rsid w:val="00BC7C9C"/>
    <w:rsid w:val="00BC7E04"/>
    <w:rsid w:val="00BD0157"/>
    <w:rsid w:val="00BD1EE7"/>
    <w:rsid w:val="00BD34F2"/>
    <w:rsid w:val="00BD5408"/>
    <w:rsid w:val="00BD6037"/>
    <w:rsid w:val="00BD7A4E"/>
    <w:rsid w:val="00BE0193"/>
    <w:rsid w:val="00BE068D"/>
    <w:rsid w:val="00BE763E"/>
    <w:rsid w:val="00BE7D82"/>
    <w:rsid w:val="00BF0DE7"/>
    <w:rsid w:val="00BF12F9"/>
    <w:rsid w:val="00BF1895"/>
    <w:rsid w:val="00BF1A79"/>
    <w:rsid w:val="00BF3A70"/>
    <w:rsid w:val="00BF3FAD"/>
    <w:rsid w:val="00BF4BDC"/>
    <w:rsid w:val="00C00168"/>
    <w:rsid w:val="00C01822"/>
    <w:rsid w:val="00C02E4A"/>
    <w:rsid w:val="00C04F9D"/>
    <w:rsid w:val="00C05B88"/>
    <w:rsid w:val="00C05D1D"/>
    <w:rsid w:val="00C07C13"/>
    <w:rsid w:val="00C07F7F"/>
    <w:rsid w:val="00C11345"/>
    <w:rsid w:val="00C118C3"/>
    <w:rsid w:val="00C12530"/>
    <w:rsid w:val="00C127CD"/>
    <w:rsid w:val="00C138F4"/>
    <w:rsid w:val="00C13C48"/>
    <w:rsid w:val="00C14429"/>
    <w:rsid w:val="00C2018E"/>
    <w:rsid w:val="00C22659"/>
    <w:rsid w:val="00C247D8"/>
    <w:rsid w:val="00C2489B"/>
    <w:rsid w:val="00C31C9B"/>
    <w:rsid w:val="00C31FD7"/>
    <w:rsid w:val="00C333F9"/>
    <w:rsid w:val="00C3344D"/>
    <w:rsid w:val="00C34009"/>
    <w:rsid w:val="00C35EBA"/>
    <w:rsid w:val="00C37083"/>
    <w:rsid w:val="00C42892"/>
    <w:rsid w:val="00C444E9"/>
    <w:rsid w:val="00C44D26"/>
    <w:rsid w:val="00C457A7"/>
    <w:rsid w:val="00C46FB9"/>
    <w:rsid w:val="00C4763A"/>
    <w:rsid w:val="00C55CFA"/>
    <w:rsid w:val="00C55F1C"/>
    <w:rsid w:val="00C5715E"/>
    <w:rsid w:val="00C575B5"/>
    <w:rsid w:val="00C60BD9"/>
    <w:rsid w:val="00C62602"/>
    <w:rsid w:val="00C633FB"/>
    <w:rsid w:val="00C63412"/>
    <w:rsid w:val="00C63D1E"/>
    <w:rsid w:val="00C64D90"/>
    <w:rsid w:val="00C658A7"/>
    <w:rsid w:val="00C65E29"/>
    <w:rsid w:val="00C667F3"/>
    <w:rsid w:val="00C671DC"/>
    <w:rsid w:val="00C70306"/>
    <w:rsid w:val="00C70970"/>
    <w:rsid w:val="00C712D2"/>
    <w:rsid w:val="00C72107"/>
    <w:rsid w:val="00C7292E"/>
    <w:rsid w:val="00C767A9"/>
    <w:rsid w:val="00C76886"/>
    <w:rsid w:val="00C77B5C"/>
    <w:rsid w:val="00C81003"/>
    <w:rsid w:val="00C824C6"/>
    <w:rsid w:val="00C8275F"/>
    <w:rsid w:val="00C82DD4"/>
    <w:rsid w:val="00C85A2E"/>
    <w:rsid w:val="00C87068"/>
    <w:rsid w:val="00C87BF7"/>
    <w:rsid w:val="00C87EE1"/>
    <w:rsid w:val="00C9162F"/>
    <w:rsid w:val="00C93432"/>
    <w:rsid w:val="00C93E2B"/>
    <w:rsid w:val="00C9463D"/>
    <w:rsid w:val="00C951B2"/>
    <w:rsid w:val="00C95234"/>
    <w:rsid w:val="00C954A4"/>
    <w:rsid w:val="00C96073"/>
    <w:rsid w:val="00C96A52"/>
    <w:rsid w:val="00C975B8"/>
    <w:rsid w:val="00CA0EA7"/>
    <w:rsid w:val="00CA2F0A"/>
    <w:rsid w:val="00CA5391"/>
    <w:rsid w:val="00CA598D"/>
    <w:rsid w:val="00CA619B"/>
    <w:rsid w:val="00CB304B"/>
    <w:rsid w:val="00CB330B"/>
    <w:rsid w:val="00CB3579"/>
    <w:rsid w:val="00CB4484"/>
    <w:rsid w:val="00CB4B17"/>
    <w:rsid w:val="00CB4DDD"/>
    <w:rsid w:val="00CB6A6C"/>
    <w:rsid w:val="00CC05FC"/>
    <w:rsid w:val="00CC0731"/>
    <w:rsid w:val="00CC07ED"/>
    <w:rsid w:val="00CC291C"/>
    <w:rsid w:val="00CC2B91"/>
    <w:rsid w:val="00CC4598"/>
    <w:rsid w:val="00CC61FE"/>
    <w:rsid w:val="00CC770C"/>
    <w:rsid w:val="00CD05D0"/>
    <w:rsid w:val="00CD1E0F"/>
    <w:rsid w:val="00CD215D"/>
    <w:rsid w:val="00CD57AE"/>
    <w:rsid w:val="00CD6628"/>
    <w:rsid w:val="00CD7CBA"/>
    <w:rsid w:val="00CE0434"/>
    <w:rsid w:val="00CE13D1"/>
    <w:rsid w:val="00CE43C1"/>
    <w:rsid w:val="00CE6535"/>
    <w:rsid w:val="00CE69B3"/>
    <w:rsid w:val="00CE7D4D"/>
    <w:rsid w:val="00CF1E13"/>
    <w:rsid w:val="00CF2C9B"/>
    <w:rsid w:val="00CF3D57"/>
    <w:rsid w:val="00CF49E9"/>
    <w:rsid w:val="00CF7AD2"/>
    <w:rsid w:val="00CF7D62"/>
    <w:rsid w:val="00D01C23"/>
    <w:rsid w:val="00D04866"/>
    <w:rsid w:val="00D04AB8"/>
    <w:rsid w:val="00D0625D"/>
    <w:rsid w:val="00D0648A"/>
    <w:rsid w:val="00D101F7"/>
    <w:rsid w:val="00D111FD"/>
    <w:rsid w:val="00D11608"/>
    <w:rsid w:val="00D13E3E"/>
    <w:rsid w:val="00D141D6"/>
    <w:rsid w:val="00D15CC7"/>
    <w:rsid w:val="00D16B59"/>
    <w:rsid w:val="00D22AC2"/>
    <w:rsid w:val="00D22BBA"/>
    <w:rsid w:val="00D22E76"/>
    <w:rsid w:val="00D2331B"/>
    <w:rsid w:val="00D23CDA"/>
    <w:rsid w:val="00D25A6B"/>
    <w:rsid w:val="00D32590"/>
    <w:rsid w:val="00D33EFA"/>
    <w:rsid w:val="00D35C4A"/>
    <w:rsid w:val="00D36605"/>
    <w:rsid w:val="00D36BB6"/>
    <w:rsid w:val="00D4319D"/>
    <w:rsid w:val="00D46B59"/>
    <w:rsid w:val="00D519DB"/>
    <w:rsid w:val="00D51B23"/>
    <w:rsid w:val="00D53A88"/>
    <w:rsid w:val="00D53DEB"/>
    <w:rsid w:val="00D54C88"/>
    <w:rsid w:val="00D5557A"/>
    <w:rsid w:val="00D5598A"/>
    <w:rsid w:val="00D55E8C"/>
    <w:rsid w:val="00D57DE8"/>
    <w:rsid w:val="00D6075D"/>
    <w:rsid w:val="00D60804"/>
    <w:rsid w:val="00D626EF"/>
    <w:rsid w:val="00D62828"/>
    <w:rsid w:val="00D6456F"/>
    <w:rsid w:val="00D64C45"/>
    <w:rsid w:val="00D669EA"/>
    <w:rsid w:val="00D67843"/>
    <w:rsid w:val="00D67955"/>
    <w:rsid w:val="00D67CDA"/>
    <w:rsid w:val="00D67CFE"/>
    <w:rsid w:val="00D7170E"/>
    <w:rsid w:val="00D72C4E"/>
    <w:rsid w:val="00D72FB1"/>
    <w:rsid w:val="00D73AAD"/>
    <w:rsid w:val="00D7438A"/>
    <w:rsid w:val="00D74BAE"/>
    <w:rsid w:val="00D75842"/>
    <w:rsid w:val="00D7590C"/>
    <w:rsid w:val="00D8113C"/>
    <w:rsid w:val="00D81E4D"/>
    <w:rsid w:val="00D8289B"/>
    <w:rsid w:val="00D82B3D"/>
    <w:rsid w:val="00D8378B"/>
    <w:rsid w:val="00D83821"/>
    <w:rsid w:val="00D84265"/>
    <w:rsid w:val="00D85D4B"/>
    <w:rsid w:val="00D86CA9"/>
    <w:rsid w:val="00D86D33"/>
    <w:rsid w:val="00D86FF7"/>
    <w:rsid w:val="00D87B44"/>
    <w:rsid w:val="00D917FE"/>
    <w:rsid w:val="00D91D7C"/>
    <w:rsid w:val="00D928E9"/>
    <w:rsid w:val="00D9414E"/>
    <w:rsid w:val="00D94938"/>
    <w:rsid w:val="00D956AE"/>
    <w:rsid w:val="00D96BBD"/>
    <w:rsid w:val="00D96FE9"/>
    <w:rsid w:val="00D97A8A"/>
    <w:rsid w:val="00DA5FD2"/>
    <w:rsid w:val="00DA73E3"/>
    <w:rsid w:val="00DB12C7"/>
    <w:rsid w:val="00DB1692"/>
    <w:rsid w:val="00DB2B6A"/>
    <w:rsid w:val="00DB2CA4"/>
    <w:rsid w:val="00DB582B"/>
    <w:rsid w:val="00DB5C3A"/>
    <w:rsid w:val="00DB70CB"/>
    <w:rsid w:val="00DB7B7C"/>
    <w:rsid w:val="00DC193A"/>
    <w:rsid w:val="00DC4F8A"/>
    <w:rsid w:val="00DD23E4"/>
    <w:rsid w:val="00DD2C9A"/>
    <w:rsid w:val="00DD428F"/>
    <w:rsid w:val="00DD6DF0"/>
    <w:rsid w:val="00DD75A7"/>
    <w:rsid w:val="00DE39F1"/>
    <w:rsid w:val="00DE4EC3"/>
    <w:rsid w:val="00DE5999"/>
    <w:rsid w:val="00DE5D9E"/>
    <w:rsid w:val="00DE68C1"/>
    <w:rsid w:val="00DE7122"/>
    <w:rsid w:val="00DE72BD"/>
    <w:rsid w:val="00DF02BE"/>
    <w:rsid w:val="00DF0A90"/>
    <w:rsid w:val="00DF2D07"/>
    <w:rsid w:val="00DF2DB2"/>
    <w:rsid w:val="00DF3B7F"/>
    <w:rsid w:val="00DF4140"/>
    <w:rsid w:val="00DF4946"/>
    <w:rsid w:val="00DF5BDB"/>
    <w:rsid w:val="00DF714C"/>
    <w:rsid w:val="00DF7621"/>
    <w:rsid w:val="00DF7802"/>
    <w:rsid w:val="00E0031C"/>
    <w:rsid w:val="00E01207"/>
    <w:rsid w:val="00E0138A"/>
    <w:rsid w:val="00E01478"/>
    <w:rsid w:val="00E0190D"/>
    <w:rsid w:val="00E02437"/>
    <w:rsid w:val="00E02820"/>
    <w:rsid w:val="00E02E38"/>
    <w:rsid w:val="00E04B5A"/>
    <w:rsid w:val="00E06430"/>
    <w:rsid w:val="00E06C13"/>
    <w:rsid w:val="00E1016D"/>
    <w:rsid w:val="00E10B4F"/>
    <w:rsid w:val="00E11558"/>
    <w:rsid w:val="00E1375E"/>
    <w:rsid w:val="00E14AFE"/>
    <w:rsid w:val="00E15617"/>
    <w:rsid w:val="00E16362"/>
    <w:rsid w:val="00E16952"/>
    <w:rsid w:val="00E171A1"/>
    <w:rsid w:val="00E200A6"/>
    <w:rsid w:val="00E209EC"/>
    <w:rsid w:val="00E2189B"/>
    <w:rsid w:val="00E220E0"/>
    <w:rsid w:val="00E22463"/>
    <w:rsid w:val="00E236F4"/>
    <w:rsid w:val="00E23871"/>
    <w:rsid w:val="00E247E6"/>
    <w:rsid w:val="00E24EC4"/>
    <w:rsid w:val="00E25C0F"/>
    <w:rsid w:val="00E26FEF"/>
    <w:rsid w:val="00E275FD"/>
    <w:rsid w:val="00E27D52"/>
    <w:rsid w:val="00E3173E"/>
    <w:rsid w:val="00E3221A"/>
    <w:rsid w:val="00E322E9"/>
    <w:rsid w:val="00E3251D"/>
    <w:rsid w:val="00E344F2"/>
    <w:rsid w:val="00E35AC7"/>
    <w:rsid w:val="00E37414"/>
    <w:rsid w:val="00E400EA"/>
    <w:rsid w:val="00E41363"/>
    <w:rsid w:val="00E4234D"/>
    <w:rsid w:val="00E45A74"/>
    <w:rsid w:val="00E46150"/>
    <w:rsid w:val="00E46EE5"/>
    <w:rsid w:val="00E47740"/>
    <w:rsid w:val="00E53221"/>
    <w:rsid w:val="00E53E6B"/>
    <w:rsid w:val="00E54DE5"/>
    <w:rsid w:val="00E559E4"/>
    <w:rsid w:val="00E577FA"/>
    <w:rsid w:val="00E57F5E"/>
    <w:rsid w:val="00E60B8F"/>
    <w:rsid w:val="00E60FB0"/>
    <w:rsid w:val="00E611D0"/>
    <w:rsid w:val="00E614A1"/>
    <w:rsid w:val="00E638C5"/>
    <w:rsid w:val="00E64202"/>
    <w:rsid w:val="00E6447E"/>
    <w:rsid w:val="00E700AD"/>
    <w:rsid w:val="00E70AE9"/>
    <w:rsid w:val="00E71400"/>
    <w:rsid w:val="00E73336"/>
    <w:rsid w:val="00E7346F"/>
    <w:rsid w:val="00E74ABD"/>
    <w:rsid w:val="00E74EA0"/>
    <w:rsid w:val="00E75719"/>
    <w:rsid w:val="00E76A16"/>
    <w:rsid w:val="00E80A5F"/>
    <w:rsid w:val="00E80FAA"/>
    <w:rsid w:val="00E8253D"/>
    <w:rsid w:val="00E82AF2"/>
    <w:rsid w:val="00E83023"/>
    <w:rsid w:val="00E83390"/>
    <w:rsid w:val="00E833E4"/>
    <w:rsid w:val="00E8355D"/>
    <w:rsid w:val="00E86BE6"/>
    <w:rsid w:val="00E86C2F"/>
    <w:rsid w:val="00E87257"/>
    <w:rsid w:val="00E91F84"/>
    <w:rsid w:val="00E92130"/>
    <w:rsid w:val="00E92EED"/>
    <w:rsid w:val="00E93A0F"/>
    <w:rsid w:val="00E94AC7"/>
    <w:rsid w:val="00E94F5C"/>
    <w:rsid w:val="00E9503F"/>
    <w:rsid w:val="00E9653B"/>
    <w:rsid w:val="00E97682"/>
    <w:rsid w:val="00E977A0"/>
    <w:rsid w:val="00EA0037"/>
    <w:rsid w:val="00EA26BE"/>
    <w:rsid w:val="00EA29D7"/>
    <w:rsid w:val="00EA2A1B"/>
    <w:rsid w:val="00EA3E66"/>
    <w:rsid w:val="00EA7592"/>
    <w:rsid w:val="00EA7EA3"/>
    <w:rsid w:val="00EB1494"/>
    <w:rsid w:val="00EB19A4"/>
    <w:rsid w:val="00EB4A4D"/>
    <w:rsid w:val="00EB5924"/>
    <w:rsid w:val="00EB797D"/>
    <w:rsid w:val="00EB7E83"/>
    <w:rsid w:val="00EC0B43"/>
    <w:rsid w:val="00EC2318"/>
    <w:rsid w:val="00EC2414"/>
    <w:rsid w:val="00EC29CD"/>
    <w:rsid w:val="00EC58B6"/>
    <w:rsid w:val="00ED0794"/>
    <w:rsid w:val="00ED16B5"/>
    <w:rsid w:val="00ED1A3C"/>
    <w:rsid w:val="00ED23D1"/>
    <w:rsid w:val="00ED3125"/>
    <w:rsid w:val="00ED31F0"/>
    <w:rsid w:val="00ED326F"/>
    <w:rsid w:val="00ED4725"/>
    <w:rsid w:val="00ED548A"/>
    <w:rsid w:val="00ED7371"/>
    <w:rsid w:val="00ED775C"/>
    <w:rsid w:val="00EE177B"/>
    <w:rsid w:val="00EE1819"/>
    <w:rsid w:val="00EE298C"/>
    <w:rsid w:val="00EE3607"/>
    <w:rsid w:val="00EE37F2"/>
    <w:rsid w:val="00EE511D"/>
    <w:rsid w:val="00EE5EF5"/>
    <w:rsid w:val="00EE6C64"/>
    <w:rsid w:val="00EF0554"/>
    <w:rsid w:val="00EF0674"/>
    <w:rsid w:val="00EF177C"/>
    <w:rsid w:val="00EF2678"/>
    <w:rsid w:val="00EF30F5"/>
    <w:rsid w:val="00EF4A8B"/>
    <w:rsid w:val="00F01033"/>
    <w:rsid w:val="00F0217A"/>
    <w:rsid w:val="00F024D1"/>
    <w:rsid w:val="00F02BBD"/>
    <w:rsid w:val="00F07233"/>
    <w:rsid w:val="00F1052B"/>
    <w:rsid w:val="00F11074"/>
    <w:rsid w:val="00F11AA8"/>
    <w:rsid w:val="00F11EA8"/>
    <w:rsid w:val="00F130C3"/>
    <w:rsid w:val="00F13DC9"/>
    <w:rsid w:val="00F17712"/>
    <w:rsid w:val="00F17B08"/>
    <w:rsid w:val="00F215E3"/>
    <w:rsid w:val="00F218FC"/>
    <w:rsid w:val="00F22F62"/>
    <w:rsid w:val="00F23449"/>
    <w:rsid w:val="00F24787"/>
    <w:rsid w:val="00F267EE"/>
    <w:rsid w:val="00F27223"/>
    <w:rsid w:val="00F2781A"/>
    <w:rsid w:val="00F27C57"/>
    <w:rsid w:val="00F32858"/>
    <w:rsid w:val="00F33755"/>
    <w:rsid w:val="00F342D8"/>
    <w:rsid w:val="00F357CC"/>
    <w:rsid w:val="00F3623C"/>
    <w:rsid w:val="00F3663D"/>
    <w:rsid w:val="00F36DE2"/>
    <w:rsid w:val="00F373F2"/>
    <w:rsid w:val="00F375F3"/>
    <w:rsid w:val="00F37CBF"/>
    <w:rsid w:val="00F41116"/>
    <w:rsid w:val="00F41FB3"/>
    <w:rsid w:val="00F4264C"/>
    <w:rsid w:val="00F42EB0"/>
    <w:rsid w:val="00F43058"/>
    <w:rsid w:val="00F430BC"/>
    <w:rsid w:val="00F44D20"/>
    <w:rsid w:val="00F44D5B"/>
    <w:rsid w:val="00F4518C"/>
    <w:rsid w:val="00F4529D"/>
    <w:rsid w:val="00F4550F"/>
    <w:rsid w:val="00F46066"/>
    <w:rsid w:val="00F50F80"/>
    <w:rsid w:val="00F53025"/>
    <w:rsid w:val="00F5331D"/>
    <w:rsid w:val="00F53F09"/>
    <w:rsid w:val="00F54B10"/>
    <w:rsid w:val="00F56813"/>
    <w:rsid w:val="00F56B20"/>
    <w:rsid w:val="00F57875"/>
    <w:rsid w:val="00F60DA8"/>
    <w:rsid w:val="00F610D5"/>
    <w:rsid w:val="00F616BC"/>
    <w:rsid w:val="00F6219B"/>
    <w:rsid w:val="00F641A2"/>
    <w:rsid w:val="00F64A0E"/>
    <w:rsid w:val="00F64E0B"/>
    <w:rsid w:val="00F66E1D"/>
    <w:rsid w:val="00F66E7D"/>
    <w:rsid w:val="00F676F2"/>
    <w:rsid w:val="00F67A8F"/>
    <w:rsid w:val="00F67F26"/>
    <w:rsid w:val="00F72D66"/>
    <w:rsid w:val="00F7668E"/>
    <w:rsid w:val="00F76F5C"/>
    <w:rsid w:val="00F772FA"/>
    <w:rsid w:val="00F7737E"/>
    <w:rsid w:val="00F803B1"/>
    <w:rsid w:val="00F8164B"/>
    <w:rsid w:val="00F82D19"/>
    <w:rsid w:val="00F856EF"/>
    <w:rsid w:val="00F87905"/>
    <w:rsid w:val="00F90570"/>
    <w:rsid w:val="00F935EE"/>
    <w:rsid w:val="00F96047"/>
    <w:rsid w:val="00F9607D"/>
    <w:rsid w:val="00F96C41"/>
    <w:rsid w:val="00F97491"/>
    <w:rsid w:val="00F97808"/>
    <w:rsid w:val="00FA0EBE"/>
    <w:rsid w:val="00FA243E"/>
    <w:rsid w:val="00FA2E2C"/>
    <w:rsid w:val="00FA348B"/>
    <w:rsid w:val="00FA3D8C"/>
    <w:rsid w:val="00FA607C"/>
    <w:rsid w:val="00FB02D9"/>
    <w:rsid w:val="00FB0D2F"/>
    <w:rsid w:val="00FB287C"/>
    <w:rsid w:val="00FB3110"/>
    <w:rsid w:val="00FB3996"/>
    <w:rsid w:val="00FB4A98"/>
    <w:rsid w:val="00FB587F"/>
    <w:rsid w:val="00FB637E"/>
    <w:rsid w:val="00FB6A7B"/>
    <w:rsid w:val="00FB6BFA"/>
    <w:rsid w:val="00FC0EA9"/>
    <w:rsid w:val="00FC17E2"/>
    <w:rsid w:val="00FC3349"/>
    <w:rsid w:val="00FC5661"/>
    <w:rsid w:val="00FC60A4"/>
    <w:rsid w:val="00FC6B82"/>
    <w:rsid w:val="00FC79EA"/>
    <w:rsid w:val="00FC7EB7"/>
    <w:rsid w:val="00FD1AF1"/>
    <w:rsid w:val="00FD32A7"/>
    <w:rsid w:val="00FD37AD"/>
    <w:rsid w:val="00FD490E"/>
    <w:rsid w:val="00FE0AC9"/>
    <w:rsid w:val="00FE2E22"/>
    <w:rsid w:val="00FE3480"/>
    <w:rsid w:val="00FE3DA8"/>
    <w:rsid w:val="00FE444F"/>
    <w:rsid w:val="00FE5272"/>
    <w:rsid w:val="00FE73A7"/>
    <w:rsid w:val="00FE772F"/>
    <w:rsid w:val="00FF005F"/>
    <w:rsid w:val="00FF1ABA"/>
    <w:rsid w:val="00FF42E2"/>
    <w:rsid w:val="00FF4A9C"/>
    <w:rsid w:val="00FF4C58"/>
    <w:rsid w:val="00FF5361"/>
    <w:rsid w:val="00FF61D3"/>
    <w:rsid w:val="00FF68AA"/>
    <w:rsid w:val="00FF6C7B"/>
    <w:rsid w:val="00FF722C"/>
    <w:rsid w:val="01151104"/>
    <w:rsid w:val="0115CA16"/>
    <w:rsid w:val="01658B10"/>
    <w:rsid w:val="01ABF2DE"/>
    <w:rsid w:val="01BD5CB0"/>
    <w:rsid w:val="021A1820"/>
    <w:rsid w:val="02AF206D"/>
    <w:rsid w:val="0333528F"/>
    <w:rsid w:val="037C59BB"/>
    <w:rsid w:val="03C8836A"/>
    <w:rsid w:val="04FEE2C7"/>
    <w:rsid w:val="0515EEF2"/>
    <w:rsid w:val="05987CD8"/>
    <w:rsid w:val="05B80FBF"/>
    <w:rsid w:val="062085D5"/>
    <w:rsid w:val="063E5315"/>
    <w:rsid w:val="064BA144"/>
    <w:rsid w:val="06571ECC"/>
    <w:rsid w:val="0770158C"/>
    <w:rsid w:val="08079CA6"/>
    <w:rsid w:val="0817115E"/>
    <w:rsid w:val="082E563A"/>
    <w:rsid w:val="08B37DC0"/>
    <w:rsid w:val="08CB5882"/>
    <w:rsid w:val="0905F75B"/>
    <w:rsid w:val="0911A991"/>
    <w:rsid w:val="09248114"/>
    <w:rsid w:val="093DF683"/>
    <w:rsid w:val="09582697"/>
    <w:rsid w:val="0A792F7B"/>
    <w:rsid w:val="0ABC1E82"/>
    <w:rsid w:val="0AE17A4A"/>
    <w:rsid w:val="0B5B9FBC"/>
    <w:rsid w:val="0B853076"/>
    <w:rsid w:val="0BA3B593"/>
    <w:rsid w:val="0C0E75BF"/>
    <w:rsid w:val="0C3CE486"/>
    <w:rsid w:val="0C7FD842"/>
    <w:rsid w:val="0CBACC9D"/>
    <w:rsid w:val="0CF6274A"/>
    <w:rsid w:val="0D2F6518"/>
    <w:rsid w:val="0DF3ADE7"/>
    <w:rsid w:val="0E170BC1"/>
    <w:rsid w:val="0E4167ED"/>
    <w:rsid w:val="0E5DB5CD"/>
    <w:rsid w:val="0EA69206"/>
    <w:rsid w:val="0FA806F5"/>
    <w:rsid w:val="1012CE29"/>
    <w:rsid w:val="1017C23A"/>
    <w:rsid w:val="1058A199"/>
    <w:rsid w:val="106D886B"/>
    <w:rsid w:val="1089B564"/>
    <w:rsid w:val="114FD127"/>
    <w:rsid w:val="1171F8EC"/>
    <w:rsid w:val="118619D5"/>
    <w:rsid w:val="11BF7C5A"/>
    <w:rsid w:val="11E639BE"/>
    <w:rsid w:val="122449B8"/>
    <w:rsid w:val="1272DC3C"/>
    <w:rsid w:val="12853C87"/>
    <w:rsid w:val="12BB6227"/>
    <w:rsid w:val="1362643B"/>
    <w:rsid w:val="137737D7"/>
    <w:rsid w:val="1405F477"/>
    <w:rsid w:val="14C38F8A"/>
    <w:rsid w:val="14C6CA93"/>
    <w:rsid w:val="14DDF4BF"/>
    <w:rsid w:val="14F87175"/>
    <w:rsid w:val="152AB6DF"/>
    <w:rsid w:val="1564A937"/>
    <w:rsid w:val="1578D86B"/>
    <w:rsid w:val="165DC7D9"/>
    <w:rsid w:val="16EEE47E"/>
    <w:rsid w:val="173D082F"/>
    <w:rsid w:val="17E0EC7C"/>
    <w:rsid w:val="180524F3"/>
    <w:rsid w:val="19169712"/>
    <w:rsid w:val="19265820"/>
    <w:rsid w:val="194EC050"/>
    <w:rsid w:val="1951B70B"/>
    <w:rsid w:val="19922C68"/>
    <w:rsid w:val="19B165E2"/>
    <w:rsid w:val="19B6F432"/>
    <w:rsid w:val="19D6AEBB"/>
    <w:rsid w:val="1A28F208"/>
    <w:rsid w:val="1B087C93"/>
    <w:rsid w:val="1B2DFCC9"/>
    <w:rsid w:val="1B5523C9"/>
    <w:rsid w:val="1BAC8213"/>
    <w:rsid w:val="1BC2A4F3"/>
    <w:rsid w:val="1BD0F146"/>
    <w:rsid w:val="1C0FBA9C"/>
    <w:rsid w:val="1C17E17D"/>
    <w:rsid w:val="1C472C22"/>
    <w:rsid w:val="1C683F81"/>
    <w:rsid w:val="1CF0F42A"/>
    <w:rsid w:val="1D870F82"/>
    <w:rsid w:val="1DAB8AFD"/>
    <w:rsid w:val="1DB3831B"/>
    <w:rsid w:val="1DC3A13A"/>
    <w:rsid w:val="1DD2084D"/>
    <w:rsid w:val="1E4DE8FD"/>
    <w:rsid w:val="1E598F9C"/>
    <w:rsid w:val="1E70FC4F"/>
    <w:rsid w:val="1E84D705"/>
    <w:rsid w:val="1E92A995"/>
    <w:rsid w:val="1ED0EF9F"/>
    <w:rsid w:val="1EFE67E5"/>
    <w:rsid w:val="1F0B390E"/>
    <w:rsid w:val="1FDEF622"/>
    <w:rsid w:val="202F0C05"/>
    <w:rsid w:val="203D451F"/>
    <w:rsid w:val="20403835"/>
    <w:rsid w:val="20FDB87D"/>
    <w:rsid w:val="218149CC"/>
    <w:rsid w:val="2185BE41"/>
    <w:rsid w:val="2197A439"/>
    <w:rsid w:val="21C4654D"/>
    <w:rsid w:val="2204A07C"/>
    <w:rsid w:val="2297125D"/>
    <w:rsid w:val="22D7965E"/>
    <w:rsid w:val="23A9F57F"/>
    <w:rsid w:val="23B30DDE"/>
    <w:rsid w:val="23C5D443"/>
    <w:rsid w:val="23DEAA31"/>
    <w:rsid w:val="23F33AF2"/>
    <w:rsid w:val="23F413B7"/>
    <w:rsid w:val="2433F4DE"/>
    <w:rsid w:val="24A23FB8"/>
    <w:rsid w:val="24DCCC95"/>
    <w:rsid w:val="24FC060F"/>
    <w:rsid w:val="2500D960"/>
    <w:rsid w:val="251B2637"/>
    <w:rsid w:val="2596E9BB"/>
    <w:rsid w:val="25BDB5B1"/>
    <w:rsid w:val="25DBF1BD"/>
    <w:rsid w:val="2681718D"/>
    <w:rsid w:val="26AB1E8B"/>
    <w:rsid w:val="26F16195"/>
    <w:rsid w:val="2775F597"/>
    <w:rsid w:val="27765B9D"/>
    <w:rsid w:val="27807D0F"/>
    <w:rsid w:val="27B8A17D"/>
    <w:rsid w:val="27DAB8E2"/>
    <w:rsid w:val="27E4FCEF"/>
    <w:rsid w:val="2833A6D1"/>
    <w:rsid w:val="283888DE"/>
    <w:rsid w:val="2846EEEC"/>
    <w:rsid w:val="28708745"/>
    <w:rsid w:val="2896CB45"/>
    <w:rsid w:val="2898F2F7"/>
    <w:rsid w:val="28D8D214"/>
    <w:rsid w:val="291C4D70"/>
    <w:rsid w:val="292693BE"/>
    <w:rsid w:val="2928224B"/>
    <w:rsid w:val="293901A2"/>
    <w:rsid w:val="29429674"/>
    <w:rsid w:val="294BD806"/>
    <w:rsid w:val="295D0436"/>
    <w:rsid w:val="2976CCAF"/>
    <w:rsid w:val="2A019B43"/>
    <w:rsid w:val="2A04AF8C"/>
    <w:rsid w:val="2A320CE2"/>
    <w:rsid w:val="2AAA6ECF"/>
    <w:rsid w:val="2AB7FB48"/>
    <w:rsid w:val="2AD194A3"/>
    <w:rsid w:val="2AF0423F"/>
    <w:rsid w:val="2B03D98F"/>
    <w:rsid w:val="2B47BCF3"/>
    <w:rsid w:val="2B4C0E19"/>
    <w:rsid w:val="2B6B4793"/>
    <w:rsid w:val="2BA3BEA6"/>
    <w:rsid w:val="2BCC067F"/>
    <w:rsid w:val="2BF240FC"/>
    <w:rsid w:val="2CC4A91B"/>
    <w:rsid w:val="2D4BCB0E"/>
    <w:rsid w:val="2E43FF6C"/>
    <w:rsid w:val="2E899602"/>
    <w:rsid w:val="2E96FE96"/>
    <w:rsid w:val="2EB7A761"/>
    <w:rsid w:val="2F075D32"/>
    <w:rsid w:val="2FAD800B"/>
    <w:rsid w:val="2FF467EA"/>
    <w:rsid w:val="300D7A1C"/>
    <w:rsid w:val="302D38D6"/>
    <w:rsid w:val="308B44BD"/>
    <w:rsid w:val="309546F6"/>
    <w:rsid w:val="30F94F89"/>
    <w:rsid w:val="31382B07"/>
    <w:rsid w:val="31B6EA4F"/>
    <w:rsid w:val="323FD53D"/>
    <w:rsid w:val="3272082C"/>
    <w:rsid w:val="334AE9A4"/>
    <w:rsid w:val="33B26172"/>
    <w:rsid w:val="34490688"/>
    <w:rsid w:val="344D1C2A"/>
    <w:rsid w:val="34EA93C4"/>
    <w:rsid w:val="34FFFC2C"/>
    <w:rsid w:val="35A0E7AC"/>
    <w:rsid w:val="35D999FA"/>
    <w:rsid w:val="364EC82F"/>
    <w:rsid w:val="36A0FB0A"/>
    <w:rsid w:val="36AF3684"/>
    <w:rsid w:val="372C3848"/>
    <w:rsid w:val="3750989B"/>
    <w:rsid w:val="385530C3"/>
    <w:rsid w:val="3901BFC3"/>
    <w:rsid w:val="3904FDCC"/>
    <w:rsid w:val="39673D1D"/>
    <w:rsid w:val="3969F704"/>
    <w:rsid w:val="3A015DA7"/>
    <w:rsid w:val="3A88C0AB"/>
    <w:rsid w:val="3B44AF80"/>
    <w:rsid w:val="3BB3B37C"/>
    <w:rsid w:val="3BF3874B"/>
    <w:rsid w:val="3C5C05F3"/>
    <w:rsid w:val="3CA114E6"/>
    <w:rsid w:val="3CB2972C"/>
    <w:rsid w:val="3CD3860D"/>
    <w:rsid w:val="3D0EC461"/>
    <w:rsid w:val="3D1451FC"/>
    <w:rsid w:val="3D15CCE8"/>
    <w:rsid w:val="3D737D0C"/>
    <w:rsid w:val="3E649921"/>
    <w:rsid w:val="3E662D07"/>
    <w:rsid w:val="3E8E63E2"/>
    <w:rsid w:val="3E957F7E"/>
    <w:rsid w:val="3F071D03"/>
    <w:rsid w:val="3F93A6B5"/>
    <w:rsid w:val="3FA77BDA"/>
    <w:rsid w:val="3FA9A044"/>
    <w:rsid w:val="3FDEAE1E"/>
    <w:rsid w:val="401C7AA9"/>
    <w:rsid w:val="40246263"/>
    <w:rsid w:val="4041FB8D"/>
    <w:rsid w:val="405776CE"/>
    <w:rsid w:val="40D7732B"/>
    <w:rsid w:val="40FE387C"/>
    <w:rsid w:val="41238D57"/>
    <w:rsid w:val="4132D77F"/>
    <w:rsid w:val="41D7998A"/>
    <w:rsid w:val="42084BF6"/>
    <w:rsid w:val="424D0591"/>
    <w:rsid w:val="4397E36A"/>
    <w:rsid w:val="43BE3464"/>
    <w:rsid w:val="43FD78F0"/>
    <w:rsid w:val="4435D93E"/>
    <w:rsid w:val="445B93E5"/>
    <w:rsid w:val="45A78747"/>
    <w:rsid w:val="45E3AEBF"/>
    <w:rsid w:val="45F73D08"/>
    <w:rsid w:val="4620FF28"/>
    <w:rsid w:val="46AC98C4"/>
    <w:rsid w:val="46DE62F8"/>
    <w:rsid w:val="46EEBDA6"/>
    <w:rsid w:val="471FD5DA"/>
    <w:rsid w:val="472F36B3"/>
    <w:rsid w:val="47930D69"/>
    <w:rsid w:val="47996DE3"/>
    <w:rsid w:val="47F6DF80"/>
    <w:rsid w:val="48133CC1"/>
    <w:rsid w:val="48177639"/>
    <w:rsid w:val="483935D7"/>
    <w:rsid w:val="4874C192"/>
    <w:rsid w:val="489A9E67"/>
    <w:rsid w:val="48E1C5CA"/>
    <w:rsid w:val="492F0508"/>
    <w:rsid w:val="49505F41"/>
    <w:rsid w:val="49836C65"/>
    <w:rsid w:val="4995E4C5"/>
    <w:rsid w:val="4A8F47DF"/>
    <w:rsid w:val="4AAC3391"/>
    <w:rsid w:val="4AB35AF0"/>
    <w:rsid w:val="4B13C945"/>
    <w:rsid w:val="4B43E577"/>
    <w:rsid w:val="4B446E60"/>
    <w:rsid w:val="4B5A145F"/>
    <w:rsid w:val="4B942AC9"/>
    <w:rsid w:val="4BA4CDBA"/>
    <w:rsid w:val="4BC0D77A"/>
    <w:rsid w:val="4BFAD877"/>
    <w:rsid w:val="4C43CF66"/>
    <w:rsid w:val="4CC25E82"/>
    <w:rsid w:val="4CD1BEFF"/>
    <w:rsid w:val="4CD775E3"/>
    <w:rsid w:val="4D3C8B1C"/>
    <w:rsid w:val="4D6915E0"/>
    <w:rsid w:val="4DC9FEE2"/>
    <w:rsid w:val="4DEC6AE3"/>
    <w:rsid w:val="4E7C464E"/>
    <w:rsid w:val="4EAC7532"/>
    <w:rsid w:val="4EE8CEE3"/>
    <w:rsid w:val="4F77811B"/>
    <w:rsid w:val="4FA9CA7F"/>
    <w:rsid w:val="4FAD0E80"/>
    <w:rsid w:val="4FF8C6D0"/>
    <w:rsid w:val="500701FF"/>
    <w:rsid w:val="5063AA12"/>
    <w:rsid w:val="511A3EE4"/>
    <w:rsid w:val="511B13D5"/>
    <w:rsid w:val="5139AC49"/>
    <w:rsid w:val="51572826"/>
    <w:rsid w:val="51615D8B"/>
    <w:rsid w:val="51FF7A73"/>
    <w:rsid w:val="522BF492"/>
    <w:rsid w:val="52362F05"/>
    <w:rsid w:val="526D5A75"/>
    <w:rsid w:val="52C26170"/>
    <w:rsid w:val="532CF935"/>
    <w:rsid w:val="5488A1CA"/>
    <w:rsid w:val="54AC0095"/>
    <w:rsid w:val="553D7548"/>
    <w:rsid w:val="554F6547"/>
    <w:rsid w:val="55670F52"/>
    <w:rsid w:val="559FAEA7"/>
    <w:rsid w:val="55A73730"/>
    <w:rsid w:val="55B2776E"/>
    <w:rsid w:val="55F90559"/>
    <w:rsid w:val="5605B0B5"/>
    <w:rsid w:val="565E0B4B"/>
    <w:rsid w:val="5685D1AD"/>
    <w:rsid w:val="568853D8"/>
    <w:rsid w:val="57770112"/>
    <w:rsid w:val="5779D5C2"/>
    <w:rsid w:val="581471A6"/>
    <w:rsid w:val="58517C0A"/>
    <w:rsid w:val="587E8688"/>
    <w:rsid w:val="58928AF6"/>
    <w:rsid w:val="5903FB21"/>
    <w:rsid w:val="59397E94"/>
    <w:rsid w:val="593C074A"/>
    <w:rsid w:val="5947CB07"/>
    <w:rsid w:val="5A0C0DE1"/>
    <w:rsid w:val="5A13311E"/>
    <w:rsid w:val="5A3D3B30"/>
    <w:rsid w:val="5A5C5298"/>
    <w:rsid w:val="5AAD9767"/>
    <w:rsid w:val="5B292D40"/>
    <w:rsid w:val="5B3A8779"/>
    <w:rsid w:val="5B4FC676"/>
    <w:rsid w:val="5B59B6D2"/>
    <w:rsid w:val="5B8A73ED"/>
    <w:rsid w:val="5BBB93C9"/>
    <w:rsid w:val="5BD51FA8"/>
    <w:rsid w:val="5BF23CE7"/>
    <w:rsid w:val="5C33F72F"/>
    <w:rsid w:val="5CD9936F"/>
    <w:rsid w:val="5CEB96D7"/>
    <w:rsid w:val="5DB7AA9F"/>
    <w:rsid w:val="5E01E5A3"/>
    <w:rsid w:val="5E915794"/>
    <w:rsid w:val="5EC51172"/>
    <w:rsid w:val="5ED56460"/>
    <w:rsid w:val="5EF3348B"/>
    <w:rsid w:val="5F17E0DB"/>
    <w:rsid w:val="5F17EDB1"/>
    <w:rsid w:val="5F27F13B"/>
    <w:rsid w:val="5F6C9E32"/>
    <w:rsid w:val="5F733CA5"/>
    <w:rsid w:val="5FA045BA"/>
    <w:rsid w:val="5FA90121"/>
    <w:rsid w:val="6030E448"/>
    <w:rsid w:val="603CA732"/>
    <w:rsid w:val="6067839C"/>
    <w:rsid w:val="60694A45"/>
    <w:rsid w:val="6077717E"/>
    <w:rsid w:val="60AD4219"/>
    <w:rsid w:val="60EE234F"/>
    <w:rsid w:val="6127BF5E"/>
    <w:rsid w:val="615666F8"/>
    <w:rsid w:val="619F9D11"/>
    <w:rsid w:val="61B51B7C"/>
    <w:rsid w:val="620A1BAD"/>
    <w:rsid w:val="62C83C02"/>
    <w:rsid w:val="62FD109D"/>
    <w:rsid w:val="6351EB06"/>
    <w:rsid w:val="63AD728F"/>
    <w:rsid w:val="63DAEB0D"/>
    <w:rsid w:val="641F68AA"/>
    <w:rsid w:val="645188A0"/>
    <w:rsid w:val="64E770BB"/>
    <w:rsid w:val="64EFB1B0"/>
    <w:rsid w:val="65009918"/>
    <w:rsid w:val="650BAEBF"/>
    <w:rsid w:val="651A0CE8"/>
    <w:rsid w:val="651A5331"/>
    <w:rsid w:val="652A0AC5"/>
    <w:rsid w:val="654EC088"/>
    <w:rsid w:val="6576BB6E"/>
    <w:rsid w:val="65A7671E"/>
    <w:rsid w:val="6670F400"/>
    <w:rsid w:val="66735C73"/>
    <w:rsid w:val="66D88BC9"/>
    <w:rsid w:val="66E5176E"/>
    <w:rsid w:val="66FDC26B"/>
    <w:rsid w:val="6781E3AF"/>
    <w:rsid w:val="67EC5A71"/>
    <w:rsid w:val="6805D7E3"/>
    <w:rsid w:val="68F25AC2"/>
    <w:rsid w:val="693562B7"/>
    <w:rsid w:val="6A30F9CC"/>
    <w:rsid w:val="6A4E403C"/>
    <w:rsid w:val="6A5D99D9"/>
    <w:rsid w:val="6B5185D4"/>
    <w:rsid w:val="6B913D47"/>
    <w:rsid w:val="6C817795"/>
    <w:rsid w:val="6CCDCFAB"/>
    <w:rsid w:val="6CD20642"/>
    <w:rsid w:val="6CE0D97D"/>
    <w:rsid w:val="6D6E54A1"/>
    <w:rsid w:val="6E339DE0"/>
    <w:rsid w:val="6E8C3A0B"/>
    <w:rsid w:val="6ED1874C"/>
    <w:rsid w:val="6EE1D5A1"/>
    <w:rsid w:val="6F3FB929"/>
    <w:rsid w:val="6FDA0163"/>
    <w:rsid w:val="70875B95"/>
    <w:rsid w:val="70ACB070"/>
    <w:rsid w:val="712C100D"/>
    <w:rsid w:val="714583A3"/>
    <w:rsid w:val="71733102"/>
    <w:rsid w:val="71A8D052"/>
    <w:rsid w:val="71C03CDF"/>
    <w:rsid w:val="71CA3B32"/>
    <w:rsid w:val="71F826B2"/>
    <w:rsid w:val="723B4233"/>
    <w:rsid w:val="72BDE93E"/>
    <w:rsid w:val="72C827C0"/>
    <w:rsid w:val="72DBAF25"/>
    <w:rsid w:val="731B93AD"/>
    <w:rsid w:val="73656FD8"/>
    <w:rsid w:val="73D512A2"/>
    <w:rsid w:val="742E73C5"/>
    <w:rsid w:val="745D5ED2"/>
    <w:rsid w:val="7484ED11"/>
    <w:rsid w:val="74AED670"/>
    <w:rsid w:val="74F3A429"/>
    <w:rsid w:val="75A92306"/>
    <w:rsid w:val="75F0A9AB"/>
    <w:rsid w:val="76097083"/>
    <w:rsid w:val="76F1C17C"/>
    <w:rsid w:val="7776903E"/>
    <w:rsid w:val="77B19CED"/>
    <w:rsid w:val="77B3FE48"/>
    <w:rsid w:val="77EB0B6A"/>
    <w:rsid w:val="78C12E0F"/>
    <w:rsid w:val="79174684"/>
    <w:rsid w:val="798AD531"/>
    <w:rsid w:val="7999DA37"/>
    <w:rsid w:val="7A1D0D9C"/>
    <w:rsid w:val="7A37E660"/>
    <w:rsid w:val="7ABAD83F"/>
    <w:rsid w:val="7B2200CE"/>
    <w:rsid w:val="7B6A63B4"/>
    <w:rsid w:val="7BD67948"/>
    <w:rsid w:val="7C051187"/>
    <w:rsid w:val="7C2698F6"/>
    <w:rsid w:val="7C26D5DC"/>
    <w:rsid w:val="7C554FF8"/>
    <w:rsid w:val="7C56A8A0"/>
    <w:rsid w:val="7C5AE218"/>
    <w:rsid w:val="7C8DD3E7"/>
    <w:rsid w:val="7CB6F229"/>
    <w:rsid w:val="7D0F457B"/>
    <w:rsid w:val="7DA8AA7D"/>
    <w:rsid w:val="7E694A1A"/>
    <w:rsid w:val="7F6B8F6E"/>
    <w:rsid w:val="7FF870E6"/>
  </w:rsids>
  <w:docVars>
    <w:docVar w:name="__Grammarly_42___1" w:val="H4sIAAAAAAAEAKtWcslP9kxRslIyNDYyNTA2MzYysbA0tTQ2MTFX0lEKTi0uzszPAykwMqsFAHY1G40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B443247"/>
  <w15:docId w15:val="{4E6CF021-41B6-4AC7-993C-26A97E33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List Bullet" w:qFormat="1"/>
    <w:lsdException w:name="List Number"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A16D7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qFormat/>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FootnoteText">
    <w:name w:val="footnote text"/>
    <w:basedOn w:val="Normal"/>
    <w:link w:val="FootnoteTextChar"/>
    <w:qFormat/>
    <w:rsid w:val="00A16D75"/>
    <w:pPr>
      <w:widowControl/>
      <w:autoSpaceDE/>
      <w:autoSpaceDN/>
      <w:adjustRightInd/>
      <w:spacing w:after="120"/>
    </w:pPr>
    <w:rPr>
      <w:rFonts w:ascii="Times New Roman" w:hAnsi="Times New Roman"/>
      <w:sz w:val="20"/>
      <w:szCs w:val="20"/>
    </w:rPr>
  </w:style>
  <w:style w:type="character" w:customStyle="1" w:styleId="FootnoteTextChar">
    <w:name w:val="Footnote Text Char"/>
    <w:basedOn w:val="DefaultParagraphFont"/>
    <w:link w:val="FootnoteText"/>
    <w:uiPriority w:val="99"/>
    <w:rsid w:val="00A16D75"/>
  </w:style>
  <w:style w:type="paragraph" w:customStyle="1" w:styleId="NormalSS">
    <w:name w:val="NormalSS"/>
    <w:basedOn w:val="Normal"/>
    <w:link w:val="NormalSSChar"/>
    <w:qFormat/>
    <w:rsid w:val="00A16D75"/>
    <w:pPr>
      <w:widowControl/>
      <w:autoSpaceDE/>
      <w:autoSpaceDN/>
      <w:adjustRightInd/>
      <w:spacing w:after="240"/>
      <w:ind w:firstLine="432"/>
    </w:pPr>
    <w:rPr>
      <w:rFonts w:ascii="Times New Roman" w:hAnsi="Times New Roman"/>
      <w:szCs w:val="20"/>
    </w:rPr>
  </w:style>
  <w:style w:type="paragraph" w:customStyle="1" w:styleId="NumberedBullet">
    <w:name w:val="Numbered Bullet"/>
    <w:basedOn w:val="Normal"/>
    <w:link w:val="NumberedBulletChar"/>
    <w:qFormat/>
    <w:rsid w:val="00A16D75"/>
    <w:pPr>
      <w:widowControl/>
      <w:numPr>
        <w:numId w:val="14"/>
      </w:numPr>
      <w:tabs>
        <w:tab w:val="left" w:pos="432"/>
      </w:tabs>
      <w:autoSpaceDE/>
      <w:autoSpaceDN/>
      <w:adjustRightInd/>
      <w:spacing w:after="120"/>
    </w:pPr>
    <w:rPr>
      <w:rFonts w:ascii="Times New Roman" w:hAnsi="Times New Roman"/>
      <w:szCs w:val="20"/>
    </w:rPr>
  </w:style>
  <w:style w:type="character" w:customStyle="1" w:styleId="NumberedBulletChar">
    <w:name w:val="Numbered Bullet Char"/>
    <w:basedOn w:val="DefaultParagraphFont"/>
    <w:link w:val="NumberedBullet"/>
    <w:rsid w:val="00A16D75"/>
    <w:rPr>
      <w:sz w:val="24"/>
    </w:rPr>
  </w:style>
  <w:style w:type="paragraph" w:customStyle="1" w:styleId="NumberedBulletLastSS">
    <w:name w:val="Numbered Bullet (Last SS)"/>
    <w:basedOn w:val="Normal"/>
    <w:next w:val="NormalSS"/>
    <w:qFormat/>
    <w:rsid w:val="00A16D75"/>
    <w:pPr>
      <w:widowControl/>
      <w:tabs>
        <w:tab w:val="left" w:pos="432"/>
      </w:tabs>
      <w:autoSpaceDE/>
      <w:autoSpaceDN/>
      <w:adjustRightInd/>
      <w:spacing w:after="240"/>
    </w:pPr>
    <w:rPr>
      <w:rFonts w:ascii="Times New Roman" w:hAnsi="Times New Roman"/>
      <w:szCs w:val="20"/>
    </w:rPr>
  </w:style>
  <w:style w:type="paragraph" w:customStyle="1" w:styleId="H4Number">
    <w:name w:val="H4_Number"/>
    <w:basedOn w:val="Heading3"/>
    <w:next w:val="NormalSS"/>
    <w:link w:val="H4NumberChar"/>
    <w:qFormat/>
    <w:rsid w:val="00A16D75"/>
    <w:pPr>
      <w:keepLines w:val="0"/>
      <w:widowControl/>
      <w:tabs>
        <w:tab w:val="left" w:pos="432"/>
      </w:tabs>
      <w:autoSpaceDE/>
      <w:autoSpaceDN/>
      <w:adjustRightInd/>
      <w:spacing w:before="0" w:after="120"/>
      <w:ind w:left="432" w:hanging="432"/>
      <w:outlineLvl w:val="3"/>
    </w:pPr>
    <w:rPr>
      <w:b/>
    </w:rPr>
  </w:style>
  <w:style w:type="character" w:customStyle="1" w:styleId="H4NumberChar">
    <w:name w:val="H4_Number Char"/>
    <w:basedOn w:val="Heading3Char"/>
    <w:link w:val="H4Number"/>
    <w:rsid w:val="00A16D75"/>
    <w:rPr>
      <w:rFonts w:asciiTheme="majorHAnsi" w:eastAsiaTheme="majorEastAsia" w:hAnsiTheme="majorHAnsi" w:cstheme="majorBidi"/>
      <w:b/>
      <w:color w:val="1F4D78" w:themeColor="accent1" w:themeShade="7F"/>
      <w:sz w:val="24"/>
      <w:szCs w:val="24"/>
    </w:rPr>
  </w:style>
  <w:style w:type="character" w:customStyle="1" w:styleId="NormalSSChar">
    <w:name w:val="NormalSS Char"/>
    <w:basedOn w:val="DefaultParagraphFont"/>
    <w:link w:val="NormalSS"/>
    <w:rsid w:val="00A16D75"/>
    <w:rPr>
      <w:sz w:val="24"/>
    </w:rPr>
  </w:style>
  <w:style w:type="character" w:customStyle="1" w:styleId="Heading3Char">
    <w:name w:val="Heading 3 Char"/>
    <w:basedOn w:val="DefaultParagraphFont"/>
    <w:link w:val="Heading3"/>
    <w:semiHidden/>
    <w:rsid w:val="00A16D75"/>
    <w:rPr>
      <w:rFonts w:asciiTheme="majorHAnsi" w:eastAsiaTheme="majorEastAsia" w:hAnsiTheme="majorHAnsi" w:cstheme="majorBidi"/>
      <w:color w:val="1F4D78" w:themeColor="accent1" w:themeShade="7F"/>
      <w:sz w:val="24"/>
      <w:szCs w:val="24"/>
    </w:rPr>
  </w:style>
  <w:style w:type="paragraph" w:customStyle="1" w:styleId="MarkforTableTitle">
    <w:name w:val="Mark for Table Title"/>
    <w:basedOn w:val="Normal"/>
    <w:next w:val="NormalSS"/>
    <w:qFormat/>
    <w:rsid w:val="00A16D75"/>
    <w:pPr>
      <w:keepNext/>
      <w:widowControl/>
      <w:autoSpaceDE/>
      <w:autoSpaceDN/>
      <w:adjustRightInd/>
      <w:spacing w:after="60"/>
    </w:pPr>
    <w:rPr>
      <w:rFonts w:ascii="Arial Black" w:hAnsi="Arial Black"/>
      <w:sz w:val="22"/>
      <w:szCs w:val="20"/>
    </w:rPr>
  </w:style>
  <w:style w:type="paragraph" w:customStyle="1" w:styleId="TableHeaderLeft">
    <w:name w:val="Table Header Left"/>
    <w:basedOn w:val="Normal"/>
    <w:next w:val="Normal"/>
    <w:qFormat/>
    <w:rsid w:val="00A16D75"/>
    <w:pPr>
      <w:widowControl/>
      <w:autoSpaceDE/>
      <w:autoSpaceDN/>
      <w:adjustRightInd/>
      <w:spacing w:before="120" w:after="60"/>
    </w:pPr>
    <w:rPr>
      <w:rFonts w:ascii="Arial" w:hAnsi="Arial"/>
      <w:b/>
      <w:color w:val="FFFFFF" w:themeColor="background1"/>
      <w:sz w:val="18"/>
      <w:szCs w:val="20"/>
    </w:rPr>
  </w:style>
  <w:style w:type="paragraph" w:customStyle="1" w:styleId="TableHeaderCenter">
    <w:name w:val="Table Header Center"/>
    <w:basedOn w:val="TableHeaderLeft"/>
    <w:qFormat/>
    <w:rsid w:val="00A16D75"/>
    <w:pPr>
      <w:jc w:val="center"/>
    </w:pPr>
  </w:style>
  <w:style w:type="table" w:customStyle="1" w:styleId="SMPRTableBlue">
    <w:name w:val="SMPR_Table_Blue"/>
    <w:basedOn w:val="TableNormal"/>
    <w:uiPriority w:val="99"/>
    <w:rsid w:val="00A16D75"/>
    <w:rPr>
      <w:rFonts w:ascii="Arial" w:hAnsi="Arial"/>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paragraph" w:customStyle="1" w:styleId="TableSignificanceCaption">
    <w:name w:val="Table Significance_Caption"/>
    <w:basedOn w:val="Normal"/>
    <w:qFormat/>
    <w:rsid w:val="00C13C48"/>
    <w:pPr>
      <w:widowControl/>
      <w:tabs>
        <w:tab w:val="left" w:pos="1080"/>
      </w:tabs>
      <w:autoSpaceDE/>
      <w:autoSpaceDN/>
      <w:adjustRightInd/>
      <w:spacing w:before="60"/>
    </w:pPr>
    <w:rPr>
      <w:rFonts w:ascii="Arial" w:hAnsi="Arial"/>
      <w:sz w:val="18"/>
      <w:szCs w:val="20"/>
    </w:rPr>
  </w:style>
  <w:style w:type="character" w:styleId="Hyperlink">
    <w:name w:val="Hyperlink"/>
    <w:basedOn w:val="DefaultParagraphFont"/>
    <w:uiPriority w:val="99"/>
    <w:rsid w:val="00C13C48"/>
    <w:rPr>
      <w:color w:val="0000FF"/>
      <w:u w:val="single"/>
    </w:rPr>
  </w:style>
  <w:style w:type="paragraph" w:customStyle="1" w:styleId="Bullet">
    <w:name w:val="Bullet"/>
    <w:basedOn w:val="Normal"/>
    <w:qFormat/>
    <w:rsid w:val="00115742"/>
    <w:pPr>
      <w:widowControl/>
      <w:numPr>
        <w:numId w:val="16"/>
      </w:numPr>
      <w:tabs>
        <w:tab w:val="left" w:pos="432"/>
      </w:tabs>
      <w:autoSpaceDE/>
      <w:autoSpaceDN/>
      <w:adjustRightInd/>
      <w:spacing w:after="120"/>
    </w:pPr>
    <w:rPr>
      <w:rFonts w:ascii="Times New Roman" w:hAnsi="Times New Roman"/>
      <w:szCs w:val="20"/>
    </w:rPr>
  </w:style>
  <w:style w:type="character" w:customStyle="1" w:styleId="UnresolvedMention1">
    <w:name w:val="Unresolved Mention1"/>
    <w:basedOn w:val="DefaultParagraphFont"/>
    <w:uiPriority w:val="99"/>
    <w:semiHidden/>
    <w:unhideWhenUsed/>
    <w:rsid w:val="0080429D"/>
    <w:rPr>
      <w:color w:val="605E5C"/>
      <w:shd w:val="clear" w:color="auto" w:fill="E1DFDD"/>
    </w:rPr>
  </w:style>
  <w:style w:type="paragraph" w:styleId="ListBullet">
    <w:name w:val="List Bullet"/>
    <w:basedOn w:val="Normal"/>
    <w:qFormat/>
    <w:rsid w:val="00DF4946"/>
    <w:pPr>
      <w:widowControl/>
      <w:numPr>
        <w:numId w:val="24"/>
      </w:numPr>
      <w:autoSpaceDE/>
      <w:autoSpaceDN/>
      <w:adjustRightInd/>
      <w:spacing w:after="80" w:line="264" w:lineRule="auto"/>
    </w:pPr>
    <w:rPr>
      <w:rFonts w:asciiTheme="minorHAnsi" w:eastAsiaTheme="minorHAnsi" w:hAnsiTheme="minorHAnsi" w:cstheme="minorBidi"/>
      <w:sz w:val="22"/>
      <w:szCs w:val="22"/>
    </w:rPr>
  </w:style>
  <w:style w:type="paragraph" w:customStyle="1" w:styleId="Paragraph">
    <w:name w:val="Paragraph"/>
    <w:basedOn w:val="Normal"/>
    <w:uiPriority w:val="1"/>
    <w:qFormat/>
    <w:rsid w:val="00A11C76"/>
    <w:pPr>
      <w:widowControl/>
      <w:autoSpaceDE/>
      <w:autoSpaceDN/>
      <w:adjustRightInd/>
      <w:spacing w:after="160" w:line="264" w:lineRule="auto"/>
    </w:pPr>
    <w:rPr>
      <w:rFonts w:asciiTheme="minorHAnsi" w:eastAsiaTheme="minorHAnsi" w:hAnsiTheme="minorHAnsi" w:cstheme="minorBidi"/>
      <w:sz w:val="22"/>
      <w:szCs w:val="22"/>
    </w:rPr>
  </w:style>
  <w:style w:type="paragraph" w:styleId="ListNumber">
    <w:name w:val="List Number"/>
    <w:basedOn w:val="Normal"/>
    <w:qFormat/>
    <w:rsid w:val="00A11C76"/>
    <w:pPr>
      <w:widowControl/>
      <w:numPr>
        <w:numId w:val="28"/>
      </w:numPr>
      <w:autoSpaceDE/>
      <w:autoSpaceDN/>
      <w:spacing w:after="80" w:line="264" w:lineRule="auto"/>
    </w:pPr>
    <w:rPr>
      <w:rFonts w:asciiTheme="minorHAnsi" w:eastAsiaTheme="minorHAnsi" w:hAnsiTheme="minorHAnsi" w:cstheme="minorBidi"/>
      <w:sz w:val="22"/>
      <w:szCs w:val="22"/>
    </w:rPr>
  </w:style>
  <w:style w:type="table" w:styleId="TableGrid">
    <w:name w:val="Table Grid"/>
    <w:basedOn w:val="TableNormal"/>
    <w:rsid w:val="00BA4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question">
    <w:name w:val="Numbered_question"/>
    <w:basedOn w:val="Normal"/>
    <w:qFormat/>
    <w:rsid w:val="005E0F98"/>
    <w:pPr>
      <w:keepNext/>
      <w:keepLines/>
      <w:spacing w:before="240" w:after="120"/>
      <w:ind w:left="360" w:hanging="360"/>
    </w:pPr>
    <w:rPr>
      <w:rFonts w:ascii="Times New Roman" w:hAnsi="Times New Roman"/>
      <w:b/>
      <w:bCs/>
    </w:rPr>
  </w:style>
  <w:style w:type="paragraph" w:customStyle="1" w:styleId="StyleNumberedquestionLeft0Hanging031">
    <w:name w:val="Style Numbered_question + Left:  0&quot; Hanging:  0.31&quot;"/>
    <w:basedOn w:val="Numberedquestion"/>
    <w:rsid w:val="00722AFB"/>
    <w:pPr>
      <w:ind w:left="450" w:hanging="450"/>
    </w:pPr>
    <w:rPr>
      <w:szCs w:val="20"/>
    </w:rPr>
  </w:style>
  <w:style w:type="character" w:customStyle="1" w:styleId="normaltextrun">
    <w:name w:val="normaltextrun"/>
    <w:basedOn w:val="DefaultParagraphFont"/>
    <w:rsid w:val="00422BC2"/>
  </w:style>
  <w:style w:type="character" w:styleId="Emphasis">
    <w:name w:val="Emphasis"/>
    <w:basedOn w:val="DefaultParagraphFont"/>
    <w:uiPriority w:val="20"/>
    <w:qFormat/>
    <w:rsid w:val="00954A9F"/>
    <w:rPr>
      <w:i/>
      <w:iCs/>
    </w:rPr>
  </w:style>
  <w:style w:type="paragraph" w:customStyle="1" w:styleId="ParagraphContinued">
    <w:name w:val="Paragraph Continued"/>
    <w:basedOn w:val="Paragraph"/>
    <w:next w:val="Paragraph"/>
    <w:uiPriority w:val="1"/>
    <w:qFormat/>
    <w:rsid w:val="00DD75A7"/>
    <w:pPr>
      <w:spacing w:before="240" w:after="240" w:line="290" w:lineRule="exact"/>
    </w:pPr>
    <w:rPr>
      <w:rFonts w:eastAsia="Times New Roman" w:cs="Times New Roman"/>
      <w:sz w:val="24"/>
      <w:szCs w:val="20"/>
    </w:rPr>
  </w:style>
  <w:style w:type="paragraph" w:customStyle="1" w:styleId="ResHighlightsBullet">
    <w:name w:val="Res_Highlights_Bullet"/>
    <w:basedOn w:val="Normal"/>
    <w:uiPriority w:val="98"/>
    <w:qFormat/>
    <w:rsid w:val="00DD75A7"/>
    <w:pPr>
      <w:widowControl/>
      <w:numPr>
        <w:numId w:val="37"/>
      </w:num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autoSpaceDE/>
      <w:autoSpaceDN/>
      <w:adjustRightInd/>
      <w:spacing w:after="80" w:line="230" w:lineRule="exact"/>
      <w:ind w:right="130"/>
      <w:mirrorIndents/>
    </w:pPr>
    <w:rPr>
      <w:rFonts w:ascii="Arial" w:hAnsi="Arial" w:eastAsiaTheme="minorHAnsi" w:cs="Arial"/>
      <w:kern w:val="22"/>
      <w:sz w:val="20"/>
      <w:szCs w:val="20"/>
      <w14:ligatures w14:val="standardContextual"/>
      <w14:numSpacing w14:val="proportional"/>
    </w:rPr>
  </w:style>
  <w:style w:type="character" w:styleId="Strong">
    <w:name w:val="Strong"/>
    <w:basedOn w:val="DefaultParagraphFont"/>
    <w:uiPriority w:val="22"/>
    <w:qFormat/>
    <w:rsid w:val="007B5F12"/>
    <w:rPr>
      <w:b/>
      <w:bCs/>
    </w:rPr>
  </w:style>
  <w:style w:type="character" w:styleId="UnresolvedMention">
    <w:name w:val="Unresolved Mention"/>
    <w:basedOn w:val="DefaultParagraphFont"/>
    <w:uiPriority w:val="99"/>
    <w:semiHidden/>
    <w:unhideWhenUsed/>
    <w:rsid w:val="007B5F12"/>
    <w:rPr>
      <w:color w:val="605E5C"/>
      <w:shd w:val="clear" w:color="auto" w:fill="E1DFDD"/>
    </w:rPr>
  </w:style>
  <w:style w:type="character" w:styleId="Mention">
    <w:name w:val="Mention"/>
    <w:basedOn w:val="DefaultParagraphFont"/>
    <w:uiPriority w:val="99"/>
    <w:unhideWhenUsed/>
    <w:rsid w:val="00261F79"/>
    <w:rPr>
      <w:color w:val="2B579A"/>
      <w:shd w:val="clear" w:color="auto" w:fill="E1DFDD"/>
    </w:rPr>
  </w:style>
  <w:style w:type="paragraph" w:customStyle="1" w:styleId="Reference">
    <w:name w:val="Reference"/>
    <w:basedOn w:val="Normal"/>
    <w:rsid w:val="00C457A7"/>
    <w:pPr>
      <w:widowControl/>
      <w:spacing w:after="120"/>
      <w:ind w:left="432" w:hanging="432"/>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ol.gov/agencies/oasp/evaluation/topic-areas/employment-training" TargetMode="External" /><Relationship Id="rId11" Type="http://schemas.openxmlformats.org/officeDocument/2006/relationships/hyperlink" Target="https://www.bls.gov/oes/2021/may/oes_nat.htm" TargetMode="External" /><Relationship Id="rId12" Type="http://schemas.openxmlformats.org/officeDocument/2006/relationships/hyperlink" Target="https://doi.org/10.1007/s11162-010-9203-2" TargetMode="External" /><Relationship Id="rId13" Type="http://schemas.openxmlformats.org/officeDocument/2006/relationships/hyperlink" Target="https://doi.org/10.1093/poq/nfu059"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ongress.gov/113/bills/hr803/BILLS-113hr803enr.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prisonpolicy.org/reports/correctionalcontrol2018.html" TargetMode="External" /><Relationship Id="rId2" Type="http://schemas.openxmlformats.org/officeDocument/2006/relationships/hyperlink" Target="https://pdfs.semanticscholar.org/399b/5d1747e721fdb63a5837296619528d361de6.pdf" TargetMode="External" /><Relationship Id="rId3" Type="http://schemas.openxmlformats.org/officeDocument/2006/relationships/hyperlink" Target="https://www.ecfr.gov/current/title-20/chapter-V/part-68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19CDC71A7CA40A53325A070949969" ma:contentTypeVersion="5" ma:contentTypeDescription="Create a new document." ma:contentTypeScope="" ma:versionID="fd9de076bd0161b1ac9dccb8372e52e3">
  <xsd:schema xmlns:xsd="http://www.w3.org/2001/XMLSchema" xmlns:xs="http://www.w3.org/2001/XMLSchema" xmlns:p="http://schemas.microsoft.com/office/2006/metadata/properties" xmlns:ns2="a5d19dd1-82f0-48bc-83be-c2fd4d9172d4" targetNamespace="http://schemas.microsoft.com/office/2006/metadata/properties" ma:root="true" ma:fieldsID="426fa8060efa4190fb9153e5f9377447" ns2:_="">
    <xsd:import namespace="a5d19dd1-82f0-48bc-83be-c2fd4d9172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9dd1-82f0-48bc-83be-c2fd4d917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94C14-DE4D-4657-A37F-28A15594A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19dd1-82f0-48bc-83be-c2fd4d917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B25A3A-0656-4104-88E3-DD8BA471275D}">
  <ds:schemaRefs>
    <ds:schemaRef ds:uri="http://www.w3.org/XML/1998/namespace"/>
    <ds:schemaRef ds:uri="http://purl.org/dc/terms/"/>
    <ds:schemaRef ds:uri="http://schemas.microsoft.com/office/2006/metadata/properties"/>
    <ds:schemaRef ds:uri="http://schemas.openxmlformats.org/package/2006/metadata/core-properties"/>
    <ds:schemaRef ds:uri="a5d19dd1-82f0-48bc-83be-c2fd4d9172d4"/>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D6BA1532-35B3-4D98-A75B-95F7E0C613B8}">
  <ds:schemaRefs>
    <ds:schemaRef ds:uri="http://schemas.openxmlformats.org/officeDocument/2006/bibliography"/>
  </ds:schemaRefs>
</ds:datastoreItem>
</file>

<file path=customXml/itemProps4.xml><?xml version="1.0" encoding="utf-8"?>
<ds:datastoreItem xmlns:ds="http://schemas.openxmlformats.org/officeDocument/2006/customXml" ds:itemID="{F0F1F121-BE2A-4A4D-B18E-C4A80D5AE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6035</Words>
  <Characters>35008</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40962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Hannon, Bradley - ASP</cp:lastModifiedBy>
  <cp:revision>5</cp:revision>
  <cp:lastPrinted>2020-02-19T15:46:00Z</cp:lastPrinted>
  <dcterms:created xsi:type="dcterms:W3CDTF">2023-11-02T18:58:00Z</dcterms:created>
  <dcterms:modified xsi:type="dcterms:W3CDTF">2023-11-21T19:35:00Z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0x0101004EF19CDC71A7CA40A53325A070949969</vt:lpwstr>
  </property>
  <property fmtid="{D5CDD505-2E9C-101B-9397-08002B2CF9AE}" pid="3" name="GrammarlyDocumentId">
    <vt:lpwstr>837d3d47a7b5445780b666bc50aee8798c46ba9e05950479fc7be01ba3d14bbc</vt:lpwstr>
  </property>
</Properties>
</file>