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945CA" w:rsidP="009F4D1C" w:rsidRDefault="00B50861" w14:paraId="6556D67E" w14:textId="76E4D2F4">
      <w:pPr>
        <w:jc w:val="center"/>
      </w:pPr>
      <w:r w:rsidRPr="00EF2363">
        <w:t>Department of the Treasury</w:t>
      </w:r>
    </w:p>
    <w:p w:rsidR="00857B7C" w:rsidP="009F4D1C" w:rsidRDefault="00857B7C" w14:paraId="784806FB" w14:textId="2658E6BF">
      <w:pPr>
        <w:jc w:val="center"/>
      </w:pPr>
      <w:r>
        <w:t>Information Collection Request – Supporting Statement</w:t>
      </w:r>
    </w:p>
    <w:p w:rsidRPr="00EF2363" w:rsidR="00857B7C" w:rsidP="009F4D1C" w:rsidRDefault="00857B7C" w14:paraId="0E3B6460" w14:textId="77777777">
      <w:pPr>
        <w:jc w:val="center"/>
      </w:pPr>
    </w:p>
    <w:p w:rsidR="00605173" w:rsidP="00605173" w:rsidRDefault="00101CDD" w14:paraId="0096AF95" w14:textId="63A4BE96">
      <w:pPr>
        <w:jc w:val="center"/>
      </w:pPr>
      <w:r>
        <w:t>Air Carrier</w:t>
      </w:r>
      <w:r w:rsidR="000F678C">
        <w:t xml:space="preserve"> </w:t>
      </w:r>
      <w:r w:rsidR="004077B3">
        <w:t xml:space="preserve">Loan and </w:t>
      </w:r>
      <w:r w:rsidR="000703E5">
        <w:t>Payroll Support</w:t>
      </w:r>
      <w:r w:rsidR="00C21BCC">
        <w:t xml:space="preserve"> Programs</w:t>
      </w:r>
      <w:r w:rsidR="00605173">
        <w:t xml:space="preserve"> </w:t>
      </w:r>
    </w:p>
    <w:p w:rsidR="00110D39" w:rsidP="00512B62" w:rsidRDefault="00B601FF" w14:paraId="19A6AAA8" w14:textId="7B3CF251">
      <w:pPr>
        <w:jc w:val="center"/>
      </w:pPr>
      <w:r w:rsidRPr="00EF2363">
        <w:t>OMB No. 1505-</w:t>
      </w:r>
      <w:r w:rsidR="00753648">
        <w:t>0263</w:t>
      </w:r>
    </w:p>
    <w:p w:rsidRPr="00EF2363" w:rsidR="009E2FFF" w:rsidP="00512B62" w:rsidRDefault="009E2FFF" w14:paraId="0B765FC6" w14:textId="77777777">
      <w:pPr>
        <w:jc w:val="center"/>
      </w:pPr>
    </w:p>
    <w:p w:rsidRPr="009E2FFF" w:rsidR="00A73FE3" w:rsidP="00857B7C" w:rsidRDefault="00857B7C" w14:paraId="1DF2F638" w14:textId="2652775B">
      <w:pPr>
        <w:rPr>
          <w:b/>
        </w:rPr>
      </w:pPr>
      <w:r w:rsidRPr="009E2FFF">
        <w:rPr>
          <w:b/>
        </w:rPr>
        <w:t>A.  Justification</w:t>
      </w:r>
    </w:p>
    <w:p w:rsidRPr="00857B7C" w:rsidR="00857B7C" w:rsidP="009E2FFF" w:rsidRDefault="00857B7C" w14:paraId="6B22DF04" w14:textId="77777777">
      <w:pPr>
        <w:pStyle w:val="ListParagraph"/>
      </w:pPr>
    </w:p>
    <w:p w:rsidRPr="009E2FFF" w:rsidR="00B50861" w:rsidP="009E2FFF" w:rsidRDefault="00F41911" w14:paraId="0CDC7AD8" w14:textId="77777777">
      <w:pPr>
        <w:numPr>
          <w:ilvl w:val="0"/>
          <w:numId w:val="12"/>
        </w:numPr>
        <w:tabs>
          <w:tab w:val="clear" w:pos="720"/>
        </w:tabs>
        <w:ind w:left="270" w:hanging="270"/>
        <w:rPr>
          <w:u w:val="single"/>
        </w:rPr>
      </w:pPr>
      <w:r w:rsidRPr="009E2FFF">
        <w:t xml:space="preserve"> </w:t>
      </w:r>
      <w:r w:rsidRPr="009E2FFF" w:rsidR="00B50861">
        <w:rPr>
          <w:u w:val="single"/>
        </w:rPr>
        <w:t>Circumstances necessitating the collection of information</w:t>
      </w:r>
    </w:p>
    <w:p w:rsidRPr="00EF2363" w:rsidR="00990870" w:rsidP="00990870" w:rsidRDefault="00990870" w14:paraId="0161624D" w14:textId="77777777">
      <w:pPr>
        <w:ind w:left="360"/>
        <w:rPr>
          <w:u w:val="single"/>
        </w:rPr>
      </w:pPr>
    </w:p>
    <w:p w:rsidR="004077B3" w:rsidP="00CC7579" w:rsidRDefault="009B60FB" w14:paraId="53AB89F3" w14:textId="747E7610">
      <w:pPr>
        <w:autoSpaceDE w:val="0"/>
        <w:autoSpaceDN w:val="0"/>
        <w:adjustRightInd w:val="0"/>
      </w:pPr>
      <w:r>
        <w:t xml:space="preserve">On March 27, 2020, the President signed the </w:t>
      </w:r>
      <w:r w:rsidRPr="009B60FB">
        <w:t>“Coronavirus Aid, Relief, and Economic S</w:t>
      </w:r>
      <w:r>
        <w:t>ecurity Act” or the “CARES Act”</w:t>
      </w:r>
      <w:r w:rsidR="00F6525E">
        <w:t xml:space="preserve"> (</w:t>
      </w:r>
      <w:r w:rsidRPr="00355B18" w:rsidR="00F6525E">
        <w:t>P.L. 116-136</w:t>
      </w:r>
      <w:r w:rsidR="00F6525E">
        <w:t>)</w:t>
      </w:r>
      <w:r w:rsidR="00E92BA9">
        <w:t>,</w:t>
      </w:r>
      <w:r>
        <w:t xml:space="preserve"> </w:t>
      </w:r>
      <w:r w:rsidRPr="009B60FB">
        <w:t xml:space="preserve">which provides emergency assistance and health care response for individuals, families and businesses affected by the COVID-19 </w:t>
      </w:r>
      <w:proofErr w:type="gramStart"/>
      <w:r w:rsidRPr="009B60FB">
        <w:t>pandemic, and</w:t>
      </w:r>
      <w:proofErr w:type="gramEnd"/>
      <w:r w:rsidRPr="009B60FB">
        <w:t xml:space="preserve"> provide</w:t>
      </w:r>
      <w:r w:rsidR="00AF7E11">
        <w:t>s</w:t>
      </w:r>
      <w:r w:rsidRPr="009B60FB">
        <w:t xml:space="preserve"> emerg</w:t>
      </w:r>
      <w:r>
        <w:t>ency appropriations to support executive b</w:t>
      </w:r>
      <w:r w:rsidRPr="009B60FB">
        <w:t>ranch agency operations during the COVID-19 pandemic.</w:t>
      </w:r>
      <w:r w:rsidR="00E92BA9">
        <w:t xml:space="preserve">  </w:t>
      </w:r>
      <w:r w:rsidR="00DA05AC">
        <w:t xml:space="preserve">The </w:t>
      </w:r>
      <w:r w:rsidR="00A468E5">
        <w:t xml:space="preserve">CARES </w:t>
      </w:r>
      <w:r w:rsidR="00DA05AC">
        <w:t>Act</w:t>
      </w:r>
      <w:r w:rsidR="00CC7579">
        <w:t xml:space="preserve"> </w:t>
      </w:r>
      <w:r w:rsidRPr="00DA05AC" w:rsidR="00DA05AC">
        <w:t>authorize</w:t>
      </w:r>
      <w:r w:rsidR="00DC0ACB">
        <w:t>d</w:t>
      </w:r>
      <w:r w:rsidRPr="00DA05AC" w:rsidR="00DA05AC">
        <w:t xml:space="preserve"> the Secretary of the Treasury to make loans, loan guarantees, and other investments that do not exceed $500 billion in the aggregate to provide liquidity to eligible businesses</w:t>
      </w:r>
      <w:r w:rsidR="00404BAE">
        <w:rPr>
          <w:color w:val="333333"/>
          <w:shd w:val="clear" w:color="auto" w:fill="FFFFFF"/>
        </w:rPr>
        <w:t>, States, and municipalities</w:t>
      </w:r>
      <w:r w:rsidRPr="00DA05AC" w:rsidR="00DA05AC">
        <w:t xml:space="preserve"> related to losses incurred </w:t>
      </w:r>
      <w:proofErr w:type="gramStart"/>
      <w:r w:rsidRPr="00DA05AC" w:rsidR="00DA05AC">
        <w:t>as a result of</w:t>
      </w:r>
      <w:proofErr w:type="gramEnd"/>
      <w:r w:rsidRPr="00DA05AC" w:rsidR="00DA05AC">
        <w:t xml:space="preserve"> coronavirus.  </w:t>
      </w:r>
      <w:r w:rsidR="00C21BCC">
        <w:t xml:space="preserve">Section </w:t>
      </w:r>
      <w:r w:rsidRPr="00355B18" w:rsidR="00C21BCC">
        <w:t xml:space="preserve">4003(b)(1)-(3) </w:t>
      </w:r>
      <w:r w:rsidR="00C21BCC">
        <w:t>authorize</w:t>
      </w:r>
      <w:r w:rsidR="00DC0ACB">
        <w:t>d</w:t>
      </w:r>
      <w:r w:rsidR="00C21BCC">
        <w:t xml:space="preserve"> the Secretary to ma</w:t>
      </w:r>
      <w:r w:rsidR="00AF7E11">
        <w:t>k</w:t>
      </w:r>
      <w:r w:rsidR="00C21BCC">
        <w:t>e loans</w:t>
      </w:r>
      <w:r w:rsidR="004B59B5">
        <w:t xml:space="preserve"> and </w:t>
      </w:r>
      <w:r w:rsidR="00C21BCC">
        <w:t>loan guarantees available to passenger air carriers</w:t>
      </w:r>
      <w:r w:rsidR="00C63D9B">
        <w:t xml:space="preserve"> and </w:t>
      </w:r>
      <w:r w:rsidR="00C21BCC">
        <w:t xml:space="preserve">cargo air carriers, </w:t>
      </w:r>
      <w:r w:rsidR="00C63D9B">
        <w:t xml:space="preserve">as well as certain related businesses, </w:t>
      </w:r>
      <w:r w:rsidR="00C21BCC">
        <w:t xml:space="preserve">and businesses critical to maintaining national security. </w:t>
      </w:r>
      <w:r w:rsidR="00CC7579">
        <w:t xml:space="preserve"> </w:t>
      </w:r>
      <w:r w:rsidR="00E92BA9">
        <w:t xml:space="preserve">Section </w:t>
      </w:r>
      <w:r w:rsidRPr="00355B18" w:rsidR="00E92BA9">
        <w:t>4112</w:t>
      </w:r>
      <w:r w:rsidR="00E92BA9">
        <w:t xml:space="preserve"> authorize</w:t>
      </w:r>
      <w:r w:rsidR="00DC0ACB">
        <w:t>d</w:t>
      </w:r>
      <w:r w:rsidR="00E92BA9">
        <w:t xml:space="preserve"> the Secretary to provide </w:t>
      </w:r>
      <w:r w:rsidR="005A6959">
        <w:t>payroll support</w:t>
      </w:r>
      <w:r w:rsidR="00E92BA9">
        <w:t xml:space="preserve"> totaling $32 billion to air carriers and certain contractors</w:t>
      </w:r>
      <w:r w:rsidR="002B47D8">
        <w:t xml:space="preserve"> (PSP1)</w:t>
      </w:r>
      <w:r w:rsidR="00E92BA9">
        <w:t>.</w:t>
      </w:r>
      <w:r w:rsidR="00130157">
        <w:t xml:space="preserve">  While Treasury is no longer accepting loan program or PSP1 applications, both programs include ongoing compliance reporting and recordkeeping requirements.</w:t>
      </w:r>
      <w:r w:rsidR="00E92BA9">
        <w:t xml:space="preserve">  </w:t>
      </w:r>
    </w:p>
    <w:p w:rsidR="00E202B4" w:rsidP="00CC7579" w:rsidRDefault="00E202B4" w14:paraId="2A87D1C0" w14:textId="37866E05">
      <w:pPr>
        <w:autoSpaceDE w:val="0"/>
        <w:autoSpaceDN w:val="0"/>
        <w:adjustRightInd w:val="0"/>
      </w:pPr>
    </w:p>
    <w:p w:rsidR="00662F2A" w:rsidP="00CC7579" w:rsidRDefault="00E202B4" w14:paraId="3B8E1254" w14:textId="0E3D3031">
      <w:pPr>
        <w:autoSpaceDE w:val="0"/>
        <w:autoSpaceDN w:val="0"/>
        <w:adjustRightInd w:val="0"/>
      </w:pPr>
      <w:r>
        <w:t xml:space="preserve">On December </w:t>
      </w:r>
      <w:r w:rsidR="007916AF">
        <w:t>27</w:t>
      </w:r>
      <w:r>
        <w:t xml:space="preserve">, 2020, the President signed the </w:t>
      </w:r>
      <w:r w:rsidR="00101CDD">
        <w:t>Consolidated Appropriations</w:t>
      </w:r>
      <w:r>
        <w:t xml:space="preserve"> Act</w:t>
      </w:r>
      <w:r w:rsidR="00A47B69">
        <w:t>,</w:t>
      </w:r>
      <w:r w:rsidR="00101CDD">
        <w:t xml:space="preserve"> 2021</w:t>
      </w:r>
      <w:r>
        <w:t xml:space="preserve"> or the “</w:t>
      </w:r>
      <w:r w:rsidR="003D6C48">
        <w:t xml:space="preserve">Appropriations </w:t>
      </w:r>
      <w:r>
        <w:t>Act</w:t>
      </w:r>
      <w:r w:rsidR="006132B6">
        <w:t>,</w:t>
      </w:r>
      <w:r>
        <w:t>”</w:t>
      </w:r>
      <w:r w:rsidR="00E92BA9">
        <w:t xml:space="preserve"> which provides additional emergency assistance and health care response for individuals, </w:t>
      </w:r>
      <w:r w:rsidRPr="009B60FB" w:rsidR="00E92BA9">
        <w:t>families and businesses affected by the COVID-19 pandemic</w:t>
      </w:r>
      <w:r w:rsidR="00E92BA9">
        <w:t>.</w:t>
      </w:r>
      <w:r w:rsidR="005A6959">
        <w:t xml:space="preserve">  </w:t>
      </w:r>
      <w:r w:rsidR="00EA64AE">
        <w:t>Subtitle A of Title IV of</w:t>
      </w:r>
      <w:r w:rsidR="00101CDD">
        <w:t xml:space="preserve"> Division N </w:t>
      </w:r>
      <w:r w:rsidR="00EA64AE">
        <w:t xml:space="preserve">of the Appropriations Act (the PSP Extension Law) </w:t>
      </w:r>
      <w:r w:rsidR="005A6959">
        <w:t>authorizes the Secretary to provide financial assistance totaling $16 billion to passenger air carriers and certain contractors</w:t>
      </w:r>
      <w:r w:rsidR="002B47D8">
        <w:t xml:space="preserve"> (PSP2)</w:t>
      </w:r>
      <w:r w:rsidR="005A6959">
        <w:t xml:space="preserve">. </w:t>
      </w:r>
    </w:p>
    <w:p w:rsidR="00013A79" w:rsidP="00CC7579" w:rsidRDefault="00013A79" w14:paraId="5C6E8B9C" w14:textId="17EEC846">
      <w:pPr>
        <w:autoSpaceDE w:val="0"/>
        <w:autoSpaceDN w:val="0"/>
        <w:adjustRightInd w:val="0"/>
      </w:pPr>
    </w:p>
    <w:p w:rsidR="00013A79" w:rsidP="00CC7579" w:rsidRDefault="00013A79" w14:paraId="3E85EEC9" w14:textId="27FE1415">
      <w:pPr>
        <w:autoSpaceDE w:val="0"/>
        <w:autoSpaceDN w:val="0"/>
        <w:adjustRightInd w:val="0"/>
      </w:pPr>
      <w:r>
        <w:t xml:space="preserve">On </w:t>
      </w:r>
      <w:r w:rsidR="006276EF">
        <w:t>March 11, 2021, the President signed the American Rescue Plan Act</w:t>
      </w:r>
      <w:r w:rsidR="00DA3087">
        <w:t>, 2021, which provid</w:t>
      </w:r>
      <w:r w:rsidR="00732A75">
        <w:t xml:space="preserve">ed additional emergency assistance and economic relief in response to the COVID-19 pandemic. </w:t>
      </w:r>
      <w:r w:rsidR="004F7217">
        <w:t xml:space="preserve">Subtitle </w:t>
      </w:r>
      <w:r w:rsidR="00295F1C">
        <w:t xml:space="preserve">C of Title </w:t>
      </w:r>
      <w:r w:rsidR="008D123C">
        <w:t xml:space="preserve">VII </w:t>
      </w:r>
      <w:r w:rsidR="00840190">
        <w:t xml:space="preserve">of the </w:t>
      </w:r>
      <w:r w:rsidR="00420DCF">
        <w:t xml:space="preserve">American Rescue Plan Act authorizes the Secretary to </w:t>
      </w:r>
      <w:r w:rsidR="000B6209">
        <w:t xml:space="preserve">provide </w:t>
      </w:r>
      <w:r w:rsidR="00327401">
        <w:t>financial assistance totaling $15 billion to passenger air carriers and certain contractors</w:t>
      </w:r>
      <w:r w:rsidR="00A564D9">
        <w:t xml:space="preserve"> that received financial assistance under PSP2</w:t>
      </w:r>
      <w:r w:rsidR="00327401">
        <w:t xml:space="preserve"> </w:t>
      </w:r>
      <w:r w:rsidR="00BB1028">
        <w:t>(PSP3).</w:t>
      </w:r>
    </w:p>
    <w:p w:rsidR="00662F2A" w:rsidP="00CC7579" w:rsidRDefault="00662F2A" w14:paraId="1053177C" w14:textId="77777777">
      <w:pPr>
        <w:autoSpaceDE w:val="0"/>
        <w:autoSpaceDN w:val="0"/>
        <w:adjustRightInd w:val="0"/>
      </w:pPr>
    </w:p>
    <w:p w:rsidR="00662F2A" w:rsidP="00CC7579" w:rsidRDefault="00662F2A" w14:paraId="4D444CF0" w14:textId="317218AA">
      <w:pPr>
        <w:autoSpaceDE w:val="0"/>
        <w:autoSpaceDN w:val="0"/>
        <w:adjustRightInd w:val="0"/>
      </w:pPr>
      <w:r w:rsidRPr="00CC7579">
        <w:t>As part of</w:t>
      </w:r>
      <w:r>
        <w:t xml:space="preserve"> </w:t>
      </w:r>
      <w:r w:rsidRPr="00CC7579">
        <w:t>the loan</w:t>
      </w:r>
      <w:r w:rsidR="00255968">
        <w:t>,</w:t>
      </w:r>
      <w:r w:rsidRPr="00CC7579">
        <w:t xml:space="preserve"> </w:t>
      </w:r>
      <w:r w:rsidR="00255968">
        <w:t>PSP1, PSP2</w:t>
      </w:r>
      <w:r w:rsidR="00BB1028">
        <w:t>, and PSP3</w:t>
      </w:r>
      <w:r w:rsidR="00255968">
        <w:t xml:space="preserve"> </w:t>
      </w:r>
      <w:r w:rsidR="00A47B69">
        <w:t>a</w:t>
      </w:r>
      <w:r w:rsidRPr="00CC7579">
        <w:t>greements, applicants will need to</w:t>
      </w:r>
      <w:r>
        <w:t xml:space="preserve"> </w:t>
      </w:r>
      <w:r w:rsidRPr="00CC7579">
        <w:t>maintain records for a period of</w:t>
      </w:r>
      <w:r w:rsidR="000F678C">
        <w:t xml:space="preserve"> </w:t>
      </w:r>
      <w:r w:rsidR="00A47B69">
        <w:t xml:space="preserve">five </w:t>
      </w:r>
      <w:r w:rsidRPr="00CC7579">
        <w:t>years</w:t>
      </w:r>
      <w:r w:rsidR="00A47B69">
        <w:t xml:space="preserve"> or more</w:t>
      </w:r>
      <w:r w:rsidRPr="00CC7579">
        <w:t xml:space="preserve">, depending on the </w:t>
      </w:r>
      <w:r>
        <w:t>agreement</w:t>
      </w:r>
      <w:r w:rsidRPr="00CC7579">
        <w:t xml:space="preserve"> type</w:t>
      </w:r>
      <w:r w:rsidR="00A47B69">
        <w:t xml:space="preserve"> and period of performance</w:t>
      </w:r>
      <w:r w:rsidRPr="00CC7579">
        <w:t>, as</w:t>
      </w:r>
      <w:r>
        <w:t xml:space="preserve"> </w:t>
      </w:r>
      <w:r w:rsidRPr="00CC7579">
        <w:t>well as submit compliance reports</w:t>
      </w:r>
      <w:r>
        <w:t xml:space="preserve"> </w:t>
      </w:r>
      <w:r w:rsidRPr="00CC7579">
        <w:t>quarter</w:t>
      </w:r>
      <w:r>
        <w:t xml:space="preserve">ly to ensure funding is used in </w:t>
      </w:r>
      <w:r w:rsidRPr="00CC7579">
        <w:t>accordance with the agreements and aid</w:t>
      </w:r>
      <w:r>
        <w:t xml:space="preserve"> </w:t>
      </w:r>
      <w:r w:rsidRPr="00CC7579">
        <w:t>statutory reporting requirements.</w:t>
      </w:r>
    </w:p>
    <w:p w:rsidR="00FA7CED" w:rsidP="00205BDF" w:rsidRDefault="00FA7CED" w14:paraId="56B653D0" w14:textId="77777777">
      <w:pPr>
        <w:rPr>
          <w:b/>
          <w:u w:val="single"/>
        </w:rPr>
      </w:pPr>
    </w:p>
    <w:p w:rsidR="00D35FCF" w:rsidP="00205BDF" w:rsidRDefault="00D35FCF" w14:paraId="33E5AE0F" w14:textId="628E85ED">
      <w:pPr>
        <w:rPr>
          <w:b/>
          <w:u w:val="single"/>
        </w:rPr>
      </w:pPr>
      <w:r w:rsidRPr="00D96EE2">
        <w:rPr>
          <w:b/>
          <w:u w:val="single"/>
        </w:rPr>
        <w:t xml:space="preserve">Applications for </w:t>
      </w:r>
      <w:r>
        <w:rPr>
          <w:b/>
          <w:u w:val="single"/>
        </w:rPr>
        <w:t>PSP2</w:t>
      </w:r>
      <w:r w:rsidRPr="00D96EE2">
        <w:rPr>
          <w:b/>
          <w:u w:val="single"/>
        </w:rPr>
        <w:t xml:space="preserve"> </w:t>
      </w:r>
      <w:r>
        <w:rPr>
          <w:b/>
          <w:u w:val="single"/>
        </w:rPr>
        <w:t xml:space="preserve">under Sections </w:t>
      </w:r>
      <w:r w:rsidRPr="00B7122D">
        <w:rPr>
          <w:b/>
          <w:u w:val="single"/>
        </w:rPr>
        <w:t>402</w:t>
      </w:r>
      <w:r>
        <w:rPr>
          <w:b/>
          <w:u w:val="single"/>
        </w:rPr>
        <w:t xml:space="preserve"> and </w:t>
      </w:r>
      <w:r w:rsidRPr="00B7122D">
        <w:rPr>
          <w:b/>
          <w:u w:val="single"/>
        </w:rPr>
        <w:t>403</w:t>
      </w:r>
      <w:r>
        <w:rPr>
          <w:b/>
          <w:u w:val="single"/>
        </w:rPr>
        <w:t xml:space="preserve"> </w:t>
      </w:r>
      <w:r w:rsidR="00AF35A7">
        <w:rPr>
          <w:b/>
          <w:u w:val="single"/>
        </w:rPr>
        <w:t xml:space="preserve">of </w:t>
      </w:r>
      <w:r>
        <w:rPr>
          <w:b/>
          <w:u w:val="single"/>
        </w:rPr>
        <w:t xml:space="preserve">the </w:t>
      </w:r>
      <w:r w:rsidR="00EA64AE">
        <w:rPr>
          <w:b/>
          <w:u w:val="single"/>
        </w:rPr>
        <w:t>PSP Extension Law</w:t>
      </w:r>
    </w:p>
    <w:p w:rsidR="00D35FCF" w:rsidP="00205BDF" w:rsidRDefault="00D35FCF" w14:paraId="0783B6F7" w14:textId="77777777"/>
    <w:p w:rsidR="00D35FCF" w:rsidP="00205BDF" w:rsidRDefault="00D35FCF" w14:paraId="479A731F" w14:textId="2D45D933">
      <w:r>
        <w:t xml:space="preserve">Under PSP2, Treasury will provide payroll support to passenger air carriers and contractors (as defined in Section </w:t>
      </w:r>
      <w:r w:rsidRPr="00B7122D">
        <w:t>401</w:t>
      </w:r>
      <w:r>
        <w:t xml:space="preserve"> of </w:t>
      </w:r>
      <w:r w:rsidR="00EA64AE">
        <w:t>the PSP Extension Law</w:t>
      </w:r>
      <w:r>
        <w:t xml:space="preserve">) exclusively for the continuation of payment of </w:t>
      </w:r>
      <w:r>
        <w:lastRenderedPageBreak/>
        <w:t xml:space="preserve">employee wages, salaries, and benefits.  Section </w:t>
      </w:r>
      <w:r w:rsidRPr="00B7122D">
        <w:t>403(b)(1)(B)</w:t>
      </w:r>
      <w:r>
        <w:t xml:space="preserve"> requires the Secretary, </w:t>
      </w:r>
      <w:r w:rsidRPr="00570E04">
        <w:t>to the maximum extent practicable</w:t>
      </w:r>
      <w:r>
        <w:t xml:space="preserve">, to publish streamlined and expedited procedures not later than 5 days after the date of enactment of the </w:t>
      </w:r>
      <w:r w:rsidR="00EA64AE">
        <w:t>PSP Extension Law</w:t>
      </w:r>
      <w:r>
        <w:t xml:space="preserve">. </w:t>
      </w:r>
      <w:r w:rsidR="00A47B69">
        <w:t xml:space="preserve"> Such procedures were issued on December 29, 2020.</w:t>
      </w:r>
    </w:p>
    <w:p w:rsidR="0070743E" w:rsidP="00205BDF" w:rsidRDefault="0070743E" w14:paraId="347D93E4" w14:textId="509F6A05"/>
    <w:p w:rsidR="000362CD" w:rsidRDefault="0070743E" w14:paraId="36F366DD" w14:textId="0F831600">
      <w:r>
        <w:t xml:space="preserve">PSP2 applicants will </w:t>
      </w:r>
      <w:r w:rsidR="00A47B69">
        <w:t>be required to provide information to Treasury to enable Treasury to determine their eligibility for the program the amount they are entitled to receive in the program</w:t>
      </w:r>
      <w:r w:rsidR="000362CD">
        <w:t>,</w:t>
      </w:r>
      <w:r w:rsidR="00A47B69">
        <w:t xml:space="preserve"> </w:t>
      </w:r>
      <w:r w:rsidR="000362CD">
        <w:t xml:space="preserve">and </w:t>
      </w:r>
      <w:r w:rsidR="000D6D50">
        <w:t xml:space="preserve">adherence to </w:t>
      </w:r>
      <w:r w:rsidR="000362CD">
        <w:t xml:space="preserve">assurances of continued compliance </w:t>
      </w:r>
      <w:r w:rsidR="00BF409C">
        <w:t>and</w:t>
      </w:r>
      <w:r w:rsidR="000362CD">
        <w:t xml:space="preserve"> </w:t>
      </w:r>
      <w:r w:rsidR="00BF409C">
        <w:t>employee recall requirements</w:t>
      </w:r>
      <w:r w:rsidR="000362CD">
        <w:t xml:space="preserve">.  </w:t>
      </w:r>
      <w:r w:rsidR="00F56E0F">
        <w:t>Certain applicants must provide</w:t>
      </w:r>
      <w:r w:rsidR="000362CD">
        <w:t xml:space="preserve"> sworn financial statements or other appropriate data, </w:t>
      </w:r>
      <w:r w:rsidR="00BF409C">
        <w:t>such as</w:t>
      </w:r>
      <w:r w:rsidR="00E602A1">
        <w:t xml:space="preserve"> information </w:t>
      </w:r>
      <w:r w:rsidR="000362CD">
        <w:t xml:space="preserve">necessary to </w:t>
      </w:r>
      <w:r w:rsidR="00691596">
        <w:t xml:space="preserve">determine what </w:t>
      </w:r>
      <w:r w:rsidR="000D6D50">
        <w:t xml:space="preserve">the applicant </w:t>
      </w:r>
      <w:r w:rsidR="00691596">
        <w:t xml:space="preserve">would have been required to report </w:t>
      </w:r>
      <w:r w:rsidR="00E602A1">
        <w:t xml:space="preserve">to the Department of Transportation (DOT) if the applicant had a </w:t>
      </w:r>
      <w:r w:rsidR="000362CD">
        <w:t>Form 41</w:t>
      </w:r>
      <w:r w:rsidR="00E602A1">
        <w:t xml:space="preserve"> filing requirement</w:t>
      </w:r>
      <w:r w:rsidR="00A47B69">
        <w:t>.</w:t>
      </w:r>
      <w:r w:rsidR="00BF409C">
        <w:t xml:space="preserve">  Certain applicants that participated in PSP1 will be required to validate or provide further information on their PSP1 awardable amount. </w:t>
      </w:r>
      <w:r w:rsidR="00A47B69">
        <w:t xml:space="preserve">  </w:t>
      </w:r>
    </w:p>
    <w:p w:rsidR="00655DDC" w:rsidRDefault="00655DDC" w14:paraId="32EFC3E9" w14:textId="77777777"/>
    <w:p w:rsidR="00655DDC" w:rsidP="00655DDC" w:rsidRDefault="00655DDC" w14:paraId="3B5FBF7A" w14:textId="77777777">
      <w:pPr>
        <w:rPr>
          <w:b/>
          <w:u w:val="single"/>
        </w:rPr>
      </w:pPr>
      <w:r>
        <w:rPr>
          <w:b/>
          <w:u w:val="single"/>
        </w:rPr>
        <w:t>Applications for PSP3 under Section 7301 of the American Rescue Plan Act</w:t>
      </w:r>
    </w:p>
    <w:p w:rsidR="00655DDC" w:rsidP="00655DDC" w:rsidRDefault="00655DDC" w14:paraId="63417C64" w14:textId="77777777">
      <w:pPr>
        <w:rPr>
          <w:b/>
          <w:u w:val="single"/>
        </w:rPr>
      </w:pPr>
    </w:p>
    <w:p w:rsidRPr="00B55D18" w:rsidR="00655DDC" w:rsidP="00655DDC" w:rsidRDefault="00655DDC" w14:paraId="624DF6B2" w14:textId="77777777">
      <w:pPr>
        <w:rPr>
          <w:bCs/>
        </w:rPr>
      </w:pPr>
      <w:r w:rsidRPr="00C049FB">
        <w:rPr>
          <w:bCs/>
        </w:rPr>
        <w:t>Under PSP3</w:t>
      </w:r>
      <w:r>
        <w:rPr>
          <w:bCs/>
        </w:rPr>
        <w:t xml:space="preserve">, </w:t>
      </w:r>
      <w:r w:rsidRPr="00B55D18">
        <w:rPr>
          <w:bCs/>
        </w:rPr>
        <w:t xml:space="preserve">Treasury will provide payroll support to passenger air carriers and contractors (as defined in Section </w:t>
      </w:r>
      <w:r>
        <w:rPr>
          <w:bCs/>
        </w:rPr>
        <w:t>7301</w:t>
      </w:r>
      <w:r w:rsidRPr="00B55D18">
        <w:rPr>
          <w:bCs/>
        </w:rPr>
        <w:t xml:space="preserve">) exclusively for the continuation of payment of employee wages, salaries, and benefits.  Section </w:t>
      </w:r>
      <w:r>
        <w:rPr>
          <w:bCs/>
        </w:rPr>
        <w:t>7301</w:t>
      </w:r>
      <w:r w:rsidRPr="00B55D18">
        <w:rPr>
          <w:bCs/>
        </w:rPr>
        <w:t>(b)(</w:t>
      </w:r>
      <w:r>
        <w:rPr>
          <w:bCs/>
        </w:rPr>
        <w:t>3</w:t>
      </w:r>
      <w:r w:rsidRPr="00B55D18">
        <w:rPr>
          <w:bCs/>
        </w:rPr>
        <w:t xml:space="preserve">)(B) requires the Secretary, to the maximum extent practicable, to publish streamlined and expedited procedures not later than 5 days after the date of enactment of the </w:t>
      </w:r>
      <w:r>
        <w:rPr>
          <w:bCs/>
        </w:rPr>
        <w:t>American Rescue Plan Act</w:t>
      </w:r>
      <w:r w:rsidRPr="00B55D18">
        <w:rPr>
          <w:bCs/>
        </w:rPr>
        <w:t xml:space="preserve">.  Such procedures were issued on </w:t>
      </w:r>
      <w:r>
        <w:rPr>
          <w:bCs/>
        </w:rPr>
        <w:t>March 16</w:t>
      </w:r>
      <w:r w:rsidRPr="00B55D18">
        <w:rPr>
          <w:bCs/>
        </w:rPr>
        <w:t>, 202</w:t>
      </w:r>
      <w:r>
        <w:rPr>
          <w:bCs/>
        </w:rPr>
        <w:t>1</w:t>
      </w:r>
      <w:r w:rsidRPr="00B55D18">
        <w:rPr>
          <w:bCs/>
        </w:rPr>
        <w:t>.</w:t>
      </w:r>
    </w:p>
    <w:p w:rsidRPr="00B55D18" w:rsidR="00655DDC" w:rsidP="00655DDC" w:rsidRDefault="00655DDC" w14:paraId="63FDF9DB" w14:textId="77777777">
      <w:pPr>
        <w:rPr>
          <w:bCs/>
        </w:rPr>
      </w:pPr>
    </w:p>
    <w:p w:rsidRPr="00C049FB" w:rsidR="00655DDC" w:rsidP="00655DDC" w:rsidRDefault="00655DDC" w14:paraId="216735AE" w14:textId="77777777">
      <w:pPr>
        <w:rPr>
          <w:bCs/>
        </w:rPr>
      </w:pPr>
      <w:r>
        <w:rPr>
          <w:bCs/>
        </w:rPr>
        <w:t>Recipients of PSP3 assistance are only eligible to passenger air carriers and contractors that (1) received assistance under PSP2; (2) provided</w:t>
      </w:r>
      <w:r w:rsidRPr="00D76517">
        <w:rPr>
          <w:bCs/>
        </w:rPr>
        <w:t xml:space="preserve"> air</w:t>
      </w:r>
      <w:r>
        <w:rPr>
          <w:bCs/>
        </w:rPr>
        <w:t xml:space="preserve"> </w:t>
      </w:r>
      <w:r w:rsidRPr="00D76517">
        <w:rPr>
          <w:bCs/>
        </w:rPr>
        <w:t>transportation or performed eligible contractor functions, as the case may be, as of March 31,</w:t>
      </w:r>
      <w:r>
        <w:rPr>
          <w:bCs/>
        </w:rPr>
        <w:t xml:space="preserve"> </w:t>
      </w:r>
      <w:r w:rsidRPr="00D76517">
        <w:rPr>
          <w:bCs/>
        </w:rPr>
        <w:t>2021; and (3) has not conducted involuntary terminations or furloughs or reduced pay rates or</w:t>
      </w:r>
      <w:r>
        <w:rPr>
          <w:bCs/>
        </w:rPr>
        <w:t xml:space="preserve"> </w:t>
      </w:r>
      <w:r w:rsidRPr="00D76517">
        <w:rPr>
          <w:bCs/>
        </w:rPr>
        <w:t>benefits between March 31, 2021, and the date on which the air carrier or contractor makes</w:t>
      </w:r>
      <w:r>
        <w:rPr>
          <w:bCs/>
        </w:rPr>
        <w:t xml:space="preserve"> </w:t>
      </w:r>
      <w:r w:rsidRPr="00D76517">
        <w:rPr>
          <w:bCs/>
        </w:rPr>
        <w:t>certain certifications that will be included in its PSP3 agreement with Treasury</w:t>
      </w:r>
      <w:r>
        <w:rPr>
          <w:bCs/>
        </w:rPr>
        <w:t xml:space="preserve">. In addition, the American Rescue Plan Act requires that Treasury </w:t>
      </w:r>
      <w:proofErr w:type="gramStart"/>
      <w:r>
        <w:rPr>
          <w:bCs/>
        </w:rPr>
        <w:t>provide assistance</w:t>
      </w:r>
      <w:proofErr w:type="gramEnd"/>
      <w:r>
        <w:rPr>
          <w:bCs/>
        </w:rPr>
        <w:t xml:space="preserve"> under PSP3 in the same form and on the same terms and conditions as PSP2. PSP3 recipients</w:t>
      </w:r>
      <w:r w:rsidRPr="00B55D18">
        <w:rPr>
          <w:bCs/>
        </w:rPr>
        <w:t xml:space="preserve"> that participated in PSP1</w:t>
      </w:r>
      <w:r>
        <w:rPr>
          <w:bCs/>
        </w:rPr>
        <w:t xml:space="preserve"> and PSP2 or solely PSP2</w:t>
      </w:r>
      <w:r w:rsidRPr="00B55D18">
        <w:rPr>
          <w:bCs/>
        </w:rPr>
        <w:t xml:space="preserve"> will be required to validate or provide further information on their PSP1</w:t>
      </w:r>
      <w:r>
        <w:rPr>
          <w:bCs/>
        </w:rPr>
        <w:t xml:space="preserve"> and PSP2</w:t>
      </w:r>
      <w:r w:rsidRPr="00B55D18">
        <w:rPr>
          <w:bCs/>
        </w:rPr>
        <w:t xml:space="preserve"> awardable amount</w:t>
      </w:r>
      <w:r>
        <w:rPr>
          <w:bCs/>
        </w:rPr>
        <w:t>s</w:t>
      </w:r>
      <w:r w:rsidRPr="00B55D18">
        <w:rPr>
          <w:bCs/>
        </w:rPr>
        <w:t xml:space="preserve">.   </w:t>
      </w:r>
    </w:p>
    <w:p w:rsidR="00EA64AE" w:rsidRDefault="00EA64AE" w14:paraId="29CC86B3" w14:textId="77777777"/>
    <w:p w:rsidRPr="00E33C09" w:rsidR="007D000F" w:rsidP="00DF749E" w:rsidRDefault="00D35FCF" w14:paraId="07D8A611" w14:textId="012909CD">
      <w:pPr>
        <w:rPr>
          <w:b/>
          <w:bCs/>
          <w:u w:val="single"/>
        </w:rPr>
      </w:pPr>
      <w:r>
        <w:rPr>
          <w:b/>
          <w:bCs/>
          <w:u w:val="single"/>
        </w:rPr>
        <w:t>PSP1</w:t>
      </w:r>
      <w:r w:rsidR="00A71491">
        <w:rPr>
          <w:b/>
          <w:bCs/>
          <w:u w:val="single"/>
        </w:rPr>
        <w:t>,</w:t>
      </w:r>
      <w:r>
        <w:rPr>
          <w:b/>
          <w:bCs/>
          <w:u w:val="single"/>
        </w:rPr>
        <w:t xml:space="preserve"> PSP2</w:t>
      </w:r>
      <w:r w:rsidR="00A71491">
        <w:rPr>
          <w:b/>
          <w:bCs/>
          <w:u w:val="single"/>
        </w:rPr>
        <w:t>, and PSP3</w:t>
      </w:r>
      <w:r>
        <w:rPr>
          <w:b/>
          <w:bCs/>
          <w:u w:val="single"/>
        </w:rPr>
        <w:t xml:space="preserve"> Compliance Requirements</w:t>
      </w:r>
    </w:p>
    <w:p w:rsidR="00D35FCF" w:rsidP="00DF749E" w:rsidRDefault="00D35FCF" w14:paraId="04938A9C" w14:textId="77777777"/>
    <w:p w:rsidR="00D35FCF" w:rsidP="00DF749E" w:rsidRDefault="00D35FCF" w14:paraId="6776B9D8" w14:textId="5A2BAFA0">
      <w:r>
        <w:t>Air carriers and contractors that receive payroll support pursuant to PSP1</w:t>
      </w:r>
      <w:r w:rsidR="00A71491">
        <w:t xml:space="preserve">, </w:t>
      </w:r>
      <w:r w:rsidR="00A47B69">
        <w:t>PSP2</w:t>
      </w:r>
      <w:r w:rsidR="00A71491">
        <w:t>, or PSP3</w:t>
      </w:r>
      <w:r w:rsidR="00A47B69">
        <w:t xml:space="preserve"> </w:t>
      </w:r>
      <w:r>
        <w:t xml:space="preserve">agree to comply in a timely fashion with information requests by Treasury or </w:t>
      </w:r>
      <w:r w:rsidR="00C83541">
        <w:t>DOT</w:t>
      </w:r>
      <w:r>
        <w:t xml:space="preserve"> to verify compliance with statutory, regulatory, </w:t>
      </w:r>
      <w:proofErr w:type="gramStart"/>
      <w:r>
        <w:t>contractual</w:t>
      </w:r>
      <w:proofErr w:type="gramEnd"/>
      <w:r>
        <w:t xml:space="preserve"> or other requirements of applicants that receive assistance under this act, including (but not limited to) those specified </w:t>
      </w:r>
      <w:r w:rsidR="00A47B69">
        <w:t>in the applicable statute</w:t>
      </w:r>
      <w:r>
        <w:t xml:space="preserve">.  Such requests may include any details related to compensation received by the Secretary.  </w:t>
      </w:r>
    </w:p>
    <w:p w:rsidR="00D35FCF" w:rsidP="00DF749E" w:rsidRDefault="00D35FCF" w14:paraId="1B4BD9BE" w14:textId="77777777"/>
    <w:p w:rsidR="00490EE2" w:rsidP="00DF749E" w:rsidRDefault="00BD5DD4" w14:paraId="6A21FA66" w14:textId="58FD8439">
      <w:r>
        <w:t xml:space="preserve">Pursuant to </w:t>
      </w:r>
      <w:r w:rsidR="00C83541">
        <w:t>PSP1</w:t>
      </w:r>
      <w:r w:rsidR="00A71491">
        <w:t>,</w:t>
      </w:r>
      <w:r w:rsidR="00C83541">
        <w:t xml:space="preserve"> PSP2</w:t>
      </w:r>
      <w:r w:rsidR="00A71491">
        <w:t>, and PSP3</w:t>
      </w:r>
      <w:r w:rsidR="00C83541">
        <w:t xml:space="preserve"> Agreements</w:t>
      </w:r>
      <w:r>
        <w:t xml:space="preserve">, recipients will be required to report to </w:t>
      </w:r>
      <w:r w:rsidR="00B078F6">
        <w:t>Treasury</w:t>
      </w:r>
      <w:r>
        <w:t xml:space="preserve"> and keep records.  </w:t>
      </w:r>
    </w:p>
    <w:p w:rsidR="00490EE2" w:rsidP="00DF749E" w:rsidRDefault="00490EE2" w14:paraId="3BF4E6C1" w14:textId="43C25E5E"/>
    <w:p w:rsidR="00130B8D" w:rsidP="00130B8D" w:rsidRDefault="00D35FCF" w14:paraId="00726C21" w14:textId="10C660DE">
      <w:r>
        <w:lastRenderedPageBreak/>
        <w:t>PSP1</w:t>
      </w:r>
      <w:r w:rsidR="00A71491">
        <w:t xml:space="preserve">, </w:t>
      </w:r>
      <w:r>
        <w:t>PSP2</w:t>
      </w:r>
      <w:r w:rsidR="00A71491">
        <w:t>, and PSP3</w:t>
      </w:r>
      <w:r>
        <w:t xml:space="preserve"> recipients</w:t>
      </w:r>
      <w:r w:rsidR="00490EE2">
        <w:t xml:space="preserve"> will submit </w:t>
      </w:r>
      <w:r w:rsidRPr="00490EE2" w:rsidR="00490EE2">
        <w:t>quarterly certifications and reports, including, among other things, copies of the recipient’s IRS Form 941</w:t>
      </w:r>
      <w:r w:rsidR="004572A4">
        <w:t>;</w:t>
      </w:r>
      <w:r w:rsidRPr="00490EE2" w:rsidR="00490EE2">
        <w:t xml:space="preserve"> summaries of any changes in employee headcount</w:t>
      </w:r>
      <w:r w:rsidR="004572A4">
        <w:t>;</w:t>
      </w:r>
      <w:r w:rsidRPr="00490EE2" w:rsidR="00490EE2">
        <w:t xml:space="preserve"> changes in the aggregate amount spent by the recipient on wages, </w:t>
      </w:r>
      <w:r w:rsidRPr="00490EE2" w:rsidR="004572A4">
        <w:t>salar</w:t>
      </w:r>
      <w:r w:rsidR="004572A4">
        <w:t>ies</w:t>
      </w:r>
      <w:r w:rsidRPr="00490EE2" w:rsidR="00490EE2">
        <w:t xml:space="preserve">, and </w:t>
      </w:r>
      <w:r w:rsidR="004572A4">
        <w:t>other compensation;</w:t>
      </w:r>
      <w:r w:rsidRPr="00490EE2" w:rsidR="00490EE2">
        <w:t xml:space="preserve"> changes in total compensation for, and any severance pay and benefits upon termination of, corporate</w:t>
      </w:r>
      <w:r w:rsidR="008C0EDB">
        <w:t xml:space="preserve"> officers and employees of the r</w:t>
      </w:r>
      <w:r w:rsidRPr="00490EE2" w:rsidR="00490EE2">
        <w:t>ecipient and any affiliate</w:t>
      </w:r>
      <w:r w:rsidR="004572A4">
        <w:t>;</w:t>
      </w:r>
      <w:r w:rsidRPr="00490EE2" w:rsidR="00490EE2">
        <w:t xml:space="preserve"> and the reasons for any such changes. </w:t>
      </w:r>
    </w:p>
    <w:p w:rsidR="00130B8D" w:rsidP="00130B8D" w:rsidRDefault="00130B8D" w14:paraId="786A0EF3" w14:textId="77777777"/>
    <w:p w:rsidR="00130B8D" w:rsidP="00130B8D" w:rsidRDefault="00130B8D" w14:paraId="4489DE64" w14:textId="257ED62E">
      <w:r>
        <w:t>Certain PSP1 contractor recipients</w:t>
      </w:r>
      <w:r w:rsidR="00A71491">
        <w:t xml:space="preserve">, </w:t>
      </w:r>
      <w:r>
        <w:t>PSP2 recipients</w:t>
      </w:r>
      <w:r w:rsidR="00A71491">
        <w:t>, and PSP3 recipients</w:t>
      </w:r>
      <w:r>
        <w:t xml:space="preserve"> with involuntary furloughs after March 27, 2020 or after October 1, 2020, as applicable, may be required to submit documentation related to employee recall actions. </w:t>
      </w:r>
    </w:p>
    <w:p w:rsidR="00130B8D" w:rsidP="00130B8D" w:rsidRDefault="00130B8D" w14:paraId="782568D5" w14:textId="77777777"/>
    <w:p w:rsidR="00130B8D" w:rsidP="00130B8D" w:rsidRDefault="00130B8D" w14:paraId="68EC88C5" w14:textId="0DEB58AA">
      <w:r>
        <w:t>Recipients may have to provide documents substantiating that awardable amounts under PSP1</w:t>
      </w:r>
      <w:r w:rsidR="00A71491">
        <w:t xml:space="preserve">, </w:t>
      </w:r>
      <w:r>
        <w:t>PSP2</w:t>
      </w:r>
      <w:r w:rsidR="00A71491">
        <w:t>, and PSP3</w:t>
      </w:r>
      <w:r>
        <w:t xml:space="preserve"> are being used exclusively for the continuation of payment of employee wages, salaries, and benefits.  This may include obtaining information related to salaries, benefits, payroll taxes, and amounts paid to independent contractors on IRS Form 1099 and to corporate officers.  Where not already collected as part of the application, recipients may be required to provide additional supporting documentation.</w:t>
      </w:r>
    </w:p>
    <w:p w:rsidR="00130B8D" w:rsidP="00DF749E" w:rsidRDefault="00130B8D" w14:paraId="42993A53" w14:textId="77777777"/>
    <w:p w:rsidR="00490EE2" w:rsidP="00DF749E" w:rsidRDefault="00490EE2" w14:paraId="12AB1B29" w14:textId="5547E7EC">
      <w:r w:rsidRPr="00490EE2">
        <w:t>Recipients will also report on other matters that may materially affect the recipient’s compliance wi</w:t>
      </w:r>
      <w:r w:rsidR="008C0EDB">
        <w:t xml:space="preserve">th the program </w:t>
      </w:r>
      <w:proofErr w:type="gramStart"/>
      <w:r w:rsidR="008C0EDB">
        <w:t>and</w:t>
      </w:r>
      <w:r w:rsidRPr="00490EE2">
        <w:t xml:space="preserve"> also</w:t>
      </w:r>
      <w:proofErr w:type="gramEnd"/>
      <w:r w:rsidRPr="00490EE2">
        <w:t xml:space="preserve"> provide to Treasury other program compliance information t</w:t>
      </w:r>
      <w:r w:rsidR="008C0EDB">
        <w:t>hat Treasury may request.</w:t>
      </w:r>
      <w:r w:rsidRPr="00490EE2">
        <w:t xml:space="preserve">  The recipient and affiliates will also provide Treasury, the Treasury Inspector General, and other entities as authorized by Treasury access to documents, papers, or other records, including electronic records, in connection with audits.</w:t>
      </w:r>
      <w:r w:rsidRPr="00931DC9" w:rsidR="00931DC9">
        <w:t xml:space="preserve"> </w:t>
      </w:r>
      <w:r w:rsidR="00931DC9">
        <w:t xml:space="preserve">In addition, recipients will report </w:t>
      </w:r>
      <w:r w:rsidRPr="00490EE2" w:rsidR="00931DC9">
        <w:t xml:space="preserve">any action to commence a bankruptcy or insolvency </w:t>
      </w:r>
      <w:r w:rsidR="00931DC9">
        <w:t xml:space="preserve">proceeding in any jurisdiction.  </w:t>
      </w:r>
    </w:p>
    <w:p w:rsidR="00490EE2" w:rsidP="00DF749E" w:rsidRDefault="00490EE2" w14:paraId="154F1238" w14:textId="5383D278"/>
    <w:p w:rsidRPr="00DF749E" w:rsidR="00DF749E" w:rsidP="00DF749E" w:rsidRDefault="00D74FFD" w14:paraId="20744776" w14:textId="18B51CD8">
      <w:r>
        <w:t>R</w:t>
      </w:r>
      <w:r w:rsidR="00DF749E">
        <w:t>ecipient</w:t>
      </w:r>
      <w:r>
        <w:t>s</w:t>
      </w:r>
      <w:r w:rsidR="00DF749E">
        <w:t xml:space="preserve"> and a</w:t>
      </w:r>
      <w:r w:rsidRPr="00DF749E" w:rsidR="00DF749E">
        <w:t xml:space="preserve">ffiliates </w:t>
      </w:r>
      <w:r w:rsidR="00DF749E">
        <w:t>will</w:t>
      </w:r>
      <w:r w:rsidRPr="00DF749E" w:rsidR="00DF749E">
        <w:t xml:space="preserve"> retain recor</w:t>
      </w:r>
      <w:r w:rsidR="00DF749E">
        <w:t>ds pertinent to the receipt of payroll s</w:t>
      </w:r>
      <w:r w:rsidRPr="00DF749E" w:rsidR="00DF749E">
        <w:t xml:space="preserve">upport and compliance with </w:t>
      </w:r>
      <w:r w:rsidR="004717C8">
        <w:t>PSP1</w:t>
      </w:r>
      <w:r w:rsidR="00A71491">
        <w:t>,</w:t>
      </w:r>
      <w:r w:rsidR="004717C8">
        <w:t xml:space="preserve"> PSP2</w:t>
      </w:r>
      <w:r w:rsidR="00A71491">
        <w:t>, and PSP3</w:t>
      </w:r>
      <w:r w:rsidR="00DF749E">
        <w:t>, including</w:t>
      </w:r>
      <w:r w:rsidR="004572A4">
        <w:t>,</w:t>
      </w:r>
      <w:r w:rsidR="00DF749E">
        <w:t xml:space="preserve"> but not limited to</w:t>
      </w:r>
      <w:r w:rsidR="004572A4">
        <w:t>,</w:t>
      </w:r>
      <w:r w:rsidRPr="00DF749E" w:rsidR="00DF749E">
        <w:t xml:space="preserve"> information necessary to substantiate factu</w:t>
      </w:r>
      <w:r w:rsidR="00DF749E">
        <w:t>al representations made in the recipient’s application for payroll s</w:t>
      </w:r>
      <w:r w:rsidRPr="00DF749E" w:rsidR="00DF749E">
        <w:t>upport, including ledgers and sub-</w:t>
      </w:r>
      <w:r w:rsidR="00DF749E">
        <w:t>ledgers</w:t>
      </w:r>
      <w:r w:rsidRPr="00DF749E" w:rsidR="00DF749E">
        <w:t xml:space="preserve">.  While electronic storage of records (backed up as appropriate) is preferable, the </w:t>
      </w:r>
      <w:r w:rsidR="00DF749E">
        <w:t>recipient and a</w:t>
      </w:r>
      <w:r w:rsidRPr="00DF749E" w:rsidR="00DF749E">
        <w:t xml:space="preserve">ffiliates may store records in hardcopy (paper) format. </w:t>
      </w:r>
    </w:p>
    <w:p w:rsidR="00BD5DD4" w:rsidP="00B82803" w:rsidRDefault="00BD5DD4" w14:paraId="4ADCC19E" w14:textId="7699D46A"/>
    <w:p w:rsidR="00952599" w:rsidP="00B82803" w:rsidRDefault="00952599" w14:paraId="0676E358" w14:textId="2F12B640">
      <w:r>
        <w:t xml:space="preserve">A </w:t>
      </w:r>
      <w:r w:rsidRPr="00952599">
        <w:t xml:space="preserve">recipient and </w:t>
      </w:r>
      <w:r w:rsidR="00B078F6">
        <w:t>Treasury</w:t>
      </w:r>
      <w:r w:rsidRPr="00952599">
        <w:t xml:space="preserve"> may enter into a withdrawal agreement to memorialize the binding terms and conditions applicable to the recipient after the </w:t>
      </w:r>
      <w:r>
        <w:t>termination of the agreement.</w:t>
      </w:r>
    </w:p>
    <w:p w:rsidR="006A2A73" w:rsidP="000362CD" w:rsidRDefault="006A2A73" w14:paraId="3EF15DEA" w14:textId="4CACBFC3"/>
    <w:p w:rsidR="006A2A73" w:rsidP="006A2A73" w:rsidRDefault="006A2A73" w14:paraId="7D4D622C" w14:textId="2879C25C">
      <w:pPr>
        <w:rPr>
          <w:b/>
          <w:bCs/>
          <w:u w:val="single"/>
        </w:rPr>
      </w:pPr>
      <w:r>
        <w:rPr>
          <w:b/>
          <w:bCs/>
          <w:u w:val="single"/>
        </w:rPr>
        <w:t xml:space="preserve">Compliance Requirements for Loans under Section 4003(b) </w:t>
      </w:r>
      <w:r w:rsidR="000D6D50">
        <w:rPr>
          <w:b/>
          <w:bCs/>
          <w:u w:val="single"/>
        </w:rPr>
        <w:t>of the CARES Act</w:t>
      </w:r>
    </w:p>
    <w:p w:rsidR="006A2A73" w:rsidP="006A2A73" w:rsidRDefault="006A2A73" w14:paraId="1CBC2274" w14:textId="77777777">
      <w:pPr>
        <w:rPr>
          <w:b/>
          <w:bCs/>
          <w:u w:val="single"/>
        </w:rPr>
      </w:pPr>
    </w:p>
    <w:p w:rsidR="006A2A73" w:rsidP="000362CD" w:rsidRDefault="006A2A73" w14:paraId="1A4568F2" w14:textId="72A1C4DA">
      <w:r>
        <w:t xml:space="preserve">Borrowers </w:t>
      </w:r>
      <w:r w:rsidR="00A46A2D">
        <w:t>must</w:t>
      </w:r>
      <w:r>
        <w:t xml:space="preserve"> submit </w:t>
      </w:r>
      <w:r w:rsidR="00A46A2D">
        <w:t xml:space="preserve">all information required by the section 4003(b) loan agreements, including, as applicable, </w:t>
      </w:r>
      <w:r>
        <w:t xml:space="preserve">any borrowing requests, </w:t>
      </w:r>
      <w:r w:rsidR="00086D7D">
        <w:t>documentation related to</w:t>
      </w:r>
      <w:r>
        <w:t xml:space="preserve"> quarterly conference calls, quarterly financial statements and other operating data, certificates of compliance, certificates of default, </w:t>
      </w:r>
      <w:r w:rsidR="003A0DD3">
        <w:t xml:space="preserve">and </w:t>
      </w:r>
      <w:r>
        <w:t xml:space="preserve">collateral appraisals and material assumptions related to pledged collateral.  </w:t>
      </w:r>
      <w:r w:rsidR="00A46A2D">
        <w:t>Borrowers</w:t>
      </w:r>
      <w:r>
        <w:t xml:space="preserve"> may</w:t>
      </w:r>
      <w:r w:rsidR="00A46A2D">
        <w:t xml:space="preserve"> also be required to</w:t>
      </w:r>
      <w:r>
        <w:t xml:space="preserve"> provid</w:t>
      </w:r>
      <w:r w:rsidR="00A46A2D">
        <w:t>e</w:t>
      </w:r>
      <w:r>
        <w:t xml:space="preserve"> </w:t>
      </w:r>
      <w:r w:rsidR="00A46A2D">
        <w:t>information on</w:t>
      </w:r>
      <w:r>
        <w:t xml:space="preserve"> domestic employee levels, dividends, and other data points </w:t>
      </w:r>
      <w:r w:rsidR="00A46A2D">
        <w:t>as</w:t>
      </w:r>
      <w:r>
        <w:t xml:space="preserve"> necessary to confirm borrowers </w:t>
      </w:r>
      <w:proofErr w:type="gramStart"/>
      <w:r>
        <w:t>are in compliance with</w:t>
      </w:r>
      <w:proofErr w:type="gramEnd"/>
      <w:r>
        <w:t xml:space="preserve"> the </w:t>
      </w:r>
      <w:r w:rsidR="00A46A2D">
        <w:t xml:space="preserve">loan agreement and the </w:t>
      </w:r>
      <w:r>
        <w:t xml:space="preserve">CARES Act and to respond to inquiries from authorized entities such as the Congressional Oversight Commission. </w:t>
      </w:r>
    </w:p>
    <w:p w:rsidRPr="003F129E" w:rsidR="00D96EE2" w:rsidP="00B375A0" w:rsidRDefault="00B82803" w14:paraId="0DAB50E9" w14:textId="384FF9A8">
      <w:r>
        <w:tab/>
      </w:r>
    </w:p>
    <w:p w:rsidRPr="009E2FFF" w:rsidR="003C1AB8" w:rsidP="000C6F26" w:rsidRDefault="00F72D0B" w14:paraId="29B40872" w14:textId="77777777">
      <w:pPr>
        <w:numPr>
          <w:ilvl w:val="0"/>
          <w:numId w:val="12"/>
        </w:numPr>
        <w:tabs>
          <w:tab w:val="clear" w:pos="720"/>
          <w:tab w:val="num" w:pos="270"/>
        </w:tabs>
        <w:ind w:hanging="720"/>
      </w:pPr>
      <w:r w:rsidRPr="009E2FFF">
        <w:rPr>
          <w:u w:val="single"/>
        </w:rPr>
        <w:lastRenderedPageBreak/>
        <w:t>U</w:t>
      </w:r>
      <w:r w:rsidRPr="009E2FFF" w:rsidR="003C1AB8">
        <w:rPr>
          <w:u w:val="single"/>
        </w:rPr>
        <w:t>se of the data</w:t>
      </w:r>
    </w:p>
    <w:p w:rsidR="003C1AB8" w:rsidP="003C1AB8" w:rsidRDefault="003C1AB8" w14:paraId="7AB4BFCC" w14:textId="7179509D">
      <w:pPr>
        <w:rPr>
          <w:u w:val="single"/>
        </w:rPr>
      </w:pPr>
    </w:p>
    <w:p w:rsidRPr="009B60FB" w:rsidR="009B60FB" w:rsidP="003C1AB8" w:rsidRDefault="009B60FB" w14:paraId="56168627" w14:textId="2D81C13B">
      <w:r>
        <w:t xml:space="preserve">The information reported to </w:t>
      </w:r>
      <w:r w:rsidR="00B078F6">
        <w:t>Treasury</w:t>
      </w:r>
      <w:r>
        <w:t xml:space="preserve"> </w:t>
      </w:r>
      <w:r w:rsidR="00FD47AB">
        <w:t xml:space="preserve">has allowed and </w:t>
      </w:r>
      <w:r>
        <w:t xml:space="preserve">will </w:t>
      </w:r>
      <w:r w:rsidR="00FD47AB">
        <w:t xml:space="preserve">continue to </w:t>
      </w:r>
      <w:r>
        <w:t xml:space="preserve">allow </w:t>
      </w:r>
      <w:r w:rsidR="00B078F6">
        <w:t>Treasury</w:t>
      </w:r>
      <w:r>
        <w:t xml:space="preserve"> to make decisions in connection with applications for loans, loan guarantees, and </w:t>
      </w:r>
      <w:r w:rsidR="000703E5">
        <w:t>payroll support</w:t>
      </w:r>
      <w:r w:rsidR="0041645E">
        <w:t>, as well as to comply with any reporting or transparency requirements under the CARES Act</w:t>
      </w:r>
      <w:r w:rsidR="00FD47AB">
        <w:t xml:space="preserve">, </w:t>
      </w:r>
      <w:r w:rsidR="00EA64AE">
        <w:t>the PSP Extension Law,</w:t>
      </w:r>
      <w:r w:rsidR="0041645E">
        <w:t xml:space="preserve"> </w:t>
      </w:r>
      <w:r w:rsidR="004076A1">
        <w:t xml:space="preserve">the American Rescue Plan Act, </w:t>
      </w:r>
      <w:r w:rsidR="0041645E">
        <w:t xml:space="preserve">or other </w:t>
      </w:r>
      <w:r w:rsidR="00A118EF">
        <w:t xml:space="preserve">applicable </w:t>
      </w:r>
      <w:r w:rsidR="0041645E">
        <w:t xml:space="preserve">Federal statues, regulations, </w:t>
      </w:r>
      <w:r w:rsidR="00931DC9">
        <w:t xml:space="preserve">agreements, </w:t>
      </w:r>
      <w:r w:rsidR="0041645E">
        <w:t>or in response to inquiries by the Pandemic Response Accountability Committee established by the CARES Act</w:t>
      </w:r>
      <w:r w:rsidR="006E6033">
        <w:t>,</w:t>
      </w:r>
      <w:r w:rsidR="0041645E">
        <w:t xml:space="preserve"> </w:t>
      </w:r>
      <w:r w:rsidR="00A118EF">
        <w:t xml:space="preserve">by </w:t>
      </w:r>
      <w:r w:rsidR="00B078F6">
        <w:t xml:space="preserve">Treasury’s </w:t>
      </w:r>
      <w:r w:rsidR="00D51E0C">
        <w:t>Inspector</w:t>
      </w:r>
      <w:r w:rsidR="0041645E">
        <w:t xml:space="preserve"> General</w:t>
      </w:r>
      <w:r w:rsidR="006E6033">
        <w:t xml:space="preserve"> for payroll support under </w:t>
      </w:r>
      <w:r w:rsidR="004717C8">
        <w:t>PSP1</w:t>
      </w:r>
      <w:r w:rsidR="001A5B22">
        <w:t xml:space="preserve">, </w:t>
      </w:r>
      <w:r w:rsidR="004717C8">
        <w:t>PSP2</w:t>
      </w:r>
      <w:r w:rsidR="001A5B22">
        <w:t>, and PSP3</w:t>
      </w:r>
      <w:r w:rsidR="00FD47AB">
        <w:t xml:space="preserve">, </w:t>
      </w:r>
      <w:r w:rsidR="006E6033">
        <w:t xml:space="preserve">and by the Special Inspector General for Pandemic Recovery for loans and loan guarantees under section 4003 of the </w:t>
      </w:r>
      <w:r w:rsidR="00A468E5">
        <w:t xml:space="preserve">CARES </w:t>
      </w:r>
      <w:r w:rsidR="006E6033">
        <w:t>Act</w:t>
      </w:r>
      <w:r w:rsidR="000703E5">
        <w:t>.</w:t>
      </w:r>
      <w:r w:rsidR="00713122">
        <w:t xml:space="preserve">  The information reported will also enable </w:t>
      </w:r>
      <w:r w:rsidR="00B078F6">
        <w:t>Treasury</w:t>
      </w:r>
      <w:r w:rsidR="00713122">
        <w:t xml:space="preserve"> to audit recipients’ compliance with the statutory, regulatory, and contractual obligations under the program</w:t>
      </w:r>
      <w:r w:rsidR="000817E0">
        <w:t>s</w:t>
      </w:r>
      <w:r w:rsidR="00713122">
        <w:t>.</w:t>
      </w:r>
      <w:r>
        <w:t xml:space="preserve">  </w:t>
      </w:r>
    </w:p>
    <w:p w:rsidRPr="00EF2363" w:rsidR="00E13A9C" w:rsidP="003C1AB8" w:rsidRDefault="00E13A9C" w14:paraId="63D0161C" w14:textId="77777777"/>
    <w:p w:rsidRPr="009E2FFF" w:rsidR="003C1AB8" w:rsidP="000C6F26" w:rsidRDefault="003C1AB8" w14:paraId="72280846" w14:textId="19C367D2">
      <w:pPr>
        <w:keepNext/>
        <w:ind w:left="360" w:hanging="360"/>
      </w:pPr>
      <w:r w:rsidRPr="009E2FFF">
        <w:t xml:space="preserve">3.  </w:t>
      </w:r>
      <w:r w:rsidRPr="009E2FFF" w:rsidR="00F72D0B">
        <w:rPr>
          <w:u w:val="single"/>
        </w:rPr>
        <w:t xml:space="preserve">Use of </w:t>
      </w:r>
      <w:r w:rsidR="00893C00">
        <w:rPr>
          <w:u w:val="single"/>
        </w:rPr>
        <w:t>i</w:t>
      </w:r>
      <w:r w:rsidRPr="009E2FFF" w:rsidR="00893C00">
        <w:rPr>
          <w:u w:val="single"/>
        </w:rPr>
        <w:t xml:space="preserve">nformation </w:t>
      </w:r>
      <w:r w:rsidR="00893C00">
        <w:rPr>
          <w:u w:val="single"/>
        </w:rPr>
        <w:t>t</w:t>
      </w:r>
      <w:r w:rsidRPr="009E2FFF" w:rsidR="00893C00">
        <w:rPr>
          <w:u w:val="single"/>
        </w:rPr>
        <w:t>echnology</w:t>
      </w:r>
      <w:r w:rsidRPr="009E2FFF" w:rsidR="00893C00">
        <w:t xml:space="preserve"> </w:t>
      </w:r>
    </w:p>
    <w:p w:rsidRPr="00EF2363" w:rsidR="003C1AB8" w:rsidP="00961823" w:rsidRDefault="003C1AB8" w14:paraId="04D2602B" w14:textId="77777777">
      <w:pPr>
        <w:keepNext/>
      </w:pPr>
    </w:p>
    <w:p w:rsidRPr="00EF2363" w:rsidR="00D24A88" w:rsidP="00F72D0B" w:rsidRDefault="001F31FB" w14:paraId="7FD8C10C" w14:textId="57C207CE">
      <w:r w:rsidRPr="00EF2363">
        <w:t xml:space="preserve">Treasury </w:t>
      </w:r>
      <w:r w:rsidRPr="00EF2363" w:rsidR="00B375A0">
        <w:t>will</w:t>
      </w:r>
      <w:r w:rsidRPr="00EF2363">
        <w:t xml:space="preserve"> manage the application submission process</w:t>
      </w:r>
      <w:r w:rsidRPr="00EF2363" w:rsidR="00DE76C6">
        <w:t xml:space="preserve"> with the use of </w:t>
      </w:r>
      <w:r w:rsidR="00605173">
        <w:t>existing</w:t>
      </w:r>
      <w:r w:rsidR="009B60FB">
        <w:t xml:space="preserve"> and widely</w:t>
      </w:r>
      <w:r w:rsidR="0028685C">
        <w:t xml:space="preserve"> </w:t>
      </w:r>
      <w:r w:rsidR="009B60FB">
        <w:t>available</w:t>
      </w:r>
      <w:r w:rsidR="00605173">
        <w:t xml:space="preserve"> technology </w:t>
      </w:r>
      <w:r w:rsidR="009B60FB">
        <w:t>such as</w:t>
      </w:r>
      <w:r w:rsidR="00605173">
        <w:t xml:space="preserve"> e</w:t>
      </w:r>
      <w:r w:rsidR="0028685C">
        <w:t>-</w:t>
      </w:r>
      <w:r w:rsidR="00605173">
        <w:t>mail</w:t>
      </w:r>
      <w:r w:rsidR="002F7B16">
        <w:t xml:space="preserve"> and web-based forms</w:t>
      </w:r>
      <w:r w:rsidR="00605173">
        <w:t xml:space="preserve">. </w:t>
      </w:r>
    </w:p>
    <w:p w:rsidRPr="00EF2363" w:rsidR="00E13A9C" w:rsidP="00F72D0B" w:rsidRDefault="00E13A9C" w14:paraId="428D358D" w14:textId="77777777"/>
    <w:p w:rsidRPr="009E2FFF" w:rsidR="00F72D0B" w:rsidP="000C6F26" w:rsidRDefault="00F72D0B" w14:paraId="3972E8F7" w14:textId="77777777">
      <w:pPr>
        <w:ind w:left="720" w:hanging="720"/>
      </w:pPr>
      <w:r w:rsidRPr="009E2FFF">
        <w:t xml:space="preserve">4.  </w:t>
      </w:r>
      <w:r w:rsidRPr="009E2FFF">
        <w:rPr>
          <w:u w:val="single"/>
        </w:rPr>
        <w:t>Efforts to identify duplication</w:t>
      </w:r>
      <w:r w:rsidRPr="009E2FFF">
        <w:t xml:space="preserve">   </w:t>
      </w:r>
    </w:p>
    <w:p w:rsidRPr="00EF2363" w:rsidR="00406DAA" w:rsidP="00CC4534" w:rsidRDefault="00406DAA" w14:paraId="08600C19" w14:textId="77777777"/>
    <w:p w:rsidRPr="00EF2363" w:rsidR="00A5370F" w:rsidP="00856DD0" w:rsidRDefault="009B60FB" w14:paraId="561048CE" w14:textId="787294D0">
      <w:r>
        <w:t>The</w:t>
      </w:r>
      <w:r w:rsidRPr="00EF2363" w:rsidR="00B375A0">
        <w:t xml:space="preserve"> information colle</w:t>
      </w:r>
      <w:r w:rsidR="00BD0B65">
        <w:t>ction</w:t>
      </w:r>
      <w:r>
        <w:t>s are under new statutor</w:t>
      </w:r>
      <w:r w:rsidR="00012F7C">
        <w:t>y</w:t>
      </w:r>
      <w:r>
        <w:t xml:space="preserve"> mandate</w:t>
      </w:r>
      <w:r w:rsidR="00464E08">
        <w:t>s</w:t>
      </w:r>
      <w:r>
        <w:t xml:space="preserve">. </w:t>
      </w:r>
      <w:r w:rsidRPr="00EF2363" w:rsidR="00B375A0">
        <w:t xml:space="preserve"> Th</w:t>
      </w:r>
      <w:r w:rsidRPr="00EF2363" w:rsidR="00F72D0B">
        <w:t xml:space="preserve">e information </w:t>
      </w:r>
      <w:r w:rsidRPr="00EF2363" w:rsidR="002551F6">
        <w:t xml:space="preserve">is not known to </w:t>
      </w:r>
      <w:r w:rsidRPr="00EF2363" w:rsidR="005A5C1B">
        <w:t xml:space="preserve">overlap with </w:t>
      </w:r>
      <w:r w:rsidRPr="00EF2363" w:rsidR="002551F6">
        <w:t xml:space="preserve">any other </w:t>
      </w:r>
      <w:r w:rsidRPr="00EF2363" w:rsidR="005A5C1B">
        <w:t xml:space="preserve">data collected </w:t>
      </w:r>
      <w:r w:rsidRPr="00EF2363" w:rsidR="0054191E">
        <w:t xml:space="preserve">under </w:t>
      </w:r>
      <w:r w:rsidRPr="00EF2363" w:rsidR="00B375A0">
        <w:t xml:space="preserve">any other </w:t>
      </w:r>
      <w:r w:rsidRPr="00EF2363" w:rsidR="0054191E">
        <w:t>information</w:t>
      </w:r>
      <w:r w:rsidRPr="00EF2363" w:rsidR="00B375A0">
        <w:t xml:space="preserve"> collections at Treasury.</w:t>
      </w:r>
      <w:r w:rsidR="00A9305B">
        <w:t xml:space="preserve"> Furthermore, the information collection is tailored to leverage data that already exists at </w:t>
      </w:r>
      <w:r w:rsidR="00893C00">
        <w:t xml:space="preserve">DOT </w:t>
      </w:r>
      <w:r w:rsidR="00A9305B">
        <w:t>and collect only the additional data that is necessary.</w:t>
      </w:r>
    </w:p>
    <w:p w:rsidRPr="00EF2363" w:rsidR="00D24A88" w:rsidP="00F72D0B" w:rsidRDefault="00D24A88" w14:paraId="517833AE" w14:textId="77777777"/>
    <w:p w:rsidRPr="009E2FFF" w:rsidR="00F72D0B" w:rsidP="009E2FFF" w:rsidRDefault="00F72D0B" w14:paraId="0B638284" w14:textId="77777777">
      <w:pPr>
        <w:rPr>
          <w:u w:val="single"/>
        </w:rPr>
      </w:pPr>
      <w:r w:rsidRPr="009E2FFF">
        <w:t xml:space="preserve">5.  </w:t>
      </w:r>
      <w:r w:rsidRPr="009E2FFF">
        <w:rPr>
          <w:u w:val="single"/>
        </w:rPr>
        <w:t xml:space="preserve">Impact on small </w:t>
      </w:r>
      <w:r w:rsidRPr="009E2FFF" w:rsidR="004B7407">
        <w:rPr>
          <w:u w:val="single"/>
        </w:rPr>
        <w:t xml:space="preserve">businesses and </w:t>
      </w:r>
      <w:r w:rsidRPr="009E2FFF">
        <w:rPr>
          <w:u w:val="single"/>
        </w:rPr>
        <w:t>entities</w:t>
      </w:r>
    </w:p>
    <w:p w:rsidRPr="00EF2363" w:rsidR="00F72D0B" w:rsidP="00F72D0B" w:rsidRDefault="00F72D0B" w14:paraId="0392AF70" w14:textId="77777777"/>
    <w:p w:rsidRPr="00EF2363" w:rsidR="00A9305B" w:rsidP="00A9305B" w:rsidRDefault="000C6F26" w14:paraId="50614F65" w14:textId="68D1609E">
      <w:r>
        <w:t xml:space="preserve">This collection of information </w:t>
      </w:r>
      <w:r w:rsidR="008956E9">
        <w:t>may affect</w:t>
      </w:r>
      <w:r>
        <w:t xml:space="preserve"> small entities</w:t>
      </w:r>
      <w:r w:rsidR="00A9305B">
        <w:t>.</w:t>
      </w:r>
      <w:r w:rsidR="008C332E">
        <w:t xml:space="preserve"> </w:t>
      </w:r>
      <w:r w:rsidR="00A9305B">
        <w:t xml:space="preserve">However, Treasury will attempt to minimize burden on small businesses and entities to the greatest extent practicable. </w:t>
      </w:r>
    </w:p>
    <w:p w:rsidRPr="00EF2363" w:rsidR="00D24A88" w:rsidP="00F72D0B" w:rsidRDefault="00D24A88" w14:paraId="01081EFE" w14:textId="77777777"/>
    <w:p w:rsidRPr="009E2FFF" w:rsidR="00F72D0B" w:rsidP="009E2FFF" w:rsidRDefault="00F72D0B" w14:paraId="2F99A687" w14:textId="002240ED">
      <w:pPr>
        <w:rPr>
          <w:u w:val="single"/>
        </w:rPr>
      </w:pPr>
      <w:r w:rsidRPr="009E2FFF">
        <w:t xml:space="preserve">6.  </w:t>
      </w:r>
      <w:r w:rsidRPr="009E2FFF">
        <w:rPr>
          <w:u w:val="single"/>
        </w:rPr>
        <w:t>Consequences of less frequent collection and obstacles to burden reduction</w:t>
      </w:r>
    </w:p>
    <w:p w:rsidRPr="00EF2363" w:rsidR="00F72D0B" w:rsidP="00F72D0B" w:rsidRDefault="00F72D0B" w14:paraId="349661FC" w14:textId="77777777"/>
    <w:p w:rsidRPr="00EF2363" w:rsidR="00A5370F" w:rsidP="00DD104D" w:rsidRDefault="009B60FB" w14:paraId="29C758ED" w14:textId="1E30DF9C">
      <w:r>
        <w:t xml:space="preserve">Collection is at a minimum. </w:t>
      </w:r>
      <w:r w:rsidRPr="00EF2363" w:rsidR="004B7407">
        <w:t xml:space="preserve"> </w:t>
      </w:r>
      <w:r w:rsidR="004E60BD">
        <w:t xml:space="preserve">Applicants will submit </w:t>
      </w:r>
      <w:r w:rsidR="00BD0B65">
        <w:t>a limited amount of information that should be readily available to the applicant</w:t>
      </w:r>
      <w:r w:rsidR="00A645CE">
        <w:t xml:space="preserve"> in the ordinary course of business</w:t>
      </w:r>
      <w:r w:rsidR="00BD0B65">
        <w:t xml:space="preserve">. </w:t>
      </w:r>
      <w:r w:rsidR="00DD104D">
        <w:t xml:space="preserve">If </w:t>
      </w:r>
      <w:r w:rsidR="00893C00">
        <w:t>Treasury</w:t>
      </w:r>
      <w:r w:rsidR="00DD104D">
        <w:t xml:space="preserve"> did not collect these </w:t>
      </w:r>
      <w:r w:rsidR="00BD5E56">
        <w:t>applications</w:t>
      </w:r>
      <w:r w:rsidR="00555FB0">
        <w:t xml:space="preserve"> and other information</w:t>
      </w:r>
      <w:r w:rsidR="00BD5E56">
        <w:t>,</w:t>
      </w:r>
      <w:r w:rsidR="00DD104D">
        <w:t xml:space="preserve"> it would </w:t>
      </w:r>
      <w:r w:rsidR="00A5370F">
        <w:t xml:space="preserve">be unable to provide vital benefits to </w:t>
      </w:r>
      <w:r w:rsidR="00523536">
        <w:t xml:space="preserve">businesses </w:t>
      </w:r>
      <w:r w:rsidR="00A5370F">
        <w:t>impacted by the COVID-19 pandemic</w:t>
      </w:r>
      <w:r w:rsidR="00555FB0">
        <w:t xml:space="preserve"> and audit recipients’</w:t>
      </w:r>
      <w:r w:rsidRPr="00555FB0" w:rsidR="00555FB0">
        <w:t xml:space="preserve"> </w:t>
      </w:r>
      <w:r w:rsidR="00555FB0">
        <w:t>compliance with the statutory, regulatory, and contractual obligations under the program</w:t>
      </w:r>
      <w:r w:rsidR="00A5370F">
        <w:t xml:space="preserve">. </w:t>
      </w:r>
    </w:p>
    <w:p w:rsidRPr="00EF2363" w:rsidR="00F72D0B" w:rsidP="00F72D0B" w:rsidRDefault="00A5370F" w14:paraId="2DF34FC8" w14:textId="5EE56716">
      <w:r w:rsidRPr="00EF2363">
        <w:t xml:space="preserve"> </w:t>
      </w:r>
      <w:r w:rsidRPr="00EF2363" w:rsidR="006B22D1">
        <w:t xml:space="preserve"> </w:t>
      </w:r>
    </w:p>
    <w:p w:rsidRPr="009E2FFF" w:rsidR="00F72D0B" w:rsidP="009E2FFF" w:rsidRDefault="00CB003A" w14:paraId="78DBF5E6" w14:textId="77777777">
      <w:pPr>
        <w:rPr>
          <w:u w:val="single"/>
        </w:rPr>
      </w:pPr>
      <w:r w:rsidRPr="009E2FFF">
        <w:t xml:space="preserve">7.  </w:t>
      </w:r>
      <w:r w:rsidRPr="009E2FFF">
        <w:rPr>
          <w:u w:val="single"/>
        </w:rPr>
        <w:t>Circumstances requiring special information collection</w:t>
      </w:r>
    </w:p>
    <w:p w:rsidRPr="00EF2363" w:rsidR="00FB7F1C" w:rsidP="00CB003A" w:rsidRDefault="00FB7F1C" w14:paraId="29757889" w14:textId="77777777">
      <w:pPr>
        <w:rPr>
          <w:u w:val="single"/>
        </w:rPr>
      </w:pPr>
    </w:p>
    <w:p w:rsidR="00E13A9C" w:rsidP="00CB003A" w:rsidRDefault="007B29AC" w14:paraId="209A2F66" w14:textId="3A0FDFAD">
      <w:r w:rsidRPr="007B29AC">
        <w:t>There are no special circumstances that require the collection to be conducted in a manner inconsistent with OMB guidelines.</w:t>
      </w:r>
    </w:p>
    <w:p w:rsidRPr="00EF2363" w:rsidR="007B29AC" w:rsidP="00CB003A" w:rsidRDefault="007B29AC" w14:paraId="0E04B4A3" w14:textId="77777777"/>
    <w:p w:rsidRPr="009E2FFF" w:rsidR="00CB003A" w:rsidP="00040666" w:rsidRDefault="00147A26" w14:paraId="01D136C9" w14:textId="6DFE1D67">
      <w:pPr>
        <w:rPr>
          <w:u w:val="single"/>
        </w:rPr>
      </w:pPr>
      <w:r w:rsidRPr="009E2FFF">
        <w:t xml:space="preserve">8.  </w:t>
      </w:r>
      <w:r w:rsidRPr="009E2FFF" w:rsidR="00CB003A">
        <w:rPr>
          <w:u w:val="single"/>
        </w:rPr>
        <w:t>Solicitation of comments on information collection</w:t>
      </w:r>
      <w:r w:rsidRPr="009E2FFF" w:rsidR="00040666">
        <w:rPr>
          <w:u w:val="single"/>
        </w:rPr>
        <w:t xml:space="preserve"> and justification for expedited processing pursuant to 5 CFR 1320.13</w:t>
      </w:r>
    </w:p>
    <w:p w:rsidR="00CB003A" w:rsidP="00CB003A" w:rsidRDefault="00CB003A" w14:paraId="522F6CF9" w14:textId="0423A052"/>
    <w:p w:rsidR="00EE3D61" w:rsidP="00EE3D61" w:rsidRDefault="00EE3D61" w14:paraId="5158F706" w14:textId="5CD5D15D">
      <w:pPr>
        <w:rPr>
          <w:rStyle w:val="CommentReference"/>
          <w:sz w:val="24"/>
          <w:szCs w:val="24"/>
        </w:rPr>
      </w:pPr>
      <w:r w:rsidRPr="00CA1BA9">
        <w:lastRenderedPageBreak/>
        <w:t xml:space="preserve">On </w:t>
      </w:r>
      <w:r>
        <w:t>November 30, 2021</w:t>
      </w:r>
      <w:r w:rsidRPr="00CA1BA9">
        <w:t xml:space="preserve">, </w:t>
      </w:r>
      <w:r>
        <w:t>Treasury</w:t>
      </w:r>
      <w:r w:rsidRPr="00CA1BA9">
        <w:t xml:space="preserve"> published a notice in the Federal Register at 8</w:t>
      </w:r>
      <w:r>
        <w:t>6</w:t>
      </w:r>
      <w:r w:rsidRPr="00CA1BA9">
        <w:t xml:space="preserve"> FR </w:t>
      </w:r>
      <w:r>
        <w:t>68042</w:t>
      </w:r>
      <w:r w:rsidRPr="00CA1BA9">
        <w:t>, soliciting public review and comment for a 60</w:t>
      </w:r>
      <w:r>
        <w:t>-</w:t>
      </w:r>
      <w:r w:rsidRPr="00CA1BA9">
        <w:t xml:space="preserve">day period. </w:t>
      </w:r>
      <w:r>
        <w:t>Treasury</w:t>
      </w:r>
      <w:r w:rsidRPr="00CA1BA9">
        <w:t xml:space="preserve"> received </w:t>
      </w:r>
      <w:r>
        <w:t>no</w:t>
      </w:r>
      <w:r w:rsidRPr="00CA1BA9">
        <w:t xml:space="preserve"> comment</w:t>
      </w:r>
      <w:r>
        <w:t>s</w:t>
      </w:r>
      <w:r w:rsidRPr="00CA1BA9">
        <w:t>.</w:t>
      </w:r>
    </w:p>
    <w:p w:rsidRPr="00EF2363" w:rsidR="00EE3D61" w:rsidP="00CB003A" w:rsidRDefault="00EE3D61" w14:paraId="65CA0AAE" w14:textId="77777777"/>
    <w:p w:rsidR="00C15FC2" w:rsidP="009E2FFF" w:rsidRDefault="00C15FC2" w14:paraId="0C823364" w14:textId="77777777">
      <w:pPr>
        <w:keepNext/>
      </w:pPr>
    </w:p>
    <w:p w:rsidRPr="009E2FFF" w:rsidR="00147A26" w:rsidP="009E2FFF" w:rsidRDefault="00147A26" w14:paraId="170F2CD8" w14:textId="58674300">
      <w:pPr>
        <w:keepNext/>
      </w:pPr>
      <w:r w:rsidRPr="009E2FFF">
        <w:t xml:space="preserve">9.  </w:t>
      </w:r>
      <w:r w:rsidRPr="009E2FFF">
        <w:rPr>
          <w:u w:val="single"/>
        </w:rPr>
        <w:t>Provision of payments to record</w:t>
      </w:r>
      <w:r w:rsidRPr="009E2FFF" w:rsidR="0058262E">
        <w:rPr>
          <w:u w:val="single"/>
        </w:rPr>
        <w:t xml:space="preserve"> </w:t>
      </w:r>
      <w:r w:rsidRPr="009E2FFF">
        <w:rPr>
          <w:u w:val="single"/>
        </w:rPr>
        <w:t>keepers</w:t>
      </w:r>
    </w:p>
    <w:p w:rsidRPr="00EF2363" w:rsidR="00147A26" w:rsidP="00FB7F1C" w:rsidRDefault="00147A26" w14:paraId="3C380E65" w14:textId="77777777">
      <w:pPr>
        <w:keepNext/>
      </w:pPr>
    </w:p>
    <w:p w:rsidR="00256911" w:rsidP="00CB003A" w:rsidRDefault="00E96BF2" w14:paraId="4D8D0DCF" w14:textId="3F3BB6D0">
      <w:r w:rsidRPr="00EF2363">
        <w:t>No payments or gifts are provided to respondents</w:t>
      </w:r>
      <w:r w:rsidRPr="00EF2363" w:rsidR="009B6FA0">
        <w:t>.</w:t>
      </w:r>
    </w:p>
    <w:p w:rsidRPr="00EF2363" w:rsidR="00375DBC" w:rsidP="00CB003A" w:rsidRDefault="00375DBC" w14:paraId="70E11C35" w14:textId="77777777"/>
    <w:p w:rsidRPr="009E2FFF" w:rsidR="00147A26" w:rsidP="009E2FFF" w:rsidRDefault="00147A26" w14:paraId="386A728B" w14:textId="77777777">
      <w:pPr>
        <w:keepNext/>
      </w:pPr>
      <w:r w:rsidRPr="009E2FFF">
        <w:t xml:space="preserve">10.  </w:t>
      </w:r>
      <w:r w:rsidRPr="009E2FFF">
        <w:rPr>
          <w:u w:val="single"/>
        </w:rPr>
        <w:t>Assurance of confidentiality</w:t>
      </w:r>
    </w:p>
    <w:p w:rsidRPr="00EF2363" w:rsidR="00147A26" w:rsidP="00666B6D" w:rsidRDefault="00147A26" w14:paraId="66B91B7B" w14:textId="77777777">
      <w:pPr>
        <w:keepNext/>
      </w:pPr>
    </w:p>
    <w:p w:rsidRPr="00EF2363" w:rsidR="0035119A" w:rsidP="00E146F2" w:rsidRDefault="005F1EBD" w14:paraId="0E09F0C4" w14:textId="09C86AA1">
      <w:pPr>
        <w:autoSpaceDE w:val="0"/>
        <w:autoSpaceDN w:val="0"/>
      </w:pPr>
      <w:r>
        <w:t>Information collected will be confidential to the extent appropriate and consistent with the Freedom of Information Act and other applicable law.</w:t>
      </w:r>
    </w:p>
    <w:p w:rsidRPr="00EF2363" w:rsidR="00E13A9C" w:rsidP="00CB003A" w:rsidRDefault="00E13A9C" w14:paraId="5619105B" w14:textId="46EA4B5E"/>
    <w:p w:rsidRPr="009E2FFF" w:rsidR="00147A26" w:rsidP="009E2FFF" w:rsidRDefault="00147A26" w14:paraId="14350DCD" w14:textId="77777777">
      <w:pPr>
        <w:rPr>
          <w:u w:val="single"/>
        </w:rPr>
      </w:pPr>
      <w:r w:rsidRPr="009E2FFF">
        <w:t xml:space="preserve">11.  </w:t>
      </w:r>
      <w:r w:rsidRPr="009E2FFF">
        <w:rPr>
          <w:u w:val="single"/>
        </w:rPr>
        <w:t>Justification of sensitive questions</w:t>
      </w:r>
    </w:p>
    <w:p w:rsidR="004F6BB6" w:rsidP="00CB003A" w:rsidRDefault="004F6BB6" w14:paraId="07F51495" w14:textId="62098707"/>
    <w:p w:rsidRPr="00EF2363" w:rsidR="00147A26" w:rsidP="00CB003A" w:rsidRDefault="00B90CE9" w14:paraId="25D19EB2" w14:textId="38B75DD4">
      <w:r>
        <w:t xml:space="preserve">No sensitive questions are asked of respondents. </w:t>
      </w:r>
    </w:p>
    <w:p w:rsidR="0028091A" w:rsidP="009E2FFF" w:rsidRDefault="0028091A" w14:paraId="19BA0CD9" w14:textId="77777777"/>
    <w:p w:rsidR="00A95A75" w:rsidP="009E2FFF" w:rsidRDefault="00A95A75" w14:paraId="2734153C" w14:textId="4F5E9AB8">
      <w:pPr>
        <w:rPr>
          <w:u w:val="single"/>
        </w:rPr>
      </w:pPr>
      <w:r w:rsidRPr="0028091A">
        <w:t xml:space="preserve">12.  </w:t>
      </w:r>
      <w:r w:rsidRPr="0028091A" w:rsidR="00ED50C9">
        <w:rPr>
          <w:u w:val="single"/>
        </w:rPr>
        <w:t>Estimate of the hour burden of information collection.</w:t>
      </w:r>
      <w:r w:rsidRPr="009E2FFF" w:rsidR="00ED50C9">
        <w:rPr>
          <w:u w:val="single"/>
        </w:rPr>
        <w:t xml:space="preserve"> </w:t>
      </w:r>
    </w:p>
    <w:p w:rsidR="00ED50C9" w:rsidP="009E2FFF" w:rsidRDefault="00ED50C9" w14:paraId="4D9691C1" w14:textId="5523AA9D">
      <w:pPr>
        <w:rPr>
          <w:u w:val="single"/>
        </w:rPr>
      </w:pPr>
    </w:p>
    <w:p w:rsidR="00ED50C9" w:rsidP="009E2FFF" w:rsidRDefault="005F1EBD" w14:paraId="54552160" w14:textId="2B1C81C3">
      <w:r>
        <w:t>The application and reporting burden estimates are as follows:</w:t>
      </w:r>
    </w:p>
    <w:p w:rsidRPr="009E2FFF" w:rsidR="00DC0ACB" w:rsidP="009E2FFF" w:rsidRDefault="00DC0ACB" w14:paraId="7FAAF179" w14:textId="77777777">
      <w:pPr>
        <w:rPr>
          <w:color w:val="FF0000"/>
          <w:u w:val="single"/>
        </w:rPr>
      </w:pPr>
    </w:p>
    <w:p w:rsidRPr="00EF2363" w:rsidR="004063EA" w:rsidP="004B0AEF" w:rsidRDefault="004063EA" w14:paraId="141F5606" w14:textId="77777777">
      <w:pPr>
        <w:ind w:firstLine="360"/>
        <w:rPr>
          <w:b/>
          <w:u w:val="single"/>
        </w:rPr>
      </w:pPr>
    </w:p>
    <w:tbl>
      <w:tblPr>
        <w:tblW w:w="11631" w:type="dxa"/>
        <w:jc w:val="center"/>
        <w:tblLook w:val="04A0" w:firstRow="1" w:lastRow="0" w:firstColumn="1" w:lastColumn="0" w:noHBand="0" w:noVBand="1"/>
      </w:tblPr>
      <w:tblGrid>
        <w:gridCol w:w="2275"/>
        <w:gridCol w:w="1775"/>
        <w:gridCol w:w="1391"/>
        <w:gridCol w:w="1391"/>
        <w:gridCol w:w="1170"/>
        <w:gridCol w:w="1553"/>
        <w:gridCol w:w="2076"/>
      </w:tblGrid>
      <w:tr w:rsidRPr="00EF2363" w:rsidR="0089274A" w:rsidTr="00090925" w14:paraId="4B362E6F" w14:textId="77777777">
        <w:trPr>
          <w:trHeight w:val="1110"/>
          <w:jc w:val="center"/>
        </w:trPr>
        <w:tc>
          <w:tcPr>
            <w:tcW w:w="2275" w:type="dxa"/>
            <w:tcBorders>
              <w:top w:val="single" w:color="auto" w:sz="8" w:space="0"/>
              <w:left w:val="single" w:color="auto" w:sz="8" w:space="0"/>
              <w:bottom w:val="single" w:color="auto" w:sz="8" w:space="0"/>
              <w:right w:val="single" w:color="auto" w:sz="8" w:space="0"/>
            </w:tcBorders>
            <w:shd w:val="clear" w:color="000000" w:fill="FFFFFF"/>
            <w:noWrap/>
            <w:vAlign w:val="center"/>
            <w:hideMark/>
          </w:tcPr>
          <w:p w:rsidRPr="006C4606" w:rsidR="00F23B72" w:rsidP="008318BC" w:rsidRDefault="00F23B72" w14:paraId="1133D2A3" w14:textId="77777777">
            <w:pPr>
              <w:jc w:val="center"/>
              <w:rPr>
                <w:b/>
                <w:bCs/>
                <w:color w:val="000000"/>
              </w:rPr>
            </w:pPr>
            <w:bookmarkStart w:name="RANGE!A1:G18" w:id="0"/>
            <w:r w:rsidRPr="006C4606">
              <w:rPr>
                <w:b/>
                <w:bCs/>
                <w:color w:val="000000"/>
              </w:rPr>
              <w:t>Reporting</w:t>
            </w:r>
            <w:bookmarkEnd w:id="0"/>
          </w:p>
        </w:tc>
        <w:tc>
          <w:tcPr>
            <w:tcW w:w="1775" w:type="dxa"/>
            <w:tcBorders>
              <w:top w:val="single" w:color="auto" w:sz="8" w:space="0"/>
              <w:left w:val="nil"/>
              <w:bottom w:val="single" w:color="auto" w:sz="8" w:space="0"/>
              <w:right w:val="single" w:color="auto" w:sz="8" w:space="0"/>
            </w:tcBorders>
            <w:shd w:val="clear" w:color="000000" w:fill="FFFFFF"/>
            <w:vAlign w:val="center"/>
            <w:hideMark/>
          </w:tcPr>
          <w:p w:rsidRPr="006C4606" w:rsidR="00F23B72" w:rsidP="008318BC" w:rsidRDefault="00F23B72" w14:paraId="0C24825F" w14:textId="77777777">
            <w:pPr>
              <w:jc w:val="center"/>
              <w:rPr>
                <w:color w:val="000000"/>
              </w:rPr>
            </w:pPr>
            <w:r w:rsidRPr="006C4606">
              <w:rPr>
                <w:color w:val="000000"/>
              </w:rPr>
              <w:t># Respondents</w:t>
            </w:r>
          </w:p>
        </w:tc>
        <w:tc>
          <w:tcPr>
            <w:tcW w:w="1391" w:type="dxa"/>
            <w:tcBorders>
              <w:top w:val="single" w:color="auto" w:sz="8" w:space="0"/>
              <w:left w:val="nil"/>
              <w:bottom w:val="single" w:color="auto" w:sz="8" w:space="0"/>
              <w:right w:val="single" w:color="auto" w:sz="8" w:space="0"/>
            </w:tcBorders>
            <w:shd w:val="clear" w:color="000000" w:fill="FFFFFF"/>
            <w:vAlign w:val="center"/>
            <w:hideMark/>
          </w:tcPr>
          <w:p w:rsidRPr="006C4606" w:rsidR="00F23B72" w:rsidP="008318BC" w:rsidRDefault="00F23B72" w14:paraId="3D7D72BD" w14:textId="77777777">
            <w:pPr>
              <w:jc w:val="center"/>
              <w:rPr>
                <w:color w:val="000000"/>
              </w:rPr>
            </w:pPr>
            <w:r w:rsidRPr="006C4606">
              <w:rPr>
                <w:color w:val="000000"/>
              </w:rPr>
              <w:t># Responses Per Respondent</w:t>
            </w:r>
          </w:p>
          <w:p w:rsidRPr="006C4606" w:rsidR="00210608" w:rsidP="008318BC" w:rsidRDefault="00210608" w14:paraId="6FAA311A" w14:textId="390E61B7">
            <w:pPr>
              <w:jc w:val="center"/>
              <w:rPr>
                <w:color w:val="000000"/>
              </w:rPr>
            </w:pPr>
          </w:p>
        </w:tc>
        <w:tc>
          <w:tcPr>
            <w:tcW w:w="1391" w:type="dxa"/>
            <w:tcBorders>
              <w:top w:val="single" w:color="auto" w:sz="8" w:space="0"/>
              <w:left w:val="nil"/>
              <w:bottom w:val="single" w:color="auto" w:sz="8" w:space="0"/>
              <w:right w:val="single" w:color="auto" w:sz="8" w:space="0"/>
            </w:tcBorders>
            <w:shd w:val="clear" w:color="000000" w:fill="FFFFFF"/>
            <w:vAlign w:val="center"/>
            <w:hideMark/>
          </w:tcPr>
          <w:p w:rsidRPr="006C4606" w:rsidR="00F23B72" w:rsidP="008318BC" w:rsidRDefault="00F23B72" w14:paraId="6F2AB44B" w14:textId="77777777">
            <w:pPr>
              <w:jc w:val="center"/>
              <w:rPr>
                <w:color w:val="000000"/>
              </w:rPr>
            </w:pPr>
            <w:r w:rsidRPr="006C4606">
              <w:rPr>
                <w:color w:val="000000"/>
              </w:rPr>
              <w:t>Total annual Responses</w:t>
            </w:r>
          </w:p>
        </w:tc>
        <w:tc>
          <w:tcPr>
            <w:tcW w:w="1170" w:type="dxa"/>
            <w:tcBorders>
              <w:top w:val="single" w:color="auto" w:sz="8" w:space="0"/>
              <w:left w:val="nil"/>
              <w:bottom w:val="single" w:color="auto" w:sz="8" w:space="0"/>
              <w:right w:val="single" w:color="auto" w:sz="8" w:space="0"/>
            </w:tcBorders>
            <w:shd w:val="clear" w:color="000000" w:fill="FFFFFF"/>
            <w:vAlign w:val="center"/>
            <w:hideMark/>
          </w:tcPr>
          <w:p w:rsidRPr="006C4606" w:rsidR="00F23B72" w:rsidP="008318BC" w:rsidRDefault="00F23B72" w14:paraId="54539935" w14:textId="77777777">
            <w:pPr>
              <w:jc w:val="center"/>
              <w:rPr>
                <w:color w:val="000000"/>
              </w:rPr>
            </w:pPr>
            <w:r w:rsidRPr="006C4606">
              <w:rPr>
                <w:color w:val="000000"/>
              </w:rPr>
              <w:t>Hours per response</w:t>
            </w:r>
          </w:p>
        </w:tc>
        <w:tc>
          <w:tcPr>
            <w:tcW w:w="1553" w:type="dxa"/>
            <w:tcBorders>
              <w:top w:val="single" w:color="auto" w:sz="8" w:space="0"/>
              <w:left w:val="nil"/>
              <w:bottom w:val="single" w:color="auto" w:sz="8" w:space="0"/>
              <w:right w:val="single" w:color="auto" w:sz="8" w:space="0"/>
            </w:tcBorders>
            <w:shd w:val="clear" w:color="000000" w:fill="FFFFFF"/>
            <w:vAlign w:val="center"/>
            <w:hideMark/>
          </w:tcPr>
          <w:p w:rsidRPr="006C4606" w:rsidR="00F23B72" w:rsidP="008318BC" w:rsidRDefault="00F23B72" w14:paraId="262958C0" w14:textId="5CF9C5B7">
            <w:pPr>
              <w:jc w:val="center"/>
              <w:rPr>
                <w:color w:val="000000"/>
              </w:rPr>
            </w:pPr>
            <w:r w:rsidRPr="006C4606">
              <w:rPr>
                <w:color w:val="000000"/>
              </w:rPr>
              <w:t>Total Burden</w:t>
            </w:r>
            <w:r w:rsidRPr="006C4606" w:rsidR="00DE76C6">
              <w:rPr>
                <w:color w:val="000000"/>
              </w:rPr>
              <w:t xml:space="preserve"> in Hours</w:t>
            </w:r>
          </w:p>
        </w:tc>
        <w:tc>
          <w:tcPr>
            <w:tcW w:w="2076" w:type="dxa"/>
            <w:tcBorders>
              <w:top w:val="single" w:color="auto" w:sz="8" w:space="0"/>
              <w:left w:val="nil"/>
              <w:bottom w:val="single" w:color="auto" w:sz="8" w:space="0"/>
              <w:right w:val="single" w:color="auto" w:sz="8" w:space="0"/>
            </w:tcBorders>
            <w:shd w:val="clear" w:color="000000" w:fill="FFFFFF"/>
            <w:vAlign w:val="center"/>
            <w:hideMark/>
          </w:tcPr>
          <w:p w:rsidRPr="006C4606" w:rsidR="003C5B6F" w:rsidP="008318BC" w:rsidRDefault="00F23B72" w14:paraId="3530D715" w14:textId="77777777">
            <w:pPr>
              <w:jc w:val="center"/>
              <w:rPr>
                <w:color w:val="000000"/>
              </w:rPr>
            </w:pPr>
            <w:r w:rsidRPr="006C4606">
              <w:rPr>
                <w:color w:val="000000"/>
              </w:rPr>
              <w:t>Cost to Respondent</w:t>
            </w:r>
          </w:p>
          <w:p w:rsidRPr="006C4606" w:rsidR="00F23B72" w:rsidP="008318BC" w:rsidRDefault="003C5B6F" w14:paraId="1B3E9711" w14:textId="3D96276E">
            <w:pPr>
              <w:jc w:val="center"/>
              <w:rPr>
                <w:color w:val="000000"/>
              </w:rPr>
            </w:pPr>
            <w:r w:rsidRPr="006C4606">
              <w:rPr>
                <w:color w:val="000000"/>
              </w:rPr>
              <w:t>($</w:t>
            </w:r>
            <w:r w:rsidR="00BF77B1">
              <w:rPr>
                <w:color w:val="000000"/>
              </w:rPr>
              <w:t>49</w:t>
            </w:r>
            <w:r w:rsidRPr="006C4606">
              <w:rPr>
                <w:color w:val="000000"/>
              </w:rPr>
              <w:t>.</w:t>
            </w:r>
            <w:r w:rsidR="00BF77B1">
              <w:rPr>
                <w:color w:val="000000"/>
              </w:rPr>
              <w:t>54</w:t>
            </w:r>
            <w:r w:rsidRPr="006C4606" w:rsidR="00BF77B1">
              <w:rPr>
                <w:color w:val="000000"/>
              </w:rPr>
              <w:t xml:space="preserve"> </w:t>
            </w:r>
            <w:r w:rsidRPr="006C4606">
              <w:rPr>
                <w:color w:val="000000"/>
              </w:rPr>
              <w:t>per hour*)</w:t>
            </w:r>
          </w:p>
        </w:tc>
      </w:tr>
      <w:tr w:rsidRPr="00EF2363" w:rsidR="0089274A" w:rsidTr="00090925" w14:paraId="0D68C26D" w14:textId="77777777">
        <w:trPr>
          <w:trHeight w:val="530"/>
          <w:jc w:val="center"/>
        </w:trPr>
        <w:tc>
          <w:tcPr>
            <w:tcW w:w="2275" w:type="dxa"/>
            <w:tcBorders>
              <w:top w:val="nil"/>
              <w:left w:val="single" w:color="auto" w:sz="8" w:space="0"/>
              <w:bottom w:val="single" w:color="auto" w:sz="8" w:space="0"/>
              <w:right w:val="single" w:color="auto" w:sz="8" w:space="0"/>
            </w:tcBorders>
            <w:shd w:val="clear" w:color="000000" w:fill="FFFFFF"/>
            <w:vAlign w:val="center"/>
          </w:tcPr>
          <w:p w:rsidRPr="00FA574E" w:rsidR="006A2D85" w:rsidP="008318BC" w:rsidRDefault="005F1EBD" w14:paraId="4D02662D" w14:textId="637DE683">
            <w:pPr>
              <w:jc w:val="center"/>
            </w:pPr>
            <w:r w:rsidRPr="00FA574E">
              <w:t>Application</w:t>
            </w:r>
            <w:r w:rsidRPr="00FA574E" w:rsidR="00692802">
              <w:t>s</w:t>
            </w:r>
            <w:r w:rsidRPr="00FA574E" w:rsidR="0029555C">
              <w:t xml:space="preserve"> and Agreements</w:t>
            </w:r>
            <w:r w:rsidRPr="00FA574E" w:rsidR="00630C03">
              <w:t>*</w:t>
            </w:r>
            <w:r w:rsidR="00FA574E">
              <w:t>*</w:t>
            </w:r>
          </w:p>
        </w:tc>
        <w:tc>
          <w:tcPr>
            <w:tcW w:w="1775" w:type="dxa"/>
            <w:tcBorders>
              <w:top w:val="nil"/>
              <w:left w:val="nil"/>
              <w:bottom w:val="single" w:color="auto" w:sz="8" w:space="0"/>
              <w:right w:val="single" w:color="auto" w:sz="8" w:space="0"/>
            </w:tcBorders>
            <w:shd w:val="clear" w:color="000000" w:fill="FFFFFF"/>
            <w:vAlign w:val="center"/>
          </w:tcPr>
          <w:p w:rsidRPr="00FA574E" w:rsidR="006A2D85" w:rsidP="008318BC" w:rsidRDefault="00630C03" w14:paraId="7016BB50" w14:textId="42187A63">
            <w:pPr>
              <w:jc w:val="center"/>
            </w:pPr>
            <w:r w:rsidRPr="00FA574E">
              <w:t>1</w:t>
            </w:r>
          </w:p>
        </w:tc>
        <w:tc>
          <w:tcPr>
            <w:tcW w:w="1391" w:type="dxa"/>
            <w:tcBorders>
              <w:top w:val="nil"/>
              <w:left w:val="nil"/>
              <w:bottom w:val="single" w:color="auto" w:sz="8" w:space="0"/>
              <w:right w:val="single" w:color="auto" w:sz="8" w:space="0"/>
            </w:tcBorders>
            <w:shd w:val="clear" w:color="000000" w:fill="FFFFFF"/>
            <w:noWrap/>
            <w:vAlign w:val="center"/>
          </w:tcPr>
          <w:p w:rsidRPr="00FA574E" w:rsidR="006A2D85" w:rsidP="008318BC" w:rsidRDefault="00201CFC" w14:paraId="331CECA4" w14:textId="11CAD69C">
            <w:pPr>
              <w:jc w:val="center"/>
            </w:pPr>
            <w:r w:rsidRPr="00FA574E">
              <w:t>1</w:t>
            </w:r>
          </w:p>
        </w:tc>
        <w:tc>
          <w:tcPr>
            <w:tcW w:w="1391" w:type="dxa"/>
            <w:tcBorders>
              <w:top w:val="nil"/>
              <w:left w:val="nil"/>
              <w:bottom w:val="single" w:color="auto" w:sz="8" w:space="0"/>
              <w:right w:val="single" w:color="auto" w:sz="8" w:space="0"/>
            </w:tcBorders>
            <w:shd w:val="clear" w:color="000000" w:fill="FFFFFF"/>
            <w:noWrap/>
            <w:vAlign w:val="center"/>
          </w:tcPr>
          <w:p w:rsidRPr="00FA574E" w:rsidR="006A2D85" w:rsidP="008318BC" w:rsidRDefault="00630C03" w14:paraId="77AF1DBA" w14:textId="401C0C4B">
            <w:pPr>
              <w:jc w:val="center"/>
            </w:pPr>
            <w:r w:rsidRPr="00FA574E">
              <w:t>1</w:t>
            </w:r>
          </w:p>
        </w:tc>
        <w:tc>
          <w:tcPr>
            <w:tcW w:w="1170" w:type="dxa"/>
            <w:tcBorders>
              <w:top w:val="nil"/>
              <w:left w:val="nil"/>
              <w:bottom w:val="single" w:color="auto" w:sz="8" w:space="0"/>
              <w:right w:val="single" w:color="auto" w:sz="8" w:space="0"/>
            </w:tcBorders>
            <w:shd w:val="clear" w:color="000000" w:fill="FFFFFF"/>
            <w:noWrap/>
            <w:vAlign w:val="center"/>
          </w:tcPr>
          <w:p w:rsidRPr="00FA574E" w:rsidR="006A2D85" w:rsidP="008318BC" w:rsidRDefault="00201CFC" w14:paraId="141453B9" w14:textId="0104F89D">
            <w:pPr>
              <w:jc w:val="center"/>
            </w:pPr>
            <w:r w:rsidRPr="00FA574E">
              <w:t>2</w:t>
            </w:r>
          </w:p>
        </w:tc>
        <w:tc>
          <w:tcPr>
            <w:tcW w:w="1553" w:type="dxa"/>
            <w:tcBorders>
              <w:top w:val="nil"/>
              <w:left w:val="nil"/>
              <w:bottom w:val="single" w:color="auto" w:sz="8" w:space="0"/>
              <w:right w:val="single" w:color="auto" w:sz="8" w:space="0"/>
            </w:tcBorders>
            <w:shd w:val="clear" w:color="000000" w:fill="FFFFFF"/>
            <w:noWrap/>
            <w:vAlign w:val="center"/>
          </w:tcPr>
          <w:p w:rsidRPr="00FA574E" w:rsidR="006A2D85" w:rsidP="008318BC" w:rsidRDefault="00630C03" w14:paraId="6ADC8A17" w14:textId="0F107B68">
            <w:pPr>
              <w:jc w:val="center"/>
            </w:pPr>
            <w:r w:rsidRPr="00FA574E">
              <w:t>2</w:t>
            </w:r>
          </w:p>
        </w:tc>
        <w:tc>
          <w:tcPr>
            <w:tcW w:w="2076" w:type="dxa"/>
            <w:tcBorders>
              <w:top w:val="nil"/>
              <w:left w:val="nil"/>
              <w:bottom w:val="single" w:color="auto" w:sz="8" w:space="0"/>
              <w:right w:val="single" w:color="auto" w:sz="8" w:space="0"/>
            </w:tcBorders>
            <w:shd w:val="clear" w:color="000000" w:fill="FFFFFF"/>
            <w:noWrap/>
            <w:vAlign w:val="center"/>
          </w:tcPr>
          <w:p w:rsidRPr="00FA574E" w:rsidR="006A2D85" w:rsidRDefault="00FE06A9" w14:paraId="29AA82CD" w14:textId="6AA81102">
            <w:pPr>
              <w:jc w:val="center"/>
            </w:pPr>
            <w:r w:rsidRPr="00FA574E">
              <w:t>$99</w:t>
            </w:r>
          </w:p>
        </w:tc>
      </w:tr>
      <w:tr w:rsidRPr="00EF2363" w:rsidR="0089274A" w:rsidTr="00090925" w14:paraId="6BE17D18" w14:textId="77777777">
        <w:trPr>
          <w:trHeight w:val="830"/>
          <w:jc w:val="center"/>
        </w:trPr>
        <w:tc>
          <w:tcPr>
            <w:tcW w:w="2275" w:type="dxa"/>
            <w:tcBorders>
              <w:top w:val="nil"/>
              <w:left w:val="single" w:color="auto" w:sz="8" w:space="0"/>
              <w:bottom w:val="single" w:color="auto" w:sz="8" w:space="0"/>
              <w:right w:val="single" w:color="auto" w:sz="8" w:space="0"/>
            </w:tcBorders>
            <w:shd w:val="clear" w:color="000000" w:fill="FFFFFF"/>
            <w:vAlign w:val="center"/>
          </w:tcPr>
          <w:p w:rsidRPr="006C4606" w:rsidR="0057582F" w:rsidP="008318BC" w:rsidRDefault="00692802" w14:paraId="770AE739" w14:textId="761BCEC5">
            <w:pPr>
              <w:jc w:val="center"/>
              <w:rPr>
                <w:color w:val="000000"/>
              </w:rPr>
            </w:pPr>
            <w:r>
              <w:rPr>
                <w:color w:val="000000"/>
              </w:rPr>
              <w:t>Loan Program, PSP1, PSP2</w:t>
            </w:r>
            <w:r w:rsidR="00CF798D">
              <w:rPr>
                <w:color w:val="000000"/>
              </w:rPr>
              <w:t>, and PSP3</w:t>
            </w:r>
            <w:r>
              <w:rPr>
                <w:color w:val="000000"/>
              </w:rPr>
              <w:t xml:space="preserve"> </w:t>
            </w:r>
            <w:r w:rsidRPr="006C4606" w:rsidR="00D81674">
              <w:rPr>
                <w:color w:val="000000"/>
              </w:rPr>
              <w:t>Compliance Reporting and Recordkeeping</w:t>
            </w:r>
          </w:p>
        </w:tc>
        <w:tc>
          <w:tcPr>
            <w:tcW w:w="1775" w:type="dxa"/>
            <w:tcBorders>
              <w:top w:val="nil"/>
              <w:left w:val="nil"/>
              <w:bottom w:val="single" w:color="auto" w:sz="8" w:space="0"/>
              <w:right w:val="single" w:color="auto" w:sz="8" w:space="0"/>
            </w:tcBorders>
            <w:shd w:val="clear" w:color="000000" w:fill="FFFFFF"/>
            <w:noWrap/>
            <w:vAlign w:val="center"/>
          </w:tcPr>
          <w:p w:rsidRPr="006C4606" w:rsidR="0057582F" w:rsidP="008318BC" w:rsidRDefault="006D2213" w14:paraId="7855736F" w14:textId="23D846CA">
            <w:pPr>
              <w:jc w:val="center"/>
              <w:rPr>
                <w:color w:val="000000"/>
              </w:rPr>
            </w:pPr>
            <w:r>
              <w:rPr>
                <w:color w:val="000000"/>
              </w:rPr>
              <w:t>700</w:t>
            </w:r>
          </w:p>
        </w:tc>
        <w:tc>
          <w:tcPr>
            <w:tcW w:w="1391" w:type="dxa"/>
            <w:tcBorders>
              <w:top w:val="nil"/>
              <w:left w:val="nil"/>
              <w:bottom w:val="single" w:color="auto" w:sz="8" w:space="0"/>
              <w:right w:val="single" w:color="auto" w:sz="8" w:space="0"/>
            </w:tcBorders>
            <w:shd w:val="clear" w:color="000000" w:fill="FFFFFF"/>
            <w:noWrap/>
            <w:vAlign w:val="center"/>
          </w:tcPr>
          <w:p w:rsidRPr="006C4606" w:rsidR="0057582F" w:rsidP="008318BC" w:rsidRDefault="00D81674" w14:paraId="013A61BD" w14:textId="1018FC0E">
            <w:pPr>
              <w:jc w:val="center"/>
              <w:rPr>
                <w:color w:val="000000"/>
              </w:rPr>
            </w:pPr>
            <w:r w:rsidRPr="006C4606">
              <w:rPr>
                <w:color w:val="000000"/>
              </w:rPr>
              <w:t>4</w:t>
            </w:r>
          </w:p>
        </w:tc>
        <w:tc>
          <w:tcPr>
            <w:tcW w:w="1391" w:type="dxa"/>
            <w:tcBorders>
              <w:top w:val="nil"/>
              <w:left w:val="nil"/>
              <w:bottom w:val="single" w:color="auto" w:sz="8" w:space="0"/>
              <w:right w:val="single" w:color="auto" w:sz="8" w:space="0"/>
            </w:tcBorders>
            <w:shd w:val="clear" w:color="000000" w:fill="FFFFFF"/>
            <w:noWrap/>
            <w:vAlign w:val="center"/>
          </w:tcPr>
          <w:p w:rsidRPr="006C4606" w:rsidR="0057582F" w:rsidRDefault="006D2213" w14:paraId="37C43F3E" w14:textId="43469F90">
            <w:pPr>
              <w:jc w:val="center"/>
              <w:rPr>
                <w:color w:val="000000"/>
              </w:rPr>
            </w:pPr>
            <w:r>
              <w:rPr>
                <w:color w:val="000000"/>
              </w:rPr>
              <w:t>2,800</w:t>
            </w:r>
          </w:p>
        </w:tc>
        <w:tc>
          <w:tcPr>
            <w:tcW w:w="1170" w:type="dxa"/>
            <w:tcBorders>
              <w:top w:val="nil"/>
              <w:left w:val="nil"/>
              <w:bottom w:val="single" w:color="auto" w:sz="8" w:space="0"/>
              <w:right w:val="single" w:color="auto" w:sz="8" w:space="0"/>
            </w:tcBorders>
            <w:shd w:val="clear" w:color="000000" w:fill="FFFFFF"/>
            <w:noWrap/>
            <w:vAlign w:val="center"/>
          </w:tcPr>
          <w:p w:rsidRPr="006C4606" w:rsidR="0057582F" w:rsidP="008318BC" w:rsidRDefault="00D81674" w14:paraId="7EBAEE1C" w14:textId="5ACEEEB6">
            <w:pPr>
              <w:jc w:val="center"/>
              <w:rPr>
                <w:color w:val="000000"/>
              </w:rPr>
            </w:pPr>
            <w:r w:rsidRPr="006C4606">
              <w:rPr>
                <w:color w:val="000000"/>
              </w:rPr>
              <w:t>4</w:t>
            </w:r>
            <w:r w:rsidR="00965C94">
              <w:rPr>
                <w:color w:val="000000"/>
              </w:rPr>
              <w:t>.25</w:t>
            </w:r>
          </w:p>
        </w:tc>
        <w:tc>
          <w:tcPr>
            <w:tcW w:w="1553" w:type="dxa"/>
            <w:tcBorders>
              <w:top w:val="nil"/>
              <w:left w:val="nil"/>
              <w:bottom w:val="single" w:color="auto" w:sz="8" w:space="0"/>
              <w:right w:val="single" w:color="auto" w:sz="8" w:space="0"/>
            </w:tcBorders>
            <w:shd w:val="clear" w:color="000000" w:fill="FFFFFF"/>
            <w:noWrap/>
            <w:vAlign w:val="center"/>
          </w:tcPr>
          <w:p w:rsidRPr="006C4606" w:rsidR="0057582F" w:rsidP="008318BC" w:rsidRDefault="00944471" w14:paraId="644DA381" w14:textId="6E7C08D9">
            <w:pPr>
              <w:jc w:val="center"/>
              <w:rPr>
                <w:color w:val="000000"/>
              </w:rPr>
            </w:pPr>
            <w:r>
              <w:rPr>
                <w:color w:val="000000"/>
              </w:rPr>
              <w:t>11,900</w:t>
            </w:r>
          </w:p>
        </w:tc>
        <w:tc>
          <w:tcPr>
            <w:tcW w:w="2076" w:type="dxa"/>
            <w:tcBorders>
              <w:top w:val="nil"/>
              <w:left w:val="nil"/>
              <w:bottom w:val="single" w:color="auto" w:sz="8" w:space="0"/>
              <w:right w:val="single" w:color="auto" w:sz="8" w:space="0"/>
            </w:tcBorders>
            <w:shd w:val="clear" w:color="000000" w:fill="FFFFFF"/>
            <w:noWrap/>
            <w:vAlign w:val="center"/>
          </w:tcPr>
          <w:p w:rsidRPr="006C4606" w:rsidR="00E2375A" w:rsidRDefault="00D03489" w14:paraId="1186651B" w14:textId="276C5C8D">
            <w:pPr>
              <w:jc w:val="center"/>
              <w:rPr>
                <w:color w:val="000000"/>
              </w:rPr>
            </w:pPr>
            <w:r w:rsidRPr="006C4606">
              <w:rPr>
                <w:color w:val="000000"/>
              </w:rPr>
              <w:t>$</w:t>
            </w:r>
            <w:r w:rsidR="00E2375A">
              <w:rPr>
                <w:color w:val="000000"/>
              </w:rPr>
              <w:t>589,526</w:t>
            </w:r>
          </w:p>
        </w:tc>
      </w:tr>
      <w:tr w:rsidRPr="00EF2363" w:rsidR="0089274A" w:rsidTr="00090925" w14:paraId="6112787B" w14:textId="77777777">
        <w:trPr>
          <w:trHeight w:val="692"/>
          <w:jc w:val="center"/>
        </w:trPr>
        <w:tc>
          <w:tcPr>
            <w:tcW w:w="2275"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6C4606" w:rsidR="00D03489" w:rsidP="008318BC" w:rsidRDefault="00D03489" w14:paraId="7320EAC1" w14:textId="748DDA87">
            <w:pPr>
              <w:jc w:val="center"/>
              <w:rPr>
                <w:b/>
                <w:bCs/>
                <w:color w:val="000000"/>
              </w:rPr>
            </w:pPr>
            <w:r w:rsidRPr="006C4606">
              <w:rPr>
                <w:b/>
                <w:bCs/>
                <w:color w:val="000000"/>
              </w:rPr>
              <w:t>TOTAL</w:t>
            </w:r>
          </w:p>
        </w:tc>
        <w:tc>
          <w:tcPr>
            <w:tcW w:w="1775"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6C4606" w:rsidR="00D03489" w:rsidP="008318BC" w:rsidRDefault="00FF00AB" w14:paraId="50DAE88C" w14:textId="1B897C4D">
            <w:pPr>
              <w:jc w:val="center"/>
              <w:rPr>
                <w:b/>
                <w:color w:val="000000"/>
              </w:rPr>
            </w:pPr>
            <w:r>
              <w:rPr>
                <w:b/>
                <w:color w:val="000000"/>
              </w:rPr>
              <w:t>70</w:t>
            </w:r>
            <w:r w:rsidR="002066D2">
              <w:rPr>
                <w:b/>
                <w:color w:val="000000"/>
              </w:rPr>
              <w:t>1</w:t>
            </w:r>
          </w:p>
        </w:tc>
        <w:tc>
          <w:tcPr>
            <w:tcW w:w="1391"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6C4606" w:rsidR="00D03489" w:rsidP="008318BC" w:rsidRDefault="00D03489" w14:paraId="79181534" w14:textId="738FA19C">
            <w:pPr>
              <w:jc w:val="center"/>
              <w:rPr>
                <w:b/>
                <w:color w:val="000000"/>
              </w:rPr>
            </w:pPr>
          </w:p>
        </w:tc>
        <w:tc>
          <w:tcPr>
            <w:tcW w:w="1391"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6C4606" w:rsidR="00D03489" w:rsidP="008318BC" w:rsidRDefault="00FF00AB" w14:paraId="2BF25DA2" w14:textId="047250B8">
            <w:pPr>
              <w:jc w:val="center"/>
              <w:rPr>
                <w:b/>
                <w:color w:val="000000"/>
              </w:rPr>
            </w:pPr>
            <w:r>
              <w:rPr>
                <w:b/>
                <w:color w:val="000000"/>
              </w:rPr>
              <w:t>2,80</w:t>
            </w:r>
            <w:r w:rsidR="008F0968">
              <w:rPr>
                <w:b/>
                <w:color w:val="000000"/>
              </w:rPr>
              <w:t>1</w:t>
            </w:r>
          </w:p>
        </w:tc>
        <w:tc>
          <w:tcPr>
            <w:tcW w:w="1170" w:type="dxa"/>
            <w:tcBorders>
              <w:top w:val="single" w:color="auto" w:sz="4" w:space="0"/>
              <w:left w:val="single" w:color="auto" w:sz="4" w:space="0"/>
              <w:bottom w:val="single" w:color="auto" w:sz="4" w:space="0"/>
              <w:right w:val="single" w:color="auto" w:sz="4" w:space="0"/>
            </w:tcBorders>
            <w:shd w:val="clear" w:color="auto" w:fill="BFBFBF" w:themeFill="background1" w:themeFillShade="BF"/>
            <w:noWrap/>
            <w:vAlign w:val="center"/>
          </w:tcPr>
          <w:p w:rsidRPr="006C4606" w:rsidR="00D03489" w:rsidP="008318BC" w:rsidRDefault="00D03489" w14:paraId="0BFEDF81" w14:textId="77777777">
            <w:pPr>
              <w:jc w:val="center"/>
              <w:rPr>
                <w:b/>
                <w:color w:val="000000"/>
              </w:rPr>
            </w:pPr>
          </w:p>
        </w:tc>
        <w:tc>
          <w:tcPr>
            <w:tcW w:w="1553"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6C4606" w:rsidR="00D03489" w:rsidP="008318BC" w:rsidRDefault="00FF00AB" w14:paraId="4BD10E8F" w14:textId="308F65E8">
            <w:pPr>
              <w:jc w:val="center"/>
              <w:rPr>
                <w:b/>
                <w:color w:val="000000"/>
              </w:rPr>
            </w:pPr>
            <w:r>
              <w:rPr>
                <w:b/>
                <w:color w:val="000000"/>
              </w:rPr>
              <w:t>11,90</w:t>
            </w:r>
            <w:r w:rsidR="008F0968">
              <w:rPr>
                <w:b/>
                <w:color w:val="000000"/>
              </w:rPr>
              <w:t>2</w:t>
            </w:r>
          </w:p>
        </w:tc>
        <w:tc>
          <w:tcPr>
            <w:tcW w:w="2076" w:type="dxa"/>
            <w:tcBorders>
              <w:top w:val="single" w:color="auto" w:sz="4" w:space="0"/>
              <w:left w:val="single" w:color="auto" w:sz="4" w:space="0"/>
              <w:bottom w:val="single" w:color="auto" w:sz="4" w:space="0"/>
              <w:right w:val="single" w:color="auto" w:sz="4" w:space="0"/>
            </w:tcBorders>
            <w:shd w:val="clear" w:color="000000" w:fill="FFFFFF"/>
            <w:noWrap/>
            <w:vAlign w:val="center"/>
          </w:tcPr>
          <w:p w:rsidRPr="006C4606" w:rsidR="00C97F04" w:rsidRDefault="00D03489" w14:paraId="2E2874B8" w14:textId="08453E91">
            <w:pPr>
              <w:jc w:val="center"/>
              <w:rPr>
                <w:b/>
                <w:color w:val="000000"/>
              </w:rPr>
            </w:pPr>
            <w:r w:rsidRPr="006C4606">
              <w:rPr>
                <w:b/>
                <w:color w:val="000000"/>
              </w:rPr>
              <w:t>$</w:t>
            </w:r>
            <w:r w:rsidR="00A73851">
              <w:rPr>
                <w:b/>
                <w:color w:val="000000"/>
              </w:rPr>
              <w:t>589,</w:t>
            </w:r>
            <w:r w:rsidR="003D0B06">
              <w:rPr>
                <w:b/>
                <w:color w:val="000000"/>
              </w:rPr>
              <w:t>625</w:t>
            </w:r>
          </w:p>
        </w:tc>
      </w:tr>
    </w:tbl>
    <w:p w:rsidR="00DC0ACB" w:rsidP="00DC0ACB" w:rsidRDefault="003C5B6F" w14:paraId="39B20264" w14:textId="11151E1F">
      <w:pPr>
        <w:rPr>
          <w:sz w:val="20"/>
          <w:szCs w:val="20"/>
        </w:rPr>
      </w:pPr>
      <w:r w:rsidRPr="00BD5E56">
        <w:rPr>
          <w:sz w:val="20"/>
        </w:rPr>
        <w:t xml:space="preserve">* Bureau of Labor Statistics, U.S. Department of Labor, Occupational Outlook Handbook, Accountants and Auditors, on the Internet at </w:t>
      </w:r>
      <w:hyperlink w:history="1" r:id="rId8">
        <w:r w:rsidRPr="001240E6">
          <w:rPr>
            <w:rStyle w:val="Hyperlink"/>
            <w:sz w:val="20"/>
          </w:rPr>
          <w:t>https://www.bls.gov/ooh/business-and-financial/accountants-and-auditors.htm</w:t>
        </w:r>
      </w:hyperlink>
      <w:r w:rsidRPr="00BD5E56">
        <w:rPr>
          <w:sz w:val="20"/>
        </w:rPr>
        <w:t xml:space="preserve"> (visited </w:t>
      </w:r>
      <w:r w:rsidR="0070743E">
        <w:rPr>
          <w:sz w:val="20"/>
        </w:rPr>
        <w:t>December</w:t>
      </w:r>
      <w:r w:rsidRPr="00BD5E56" w:rsidR="0070743E">
        <w:rPr>
          <w:sz w:val="20"/>
        </w:rPr>
        <w:t xml:space="preserve"> </w:t>
      </w:r>
      <w:r w:rsidRPr="00BD5E56">
        <w:rPr>
          <w:sz w:val="20"/>
        </w:rPr>
        <w:t>28, 2020).</w:t>
      </w:r>
      <w:r w:rsidRPr="00753648" w:rsidR="00D03489">
        <w:rPr>
          <w:sz w:val="20"/>
          <w:szCs w:val="20"/>
        </w:rPr>
        <w:t xml:space="preserve"> Base wage of $</w:t>
      </w:r>
      <w:r w:rsidRPr="00753648" w:rsidR="0070743E">
        <w:rPr>
          <w:sz w:val="20"/>
          <w:szCs w:val="20"/>
        </w:rPr>
        <w:t>3</w:t>
      </w:r>
      <w:r w:rsidR="0070743E">
        <w:rPr>
          <w:sz w:val="20"/>
          <w:szCs w:val="20"/>
        </w:rPr>
        <w:t>4</w:t>
      </w:r>
      <w:r w:rsidRPr="00753648" w:rsidR="00D03489">
        <w:rPr>
          <w:sz w:val="20"/>
          <w:szCs w:val="20"/>
        </w:rPr>
        <w:t>.</w:t>
      </w:r>
      <w:r w:rsidR="0070743E">
        <w:rPr>
          <w:sz w:val="20"/>
          <w:szCs w:val="20"/>
        </w:rPr>
        <w:t>40</w:t>
      </w:r>
      <w:r w:rsidRPr="00753648" w:rsidR="00D03489">
        <w:rPr>
          <w:sz w:val="20"/>
          <w:szCs w:val="20"/>
        </w:rPr>
        <w:t xml:space="preserve">/hour increased by 44% to account for </w:t>
      </w:r>
      <w:proofErr w:type="gramStart"/>
      <w:r w:rsidRPr="00753648" w:rsidR="00D03489">
        <w:rPr>
          <w:sz w:val="20"/>
          <w:szCs w:val="20"/>
        </w:rPr>
        <w:t>fully-loaded</w:t>
      </w:r>
      <w:proofErr w:type="gramEnd"/>
      <w:r w:rsidRPr="00753648" w:rsidR="00D03489">
        <w:rPr>
          <w:sz w:val="20"/>
          <w:szCs w:val="20"/>
        </w:rPr>
        <w:t xml:space="preserve"> employer cost of employee compensation (benefits, etc.)</w:t>
      </w:r>
    </w:p>
    <w:p w:rsidR="002066D2" w:rsidP="00DC0ACB" w:rsidRDefault="002066D2" w14:paraId="72314A33" w14:textId="42159749">
      <w:pPr>
        <w:rPr>
          <w:sz w:val="20"/>
          <w:szCs w:val="20"/>
        </w:rPr>
      </w:pPr>
      <w:r>
        <w:rPr>
          <w:sz w:val="20"/>
          <w:szCs w:val="20"/>
        </w:rPr>
        <w:t>*</w:t>
      </w:r>
      <w:r w:rsidR="00FA574E">
        <w:rPr>
          <w:sz w:val="20"/>
          <w:szCs w:val="20"/>
        </w:rPr>
        <w:t>*</w:t>
      </w:r>
      <w:r w:rsidRPr="00FA574E" w:rsidR="007126F0">
        <w:rPr>
          <w:sz w:val="20"/>
          <w:szCs w:val="20"/>
        </w:rPr>
        <w:t>T</w:t>
      </w:r>
      <w:r w:rsidRPr="0092656F">
        <w:rPr>
          <w:sz w:val="20"/>
          <w:szCs w:val="20"/>
        </w:rPr>
        <w:t xml:space="preserve">his is a placeholder in </w:t>
      </w:r>
      <w:r w:rsidR="000C528D">
        <w:rPr>
          <w:sz w:val="20"/>
          <w:szCs w:val="20"/>
        </w:rPr>
        <w:t>case</w:t>
      </w:r>
      <w:r w:rsidRPr="00FA574E" w:rsidR="008A2899">
        <w:rPr>
          <w:sz w:val="20"/>
          <w:szCs w:val="20"/>
        </w:rPr>
        <w:t xml:space="preserve"> </w:t>
      </w:r>
      <w:r w:rsidRPr="00FA574E" w:rsidR="001465EF">
        <w:rPr>
          <w:sz w:val="20"/>
          <w:szCs w:val="20"/>
        </w:rPr>
        <w:t xml:space="preserve">a recipient decides to </w:t>
      </w:r>
      <w:proofErr w:type="gramStart"/>
      <w:r w:rsidRPr="00FA574E" w:rsidR="001465EF">
        <w:rPr>
          <w:sz w:val="20"/>
          <w:szCs w:val="20"/>
        </w:rPr>
        <w:t xml:space="preserve">submit an </w:t>
      </w:r>
      <w:r w:rsidRPr="0092656F">
        <w:rPr>
          <w:sz w:val="20"/>
          <w:szCs w:val="20"/>
        </w:rPr>
        <w:t>application</w:t>
      </w:r>
      <w:proofErr w:type="gramEnd"/>
      <w:r w:rsidRPr="00FA574E" w:rsidR="001465EF">
        <w:rPr>
          <w:sz w:val="20"/>
          <w:szCs w:val="20"/>
        </w:rPr>
        <w:t xml:space="preserve"> and/or sign a</w:t>
      </w:r>
      <w:r w:rsidR="000C528D">
        <w:rPr>
          <w:sz w:val="20"/>
          <w:szCs w:val="20"/>
        </w:rPr>
        <w:t xml:space="preserve"> </w:t>
      </w:r>
      <w:r w:rsidR="00E56E8D">
        <w:rPr>
          <w:sz w:val="20"/>
          <w:szCs w:val="20"/>
        </w:rPr>
        <w:t xml:space="preserve">new </w:t>
      </w:r>
      <w:r w:rsidR="000C528D">
        <w:rPr>
          <w:sz w:val="20"/>
          <w:szCs w:val="20"/>
        </w:rPr>
        <w:t xml:space="preserve">PSP </w:t>
      </w:r>
      <w:r w:rsidRPr="00FA574E" w:rsidR="001465EF">
        <w:rPr>
          <w:sz w:val="20"/>
          <w:szCs w:val="20"/>
        </w:rPr>
        <w:t>agreement</w:t>
      </w:r>
      <w:r w:rsidRPr="0092656F" w:rsidR="001465EF">
        <w:rPr>
          <w:sz w:val="20"/>
          <w:szCs w:val="20"/>
        </w:rPr>
        <w:t>.</w:t>
      </w:r>
      <w:r>
        <w:rPr>
          <w:sz w:val="20"/>
          <w:szCs w:val="20"/>
        </w:rPr>
        <w:t xml:space="preserve"> </w:t>
      </w:r>
    </w:p>
    <w:p w:rsidR="00DC0ACB" w:rsidP="00DC0ACB" w:rsidRDefault="00DC0ACB" w14:paraId="4ADB82AF" w14:textId="77777777">
      <w:pPr>
        <w:rPr>
          <w:sz w:val="20"/>
          <w:szCs w:val="20"/>
        </w:rPr>
      </w:pPr>
    </w:p>
    <w:p w:rsidRPr="009E2FFF" w:rsidR="00FB7F1C" w:rsidP="00DC0ACB" w:rsidRDefault="00961823" w14:paraId="3822291A" w14:textId="7D12873F">
      <w:r w:rsidRPr="009E2FFF">
        <w:t xml:space="preserve">13.  </w:t>
      </w:r>
      <w:r w:rsidRPr="009E2FFF">
        <w:rPr>
          <w:u w:val="single"/>
        </w:rPr>
        <w:t>Estimated total annual cost burden to respondents</w:t>
      </w:r>
      <w:r w:rsidRPr="009E2FFF" w:rsidR="00FB7F1C">
        <w:rPr>
          <w:u w:val="single"/>
        </w:rPr>
        <w:t> </w:t>
      </w:r>
      <w:r w:rsidRPr="009E2FFF" w:rsidR="00FB7F1C">
        <w:t> </w:t>
      </w:r>
    </w:p>
    <w:p w:rsidRPr="00EF2363" w:rsidR="00403DA0" w:rsidP="00CB003A" w:rsidRDefault="00403DA0" w14:paraId="118FAE07" w14:textId="77777777"/>
    <w:p w:rsidR="00E13A9C" w:rsidP="00AD55CE" w:rsidRDefault="004B7407" w14:paraId="3DF2F5DD" w14:textId="6178117B">
      <w:r w:rsidRPr="00EF2363">
        <w:t xml:space="preserve">There </w:t>
      </w:r>
      <w:r w:rsidRPr="00EF2363" w:rsidR="00A10CD2">
        <w:t>are</w:t>
      </w:r>
      <w:r w:rsidRPr="00EF2363" w:rsidR="00E13A9C">
        <w:t xml:space="preserve"> </w:t>
      </w:r>
      <w:r w:rsidRPr="00EF2363">
        <w:t xml:space="preserve">no annualized capital/startup costs for the </w:t>
      </w:r>
      <w:r w:rsidRPr="00EF2363" w:rsidR="00302265">
        <w:t xml:space="preserve">eligible recipients </w:t>
      </w:r>
      <w:r w:rsidRPr="00EF2363">
        <w:t>to provide th</w:t>
      </w:r>
      <w:r w:rsidR="00AD55CE">
        <w:t>e</w:t>
      </w:r>
      <w:r w:rsidRPr="00EF2363">
        <w:t xml:space="preserve"> information</w:t>
      </w:r>
      <w:r w:rsidR="005F1EBD">
        <w:t xml:space="preserve"> in the application</w:t>
      </w:r>
      <w:r w:rsidRPr="00EF2363" w:rsidR="00302265">
        <w:t xml:space="preserve">.  </w:t>
      </w:r>
    </w:p>
    <w:p w:rsidRPr="00EF2363" w:rsidR="00E03689" w:rsidP="00CB003A" w:rsidRDefault="00E03689" w14:paraId="335D0782" w14:textId="77777777"/>
    <w:p w:rsidRPr="00EF2363" w:rsidR="00961823" w:rsidP="00CB003A" w:rsidRDefault="00961823" w14:paraId="1ECBF775" w14:textId="643847AF">
      <w:r w:rsidRPr="009E2FFF">
        <w:t xml:space="preserve">14.  </w:t>
      </w:r>
      <w:r w:rsidRPr="009E2FFF">
        <w:rPr>
          <w:u w:val="single"/>
        </w:rPr>
        <w:t>Estimated cost to the federal government</w:t>
      </w:r>
      <w:r w:rsidRPr="009E2FFF">
        <w:t>.</w:t>
      </w:r>
    </w:p>
    <w:p w:rsidR="00E13A9C" w:rsidP="00CB003A" w:rsidRDefault="00E13A9C" w14:paraId="2CCEF5C1" w14:textId="3F4EB2CA"/>
    <w:p w:rsidR="006C4606" w:rsidP="006C4606" w:rsidRDefault="006C4606" w14:paraId="6A560307" w14:textId="77777777">
      <w:r w:rsidRPr="0025604D">
        <w:t>There will be no annualized capital/start-up costs for the government to receive this information.</w:t>
      </w:r>
      <w:r>
        <w:t xml:space="preserve">   The below table reflects the estimated time for a GS-13, Step 1 to review the information collected. </w:t>
      </w:r>
    </w:p>
    <w:p w:rsidR="006C4606" w:rsidP="006C4606" w:rsidRDefault="006C4606" w14:paraId="00BF107E" w14:textId="77777777"/>
    <w:tbl>
      <w:tblPr>
        <w:tblW w:w="95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30"/>
        <w:gridCol w:w="1620"/>
        <w:gridCol w:w="1170"/>
        <w:gridCol w:w="1170"/>
        <w:gridCol w:w="1440"/>
        <w:gridCol w:w="1710"/>
      </w:tblGrid>
      <w:tr w:rsidRPr="0090747A" w:rsidR="006C4606" w:rsidTr="006C4606" w14:paraId="778A2B5D" w14:textId="77777777">
        <w:tc>
          <w:tcPr>
            <w:tcW w:w="2430" w:type="dxa"/>
            <w:vAlign w:val="bottom"/>
          </w:tcPr>
          <w:p w:rsidRPr="0090747A" w:rsidR="006C4606" w:rsidP="006D1DEA" w:rsidRDefault="006C4606" w14:paraId="3CE869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Collection Instrument</w:t>
            </w:r>
          </w:p>
        </w:tc>
        <w:tc>
          <w:tcPr>
            <w:tcW w:w="1620" w:type="dxa"/>
            <w:vAlign w:val="bottom"/>
          </w:tcPr>
          <w:p w:rsidRPr="0090747A" w:rsidR="006C4606" w:rsidP="006D1DEA" w:rsidRDefault="006C4606" w14:paraId="3B1C52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Number of Responses</w:t>
            </w:r>
          </w:p>
        </w:tc>
        <w:tc>
          <w:tcPr>
            <w:tcW w:w="1170" w:type="dxa"/>
            <w:vAlign w:val="bottom"/>
          </w:tcPr>
          <w:p w:rsidRPr="0090747A" w:rsidR="006C4606" w:rsidP="006D1DEA" w:rsidRDefault="006C4606" w14:paraId="48A6AD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Av</w:t>
            </w:r>
            <w:r>
              <w:rPr>
                <w:bCs/>
              </w:rPr>
              <w:t>era</w:t>
            </w:r>
            <w:r w:rsidRPr="0090747A">
              <w:rPr>
                <w:bCs/>
              </w:rPr>
              <w:t>g</w:t>
            </w:r>
            <w:r>
              <w:rPr>
                <w:bCs/>
              </w:rPr>
              <w:t>e</w:t>
            </w:r>
            <w:r w:rsidRPr="0090747A">
              <w:rPr>
                <w:bCs/>
              </w:rPr>
              <w:t xml:space="preserve"> </w:t>
            </w:r>
            <w:r>
              <w:rPr>
                <w:bCs/>
              </w:rPr>
              <w:t xml:space="preserve">Review Time </w:t>
            </w:r>
            <w:r w:rsidRPr="0090747A">
              <w:rPr>
                <w:bCs/>
              </w:rPr>
              <w:t>per Response (in hours)</w:t>
            </w:r>
          </w:p>
        </w:tc>
        <w:tc>
          <w:tcPr>
            <w:tcW w:w="1170" w:type="dxa"/>
            <w:vAlign w:val="bottom"/>
          </w:tcPr>
          <w:p w:rsidRPr="0090747A" w:rsidR="006C4606" w:rsidP="006D1DEA" w:rsidRDefault="006C4606" w14:paraId="3D61ED0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 xml:space="preserve">Total </w:t>
            </w:r>
            <w:r>
              <w:rPr>
                <w:bCs/>
              </w:rPr>
              <w:t>Time to Review</w:t>
            </w:r>
            <w:r w:rsidRPr="0090747A">
              <w:rPr>
                <w:bCs/>
              </w:rPr>
              <w:t xml:space="preserve"> (in hours)</w:t>
            </w:r>
          </w:p>
        </w:tc>
        <w:tc>
          <w:tcPr>
            <w:tcW w:w="1440" w:type="dxa"/>
            <w:vAlign w:val="bottom"/>
          </w:tcPr>
          <w:p w:rsidRPr="0090747A" w:rsidR="006C4606" w:rsidP="006D1DEA" w:rsidRDefault="006C4606" w14:paraId="70CE6F2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Av</w:t>
            </w:r>
            <w:r>
              <w:rPr>
                <w:bCs/>
              </w:rPr>
              <w:t xml:space="preserve">erage </w:t>
            </w:r>
            <w:r w:rsidRPr="0090747A">
              <w:rPr>
                <w:bCs/>
              </w:rPr>
              <w:t>Hourly Wage Rate</w:t>
            </w:r>
            <w:r>
              <w:rPr>
                <w:rStyle w:val="FootnoteReference"/>
                <w:bCs/>
              </w:rPr>
              <w:footnoteReference w:id="2"/>
            </w:r>
          </w:p>
        </w:tc>
        <w:tc>
          <w:tcPr>
            <w:tcW w:w="1710" w:type="dxa"/>
            <w:vAlign w:val="bottom"/>
          </w:tcPr>
          <w:p w:rsidRPr="0090747A" w:rsidR="006C4606" w:rsidP="006D1DEA" w:rsidRDefault="006C4606" w14:paraId="3A8ABD3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0747A">
              <w:rPr>
                <w:bCs/>
              </w:rPr>
              <w:t xml:space="preserve">Total Annual </w:t>
            </w:r>
            <w:r>
              <w:rPr>
                <w:bCs/>
              </w:rPr>
              <w:t>Government</w:t>
            </w:r>
            <w:r w:rsidRPr="0090747A">
              <w:rPr>
                <w:bCs/>
              </w:rPr>
              <w:t xml:space="preserve"> Cost</w:t>
            </w:r>
          </w:p>
        </w:tc>
      </w:tr>
      <w:tr w:rsidRPr="0090747A" w:rsidR="005A6CCC" w:rsidTr="00377F79" w14:paraId="3A3622B3" w14:textId="77777777">
        <w:tc>
          <w:tcPr>
            <w:tcW w:w="2430" w:type="dxa"/>
          </w:tcPr>
          <w:p w:rsidRPr="0092656F" w:rsidR="005A6CCC" w:rsidP="00377F79" w:rsidRDefault="005A6CCC" w14:paraId="2C48267A" w14:textId="620653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rPr>
            </w:pPr>
            <w:r w:rsidRPr="0092656F">
              <w:rPr>
                <w:bCs/>
              </w:rPr>
              <w:t>Applications and Agreements*</w:t>
            </w:r>
          </w:p>
        </w:tc>
        <w:tc>
          <w:tcPr>
            <w:tcW w:w="1620" w:type="dxa"/>
            <w:vAlign w:val="center"/>
          </w:tcPr>
          <w:p w:rsidRPr="0092656F" w:rsidR="005A6CCC" w:rsidP="00377F79" w:rsidRDefault="005A6CCC" w14:paraId="66F8E511" w14:textId="27CF9D8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sidRPr="0092656F">
              <w:rPr>
                <w:bCs/>
              </w:rPr>
              <w:t>1</w:t>
            </w:r>
          </w:p>
        </w:tc>
        <w:tc>
          <w:tcPr>
            <w:tcW w:w="1170" w:type="dxa"/>
            <w:vAlign w:val="center"/>
          </w:tcPr>
          <w:p w:rsidRPr="0092656F" w:rsidR="005A6CCC" w:rsidP="00377F79" w:rsidRDefault="002F5A9A" w14:paraId="7578B9B4" w14:textId="61783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1</w:t>
            </w:r>
          </w:p>
        </w:tc>
        <w:tc>
          <w:tcPr>
            <w:tcW w:w="1170" w:type="dxa"/>
            <w:vAlign w:val="center"/>
          </w:tcPr>
          <w:p w:rsidRPr="0092656F" w:rsidR="005A6CCC" w:rsidP="00377F79" w:rsidRDefault="002F5A9A" w14:paraId="33792A40" w14:textId="5B3B3A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1</w:t>
            </w:r>
          </w:p>
        </w:tc>
        <w:tc>
          <w:tcPr>
            <w:tcW w:w="1440" w:type="dxa"/>
            <w:vAlign w:val="center"/>
          </w:tcPr>
          <w:p w:rsidRPr="0092656F" w:rsidR="005A6CCC" w:rsidP="00377F79" w:rsidRDefault="002F5A9A" w14:paraId="4A569677" w14:textId="07009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w:t>
            </w:r>
            <w:r w:rsidRPr="0092656F" w:rsidR="00AF2A76">
              <w:rPr>
                <w:bCs/>
              </w:rPr>
              <w:t>49.19</w:t>
            </w:r>
          </w:p>
        </w:tc>
        <w:tc>
          <w:tcPr>
            <w:tcW w:w="1710" w:type="dxa"/>
            <w:vAlign w:val="center"/>
          </w:tcPr>
          <w:p w:rsidRPr="0092656F" w:rsidR="005A6CCC" w:rsidP="00377F79" w:rsidRDefault="0005478C" w14:paraId="76D73C6D" w14:textId="4DF358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w:t>
            </w:r>
            <w:r w:rsidR="002F5A9A">
              <w:rPr>
                <w:bCs/>
              </w:rPr>
              <w:t>49</w:t>
            </w:r>
          </w:p>
        </w:tc>
      </w:tr>
      <w:tr w:rsidRPr="0090747A" w:rsidR="006C4606" w:rsidTr="006C4606" w14:paraId="2048AED6" w14:textId="77777777">
        <w:tc>
          <w:tcPr>
            <w:tcW w:w="2430" w:type="dxa"/>
          </w:tcPr>
          <w:p w:rsidRPr="0090747A" w:rsidR="006C4606" w:rsidP="006D1DEA" w:rsidRDefault="00692802" w14:paraId="61EE04A2" w14:textId="2D7CFB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Cs/>
              </w:rPr>
            </w:pPr>
            <w:r>
              <w:rPr>
                <w:bCs/>
              </w:rPr>
              <w:t>Loan Program, PSP1, PSP2</w:t>
            </w:r>
            <w:r w:rsidR="00136F2A">
              <w:rPr>
                <w:bCs/>
              </w:rPr>
              <w:t>, and PSP3</w:t>
            </w:r>
            <w:r>
              <w:rPr>
                <w:bCs/>
              </w:rPr>
              <w:t xml:space="preserve"> </w:t>
            </w:r>
            <w:r w:rsidRPr="006C4606" w:rsidR="006C4606">
              <w:rPr>
                <w:bCs/>
              </w:rPr>
              <w:t>Compliance Reporting and Recordkeeping</w:t>
            </w:r>
          </w:p>
        </w:tc>
        <w:tc>
          <w:tcPr>
            <w:tcW w:w="1620" w:type="dxa"/>
            <w:vAlign w:val="center"/>
          </w:tcPr>
          <w:p w:rsidRPr="0090747A" w:rsidR="006C4606" w:rsidP="006D1DEA" w:rsidRDefault="00E20C59" w14:paraId="0334A361" w14:textId="2EC5D1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2,800</w:t>
            </w:r>
          </w:p>
        </w:tc>
        <w:tc>
          <w:tcPr>
            <w:tcW w:w="1170" w:type="dxa"/>
            <w:vAlign w:val="center"/>
          </w:tcPr>
          <w:p w:rsidRPr="0090747A" w:rsidR="006C4606" w:rsidP="006D1DEA" w:rsidRDefault="006C4606" w14:paraId="156C82A1" w14:textId="0EEF2A6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40</w:t>
            </w:r>
          </w:p>
        </w:tc>
        <w:tc>
          <w:tcPr>
            <w:tcW w:w="1170" w:type="dxa"/>
            <w:vAlign w:val="center"/>
          </w:tcPr>
          <w:p w:rsidRPr="0090747A" w:rsidR="006C4606" w:rsidP="006D1DEA" w:rsidRDefault="00E20C59" w14:paraId="7EDC0B6A" w14:textId="760B73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112,000</w:t>
            </w:r>
          </w:p>
        </w:tc>
        <w:tc>
          <w:tcPr>
            <w:tcW w:w="1440" w:type="dxa"/>
            <w:vAlign w:val="center"/>
          </w:tcPr>
          <w:p w:rsidRPr="0090747A" w:rsidR="006C4606" w:rsidP="006D1DEA" w:rsidRDefault="006C4606" w14:paraId="5AAEE9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$49.19</w:t>
            </w:r>
          </w:p>
        </w:tc>
        <w:tc>
          <w:tcPr>
            <w:tcW w:w="1710" w:type="dxa"/>
            <w:vAlign w:val="center"/>
          </w:tcPr>
          <w:p w:rsidRPr="0090747A" w:rsidR="006C4606" w:rsidP="006C4606" w:rsidRDefault="00E20C59" w14:paraId="034C46E7" w14:textId="305094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Cs/>
              </w:rPr>
            </w:pPr>
            <w:r>
              <w:rPr>
                <w:bCs/>
              </w:rPr>
              <w:t>$5,509,280</w:t>
            </w:r>
          </w:p>
        </w:tc>
      </w:tr>
      <w:tr w:rsidRPr="0090747A" w:rsidR="006C4606" w:rsidTr="008D7992" w14:paraId="4D710A42" w14:textId="77777777">
        <w:tc>
          <w:tcPr>
            <w:tcW w:w="2430" w:type="dxa"/>
          </w:tcPr>
          <w:p w:rsidRPr="002D4AD9" w:rsidR="006C4606" w:rsidP="006D1DEA" w:rsidRDefault="006C4606" w14:paraId="1F6813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b/>
                <w:bCs/>
              </w:rPr>
            </w:pPr>
            <w:r w:rsidRPr="002D4AD9">
              <w:rPr>
                <w:b/>
                <w:bCs/>
              </w:rPr>
              <w:t>Total</w:t>
            </w:r>
          </w:p>
        </w:tc>
        <w:tc>
          <w:tcPr>
            <w:tcW w:w="1620" w:type="dxa"/>
            <w:shd w:val="clear" w:color="auto" w:fill="auto"/>
            <w:vAlign w:val="center"/>
          </w:tcPr>
          <w:p w:rsidRPr="002D4AD9" w:rsidR="006C4606" w:rsidP="006D1DEA" w:rsidRDefault="0008024E" w14:paraId="76D21157" w14:textId="2C4FA9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r>
              <w:rPr>
                <w:b/>
                <w:bCs/>
              </w:rPr>
              <w:t>2</w:t>
            </w:r>
            <w:r w:rsidR="000E097B">
              <w:rPr>
                <w:b/>
                <w:bCs/>
              </w:rPr>
              <w:t>,8</w:t>
            </w:r>
            <w:r>
              <w:rPr>
                <w:b/>
                <w:bCs/>
              </w:rPr>
              <w:t>0</w:t>
            </w:r>
            <w:r w:rsidR="00E2171A">
              <w:rPr>
                <w:b/>
                <w:bCs/>
              </w:rPr>
              <w:t>1</w:t>
            </w:r>
          </w:p>
        </w:tc>
        <w:tc>
          <w:tcPr>
            <w:tcW w:w="1170" w:type="dxa"/>
            <w:shd w:val="clear" w:color="auto" w:fill="BFBFBF" w:themeFill="background1" w:themeFillShade="BF"/>
            <w:vAlign w:val="center"/>
          </w:tcPr>
          <w:p w:rsidRPr="002D4AD9" w:rsidR="006C4606" w:rsidP="006D1DEA" w:rsidRDefault="006C4606" w14:paraId="73F01C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p>
        </w:tc>
        <w:tc>
          <w:tcPr>
            <w:tcW w:w="1170" w:type="dxa"/>
            <w:vAlign w:val="center"/>
          </w:tcPr>
          <w:p w:rsidRPr="002D4AD9" w:rsidR="006C4606" w:rsidP="006D1DEA" w:rsidRDefault="0008024E" w14:paraId="5D714330" w14:textId="4D78D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r>
              <w:rPr>
                <w:b/>
                <w:bCs/>
              </w:rPr>
              <w:t>112,00</w:t>
            </w:r>
            <w:r w:rsidR="002F5A9A">
              <w:rPr>
                <w:b/>
                <w:bCs/>
              </w:rPr>
              <w:t>1</w:t>
            </w:r>
          </w:p>
        </w:tc>
        <w:tc>
          <w:tcPr>
            <w:tcW w:w="1440" w:type="dxa"/>
            <w:shd w:val="clear" w:color="auto" w:fill="BFBFBF" w:themeFill="background1" w:themeFillShade="BF"/>
            <w:vAlign w:val="center"/>
          </w:tcPr>
          <w:p w:rsidRPr="002D4AD9" w:rsidR="006C4606" w:rsidP="006D1DEA" w:rsidRDefault="006C4606" w14:paraId="5D2B7D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p>
        </w:tc>
        <w:tc>
          <w:tcPr>
            <w:tcW w:w="1710" w:type="dxa"/>
            <w:vAlign w:val="center"/>
          </w:tcPr>
          <w:p w:rsidRPr="002D4AD9" w:rsidR="006C4606" w:rsidP="006C4606" w:rsidRDefault="006C4606" w14:paraId="6870E0E8" w14:textId="79BADA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b/>
                <w:bCs/>
              </w:rPr>
            </w:pPr>
            <w:r>
              <w:rPr>
                <w:b/>
                <w:bCs/>
              </w:rPr>
              <w:t>$</w:t>
            </w:r>
            <w:r w:rsidR="0008024E">
              <w:rPr>
                <w:b/>
                <w:bCs/>
              </w:rPr>
              <w:t>5,509,</w:t>
            </w:r>
            <w:r w:rsidR="0005478C">
              <w:rPr>
                <w:b/>
                <w:bCs/>
              </w:rPr>
              <w:t>329</w:t>
            </w:r>
          </w:p>
        </w:tc>
      </w:tr>
    </w:tbl>
    <w:p w:rsidR="006C4606" w:rsidP="006C4606" w:rsidRDefault="00A43556" w14:paraId="04A367FD" w14:textId="0A914783">
      <w:r>
        <w:rPr>
          <w:sz w:val="20"/>
          <w:szCs w:val="20"/>
        </w:rPr>
        <w:t>*</w:t>
      </w:r>
      <w:r w:rsidRPr="005A0224">
        <w:rPr>
          <w:sz w:val="20"/>
          <w:szCs w:val="20"/>
        </w:rPr>
        <w:t xml:space="preserve">This is a placeholder in </w:t>
      </w:r>
      <w:r>
        <w:rPr>
          <w:sz w:val="20"/>
          <w:szCs w:val="20"/>
        </w:rPr>
        <w:t>case</w:t>
      </w:r>
      <w:r w:rsidRPr="005A0224">
        <w:rPr>
          <w:sz w:val="20"/>
          <w:szCs w:val="20"/>
        </w:rPr>
        <w:t xml:space="preserve"> </w:t>
      </w:r>
      <w:r w:rsidR="00D40EA8">
        <w:rPr>
          <w:sz w:val="20"/>
          <w:szCs w:val="20"/>
        </w:rPr>
        <w:t xml:space="preserve">Treasury will need to </w:t>
      </w:r>
      <w:r w:rsidR="001222EA">
        <w:rPr>
          <w:sz w:val="20"/>
          <w:szCs w:val="20"/>
        </w:rPr>
        <w:t xml:space="preserve">review a recipient’s application </w:t>
      </w:r>
      <w:r w:rsidR="00E56E8D">
        <w:rPr>
          <w:sz w:val="20"/>
          <w:szCs w:val="20"/>
        </w:rPr>
        <w:t>or new PSP agreement</w:t>
      </w:r>
      <w:r w:rsidRPr="005A0224">
        <w:rPr>
          <w:sz w:val="20"/>
          <w:szCs w:val="20"/>
        </w:rPr>
        <w:t>.</w:t>
      </w:r>
    </w:p>
    <w:p w:rsidR="006C4606" w:rsidP="00CB003A" w:rsidRDefault="006C4606" w14:paraId="492DBCDC" w14:textId="5059FB5C"/>
    <w:p w:rsidRPr="009E2FFF" w:rsidR="00961823" w:rsidP="009E2FFF" w:rsidRDefault="00961823" w14:paraId="7F8C600C" w14:textId="77777777">
      <w:pPr>
        <w:keepNext/>
      </w:pPr>
      <w:r w:rsidRPr="009E2FFF">
        <w:t xml:space="preserve">15.  </w:t>
      </w:r>
      <w:r w:rsidRPr="009E2FFF">
        <w:rPr>
          <w:u w:val="single"/>
        </w:rPr>
        <w:t>Reasons for change in burden</w:t>
      </w:r>
    </w:p>
    <w:p w:rsidR="00961823" w:rsidP="00666B6D" w:rsidRDefault="00961823" w14:paraId="474DBA20" w14:textId="21B9B74B">
      <w:pPr>
        <w:keepNext/>
      </w:pPr>
    </w:p>
    <w:p w:rsidRPr="00EF2363" w:rsidR="00EE3D61" w:rsidP="00666B6D" w:rsidRDefault="00EE3D61" w14:paraId="6CB98798" w14:textId="1A612323">
      <w:pPr>
        <w:keepNext/>
      </w:pPr>
      <w:r>
        <w:t xml:space="preserve">This submission is to renew the OMB approval.  </w:t>
      </w:r>
      <w:r w:rsidR="001560B2">
        <w:t xml:space="preserve">The changes to burden since the previous approval are for revising estimates </w:t>
      </w:r>
      <w:r w:rsidR="001222EA">
        <w:t xml:space="preserve">related to PSP </w:t>
      </w:r>
      <w:r w:rsidR="001560B2">
        <w:t xml:space="preserve">applications and agreements. </w:t>
      </w:r>
      <w:r>
        <w:t>There are no</w:t>
      </w:r>
      <w:r w:rsidR="001560B2">
        <w:t xml:space="preserve"> programmatic</w:t>
      </w:r>
      <w:r>
        <w:t xml:space="preserve"> changes since OMB previously reviewed and approved the collection.</w:t>
      </w:r>
    </w:p>
    <w:p w:rsidR="00EE3D61" w:rsidRDefault="00EE3D61" w14:paraId="1B7CE714" w14:textId="77777777">
      <w:bookmarkStart w:name="_Hlk88470398" w:id="1"/>
    </w:p>
    <w:bookmarkEnd w:id="1"/>
    <w:p w:rsidRPr="00EF2363" w:rsidR="00E13A9C" w:rsidP="00CB003A" w:rsidRDefault="00E13A9C" w14:paraId="1AB6B81E" w14:textId="033D1698"/>
    <w:p w:rsidRPr="009E2FFF" w:rsidR="00961823" w:rsidP="009E2FFF" w:rsidRDefault="00961823" w14:paraId="3926CF1D" w14:textId="77777777">
      <w:pPr>
        <w:keepNext/>
      </w:pPr>
      <w:r w:rsidRPr="009E2FFF">
        <w:t xml:space="preserve">16.  </w:t>
      </w:r>
      <w:r w:rsidRPr="009E2FFF">
        <w:rPr>
          <w:u w:val="single"/>
        </w:rPr>
        <w:t xml:space="preserve">Plans for tabulation, statistical </w:t>
      </w:r>
      <w:proofErr w:type="gramStart"/>
      <w:r w:rsidRPr="009E2FFF">
        <w:rPr>
          <w:u w:val="single"/>
        </w:rPr>
        <w:t>analysis</w:t>
      </w:r>
      <w:proofErr w:type="gramEnd"/>
      <w:r w:rsidRPr="009E2FFF" w:rsidR="00A2596F">
        <w:rPr>
          <w:u w:val="single"/>
        </w:rPr>
        <w:t xml:space="preserve"> and publication</w:t>
      </w:r>
    </w:p>
    <w:p w:rsidRPr="00EF2363" w:rsidR="00A2596F" w:rsidP="00CB003A" w:rsidRDefault="00A2596F" w14:paraId="20E4660D" w14:textId="77777777"/>
    <w:p w:rsidRPr="00EF2363" w:rsidR="00717738" w:rsidP="00CB003A" w:rsidRDefault="006E6033" w14:paraId="7485135E" w14:textId="6B3F56ED">
      <w:r>
        <w:t xml:space="preserve">The 4003 programs are subject to review by the </w:t>
      </w:r>
      <w:r w:rsidR="008956E9">
        <w:t>Special Inspector General</w:t>
      </w:r>
      <w:r w:rsidRPr="008956E9" w:rsidR="008956E9">
        <w:t xml:space="preserve"> </w:t>
      </w:r>
      <w:r>
        <w:t>for Pandemic Recovery,</w:t>
      </w:r>
      <w:r w:rsidRPr="008956E9" w:rsidR="008956E9">
        <w:t xml:space="preserve"> GAO</w:t>
      </w:r>
      <w:r>
        <w:t>,</w:t>
      </w:r>
      <w:r w:rsidRPr="008956E9" w:rsidR="008956E9">
        <w:t xml:space="preserve"> a </w:t>
      </w:r>
      <w:r>
        <w:t>C</w:t>
      </w:r>
      <w:r w:rsidRPr="008956E9">
        <w:t>ongressio</w:t>
      </w:r>
      <w:r>
        <w:t xml:space="preserve">nal Oversight </w:t>
      </w:r>
      <w:proofErr w:type="gramStart"/>
      <w:r>
        <w:t>Commission</w:t>
      </w:r>
      <w:proofErr w:type="gramEnd"/>
      <w:r w:rsidR="00105264">
        <w:t xml:space="preserve"> and mandated public reporting by Treasury</w:t>
      </w:r>
      <w:r w:rsidR="008956E9">
        <w:t>.  See s</w:t>
      </w:r>
      <w:r w:rsidRPr="008956E9" w:rsidR="008956E9">
        <w:t>ection</w:t>
      </w:r>
      <w:r w:rsidR="008956E9">
        <w:t>s</w:t>
      </w:r>
      <w:r w:rsidRPr="008956E9" w:rsidR="008956E9">
        <w:t xml:space="preserve"> 4018, 4020, and 4026</w:t>
      </w:r>
      <w:r w:rsidR="00A956B0">
        <w:t xml:space="preserve"> of the </w:t>
      </w:r>
      <w:r w:rsidR="00A468E5">
        <w:t xml:space="preserve">CARES </w:t>
      </w:r>
      <w:r w:rsidR="00A956B0">
        <w:t>Act</w:t>
      </w:r>
      <w:r w:rsidRPr="008956E9" w:rsidR="008956E9">
        <w:t xml:space="preserve">.  </w:t>
      </w:r>
      <w:r>
        <w:t xml:space="preserve">The </w:t>
      </w:r>
      <w:r w:rsidR="004717C8">
        <w:t>PSP</w:t>
      </w:r>
      <w:proofErr w:type="gramStart"/>
      <w:r w:rsidR="004717C8">
        <w:t>1</w:t>
      </w:r>
      <w:r w:rsidR="0050314F">
        <w:t xml:space="preserve">, </w:t>
      </w:r>
      <w:r w:rsidR="004717C8">
        <w:t xml:space="preserve"> PSP</w:t>
      </w:r>
      <w:proofErr w:type="gramEnd"/>
      <w:r w:rsidR="004717C8">
        <w:t>2</w:t>
      </w:r>
      <w:r w:rsidR="0050314F">
        <w:t>, and PSP3</w:t>
      </w:r>
      <w:r w:rsidR="00F13108">
        <w:t xml:space="preserve"> </w:t>
      </w:r>
      <w:r>
        <w:t xml:space="preserve">programs are also subject to </w:t>
      </w:r>
      <w:r w:rsidR="00E92FD5">
        <w:t xml:space="preserve">reporting requirements including, but not limited to, those specified under Section 4118 of the </w:t>
      </w:r>
      <w:r w:rsidR="00A468E5">
        <w:t xml:space="preserve">CARES </w:t>
      </w:r>
      <w:r w:rsidR="00E92FD5">
        <w:t>Act</w:t>
      </w:r>
      <w:r w:rsidR="0050314F">
        <w:t xml:space="preserve">, </w:t>
      </w:r>
      <w:r w:rsidR="00F13108">
        <w:t xml:space="preserve">Section </w:t>
      </w:r>
      <w:r w:rsidRPr="004546FD" w:rsidR="00F13108">
        <w:t>409</w:t>
      </w:r>
      <w:r w:rsidR="00F13108">
        <w:t xml:space="preserve"> of the </w:t>
      </w:r>
      <w:r w:rsidR="00EA64AE">
        <w:t>PSP Extension Law</w:t>
      </w:r>
      <w:r w:rsidR="0050314F">
        <w:t>, and Section</w:t>
      </w:r>
      <w:r w:rsidR="00343C2E">
        <w:t xml:space="preserve"> 7301 of the American Rescue Plan Act</w:t>
      </w:r>
      <w:r w:rsidR="00E92FD5">
        <w:t>.</w:t>
      </w:r>
    </w:p>
    <w:p w:rsidR="0028091A" w:rsidP="00060833" w:rsidRDefault="0028091A" w14:paraId="2FC5A1A5" w14:textId="77777777"/>
    <w:p w:rsidR="00060833" w:rsidP="00060833" w:rsidRDefault="00060833" w14:paraId="52B2D5F8" w14:textId="2D65A708">
      <w:r>
        <w:t xml:space="preserve">17. </w:t>
      </w:r>
      <w:r w:rsidRPr="009E2FFF">
        <w:rPr>
          <w:u w:val="single"/>
        </w:rPr>
        <w:t>Display of the expiration date for OMB approval</w:t>
      </w:r>
    </w:p>
    <w:p w:rsidR="00060833" w:rsidP="00060833" w:rsidRDefault="00060833" w14:paraId="7BB46A8E" w14:textId="3F3B6445"/>
    <w:p w:rsidR="00060833" w:rsidP="00060833" w:rsidRDefault="00060833" w14:paraId="648281FB" w14:textId="2E27649D">
      <w:bookmarkStart w:name="_Hlk60162946" w:id="2"/>
      <w:r>
        <w:t xml:space="preserve">Treasury </w:t>
      </w:r>
      <w:r w:rsidRPr="00827D41" w:rsidR="00827D41">
        <w:t xml:space="preserve">requests that it omit the expiration date </w:t>
      </w:r>
      <w:proofErr w:type="gramStart"/>
      <w:r w:rsidRPr="00827D41" w:rsidR="00827D41">
        <w:t>in order to</w:t>
      </w:r>
      <w:proofErr w:type="gramEnd"/>
      <w:r w:rsidRPr="00827D41" w:rsidR="00827D41">
        <w:t xml:space="preserve"> avoid confusion among stakeholders</w:t>
      </w:r>
      <w:r>
        <w:t>.</w:t>
      </w:r>
      <w:bookmarkEnd w:id="2"/>
    </w:p>
    <w:p w:rsidR="00060833" w:rsidP="009E2FFF" w:rsidRDefault="00060833" w14:paraId="375EC69B" w14:textId="77777777"/>
    <w:p w:rsidRPr="009E2FFF" w:rsidR="004B7407" w:rsidP="009E2FFF" w:rsidRDefault="004B7407" w14:paraId="3B851276" w14:textId="6453CCD8">
      <w:r w:rsidRPr="009E2FFF">
        <w:t>1</w:t>
      </w:r>
      <w:r w:rsidR="00060833">
        <w:t>8</w:t>
      </w:r>
      <w:r w:rsidRPr="009E2FFF">
        <w:t xml:space="preserve">.  </w:t>
      </w:r>
      <w:r w:rsidRPr="009E2FFF">
        <w:rPr>
          <w:u w:val="single"/>
        </w:rPr>
        <w:t>Exceptions to c</w:t>
      </w:r>
      <w:r w:rsidRPr="009E2FFF" w:rsidR="00D97B1A">
        <w:rPr>
          <w:u w:val="single"/>
        </w:rPr>
        <w:t>er</w:t>
      </w:r>
      <w:r w:rsidRPr="009E2FFF">
        <w:rPr>
          <w:u w:val="single"/>
        </w:rPr>
        <w:t>tifica</w:t>
      </w:r>
      <w:r w:rsidRPr="009E2FFF" w:rsidR="00D97B1A">
        <w:rPr>
          <w:u w:val="single"/>
        </w:rPr>
        <w:t>ti</w:t>
      </w:r>
      <w:r w:rsidRPr="009E2FFF">
        <w:rPr>
          <w:u w:val="single"/>
        </w:rPr>
        <w:t>on requirement</w:t>
      </w:r>
    </w:p>
    <w:p w:rsidRPr="00EF2363" w:rsidR="004B7407" w:rsidP="00A90BAB" w:rsidRDefault="004B7407" w14:paraId="7B2203DE" w14:textId="77777777"/>
    <w:p w:rsidR="00156E23" w:rsidP="00A90BAB" w:rsidRDefault="008D0548" w14:paraId="62FB5508" w14:textId="59FE0B06">
      <w:r w:rsidRPr="00EF2363">
        <w:t>T</w:t>
      </w:r>
      <w:r w:rsidRPr="00EF2363" w:rsidR="000E1F44">
        <w:t>here are no exceptions to the certification statement.</w:t>
      </w:r>
    </w:p>
    <w:p w:rsidR="00E03689" w:rsidP="00A90BAB" w:rsidRDefault="00E03689" w14:paraId="7FDEEA5F" w14:textId="77777777"/>
    <w:p w:rsidRPr="00717738" w:rsidR="00717738" w:rsidP="00717738" w:rsidRDefault="00717738" w14:paraId="6E70E67B" w14:textId="77777777">
      <w:pPr>
        <w:rPr>
          <w:u w:val="single"/>
        </w:rPr>
      </w:pPr>
      <w:r w:rsidRPr="00717738">
        <w:rPr>
          <w:u w:val="single"/>
        </w:rPr>
        <w:t>Part B.  Describe the use of statistical methods such as sampling or imputation.</w:t>
      </w:r>
    </w:p>
    <w:p w:rsidRPr="00717738" w:rsidR="00717738" w:rsidP="00717738" w:rsidRDefault="00717738" w14:paraId="7C46EEDF" w14:textId="77777777">
      <w:pPr>
        <w:rPr>
          <w:u w:val="single"/>
        </w:rPr>
      </w:pPr>
    </w:p>
    <w:p w:rsidRPr="00717738" w:rsidR="007C7314" w:rsidP="00A90BAB" w:rsidRDefault="00717738" w14:paraId="3BC7C534" w14:textId="5217D929">
      <w:pPr>
        <w:rPr>
          <w:b/>
        </w:rPr>
      </w:pPr>
      <w:r w:rsidRPr="00717738">
        <w:t>This collection does not employ statistical methods.</w:t>
      </w:r>
    </w:p>
    <w:sectPr w:rsidRPr="00717738" w:rsidR="007C7314" w:rsidSect="00512B62">
      <w:footerReference w:type="even"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8F54D" w14:textId="77777777" w:rsidR="00211985" w:rsidRDefault="00211985">
      <w:r>
        <w:separator/>
      </w:r>
    </w:p>
  </w:endnote>
  <w:endnote w:type="continuationSeparator" w:id="0">
    <w:p w14:paraId="4F5795B0" w14:textId="77777777" w:rsidR="00211985" w:rsidRDefault="00211985">
      <w:r>
        <w:continuationSeparator/>
      </w:r>
    </w:p>
  </w:endnote>
  <w:endnote w:type="continuationNotice" w:id="1">
    <w:p w14:paraId="6B436ED9" w14:textId="77777777" w:rsidR="00211985" w:rsidRDefault="002119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F9F7A2" w14:textId="77777777"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69DF8FD" w14:textId="77777777" w:rsidR="005D1D12" w:rsidRDefault="005D1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27319" w14:textId="4D5165BC" w:rsidR="005D1D12" w:rsidRDefault="005D1D12" w:rsidP="001055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7628">
      <w:rPr>
        <w:rStyle w:val="PageNumber"/>
        <w:noProof/>
      </w:rPr>
      <w:t>6</w:t>
    </w:r>
    <w:r>
      <w:rPr>
        <w:rStyle w:val="PageNumber"/>
      </w:rPr>
      <w:fldChar w:fldCharType="end"/>
    </w:r>
  </w:p>
  <w:p w14:paraId="23564D57" w14:textId="77777777" w:rsidR="005D1D12" w:rsidRDefault="005D1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A71F90" w14:textId="77777777" w:rsidR="00211985" w:rsidRDefault="00211985">
      <w:r>
        <w:separator/>
      </w:r>
    </w:p>
  </w:footnote>
  <w:footnote w:type="continuationSeparator" w:id="0">
    <w:p w14:paraId="32C410B5" w14:textId="77777777" w:rsidR="00211985" w:rsidRDefault="00211985">
      <w:r>
        <w:continuationSeparator/>
      </w:r>
    </w:p>
  </w:footnote>
  <w:footnote w:type="continuationNotice" w:id="1">
    <w:p w14:paraId="705D408C" w14:textId="77777777" w:rsidR="00211985" w:rsidRDefault="00211985"/>
  </w:footnote>
  <w:footnote w:id="2">
    <w:p w14:paraId="3CFA88C9" w14:textId="77777777" w:rsidR="006C4606" w:rsidRDefault="006C4606" w:rsidP="006C4606">
      <w:pPr>
        <w:pStyle w:val="FootnoteText"/>
      </w:pPr>
      <w:r>
        <w:rPr>
          <w:rStyle w:val="FootnoteReference"/>
        </w:rPr>
        <w:footnoteRef/>
      </w:r>
      <w:r>
        <w:t xml:space="preserve"> Wage rate from the 2020 GS-pay scale table for Washington-Baltimore-Arlington, DC-MD-VA-WV-PA, </w:t>
      </w:r>
      <w:hyperlink r:id="rId1" w:history="1">
        <w:r w:rsidRPr="00116F93">
          <w:rPr>
            <w:rStyle w:val="Hyperlink"/>
          </w:rPr>
          <w:t>https://www.opm.gov/policy-data-oversight/pay-leave/salaries-wages/salary-tables/pdf/2020/DCB_h.pdf</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D7D53" w14:textId="0C573F74" w:rsidR="00E33C09" w:rsidRDefault="00E33C09" w:rsidP="007D14E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71E9F"/>
    <w:multiLevelType w:val="hybridMultilevel"/>
    <w:tmpl w:val="CE3C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7C1D6B"/>
    <w:multiLevelType w:val="hybridMultilevel"/>
    <w:tmpl w:val="1C147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97529"/>
    <w:multiLevelType w:val="hybridMultilevel"/>
    <w:tmpl w:val="1EB8F01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D677E9"/>
    <w:multiLevelType w:val="hybridMultilevel"/>
    <w:tmpl w:val="E6BC5E0C"/>
    <w:lvl w:ilvl="0" w:tplc="77E27432">
      <w:start w:val="1"/>
      <w:numFmt w:val="bullet"/>
      <w:lvlText w:val=""/>
      <w:lvlJc w:val="left"/>
      <w:pPr>
        <w:tabs>
          <w:tab w:val="num" w:pos="720"/>
        </w:tabs>
        <w:ind w:left="720" w:hanging="360"/>
      </w:pPr>
      <w:rPr>
        <w:rFonts w:ascii="Wingdings 3" w:hAnsi="Wingdings 3" w:hint="default"/>
      </w:rPr>
    </w:lvl>
    <w:lvl w:ilvl="1" w:tplc="16949B44" w:tentative="1">
      <w:start w:val="1"/>
      <w:numFmt w:val="bullet"/>
      <w:lvlText w:val=""/>
      <w:lvlJc w:val="left"/>
      <w:pPr>
        <w:tabs>
          <w:tab w:val="num" w:pos="1440"/>
        </w:tabs>
        <w:ind w:left="1440" w:hanging="360"/>
      </w:pPr>
      <w:rPr>
        <w:rFonts w:ascii="Wingdings 3" w:hAnsi="Wingdings 3" w:hint="default"/>
      </w:rPr>
    </w:lvl>
    <w:lvl w:ilvl="2" w:tplc="050C1230" w:tentative="1">
      <w:start w:val="1"/>
      <w:numFmt w:val="bullet"/>
      <w:lvlText w:val=""/>
      <w:lvlJc w:val="left"/>
      <w:pPr>
        <w:tabs>
          <w:tab w:val="num" w:pos="2160"/>
        </w:tabs>
        <w:ind w:left="2160" w:hanging="360"/>
      </w:pPr>
      <w:rPr>
        <w:rFonts w:ascii="Wingdings 3" w:hAnsi="Wingdings 3" w:hint="default"/>
      </w:rPr>
    </w:lvl>
    <w:lvl w:ilvl="3" w:tplc="12A0DED4" w:tentative="1">
      <w:start w:val="1"/>
      <w:numFmt w:val="bullet"/>
      <w:lvlText w:val=""/>
      <w:lvlJc w:val="left"/>
      <w:pPr>
        <w:tabs>
          <w:tab w:val="num" w:pos="2880"/>
        </w:tabs>
        <w:ind w:left="2880" w:hanging="360"/>
      </w:pPr>
      <w:rPr>
        <w:rFonts w:ascii="Wingdings 3" w:hAnsi="Wingdings 3" w:hint="default"/>
      </w:rPr>
    </w:lvl>
    <w:lvl w:ilvl="4" w:tplc="F0D4850A" w:tentative="1">
      <w:start w:val="1"/>
      <w:numFmt w:val="bullet"/>
      <w:lvlText w:val=""/>
      <w:lvlJc w:val="left"/>
      <w:pPr>
        <w:tabs>
          <w:tab w:val="num" w:pos="3600"/>
        </w:tabs>
        <w:ind w:left="3600" w:hanging="360"/>
      </w:pPr>
      <w:rPr>
        <w:rFonts w:ascii="Wingdings 3" w:hAnsi="Wingdings 3" w:hint="default"/>
      </w:rPr>
    </w:lvl>
    <w:lvl w:ilvl="5" w:tplc="76FC0820" w:tentative="1">
      <w:start w:val="1"/>
      <w:numFmt w:val="bullet"/>
      <w:lvlText w:val=""/>
      <w:lvlJc w:val="left"/>
      <w:pPr>
        <w:tabs>
          <w:tab w:val="num" w:pos="4320"/>
        </w:tabs>
        <w:ind w:left="4320" w:hanging="360"/>
      </w:pPr>
      <w:rPr>
        <w:rFonts w:ascii="Wingdings 3" w:hAnsi="Wingdings 3" w:hint="default"/>
      </w:rPr>
    </w:lvl>
    <w:lvl w:ilvl="6" w:tplc="1D407ED8" w:tentative="1">
      <w:start w:val="1"/>
      <w:numFmt w:val="bullet"/>
      <w:lvlText w:val=""/>
      <w:lvlJc w:val="left"/>
      <w:pPr>
        <w:tabs>
          <w:tab w:val="num" w:pos="5040"/>
        </w:tabs>
        <w:ind w:left="5040" w:hanging="360"/>
      </w:pPr>
      <w:rPr>
        <w:rFonts w:ascii="Wingdings 3" w:hAnsi="Wingdings 3" w:hint="default"/>
      </w:rPr>
    </w:lvl>
    <w:lvl w:ilvl="7" w:tplc="9516F688" w:tentative="1">
      <w:start w:val="1"/>
      <w:numFmt w:val="bullet"/>
      <w:lvlText w:val=""/>
      <w:lvlJc w:val="left"/>
      <w:pPr>
        <w:tabs>
          <w:tab w:val="num" w:pos="5760"/>
        </w:tabs>
        <w:ind w:left="5760" w:hanging="360"/>
      </w:pPr>
      <w:rPr>
        <w:rFonts w:ascii="Wingdings 3" w:hAnsi="Wingdings 3" w:hint="default"/>
      </w:rPr>
    </w:lvl>
    <w:lvl w:ilvl="8" w:tplc="7E202A46"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D672730"/>
    <w:multiLevelType w:val="hybridMultilevel"/>
    <w:tmpl w:val="32E8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25482"/>
    <w:multiLevelType w:val="hybridMultilevel"/>
    <w:tmpl w:val="2DC40650"/>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740C24"/>
    <w:multiLevelType w:val="hybridMultilevel"/>
    <w:tmpl w:val="6CC6634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D364FF"/>
    <w:multiLevelType w:val="hybridMultilevel"/>
    <w:tmpl w:val="9BACBC18"/>
    <w:lvl w:ilvl="0" w:tplc="9DD457E4">
      <w:start w:val="1"/>
      <w:numFmt w:val="decimal"/>
      <w:lvlText w:val="(%1)"/>
      <w:lvlJc w:val="right"/>
      <w:pPr>
        <w:tabs>
          <w:tab w:val="num" w:pos="720"/>
        </w:tabs>
        <w:ind w:left="720" w:hanging="360"/>
      </w:pPr>
      <w:rPr>
        <w:rFonts w:hint="default"/>
        <w:b w:val="0"/>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7CF341C"/>
    <w:multiLevelType w:val="hybridMultilevel"/>
    <w:tmpl w:val="5DDACAAE"/>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E40D9F"/>
    <w:multiLevelType w:val="hybridMultilevel"/>
    <w:tmpl w:val="A346368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273B6D"/>
    <w:multiLevelType w:val="hybridMultilevel"/>
    <w:tmpl w:val="81F89D36"/>
    <w:lvl w:ilvl="0" w:tplc="0409000F">
      <w:start w:val="1"/>
      <w:numFmt w:val="decimal"/>
      <w:lvlText w:val="%1."/>
      <w:lvlJc w:val="left"/>
      <w:pPr>
        <w:tabs>
          <w:tab w:val="num" w:pos="720"/>
        </w:tabs>
        <w:ind w:left="720" w:hanging="360"/>
      </w:pPr>
      <w:rPr>
        <w:rFonts w:hint="default"/>
        <w:u w:val="none"/>
      </w:rPr>
    </w:lvl>
    <w:lvl w:ilvl="1" w:tplc="0CCE8F06">
      <w:start w:val="2"/>
      <w:numFmt w:val="decimal"/>
      <w:lvlText w:val="%2"/>
      <w:lvlJc w:val="left"/>
      <w:pPr>
        <w:tabs>
          <w:tab w:val="num" w:pos="1440"/>
        </w:tabs>
        <w:ind w:left="1440" w:hanging="360"/>
      </w:pPr>
      <w:rPr>
        <w:rFonts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4AA7A5E"/>
    <w:multiLevelType w:val="hybridMultilevel"/>
    <w:tmpl w:val="DE6A2BA4"/>
    <w:lvl w:ilvl="0" w:tplc="9DD457E4">
      <w:start w:val="1"/>
      <w:numFmt w:val="decimal"/>
      <w:lvlText w:val="(%1)"/>
      <w:lvlJc w:val="right"/>
      <w:pPr>
        <w:ind w:left="720" w:hanging="360"/>
      </w:pPr>
      <w:rPr>
        <w:rFonts w:hint="default"/>
        <w:b w:val="0"/>
      </w:rPr>
    </w:lvl>
    <w:lvl w:ilvl="1" w:tplc="982C6084">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3E48CE"/>
    <w:multiLevelType w:val="hybridMultilevel"/>
    <w:tmpl w:val="B92EA55C"/>
    <w:lvl w:ilvl="0" w:tplc="04090001">
      <w:start w:val="1"/>
      <w:numFmt w:val="bullet"/>
      <w:lvlText w:val=""/>
      <w:lvlJc w:val="left"/>
      <w:pPr>
        <w:ind w:left="835" w:hanging="360"/>
      </w:pPr>
      <w:rPr>
        <w:rFonts w:ascii="Symbol" w:hAnsi="Symbol" w:hint="default"/>
      </w:rPr>
    </w:lvl>
    <w:lvl w:ilvl="1" w:tplc="04090003">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13" w15:restartNumberingAfterBreak="0">
    <w:nsid w:val="4B524FFC"/>
    <w:multiLevelType w:val="hybridMultilevel"/>
    <w:tmpl w:val="E0F2369E"/>
    <w:lvl w:ilvl="0" w:tplc="0409000F">
      <w:start w:val="8"/>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80018C"/>
    <w:multiLevelType w:val="hybridMultilevel"/>
    <w:tmpl w:val="76E2302C"/>
    <w:lvl w:ilvl="0" w:tplc="0409000F">
      <w:start w:val="7"/>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C872042"/>
    <w:multiLevelType w:val="hybridMultilevel"/>
    <w:tmpl w:val="B590DFAA"/>
    <w:lvl w:ilvl="0" w:tplc="3E4084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CC655F"/>
    <w:multiLevelType w:val="hybridMultilevel"/>
    <w:tmpl w:val="86E21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0C0BAD"/>
    <w:multiLevelType w:val="hybridMultilevel"/>
    <w:tmpl w:val="8D7A0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316C5"/>
    <w:multiLevelType w:val="hybridMultilevel"/>
    <w:tmpl w:val="A814A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D030D2F"/>
    <w:multiLevelType w:val="hybridMultilevel"/>
    <w:tmpl w:val="B05647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AE623C"/>
    <w:multiLevelType w:val="hybridMultilevel"/>
    <w:tmpl w:val="1722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8A58CB"/>
    <w:multiLevelType w:val="hybridMultilevel"/>
    <w:tmpl w:val="CB2E28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5293300"/>
    <w:multiLevelType w:val="hybridMultilevel"/>
    <w:tmpl w:val="3CCE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A05313"/>
    <w:multiLevelType w:val="hybridMultilevel"/>
    <w:tmpl w:val="3E62A118"/>
    <w:lvl w:ilvl="0" w:tplc="B080AE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223731"/>
    <w:multiLevelType w:val="hybridMultilevel"/>
    <w:tmpl w:val="6F48BAA8"/>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C5466C4"/>
    <w:multiLevelType w:val="hybridMultilevel"/>
    <w:tmpl w:val="D6DEBB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1"/>
  </w:num>
  <w:num w:numId="3">
    <w:abstractNumId w:val="25"/>
  </w:num>
  <w:num w:numId="4">
    <w:abstractNumId w:val="9"/>
  </w:num>
  <w:num w:numId="5">
    <w:abstractNumId w:val="24"/>
  </w:num>
  <w:num w:numId="6">
    <w:abstractNumId w:val="8"/>
  </w:num>
  <w:num w:numId="7">
    <w:abstractNumId w:val="2"/>
  </w:num>
  <w:num w:numId="8">
    <w:abstractNumId w:val="14"/>
  </w:num>
  <w:num w:numId="9">
    <w:abstractNumId w:val="13"/>
  </w:num>
  <w:num w:numId="10">
    <w:abstractNumId w:val="18"/>
  </w:num>
  <w:num w:numId="11">
    <w:abstractNumId w:val="5"/>
  </w:num>
  <w:num w:numId="12">
    <w:abstractNumId w:val="10"/>
  </w:num>
  <w:num w:numId="13">
    <w:abstractNumId w:val="16"/>
  </w:num>
  <w:num w:numId="14">
    <w:abstractNumId w:val="22"/>
  </w:num>
  <w:num w:numId="15">
    <w:abstractNumId w:val="0"/>
  </w:num>
  <w:num w:numId="16">
    <w:abstractNumId w:val="11"/>
  </w:num>
  <w:num w:numId="17">
    <w:abstractNumId w:val="23"/>
  </w:num>
  <w:num w:numId="18">
    <w:abstractNumId w:val="7"/>
  </w:num>
  <w:num w:numId="19">
    <w:abstractNumId w:val="17"/>
  </w:num>
  <w:num w:numId="20">
    <w:abstractNumId w:val="3"/>
  </w:num>
  <w:num w:numId="21">
    <w:abstractNumId w:val="1"/>
  </w:num>
  <w:num w:numId="22">
    <w:abstractNumId w:val="19"/>
  </w:num>
  <w:num w:numId="23">
    <w:abstractNumId w:val="20"/>
  </w:num>
  <w:num w:numId="24">
    <w:abstractNumId w:val="12"/>
  </w:num>
  <w:num w:numId="25">
    <w:abstractNumId w:val="15"/>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861"/>
    <w:rsid w:val="00003A37"/>
    <w:rsid w:val="000047C3"/>
    <w:rsid w:val="00005022"/>
    <w:rsid w:val="000105BD"/>
    <w:rsid w:val="000117A5"/>
    <w:rsid w:val="00012F7C"/>
    <w:rsid w:val="00013A79"/>
    <w:rsid w:val="000141C3"/>
    <w:rsid w:val="0001560A"/>
    <w:rsid w:val="000171A3"/>
    <w:rsid w:val="00017845"/>
    <w:rsid w:val="000204E2"/>
    <w:rsid w:val="00021D40"/>
    <w:rsid w:val="0002223D"/>
    <w:rsid w:val="00022F56"/>
    <w:rsid w:val="00022FD7"/>
    <w:rsid w:val="00024AF6"/>
    <w:rsid w:val="000315FB"/>
    <w:rsid w:val="00032DA3"/>
    <w:rsid w:val="000362CD"/>
    <w:rsid w:val="0004048C"/>
    <w:rsid w:val="00040666"/>
    <w:rsid w:val="00044B31"/>
    <w:rsid w:val="00046B27"/>
    <w:rsid w:val="000505FB"/>
    <w:rsid w:val="00051468"/>
    <w:rsid w:val="00053EBD"/>
    <w:rsid w:val="0005478C"/>
    <w:rsid w:val="00060833"/>
    <w:rsid w:val="00060FA7"/>
    <w:rsid w:val="00062B59"/>
    <w:rsid w:val="000703E5"/>
    <w:rsid w:val="00071568"/>
    <w:rsid w:val="00073704"/>
    <w:rsid w:val="000762A9"/>
    <w:rsid w:val="0008024E"/>
    <w:rsid w:val="000817E0"/>
    <w:rsid w:val="00083DB1"/>
    <w:rsid w:val="00086D7D"/>
    <w:rsid w:val="00090033"/>
    <w:rsid w:val="00090925"/>
    <w:rsid w:val="00093B1D"/>
    <w:rsid w:val="00094CA2"/>
    <w:rsid w:val="000A1069"/>
    <w:rsid w:val="000A25A1"/>
    <w:rsid w:val="000A570C"/>
    <w:rsid w:val="000B0264"/>
    <w:rsid w:val="000B6209"/>
    <w:rsid w:val="000C1553"/>
    <w:rsid w:val="000C3C83"/>
    <w:rsid w:val="000C5104"/>
    <w:rsid w:val="000C528D"/>
    <w:rsid w:val="000C6F26"/>
    <w:rsid w:val="000C7031"/>
    <w:rsid w:val="000D6D50"/>
    <w:rsid w:val="000D705E"/>
    <w:rsid w:val="000E07A3"/>
    <w:rsid w:val="000E097B"/>
    <w:rsid w:val="000E1D60"/>
    <w:rsid w:val="000E1F44"/>
    <w:rsid w:val="000E24F5"/>
    <w:rsid w:val="000E4017"/>
    <w:rsid w:val="000E72A0"/>
    <w:rsid w:val="000F2AE6"/>
    <w:rsid w:val="000F53C2"/>
    <w:rsid w:val="000F678C"/>
    <w:rsid w:val="000F7A22"/>
    <w:rsid w:val="00101CDD"/>
    <w:rsid w:val="001022FC"/>
    <w:rsid w:val="00105264"/>
    <w:rsid w:val="00105553"/>
    <w:rsid w:val="00105E4C"/>
    <w:rsid w:val="001065D8"/>
    <w:rsid w:val="00106A18"/>
    <w:rsid w:val="0011088D"/>
    <w:rsid w:val="00110D39"/>
    <w:rsid w:val="001110E6"/>
    <w:rsid w:val="001110F2"/>
    <w:rsid w:val="00112D71"/>
    <w:rsid w:val="001139DB"/>
    <w:rsid w:val="00113C21"/>
    <w:rsid w:val="00114490"/>
    <w:rsid w:val="001222EA"/>
    <w:rsid w:val="00122583"/>
    <w:rsid w:val="001240E6"/>
    <w:rsid w:val="00127B26"/>
    <w:rsid w:val="00130157"/>
    <w:rsid w:val="00130B8D"/>
    <w:rsid w:val="00136F2A"/>
    <w:rsid w:val="001374B1"/>
    <w:rsid w:val="0013796F"/>
    <w:rsid w:val="001438EE"/>
    <w:rsid w:val="00143AF0"/>
    <w:rsid w:val="001465EF"/>
    <w:rsid w:val="00146E55"/>
    <w:rsid w:val="00147A26"/>
    <w:rsid w:val="0015516F"/>
    <w:rsid w:val="001560B2"/>
    <w:rsid w:val="00156E23"/>
    <w:rsid w:val="0015784C"/>
    <w:rsid w:val="00161711"/>
    <w:rsid w:val="001648D5"/>
    <w:rsid w:val="00165343"/>
    <w:rsid w:val="001653A4"/>
    <w:rsid w:val="00166EF4"/>
    <w:rsid w:val="00166F8F"/>
    <w:rsid w:val="00167FDE"/>
    <w:rsid w:val="00170A86"/>
    <w:rsid w:val="00171230"/>
    <w:rsid w:val="001742C4"/>
    <w:rsid w:val="00174A47"/>
    <w:rsid w:val="00177605"/>
    <w:rsid w:val="0018027E"/>
    <w:rsid w:val="001819B9"/>
    <w:rsid w:val="001819F2"/>
    <w:rsid w:val="00181F21"/>
    <w:rsid w:val="0018202F"/>
    <w:rsid w:val="0018375D"/>
    <w:rsid w:val="00186409"/>
    <w:rsid w:val="00187672"/>
    <w:rsid w:val="001945CA"/>
    <w:rsid w:val="001A1B5B"/>
    <w:rsid w:val="001A4EDF"/>
    <w:rsid w:val="001A5B22"/>
    <w:rsid w:val="001A5D4A"/>
    <w:rsid w:val="001A71B7"/>
    <w:rsid w:val="001A7272"/>
    <w:rsid w:val="001B591E"/>
    <w:rsid w:val="001D2CB7"/>
    <w:rsid w:val="001D4D0C"/>
    <w:rsid w:val="001E0C02"/>
    <w:rsid w:val="001E0D39"/>
    <w:rsid w:val="001E2C93"/>
    <w:rsid w:val="001E47BE"/>
    <w:rsid w:val="001E4BCF"/>
    <w:rsid w:val="001F2FB3"/>
    <w:rsid w:val="001F31FB"/>
    <w:rsid w:val="001F34DF"/>
    <w:rsid w:val="001F500A"/>
    <w:rsid w:val="00201CFC"/>
    <w:rsid w:val="00205BDF"/>
    <w:rsid w:val="002066D2"/>
    <w:rsid w:val="00207705"/>
    <w:rsid w:val="00210608"/>
    <w:rsid w:val="00211985"/>
    <w:rsid w:val="002165CE"/>
    <w:rsid w:val="0022132A"/>
    <w:rsid w:val="00222D3F"/>
    <w:rsid w:val="00225E39"/>
    <w:rsid w:val="002312D9"/>
    <w:rsid w:val="00232AD5"/>
    <w:rsid w:val="00237FAA"/>
    <w:rsid w:val="0024000F"/>
    <w:rsid w:val="00242035"/>
    <w:rsid w:val="002465AC"/>
    <w:rsid w:val="00250B5A"/>
    <w:rsid w:val="00252599"/>
    <w:rsid w:val="002551F6"/>
    <w:rsid w:val="00255968"/>
    <w:rsid w:val="0025604D"/>
    <w:rsid w:val="002561B1"/>
    <w:rsid w:val="00256911"/>
    <w:rsid w:val="00257476"/>
    <w:rsid w:val="002604D5"/>
    <w:rsid w:val="00260CEB"/>
    <w:rsid w:val="0026158F"/>
    <w:rsid w:val="0026254C"/>
    <w:rsid w:val="00265929"/>
    <w:rsid w:val="00270CF4"/>
    <w:rsid w:val="00271992"/>
    <w:rsid w:val="00274624"/>
    <w:rsid w:val="00275D84"/>
    <w:rsid w:val="00276E84"/>
    <w:rsid w:val="00276F4A"/>
    <w:rsid w:val="00277F1D"/>
    <w:rsid w:val="0028091A"/>
    <w:rsid w:val="0028499E"/>
    <w:rsid w:val="0028685C"/>
    <w:rsid w:val="002902D5"/>
    <w:rsid w:val="002905DD"/>
    <w:rsid w:val="002920BD"/>
    <w:rsid w:val="00293974"/>
    <w:rsid w:val="0029555C"/>
    <w:rsid w:val="00295F1C"/>
    <w:rsid w:val="002A1E1D"/>
    <w:rsid w:val="002A2B9B"/>
    <w:rsid w:val="002B2EBC"/>
    <w:rsid w:val="002B47D8"/>
    <w:rsid w:val="002B6FA7"/>
    <w:rsid w:val="002C1CB0"/>
    <w:rsid w:val="002C2A5D"/>
    <w:rsid w:val="002C2FED"/>
    <w:rsid w:val="002C3FA6"/>
    <w:rsid w:val="002D268B"/>
    <w:rsid w:val="002D337C"/>
    <w:rsid w:val="002D5249"/>
    <w:rsid w:val="002D5E0F"/>
    <w:rsid w:val="002D6781"/>
    <w:rsid w:val="002E4398"/>
    <w:rsid w:val="002F2729"/>
    <w:rsid w:val="002F4085"/>
    <w:rsid w:val="002F5A9A"/>
    <w:rsid w:val="002F7B16"/>
    <w:rsid w:val="00302265"/>
    <w:rsid w:val="00304673"/>
    <w:rsid w:val="00314168"/>
    <w:rsid w:val="00315FEC"/>
    <w:rsid w:val="003265D6"/>
    <w:rsid w:val="00327401"/>
    <w:rsid w:val="00337AC1"/>
    <w:rsid w:val="00341CAF"/>
    <w:rsid w:val="00343C2E"/>
    <w:rsid w:val="00345BB4"/>
    <w:rsid w:val="003506E7"/>
    <w:rsid w:val="0035119A"/>
    <w:rsid w:val="00355398"/>
    <w:rsid w:val="00355B18"/>
    <w:rsid w:val="00361B6D"/>
    <w:rsid w:val="00364995"/>
    <w:rsid w:val="00365005"/>
    <w:rsid w:val="00370853"/>
    <w:rsid w:val="00370BD4"/>
    <w:rsid w:val="00375DBC"/>
    <w:rsid w:val="00380639"/>
    <w:rsid w:val="00384175"/>
    <w:rsid w:val="00390A50"/>
    <w:rsid w:val="00394A61"/>
    <w:rsid w:val="003A0DD3"/>
    <w:rsid w:val="003A0E21"/>
    <w:rsid w:val="003A17E5"/>
    <w:rsid w:val="003A37CA"/>
    <w:rsid w:val="003A52C5"/>
    <w:rsid w:val="003A59D2"/>
    <w:rsid w:val="003B6624"/>
    <w:rsid w:val="003B792F"/>
    <w:rsid w:val="003C068B"/>
    <w:rsid w:val="003C1272"/>
    <w:rsid w:val="003C1AB8"/>
    <w:rsid w:val="003C5B6F"/>
    <w:rsid w:val="003D0B06"/>
    <w:rsid w:val="003D6C48"/>
    <w:rsid w:val="003D7768"/>
    <w:rsid w:val="003E53BD"/>
    <w:rsid w:val="003E59BE"/>
    <w:rsid w:val="003E641C"/>
    <w:rsid w:val="003F129E"/>
    <w:rsid w:val="003F3118"/>
    <w:rsid w:val="003F59C0"/>
    <w:rsid w:val="003F7AD4"/>
    <w:rsid w:val="0040014E"/>
    <w:rsid w:val="004011B5"/>
    <w:rsid w:val="0040223E"/>
    <w:rsid w:val="00403DA0"/>
    <w:rsid w:val="00404BAE"/>
    <w:rsid w:val="004063EA"/>
    <w:rsid w:val="00406C35"/>
    <w:rsid w:val="00406DAA"/>
    <w:rsid w:val="004076A1"/>
    <w:rsid w:val="004077B3"/>
    <w:rsid w:val="00411346"/>
    <w:rsid w:val="0041645E"/>
    <w:rsid w:val="00420DCF"/>
    <w:rsid w:val="0042188E"/>
    <w:rsid w:val="004267CE"/>
    <w:rsid w:val="004356D3"/>
    <w:rsid w:val="00437EDC"/>
    <w:rsid w:val="00443D4F"/>
    <w:rsid w:val="0044510E"/>
    <w:rsid w:val="004516C0"/>
    <w:rsid w:val="00451786"/>
    <w:rsid w:val="004546FD"/>
    <w:rsid w:val="0045530E"/>
    <w:rsid w:val="004572A4"/>
    <w:rsid w:val="00460B20"/>
    <w:rsid w:val="00462AB0"/>
    <w:rsid w:val="004631DA"/>
    <w:rsid w:val="00464E08"/>
    <w:rsid w:val="004658A4"/>
    <w:rsid w:val="004717C8"/>
    <w:rsid w:val="00472D79"/>
    <w:rsid w:val="00474021"/>
    <w:rsid w:val="00474F2A"/>
    <w:rsid w:val="0047526A"/>
    <w:rsid w:val="00475731"/>
    <w:rsid w:val="00477EA1"/>
    <w:rsid w:val="0048132F"/>
    <w:rsid w:val="0048426A"/>
    <w:rsid w:val="00490C7F"/>
    <w:rsid w:val="00490EE2"/>
    <w:rsid w:val="00491F49"/>
    <w:rsid w:val="00493D92"/>
    <w:rsid w:val="004A3E0D"/>
    <w:rsid w:val="004A7CC6"/>
    <w:rsid w:val="004B06B5"/>
    <w:rsid w:val="004B0AEF"/>
    <w:rsid w:val="004B1400"/>
    <w:rsid w:val="004B32A0"/>
    <w:rsid w:val="004B59B5"/>
    <w:rsid w:val="004B71DC"/>
    <w:rsid w:val="004B7407"/>
    <w:rsid w:val="004B7C67"/>
    <w:rsid w:val="004C184D"/>
    <w:rsid w:val="004D1CE0"/>
    <w:rsid w:val="004D3D11"/>
    <w:rsid w:val="004D7D87"/>
    <w:rsid w:val="004E0D3F"/>
    <w:rsid w:val="004E3665"/>
    <w:rsid w:val="004E60BD"/>
    <w:rsid w:val="004E655E"/>
    <w:rsid w:val="004E6996"/>
    <w:rsid w:val="004F09CA"/>
    <w:rsid w:val="004F5145"/>
    <w:rsid w:val="004F65D2"/>
    <w:rsid w:val="004F6BB6"/>
    <w:rsid w:val="004F7217"/>
    <w:rsid w:val="004F79CC"/>
    <w:rsid w:val="00502DC8"/>
    <w:rsid w:val="0050314F"/>
    <w:rsid w:val="0050578F"/>
    <w:rsid w:val="005106E4"/>
    <w:rsid w:val="00512B62"/>
    <w:rsid w:val="00516F45"/>
    <w:rsid w:val="00521450"/>
    <w:rsid w:val="005214DD"/>
    <w:rsid w:val="005215B4"/>
    <w:rsid w:val="005215C7"/>
    <w:rsid w:val="00523536"/>
    <w:rsid w:val="0052662E"/>
    <w:rsid w:val="0052743B"/>
    <w:rsid w:val="00534EA9"/>
    <w:rsid w:val="00535AD0"/>
    <w:rsid w:val="005366FC"/>
    <w:rsid w:val="00536F95"/>
    <w:rsid w:val="0054191E"/>
    <w:rsid w:val="00542DFC"/>
    <w:rsid w:val="0054549F"/>
    <w:rsid w:val="00546D11"/>
    <w:rsid w:val="00555E2A"/>
    <w:rsid w:val="00555FB0"/>
    <w:rsid w:val="00557E95"/>
    <w:rsid w:val="0056187F"/>
    <w:rsid w:val="00561B6F"/>
    <w:rsid w:val="00561EFF"/>
    <w:rsid w:val="00563667"/>
    <w:rsid w:val="00565E3C"/>
    <w:rsid w:val="005678EC"/>
    <w:rsid w:val="00570E04"/>
    <w:rsid w:val="00572D2C"/>
    <w:rsid w:val="005744E4"/>
    <w:rsid w:val="0057582F"/>
    <w:rsid w:val="00577B83"/>
    <w:rsid w:val="0058262E"/>
    <w:rsid w:val="0058297E"/>
    <w:rsid w:val="00585B1B"/>
    <w:rsid w:val="00586BF1"/>
    <w:rsid w:val="00587447"/>
    <w:rsid w:val="00587D50"/>
    <w:rsid w:val="00590A5C"/>
    <w:rsid w:val="00593C88"/>
    <w:rsid w:val="00597B8E"/>
    <w:rsid w:val="005A1476"/>
    <w:rsid w:val="005A1D4B"/>
    <w:rsid w:val="005A5C1B"/>
    <w:rsid w:val="005A6959"/>
    <w:rsid w:val="005A6CCC"/>
    <w:rsid w:val="005A7213"/>
    <w:rsid w:val="005B4124"/>
    <w:rsid w:val="005C533B"/>
    <w:rsid w:val="005C67FD"/>
    <w:rsid w:val="005C7887"/>
    <w:rsid w:val="005D099C"/>
    <w:rsid w:val="005D1D12"/>
    <w:rsid w:val="005E5A57"/>
    <w:rsid w:val="005E5B57"/>
    <w:rsid w:val="005E62F4"/>
    <w:rsid w:val="005F020C"/>
    <w:rsid w:val="005F1EBD"/>
    <w:rsid w:val="005F572C"/>
    <w:rsid w:val="0060168D"/>
    <w:rsid w:val="006049CB"/>
    <w:rsid w:val="00605173"/>
    <w:rsid w:val="00610580"/>
    <w:rsid w:val="00612025"/>
    <w:rsid w:val="006132B6"/>
    <w:rsid w:val="006137E1"/>
    <w:rsid w:val="00614C16"/>
    <w:rsid w:val="00615D6B"/>
    <w:rsid w:val="00616A24"/>
    <w:rsid w:val="006209F2"/>
    <w:rsid w:val="006212BA"/>
    <w:rsid w:val="006276EF"/>
    <w:rsid w:val="0063065F"/>
    <w:rsid w:val="00630C03"/>
    <w:rsid w:val="00633442"/>
    <w:rsid w:val="006372B4"/>
    <w:rsid w:val="0064051D"/>
    <w:rsid w:val="0064314F"/>
    <w:rsid w:val="006454AA"/>
    <w:rsid w:val="00650DEC"/>
    <w:rsid w:val="00653329"/>
    <w:rsid w:val="006536E9"/>
    <w:rsid w:val="00655DDC"/>
    <w:rsid w:val="006608B2"/>
    <w:rsid w:val="00662F2A"/>
    <w:rsid w:val="00666637"/>
    <w:rsid w:val="00666B6D"/>
    <w:rsid w:val="006678F4"/>
    <w:rsid w:val="00670D56"/>
    <w:rsid w:val="00672A0B"/>
    <w:rsid w:val="00672CA5"/>
    <w:rsid w:val="00676FFC"/>
    <w:rsid w:val="00680A45"/>
    <w:rsid w:val="00680FA0"/>
    <w:rsid w:val="00681FB6"/>
    <w:rsid w:val="00685C0A"/>
    <w:rsid w:val="006864D6"/>
    <w:rsid w:val="00686921"/>
    <w:rsid w:val="00686C1F"/>
    <w:rsid w:val="00691596"/>
    <w:rsid w:val="00691B0E"/>
    <w:rsid w:val="00692802"/>
    <w:rsid w:val="006929AD"/>
    <w:rsid w:val="0069729F"/>
    <w:rsid w:val="006A2A73"/>
    <w:rsid w:val="006A2D85"/>
    <w:rsid w:val="006B22D1"/>
    <w:rsid w:val="006B37E0"/>
    <w:rsid w:val="006B3E5B"/>
    <w:rsid w:val="006B47EB"/>
    <w:rsid w:val="006B56CC"/>
    <w:rsid w:val="006B6DF9"/>
    <w:rsid w:val="006C101A"/>
    <w:rsid w:val="006C2413"/>
    <w:rsid w:val="006C4606"/>
    <w:rsid w:val="006C5019"/>
    <w:rsid w:val="006D2213"/>
    <w:rsid w:val="006D4EC6"/>
    <w:rsid w:val="006D5504"/>
    <w:rsid w:val="006E02EB"/>
    <w:rsid w:val="006E6033"/>
    <w:rsid w:val="006F02DD"/>
    <w:rsid w:val="006F0F5D"/>
    <w:rsid w:val="00705C2D"/>
    <w:rsid w:val="0070743E"/>
    <w:rsid w:val="00707BDE"/>
    <w:rsid w:val="007126F0"/>
    <w:rsid w:val="00713122"/>
    <w:rsid w:val="007156A7"/>
    <w:rsid w:val="0071625E"/>
    <w:rsid w:val="00717380"/>
    <w:rsid w:val="00717738"/>
    <w:rsid w:val="0072166B"/>
    <w:rsid w:val="007313DF"/>
    <w:rsid w:val="00732A75"/>
    <w:rsid w:val="00741F3C"/>
    <w:rsid w:val="00744AC4"/>
    <w:rsid w:val="0074514C"/>
    <w:rsid w:val="007509A5"/>
    <w:rsid w:val="00751DF8"/>
    <w:rsid w:val="00753648"/>
    <w:rsid w:val="00756FAF"/>
    <w:rsid w:val="007577AF"/>
    <w:rsid w:val="007614AA"/>
    <w:rsid w:val="00763C12"/>
    <w:rsid w:val="00764D4B"/>
    <w:rsid w:val="00771CD5"/>
    <w:rsid w:val="0077485A"/>
    <w:rsid w:val="00774C7D"/>
    <w:rsid w:val="007750F9"/>
    <w:rsid w:val="007757C9"/>
    <w:rsid w:val="00775C08"/>
    <w:rsid w:val="00780878"/>
    <w:rsid w:val="00780C42"/>
    <w:rsid w:val="00781D1F"/>
    <w:rsid w:val="00781EF6"/>
    <w:rsid w:val="00784264"/>
    <w:rsid w:val="00786629"/>
    <w:rsid w:val="00790848"/>
    <w:rsid w:val="007916AF"/>
    <w:rsid w:val="00792F45"/>
    <w:rsid w:val="00795CCA"/>
    <w:rsid w:val="00795EFD"/>
    <w:rsid w:val="00797276"/>
    <w:rsid w:val="007A0410"/>
    <w:rsid w:val="007B29AC"/>
    <w:rsid w:val="007B7101"/>
    <w:rsid w:val="007C05A2"/>
    <w:rsid w:val="007C1C49"/>
    <w:rsid w:val="007C698F"/>
    <w:rsid w:val="007C7314"/>
    <w:rsid w:val="007D000F"/>
    <w:rsid w:val="007D14E7"/>
    <w:rsid w:val="007D1B5C"/>
    <w:rsid w:val="007D1FFC"/>
    <w:rsid w:val="007D324E"/>
    <w:rsid w:val="007D40A5"/>
    <w:rsid w:val="007D59EE"/>
    <w:rsid w:val="007E596A"/>
    <w:rsid w:val="007E5EB6"/>
    <w:rsid w:val="007E69B3"/>
    <w:rsid w:val="007F0335"/>
    <w:rsid w:val="007F0AC9"/>
    <w:rsid w:val="007F461B"/>
    <w:rsid w:val="0080016E"/>
    <w:rsid w:val="00802F36"/>
    <w:rsid w:val="00810E73"/>
    <w:rsid w:val="00811E1F"/>
    <w:rsid w:val="008157DE"/>
    <w:rsid w:val="00821205"/>
    <w:rsid w:val="008223FF"/>
    <w:rsid w:val="00827D41"/>
    <w:rsid w:val="008318BC"/>
    <w:rsid w:val="00831D74"/>
    <w:rsid w:val="0083295C"/>
    <w:rsid w:val="00840190"/>
    <w:rsid w:val="00844FEA"/>
    <w:rsid w:val="008475F5"/>
    <w:rsid w:val="00856B58"/>
    <w:rsid w:val="00856DD0"/>
    <w:rsid w:val="00857628"/>
    <w:rsid w:val="00857B7C"/>
    <w:rsid w:val="00860267"/>
    <w:rsid w:val="00861BDE"/>
    <w:rsid w:val="00862F21"/>
    <w:rsid w:val="00863EEF"/>
    <w:rsid w:val="0086570E"/>
    <w:rsid w:val="008668A0"/>
    <w:rsid w:val="00867A5A"/>
    <w:rsid w:val="00875B38"/>
    <w:rsid w:val="0087613A"/>
    <w:rsid w:val="008821EF"/>
    <w:rsid w:val="00890D39"/>
    <w:rsid w:val="00891D3E"/>
    <w:rsid w:val="0089258D"/>
    <w:rsid w:val="0089274A"/>
    <w:rsid w:val="00893C00"/>
    <w:rsid w:val="008956E9"/>
    <w:rsid w:val="00896264"/>
    <w:rsid w:val="00896327"/>
    <w:rsid w:val="008A2899"/>
    <w:rsid w:val="008A5AEA"/>
    <w:rsid w:val="008A7CB6"/>
    <w:rsid w:val="008B3DB7"/>
    <w:rsid w:val="008B55DF"/>
    <w:rsid w:val="008B61E0"/>
    <w:rsid w:val="008B64D0"/>
    <w:rsid w:val="008B7CB1"/>
    <w:rsid w:val="008C0539"/>
    <w:rsid w:val="008C0EDB"/>
    <w:rsid w:val="008C2E71"/>
    <w:rsid w:val="008C31DD"/>
    <w:rsid w:val="008C332E"/>
    <w:rsid w:val="008D0548"/>
    <w:rsid w:val="008D123C"/>
    <w:rsid w:val="008D211C"/>
    <w:rsid w:val="008D3C49"/>
    <w:rsid w:val="008D6002"/>
    <w:rsid w:val="008D7992"/>
    <w:rsid w:val="008E5AF4"/>
    <w:rsid w:val="008E7C0F"/>
    <w:rsid w:val="008F0968"/>
    <w:rsid w:val="008F1B45"/>
    <w:rsid w:val="0090136E"/>
    <w:rsid w:val="0090425D"/>
    <w:rsid w:val="00907541"/>
    <w:rsid w:val="00907818"/>
    <w:rsid w:val="00913A34"/>
    <w:rsid w:val="009175C3"/>
    <w:rsid w:val="00921EA8"/>
    <w:rsid w:val="0092339C"/>
    <w:rsid w:val="009259D5"/>
    <w:rsid w:val="0092656F"/>
    <w:rsid w:val="00926C7F"/>
    <w:rsid w:val="00931D87"/>
    <w:rsid w:val="00931DC9"/>
    <w:rsid w:val="00940B2A"/>
    <w:rsid w:val="00944471"/>
    <w:rsid w:val="009465F7"/>
    <w:rsid w:val="00950A9E"/>
    <w:rsid w:val="00951DED"/>
    <w:rsid w:val="00952599"/>
    <w:rsid w:val="00952B31"/>
    <w:rsid w:val="00953166"/>
    <w:rsid w:val="00960D41"/>
    <w:rsid w:val="00961823"/>
    <w:rsid w:val="00962218"/>
    <w:rsid w:val="00962F1D"/>
    <w:rsid w:val="00963D0A"/>
    <w:rsid w:val="00964CC6"/>
    <w:rsid w:val="00965C94"/>
    <w:rsid w:val="00970625"/>
    <w:rsid w:val="00972E6A"/>
    <w:rsid w:val="00976185"/>
    <w:rsid w:val="00977D3A"/>
    <w:rsid w:val="00983B56"/>
    <w:rsid w:val="00986077"/>
    <w:rsid w:val="00990870"/>
    <w:rsid w:val="00993A04"/>
    <w:rsid w:val="009957B3"/>
    <w:rsid w:val="009A1A7C"/>
    <w:rsid w:val="009A42D6"/>
    <w:rsid w:val="009B5EF1"/>
    <w:rsid w:val="009B60FB"/>
    <w:rsid w:val="009B6250"/>
    <w:rsid w:val="009B6FA0"/>
    <w:rsid w:val="009B7C7D"/>
    <w:rsid w:val="009C0136"/>
    <w:rsid w:val="009C7335"/>
    <w:rsid w:val="009D0A93"/>
    <w:rsid w:val="009D1369"/>
    <w:rsid w:val="009D6D37"/>
    <w:rsid w:val="009E2385"/>
    <w:rsid w:val="009E2FFF"/>
    <w:rsid w:val="009E4AE8"/>
    <w:rsid w:val="009E4CDC"/>
    <w:rsid w:val="009E5FD8"/>
    <w:rsid w:val="009F45CC"/>
    <w:rsid w:val="009F477E"/>
    <w:rsid w:val="009F4D1C"/>
    <w:rsid w:val="009F580D"/>
    <w:rsid w:val="009F5937"/>
    <w:rsid w:val="009F6403"/>
    <w:rsid w:val="009F70E8"/>
    <w:rsid w:val="00A00740"/>
    <w:rsid w:val="00A014CE"/>
    <w:rsid w:val="00A05DAD"/>
    <w:rsid w:val="00A066EB"/>
    <w:rsid w:val="00A0670E"/>
    <w:rsid w:val="00A06CB6"/>
    <w:rsid w:val="00A10A09"/>
    <w:rsid w:val="00A10CD2"/>
    <w:rsid w:val="00A118EF"/>
    <w:rsid w:val="00A137BE"/>
    <w:rsid w:val="00A14618"/>
    <w:rsid w:val="00A22870"/>
    <w:rsid w:val="00A2596F"/>
    <w:rsid w:val="00A267F9"/>
    <w:rsid w:val="00A3281A"/>
    <w:rsid w:val="00A34FE6"/>
    <w:rsid w:val="00A40A6B"/>
    <w:rsid w:val="00A41E99"/>
    <w:rsid w:val="00A43556"/>
    <w:rsid w:val="00A468E5"/>
    <w:rsid w:val="00A46A2D"/>
    <w:rsid w:val="00A47B69"/>
    <w:rsid w:val="00A51E18"/>
    <w:rsid w:val="00A5370F"/>
    <w:rsid w:val="00A564D9"/>
    <w:rsid w:val="00A602E8"/>
    <w:rsid w:val="00A6381F"/>
    <w:rsid w:val="00A645CE"/>
    <w:rsid w:val="00A67505"/>
    <w:rsid w:val="00A70FB9"/>
    <w:rsid w:val="00A71491"/>
    <w:rsid w:val="00A73817"/>
    <w:rsid w:val="00A73851"/>
    <w:rsid w:val="00A73FE3"/>
    <w:rsid w:val="00A740DF"/>
    <w:rsid w:val="00A75336"/>
    <w:rsid w:val="00A81BCB"/>
    <w:rsid w:val="00A83F90"/>
    <w:rsid w:val="00A90BAB"/>
    <w:rsid w:val="00A91377"/>
    <w:rsid w:val="00A91D99"/>
    <w:rsid w:val="00A922EF"/>
    <w:rsid w:val="00A9305B"/>
    <w:rsid w:val="00A954B0"/>
    <w:rsid w:val="00A956B0"/>
    <w:rsid w:val="00A95A75"/>
    <w:rsid w:val="00A97C73"/>
    <w:rsid w:val="00AA13C1"/>
    <w:rsid w:val="00AA65FC"/>
    <w:rsid w:val="00AB53B9"/>
    <w:rsid w:val="00AB5C61"/>
    <w:rsid w:val="00AB6D47"/>
    <w:rsid w:val="00AC1EC6"/>
    <w:rsid w:val="00AD55CE"/>
    <w:rsid w:val="00AE07D3"/>
    <w:rsid w:val="00AE3C64"/>
    <w:rsid w:val="00AE3CEF"/>
    <w:rsid w:val="00AE7799"/>
    <w:rsid w:val="00AF0BF9"/>
    <w:rsid w:val="00AF115F"/>
    <w:rsid w:val="00AF1E2C"/>
    <w:rsid w:val="00AF267D"/>
    <w:rsid w:val="00AF2A76"/>
    <w:rsid w:val="00AF35A7"/>
    <w:rsid w:val="00AF6352"/>
    <w:rsid w:val="00AF7E11"/>
    <w:rsid w:val="00B002FE"/>
    <w:rsid w:val="00B05074"/>
    <w:rsid w:val="00B06789"/>
    <w:rsid w:val="00B078F6"/>
    <w:rsid w:val="00B10AC2"/>
    <w:rsid w:val="00B17169"/>
    <w:rsid w:val="00B21358"/>
    <w:rsid w:val="00B269E0"/>
    <w:rsid w:val="00B31CDA"/>
    <w:rsid w:val="00B33069"/>
    <w:rsid w:val="00B344DD"/>
    <w:rsid w:val="00B34826"/>
    <w:rsid w:val="00B36755"/>
    <w:rsid w:val="00B3747A"/>
    <w:rsid w:val="00B375A0"/>
    <w:rsid w:val="00B40777"/>
    <w:rsid w:val="00B45B8D"/>
    <w:rsid w:val="00B47D28"/>
    <w:rsid w:val="00B50861"/>
    <w:rsid w:val="00B5127C"/>
    <w:rsid w:val="00B52D55"/>
    <w:rsid w:val="00B55D18"/>
    <w:rsid w:val="00B601FF"/>
    <w:rsid w:val="00B61022"/>
    <w:rsid w:val="00B61494"/>
    <w:rsid w:val="00B645F0"/>
    <w:rsid w:val="00B64EA2"/>
    <w:rsid w:val="00B7122D"/>
    <w:rsid w:val="00B716A8"/>
    <w:rsid w:val="00B751EC"/>
    <w:rsid w:val="00B82803"/>
    <w:rsid w:val="00B861CE"/>
    <w:rsid w:val="00B90CE9"/>
    <w:rsid w:val="00BA0D32"/>
    <w:rsid w:val="00BA134D"/>
    <w:rsid w:val="00BA51F9"/>
    <w:rsid w:val="00BA59A6"/>
    <w:rsid w:val="00BA5A05"/>
    <w:rsid w:val="00BA5C07"/>
    <w:rsid w:val="00BA67F9"/>
    <w:rsid w:val="00BB1028"/>
    <w:rsid w:val="00BB3E62"/>
    <w:rsid w:val="00BB4B8D"/>
    <w:rsid w:val="00BB4BD8"/>
    <w:rsid w:val="00BB721F"/>
    <w:rsid w:val="00BB766F"/>
    <w:rsid w:val="00BC0D4A"/>
    <w:rsid w:val="00BC0F61"/>
    <w:rsid w:val="00BC0FDB"/>
    <w:rsid w:val="00BC16C0"/>
    <w:rsid w:val="00BC1BAC"/>
    <w:rsid w:val="00BC28B7"/>
    <w:rsid w:val="00BC4C2B"/>
    <w:rsid w:val="00BD0B65"/>
    <w:rsid w:val="00BD2AE1"/>
    <w:rsid w:val="00BD3BF8"/>
    <w:rsid w:val="00BD5DD4"/>
    <w:rsid w:val="00BD5E56"/>
    <w:rsid w:val="00BD7727"/>
    <w:rsid w:val="00BE34DF"/>
    <w:rsid w:val="00BE4F64"/>
    <w:rsid w:val="00BF3A38"/>
    <w:rsid w:val="00BF409C"/>
    <w:rsid w:val="00BF4B97"/>
    <w:rsid w:val="00BF6FB3"/>
    <w:rsid w:val="00BF7366"/>
    <w:rsid w:val="00BF77B1"/>
    <w:rsid w:val="00BF7B70"/>
    <w:rsid w:val="00C00259"/>
    <w:rsid w:val="00C0391A"/>
    <w:rsid w:val="00C03DAC"/>
    <w:rsid w:val="00C06D3B"/>
    <w:rsid w:val="00C15292"/>
    <w:rsid w:val="00C15FC2"/>
    <w:rsid w:val="00C21BCC"/>
    <w:rsid w:val="00C27183"/>
    <w:rsid w:val="00C27364"/>
    <w:rsid w:val="00C3022F"/>
    <w:rsid w:val="00C31808"/>
    <w:rsid w:val="00C34ABE"/>
    <w:rsid w:val="00C36F16"/>
    <w:rsid w:val="00C42CDA"/>
    <w:rsid w:val="00C44B94"/>
    <w:rsid w:val="00C450BD"/>
    <w:rsid w:val="00C60DF5"/>
    <w:rsid w:val="00C6142D"/>
    <w:rsid w:val="00C632D7"/>
    <w:rsid w:val="00C63A58"/>
    <w:rsid w:val="00C63D9B"/>
    <w:rsid w:val="00C672F5"/>
    <w:rsid w:val="00C67D77"/>
    <w:rsid w:val="00C75252"/>
    <w:rsid w:val="00C77A2C"/>
    <w:rsid w:val="00C81F65"/>
    <w:rsid w:val="00C83541"/>
    <w:rsid w:val="00C8419D"/>
    <w:rsid w:val="00C87310"/>
    <w:rsid w:val="00C9510D"/>
    <w:rsid w:val="00C954EA"/>
    <w:rsid w:val="00C9704D"/>
    <w:rsid w:val="00C97C67"/>
    <w:rsid w:val="00C97F04"/>
    <w:rsid w:val="00CA30F8"/>
    <w:rsid w:val="00CB003A"/>
    <w:rsid w:val="00CB0D3F"/>
    <w:rsid w:val="00CB3119"/>
    <w:rsid w:val="00CB7342"/>
    <w:rsid w:val="00CC0B33"/>
    <w:rsid w:val="00CC3839"/>
    <w:rsid w:val="00CC4534"/>
    <w:rsid w:val="00CC6C14"/>
    <w:rsid w:val="00CC7579"/>
    <w:rsid w:val="00CD58CD"/>
    <w:rsid w:val="00CE2D06"/>
    <w:rsid w:val="00CE332E"/>
    <w:rsid w:val="00CE6F37"/>
    <w:rsid w:val="00CE78C0"/>
    <w:rsid w:val="00CF2CA4"/>
    <w:rsid w:val="00CF4A47"/>
    <w:rsid w:val="00CF6A78"/>
    <w:rsid w:val="00CF798D"/>
    <w:rsid w:val="00D01021"/>
    <w:rsid w:val="00D02868"/>
    <w:rsid w:val="00D03489"/>
    <w:rsid w:val="00D0412B"/>
    <w:rsid w:val="00D116B1"/>
    <w:rsid w:val="00D12A06"/>
    <w:rsid w:val="00D20B1E"/>
    <w:rsid w:val="00D23D3E"/>
    <w:rsid w:val="00D24768"/>
    <w:rsid w:val="00D24A88"/>
    <w:rsid w:val="00D3147A"/>
    <w:rsid w:val="00D35FCF"/>
    <w:rsid w:val="00D367C2"/>
    <w:rsid w:val="00D370AE"/>
    <w:rsid w:val="00D40EA8"/>
    <w:rsid w:val="00D51E0C"/>
    <w:rsid w:val="00D568EF"/>
    <w:rsid w:val="00D70D48"/>
    <w:rsid w:val="00D71D19"/>
    <w:rsid w:val="00D74FFD"/>
    <w:rsid w:val="00D76517"/>
    <w:rsid w:val="00D77556"/>
    <w:rsid w:val="00D81674"/>
    <w:rsid w:val="00D84037"/>
    <w:rsid w:val="00D8477F"/>
    <w:rsid w:val="00D84816"/>
    <w:rsid w:val="00D851F7"/>
    <w:rsid w:val="00D87D0B"/>
    <w:rsid w:val="00D905A2"/>
    <w:rsid w:val="00D966FC"/>
    <w:rsid w:val="00D96EE2"/>
    <w:rsid w:val="00D97B1A"/>
    <w:rsid w:val="00DA033B"/>
    <w:rsid w:val="00DA05AC"/>
    <w:rsid w:val="00DA3087"/>
    <w:rsid w:val="00DA35D5"/>
    <w:rsid w:val="00DA54EB"/>
    <w:rsid w:val="00DA5F5B"/>
    <w:rsid w:val="00DB29A8"/>
    <w:rsid w:val="00DC0ACB"/>
    <w:rsid w:val="00DC3116"/>
    <w:rsid w:val="00DC37B4"/>
    <w:rsid w:val="00DC5878"/>
    <w:rsid w:val="00DD050F"/>
    <w:rsid w:val="00DD104D"/>
    <w:rsid w:val="00DD6046"/>
    <w:rsid w:val="00DD6760"/>
    <w:rsid w:val="00DE0700"/>
    <w:rsid w:val="00DE548B"/>
    <w:rsid w:val="00DE76C6"/>
    <w:rsid w:val="00DE7858"/>
    <w:rsid w:val="00DE7DA2"/>
    <w:rsid w:val="00DF17C1"/>
    <w:rsid w:val="00DF3373"/>
    <w:rsid w:val="00DF5396"/>
    <w:rsid w:val="00DF6444"/>
    <w:rsid w:val="00DF6D1C"/>
    <w:rsid w:val="00DF749E"/>
    <w:rsid w:val="00E02D8C"/>
    <w:rsid w:val="00E03689"/>
    <w:rsid w:val="00E03DE3"/>
    <w:rsid w:val="00E04766"/>
    <w:rsid w:val="00E07A7C"/>
    <w:rsid w:val="00E11046"/>
    <w:rsid w:val="00E13A9C"/>
    <w:rsid w:val="00E146F2"/>
    <w:rsid w:val="00E175B5"/>
    <w:rsid w:val="00E202B4"/>
    <w:rsid w:val="00E20513"/>
    <w:rsid w:val="00E20C59"/>
    <w:rsid w:val="00E2171A"/>
    <w:rsid w:val="00E2375A"/>
    <w:rsid w:val="00E238E9"/>
    <w:rsid w:val="00E24326"/>
    <w:rsid w:val="00E24973"/>
    <w:rsid w:val="00E33C09"/>
    <w:rsid w:val="00E3516F"/>
    <w:rsid w:val="00E35CD0"/>
    <w:rsid w:val="00E443D2"/>
    <w:rsid w:val="00E44D93"/>
    <w:rsid w:val="00E45248"/>
    <w:rsid w:val="00E45587"/>
    <w:rsid w:val="00E45F6B"/>
    <w:rsid w:val="00E51F2B"/>
    <w:rsid w:val="00E52D9C"/>
    <w:rsid w:val="00E56E8D"/>
    <w:rsid w:val="00E602A1"/>
    <w:rsid w:val="00E6090E"/>
    <w:rsid w:val="00E64CE5"/>
    <w:rsid w:val="00E71397"/>
    <w:rsid w:val="00E73EC5"/>
    <w:rsid w:val="00E77A64"/>
    <w:rsid w:val="00E8039E"/>
    <w:rsid w:val="00E8070F"/>
    <w:rsid w:val="00E80CE1"/>
    <w:rsid w:val="00E81017"/>
    <w:rsid w:val="00E8245B"/>
    <w:rsid w:val="00E845BB"/>
    <w:rsid w:val="00E86474"/>
    <w:rsid w:val="00E9156F"/>
    <w:rsid w:val="00E92231"/>
    <w:rsid w:val="00E92BA9"/>
    <w:rsid w:val="00E92FD5"/>
    <w:rsid w:val="00E96697"/>
    <w:rsid w:val="00E96BF2"/>
    <w:rsid w:val="00EA2F92"/>
    <w:rsid w:val="00EA5156"/>
    <w:rsid w:val="00EA64AE"/>
    <w:rsid w:val="00EB08CB"/>
    <w:rsid w:val="00EB1C03"/>
    <w:rsid w:val="00EB21ED"/>
    <w:rsid w:val="00EB5A48"/>
    <w:rsid w:val="00EB5E62"/>
    <w:rsid w:val="00EB5E9B"/>
    <w:rsid w:val="00EC0DB0"/>
    <w:rsid w:val="00EC4D17"/>
    <w:rsid w:val="00EC5FAF"/>
    <w:rsid w:val="00EC6749"/>
    <w:rsid w:val="00ED2419"/>
    <w:rsid w:val="00ED4EC9"/>
    <w:rsid w:val="00ED50C9"/>
    <w:rsid w:val="00ED6199"/>
    <w:rsid w:val="00ED7CB9"/>
    <w:rsid w:val="00EE0AE2"/>
    <w:rsid w:val="00EE0B0E"/>
    <w:rsid w:val="00EE3088"/>
    <w:rsid w:val="00EE3D61"/>
    <w:rsid w:val="00EE6B97"/>
    <w:rsid w:val="00EF2363"/>
    <w:rsid w:val="00EF71E5"/>
    <w:rsid w:val="00EF748D"/>
    <w:rsid w:val="00EF781C"/>
    <w:rsid w:val="00F004C2"/>
    <w:rsid w:val="00F01DC2"/>
    <w:rsid w:val="00F02CD8"/>
    <w:rsid w:val="00F04802"/>
    <w:rsid w:val="00F114B1"/>
    <w:rsid w:val="00F13108"/>
    <w:rsid w:val="00F1757F"/>
    <w:rsid w:val="00F22A7E"/>
    <w:rsid w:val="00F23B72"/>
    <w:rsid w:val="00F24328"/>
    <w:rsid w:val="00F24F5A"/>
    <w:rsid w:val="00F265B4"/>
    <w:rsid w:val="00F27C5F"/>
    <w:rsid w:val="00F305F7"/>
    <w:rsid w:val="00F31337"/>
    <w:rsid w:val="00F36742"/>
    <w:rsid w:val="00F374CA"/>
    <w:rsid w:val="00F41911"/>
    <w:rsid w:val="00F424E4"/>
    <w:rsid w:val="00F4591C"/>
    <w:rsid w:val="00F45FEF"/>
    <w:rsid w:val="00F51DC7"/>
    <w:rsid w:val="00F51FEB"/>
    <w:rsid w:val="00F53837"/>
    <w:rsid w:val="00F56D95"/>
    <w:rsid w:val="00F56E0F"/>
    <w:rsid w:val="00F6095F"/>
    <w:rsid w:val="00F6525E"/>
    <w:rsid w:val="00F72D0B"/>
    <w:rsid w:val="00F73625"/>
    <w:rsid w:val="00F7395C"/>
    <w:rsid w:val="00F75F2D"/>
    <w:rsid w:val="00F76131"/>
    <w:rsid w:val="00F77798"/>
    <w:rsid w:val="00F91DFD"/>
    <w:rsid w:val="00F9526D"/>
    <w:rsid w:val="00FA30DB"/>
    <w:rsid w:val="00FA3EBD"/>
    <w:rsid w:val="00FA49D0"/>
    <w:rsid w:val="00FA574E"/>
    <w:rsid w:val="00FA62D7"/>
    <w:rsid w:val="00FA6B23"/>
    <w:rsid w:val="00FA7CED"/>
    <w:rsid w:val="00FB0552"/>
    <w:rsid w:val="00FB13DC"/>
    <w:rsid w:val="00FB7F1C"/>
    <w:rsid w:val="00FC049B"/>
    <w:rsid w:val="00FC174E"/>
    <w:rsid w:val="00FC2B60"/>
    <w:rsid w:val="00FC33E4"/>
    <w:rsid w:val="00FC4D8E"/>
    <w:rsid w:val="00FD0BF8"/>
    <w:rsid w:val="00FD0D7E"/>
    <w:rsid w:val="00FD1539"/>
    <w:rsid w:val="00FD47AB"/>
    <w:rsid w:val="00FD79FF"/>
    <w:rsid w:val="00FE06A9"/>
    <w:rsid w:val="00FE3BAD"/>
    <w:rsid w:val="00FE40CB"/>
    <w:rsid w:val="00FE5155"/>
    <w:rsid w:val="00FE68D8"/>
    <w:rsid w:val="00FE7D2C"/>
    <w:rsid w:val="00FF00AB"/>
    <w:rsid w:val="00FF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3832DE"/>
  <w15:docId w15:val="{691B4581-AD81-485D-AE22-9C6ACCF57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9"/>
    <w:qFormat/>
    <w:rsid w:val="006A2D85"/>
    <w:pPr>
      <w:spacing w:line="480" w:lineRule="auto"/>
      <w:outlineLvl w:val="1"/>
    </w:pPr>
    <w:rPr>
      <w:rFonts w:ascii="Palatino Linotype" w:hAnsi="Palatino Linotype"/>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95CCA"/>
    <w:rPr>
      <w:rFonts w:ascii="Tahoma" w:hAnsi="Tahoma" w:cs="Tahoma"/>
      <w:sz w:val="16"/>
      <w:szCs w:val="16"/>
    </w:rPr>
  </w:style>
  <w:style w:type="paragraph" w:styleId="Footer">
    <w:name w:val="footer"/>
    <w:basedOn w:val="Normal"/>
    <w:rsid w:val="00EB5E62"/>
    <w:pPr>
      <w:tabs>
        <w:tab w:val="center" w:pos="4320"/>
        <w:tab w:val="right" w:pos="8640"/>
      </w:tabs>
    </w:pPr>
  </w:style>
  <w:style w:type="character" w:styleId="PageNumber">
    <w:name w:val="page number"/>
    <w:basedOn w:val="DefaultParagraphFont"/>
    <w:rsid w:val="00EB5E62"/>
  </w:style>
  <w:style w:type="paragraph" w:styleId="Header">
    <w:name w:val="header"/>
    <w:basedOn w:val="Normal"/>
    <w:rsid w:val="00EB5E62"/>
    <w:pPr>
      <w:tabs>
        <w:tab w:val="center" w:pos="4320"/>
        <w:tab w:val="right" w:pos="8640"/>
      </w:tabs>
    </w:pPr>
  </w:style>
  <w:style w:type="table" w:styleId="TableGrid">
    <w:name w:val="Table Grid"/>
    <w:basedOn w:val="TableNormal"/>
    <w:rsid w:val="0040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06D3B"/>
    <w:rPr>
      <w:sz w:val="16"/>
      <w:szCs w:val="16"/>
    </w:rPr>
  </w:style>
  <w:style w:type="paragraph" w:styleId="CommentText">
    <w:name w:val="annotation text"/>
    <w:basedOn w:val="Normal"/>
    <w:link w:val="CommentTextChar"/>
    <w:rsid w:val="00C06D3B"/>
    <w:rPr>
      <w:sz w:val="20"/>
      <w:szCs w:val="20"/>
    </w:rPr>
  </w:style>
  <w:style w:type="character" w:customStyle="1" w:styleId="CommentTextChar">
    <w:name w:val="Comment Text Char"/>
    <w:basedOn w:val="DefaultParagraphFont"/>
    <w:link w:val="CommentText"/>
    <w:rsid w:val="00C06D3B"/>
  </w:style>
  <w:style w:type="paragraph" w:styleId="CommentSubject">
    <w:name w:val="annotation subject"/>
    <w:basedOn w:val="CommentText"/>
    <w:next w:val="CommentText"/>
    <w:link w:val="CommentSubjectChar"/>
    <w:rsid w:val="00C06D3B"/>
    <w:rPr>
      <w:b/>
      <w:bCs/>
    </w:rPr>
  </w:style>
  <w:style w:type="character" w:customStyle="1" w:styleId="CommentSubjectChar">
    <w:name w:val="Comment Subject Char"/>
    <w:link w:val="CommentSubject"/>
    <w:rsid w:val="00C06D3B"/>
    <w:rPr>
      <w:b/>
      <w:bCs/>
    </w:rPr>
  </w:style>
  <w:style w:type="paragraph" w:styleId="Revision">
    <w:name w:val="Revision"/>
    <w:hidden/>
    <w:uiPriority w:val="99"/>
    <w:semiHidden/>
    <w:rsid w:val="00474021"/>
    <w:rPr>
      <w:sz w:val="24"/>
      <w:szCs w:val="24"/>
    </w:rPr>
  </w:style>
  <w:style w:type="paragraph" w:styleId="ListParagraph">
    <w:name w:val="List Paragraph"/>
    <w:basedOn w:val="Normal"/>
    <w:uiPriority w:val="34"/>
    <w:qFormat/>
    <w:rsid w:val="003E53BD"/>
    <w:pPr>
      <w:ind w:left="720"/>
      <w:contextualSpacing/>
    </w:pPr>
    <w:rPr>
      <w:rFonts w:eastAsiaTheme="minorHAnsi"/>
    </w:rPr>
  </w:style>
  <w:style w:type="paragraph" w:styleId="FootnoteText">
    <w:name w:val="footnote text"/>
    <w:basedOn w:val="Normal"/>
    <w:link w:val="FootnoteTextChar"/>
    <w:unhideWhenUsed/>
    <w:rsid w:val="00F265B4"/>
    <w:rPr>
      <w:sz w:val="20"/>
      <w:szCs w:val="20"/>
    </w:rPr>
  </w:style>
  <w:style w:type="character" w:customStyle="1" w:styleId="FootnoteTextChar">
    <w:name w:val="Footnote Text Char"/>
    <w:basedOn w:val="DefaultParagraphFont"/>
    <w:link w:val="FootnoteText"/>
    <w:rsid w:val="00F265B4"/>
  </w:style>
  <w:style w:type="character" w:styleId="FootnoteReference">
    <w:name w:val="footnote reference"/>
    <w:basedOn w:val="DefaultParagraphFont"/>
    <w:unhideWhenUsed/>
    <w:rsid w:val="00F265B4"/>
    <w:rPr>
      <w:vertAlign w:val="superscript"/>
    </w:rPr>
  </w:style>
  <w:style w:type="character" w:customStyle="1" w:styleId="Heading2Char">
    <w:name w:val="Heading 2 Char"/>
    <w:basedOn w:val="DefaultParagraphFont"/>
    <w:link w:val="Heading2"/>
    <w:uiPriority w:val="99"/>
    <w:rsid w:val="006A2D85"/>
    <w:rPr>
      <w:rFonts w:ascii="Palatino Linotype" w:hAnsi="Palatino Linotype"/>
      <w:b/>
      <w:i/>
      <w:sz w:val="24"/>
      <w:szCs w:val="24"/>
    </w:rPr>
  </w:style>
  <w:style w:type="character" w:customStyle="1" w:styleId="BalloonTextChar">
    <w:name w:val="Balloon Text Char"/>
    <w:basedOn w:val="DefaultParagraphFont"/>
    <w:link w:val="BalloonText"/>
    <w:uiPriority w:val="99"/>
    <w:semiHidden/>
    <w:rsid w:val="006A2D85"/>
    <w:rPr>
      <w:rFonts w:ascii="Tahoma" w:hAnsi="Tahoma" w:cs="Tahoma"/>
      <w:sz w:val="16"/>
      <w:szCs w:val="16"/>
    </w:rPr>
  </w:style>
  <w:style w:type="character" w:styleId="Hyperlink">
    <w:name w:val="Hyperlink"/>
    <w:basedOn w:val="DefaultParagraphFont"/>
    <w:unhideWhenUsed/>
    <w:rsid w:val="00926C7F"/>
    <w:rPr>
      <w:color w:val="0000FF" w:themeColor="hyperlink"/>
      <w:u w:val="single"/>
    </w:rPr>
  </w:style>
  <w:style w:type="paragraph" w:customStyle="1" w:styleId="Default">
    <w:name w:val="Default"/>
    <w:rsid w:val="00101CDD"/>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124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251227">
      <w:bodyDiv w:val="1"/>
      <w:marLeft w:val="0"/>
      <w:marRight w:val="0"/>
      <w:marTop w:val="0"/>
      <w:marBottom w:val="0"/>
      <w:divBdr>
        <w:top w:val="none" w:sz="0" w:space="0" w:color="auto"/>
        <w:left w:val="none" w:sz="0" w:space="0" w:color="auto"/>
        <w:bottom w:val="none" w:sz="0" w:space="0" w:color="auto"/>
        <w:right w:val="none" w:sz="0" w:space="0" w:color="auto"/>
      </w:divBdr>
    </w:div>
    <w:div w:id="80302616">
      <w:bodyDiv w:val="1"/>
      <w:marLeft w:val="0"/>
      <w:marRight w:val="0"/>
      <w:marTop w:val="0"/>
      <w:marBottom w:val="0"/>
      <w:divBdr>
        <w:top w:val="none" w:sz="0" w:space="0" w:color="auto"/>
        <w:left w:val="none" w:sz="0" w:space="0" w:color="auto"/>
        <w:bottom w:val="none" w:sz="0" w:space="0" w:color="auto"/>
        <w:right w:val="none" w:sz="0" w:space="0" w:color="auto"/>
      </w:divBdr>
    </w:div>
    <w:div w:id="121849710">
      <w:bodyDiv w:val="1"/>
      <w:marLeft w:val="0"/>
      <w:marRight w:val="0"/>
      <w:marTop w:val="0"/>
      <w:marBottom w:val="0"/>
      <w:divBdr>
        <w:top w:val="none" w:sz="0" w:space="0" w:color="auto"/>
        <w:left w:val="none" w:sz="0" w:space="0" w:color="auto"/>
        <w:bottom w:val="none" w:sz="0" w:space="0" w:color="auto"/>
        <w:right w:val="none" w:sz="0" w:space="0" w:color="auto"/>
      </w:divBdr>
    </w:div>
    <w:div w:id="177618747">
      <w:bodyDiv w:val="1"/>
      <w:marLeft w:val="0"/>
      <w:marRight w:val="0"/>
      <w:marTop w:val="0"/>
      <w:marBottom w:val="0"/>
      <w:divBdr>
        <w:top w:val="none" w:sz="0" w:space="0" w:color="auto"/>
        <w:left w:val="none" w:sz="0" w:space="0" w:color="auto"/>
        <w:bottom w:val="none" w:sz="0" w:space="0" w:color="auto"/>
        <w:right w:val="none" w:sz="0" w:space="0" w:color="auto"/>
      </w:divBdr>
    </w:div>
    <w:div w:id="235626410">
      <w:bodyDiv w:val="1"/>
      <w:marLeft w:val="0"/>
      <w:marRight w:val="0"/>
      <w:marTop w:val="0"/>
      <w:marBottom w:val="0"/>
      <w:divBdr>
        <w:top w:val="none" w:sz="0" w:space="0" w:color="auto"/>
        <w:left w:val="none" w:sz="0" w:space="0" w:color="auto"/>
        <w:bottom w:val="none" w:sz="0" w:space="0" w:color="auto"/>
        <w:right w:val="none" w:sz="0" w:space="0" w:color="auto"/>
      </w:divBdr>
    </w:div>
    <w:div w:id="322272086">
      <w:bodyDiv w:val="1"/>
      <w:marLeft w:val="0"/>
      <w:marRight w:val="0"/>
      <w:marTop w:val="0"/>
      <w:marBottom w:val="0"/>
      <w:divBdr>
        <w:top w:val="none" w:sz="0" w:space="0" w:color="auto"/>
        <w:left w:val="none" w:sz="0" w:space="0" w:color="auto"/>
        <w:bottom w:val="none" w:sz="0" w:space="0" w:color="auto"/>
        <w:right w:val="none" w:sz="0" w:space="0" w:color="auto"/>
      </w:divBdr>
    </w:div>
    <w:div w:id="489520722">
      <w:bodyDiv w:val="1"/>
      <w:marLeft w:val="0"/>
      <w:marRight w:val="0"/>
      <w:marTop w:val="0"/>
      <w:marBottom w:val="0"/>
      <w:divBdr>
        <w:top w:val="none" w:sz="0" w:space="0" w:color="auto"/>
        <w:left w:val="none" w:sz="0" w:space="0" w:color="auto"/>
        <w:bottom w:val="none" w:sz="0" w:space="0" w:color="auto"/>
        <w:right w:val="none" w:sz="0" w:space="0" w:color="auto"/>
      </w:divBdr>
    </w:div>
    <w:div w:id="555511353">
      <w:bodyDiv w:val="1"/>
      <w:marLeft w:val="0"/>
      <w:marRight w:val="0"/>
      <w:marTop w:val="0"/>
      <w:marBottom w:val="0"/>
      <w:divBdr>
        <w:top w:val="none" w:sz="0" w:space="0" w:color="auto"/>
        <w:left w:val="none" w:sz="0" w:space="0" w:color="auto"/>
        <w:bottom w:val="none" w:sz="0" w:space="0" w:color="auto"/>
        <w:right w:val="none" w:sz="0" w:space="0" w:color="auto"/>
      </w:divBdr>
    </w:div>
    <w:div w:id="600768909">
      <w:bodyDiv w:val="1"/>
      <w:marLeft w:val="0"/>
      <w:marRight w:val="0"/>
      <w:marTop w:val="0"/>
      <w:marBottom w:val="0"/>
      <w:divBdr>
        <w:top w:val="none" w:sz="0" w:space="0" w:color="auto"/>
        <w:left w:val="none" w:sz="0" w:space="0" w:color="auto"/>
        <w:bottom w:val="none" w:sz="0" w:space="0" w:color="auto"/>
        <w:right w:val="none" w:sz="0" w:space="0" w:color="auto"/>
      </w:divBdr>
    </w:div>
    <w:div w:id="627669309">
      <w:bodyDiv w:val="1"/>
      <w:marLeft w:val="0"/>
      <w:marRight w:val="0"/>
      <w:marTop w:val="0"/>
      <w:marBottom w:val="0"/>
      <w:divBdr>
        <w:top w:val="none" w:sz="0" w:space="0" w:color="auto"/>
        <w:left w:val="none" w:sz="0" w:space="0" w:color="auto"/>
        <w:bottom w:val="none" w:sz="0" w:space="0" w:color="auto"/>
        <w:right w:val="none" w:sz="0" w:space="0" w:color="auto"/>
      </w:divBdr>
    </w:div>
    <w:div w:id="756436707">
      <w:bodyDiv w:val="1"/>
      <w:marLeft w:val="0"/>
      <w:marRight w:val="0"/>
      <w:marTop w:val="0"/>
      <w:marBottom w:val="0"/>
      <w:divBdr>
        <w:top w:val="none" w:sz="0" w:space="0" w:color="auto"/>
        <w:left w:val="none" w:sz="0" w:space="0" w:color="auto"/>
        <w:bottom w:val="none" w:sz="0" w:space="0" w:color="auto"/>
        <w:right w:val="none" w:sz="0" w:space="0" w:color="auto"/>
      </w:divBdr>
    </w:div>
    <w:div w:id="1402098865">
      <w:bodyDiv w:val="1"/>
      <w:marLeft w:val="0"/>
      <w:marRight w:val="0"/>
      <w:marTop w:val="0"/>
      <w:marBottom w:val="0"/>
      <w:divBdr>
        <w:top w:val="none" w:sz="0" w:space="0" w:color="auto"/>
        <w:left w:val="none" w:sz="0" w:space="0" w:color="auto"/>
        <w:bottom w:val="none" w:sz="0" w:space="0" w:color="auto"/>
        <w:right w:val="none" w:sz="0" w:space="0" w:color="auto"/>
      </w:divBdr>
      <w:divsChild>
        <w:div w:id="221990352">
          <w:marLeft w:val="547"/>
          <w:marRight w:val="0"/>
          <w:marTop w:val="86"/>
          <w:marBottom w:val="0"/>
          <w:divBdr>
            <w:top w:val="none" w:sz="0" w:space="0" w:color="auto"/>
            <w:left w:val="none" w:sz="0" w:space="0" w:color="auto"/>
            <w:bottom w:val="none" w:sz="0" w:space="0" w:color="auto"/>
            <w:right w:val="none" w:sz="0" w:space="0" w:color="auto"/>
          </w:divBdr>
        </w:div>
      </w:divsChild>
    </w:div>
    <w:div w:id="1536699633">
      <w:bodyDiv w:val="1"/>
      <w:marLeft w:val="0"/>
      <w:marRight w:val="0"/>
      <w:marTop w:val="0"/>
      <w:marBottom w:val="0"/>
      <w:divBdr>
        <w:top w:val="none" w:sz="0" w:space="0" w:color="auto"/>
        <w:left w:val="none" w:sz="0" w:space="0" w:color="auto"/>
        <w:bottom w:val="none" w:sz="0" w:space="0" w:color="auto"/>
        <w:right w:val="none" w:sz="0" w:space="0" w:color="auto"/>
      </w:divBdr>
    </w:div>
    <w:div w:id="1786925210">
      <w:bodyDiv w:val="1"/>
      <w:marLeft w:val="0"/>
      <w:marRight w:val="0"/>
      <w:marTop w:val="0"/>
      <w:marBottom w:val="0"/>
      <w:divBdr>
        <w:top w:val="none" w:sz="0" w:space="0" w:color="auto"/>
        <w:left w:val="none" w:sz="0" w:space="0" w:color="auto"/>
        <w:bottom w:val="none" w:sz="0" w:space="0" w:color="auto"/>
        <w:right w:val="none" w:sz="0" w:space="0" w:color="auto"/>
      </w:divBdr>
    </w:div>
    <w:div w:id="1816530098">
      <w:bodyDiv w:val="1"/>
      <w:marLeft w:val="0"/>
      <w:marRight w:val="0"/>
      <w:marTop w:val="0"/>
      <w:marBottom w:val="0"/>
      <w:divBdr>
        <w:top w:val="none" w:sz="0" w:space="0" w:color="auto"/>
        <w:left w:val="none" w:sz="0" w:space="0" w:color="auto"/>
        <w:bottom w:val="none" w:sz="0" w:space="0" w:color="auto"/>
        <w:right w:val="none" w:sz="0" w:space="0" w:color="auto"/>
      </w:divBdr>
    </w:div>
    <w:div w:id="1874686900">
      <w:bodyDiv w:val="1"/>
      <w:marLeft w:val="0"/>
      <w:marRight w:val="0"/>
      <w:marTop w:val="0"/>
      <w:marBottom w:val="0"/>
      <w:divBdr>
        <w:top w:val="none" w:sz="0" w:space="0" w:color="auto"/>
        <w:left w:val="none" w:sz="0" w:space="0" w:color="auto"/>
        <w:bottom w:val="none" w:sz="0" w:space="0" w:color="auto"/>
        <w:right w:val="none" w:sz="0" w:space="0" w:color="auto"/>
      </w:divBdr>
    </w:div>
    <w:div w:id="199599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oh/business-and-financial/accountants-and-auditors.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20/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AF8A1-779A-43A9-A5A7-9A5D19359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2307</Words>
  <Characters>13155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Sufranski, Daniel (Contractor)</dc:creator>
  <dc:description/>
  <cp:lastModifiedBy>Coffman, Nathan</cp:lastModifiedBy>
  <cp:revision>2</cp:revision>
  <dcterms:created xsi:type="dcterms:W3CDTF">2022-01-31T19:52:00Z</dcterms:created>
  <dcterms:modified xsi:type="dcterms:W3CDTF">2022-01-31T19:52:00Z</dcterms:modified>
</cp:coreProperties>
</file>