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940" w:rsidRPr="00095EC6" w:rsidP="00BF0623" w14:paraId="15C2A6B3" w14:textId="0F0D738A">
      <w:pPr>
        <w:pStyle w:val="PlainText"/>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Supporting Statement</w:t>
      </w:r>
    </w:p>
    <w:p w:rsidR="00095EC6" w:rsidRPr="00514E22" w:rsidP="00514E22" w14:paraId="7C7FB67C" w14:textId="4C10557F">
      <w:pPr>
        <w:pStyle w:val="PlainText"/>
        <w:spacing w:after="240"/>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OMB Control Number 1506-</w:t>
      </w:r>
      <w:r w:rsidR="00B23B45">
        <w:rPr>
          <w:rFonts w:ascii="Times New Roman" w:eastAsia="MS Mincho" w:hAnsi="Times New Roman" w:cs="Times New Roman"/>
          <w:sz w:val="24"/>
          <w:u w:val="single"/>
        </w:rPr>
        <w:t>0076</w:t>
      </w:r>
      <w:r w:rsidR="00652B72">
        <w:rPr>
          <w:rFonts w:ascii="Times New Roman" w:eastAsia="MS Mincho" w:hAnsi="Times New Roman" w:cs="Times New Roman"/>
          <w:sz w:val="24"/>
          <w:u w:val="single"/>
        </w:rPr>
        <w:t xml:space="preserve"> (RIN 1506-</w:t>
      </w:r>
      <w:r w:rsidR="00DC1AC5">
        <w:rPr>
          <w:rFonts w:ascii="Times New Roman" w:eastAsia="MS Mincho" w:hAnsi="Times New Roman" w:cs="Times New Roman"/>
          <w:sz w:val="24"/>
          <w:u w:val="single"/>
        </w:rPr>
        <w:t>AB49</w:t>
      </w:r>
      <w:r w:rsidR="00652B72">
        <w:rPr>
          <w:rFonts w:ascii="Times New Roman" w:eastAsia="MS Mincho" w:hAnsi="Times New Roman" w:cs="Times New Roman"/>
          <w:sz w:val="24"/>
          <w:u w:val="single"/>
        </w:rPr>
        <w:t>)</w:t>
      </w:r>
    </w:p>
    <w:p w:rsidR="00600940" w:rsidRPr="00514E22" w:rsidP="00514E22" w14:paraId="7B42B98C" w14:textId="2715D2C2">
      <w:pPr>
        <w:autoSpaceDE w:val="0"/>
        <w:autoSpaceDN w:val="0"/>
        <w:adjustRightInd w:val="0"/>
        <w:spacing w:after="240"/>
        <w:jc w:val="center"/>
        <w:rPr>
          <w:rFonts w:eastAsia="MS Mincho"/>
          <w:color w:val="000000"/>
          <w:u w:val="single"/>
        </w:rPr>
      </w:pPr>
      <w:r w:rsidRPr="00095EC6">
        <w:rPr>
          <w:color w:val="000000"/>
          <w:u w:val="single"/>
        </w:rPr>
        <w:t xml:space="preserve">Beneficial Ownership </w:t>
      </w:r>
      <w:r w:rsidR="00AC76BF">
        <w:rPr>
          <w:color w:val="000000"/>
          <w:u w:val="single"/>
        </w:rPr>
        <w:t xml:space="preserve">Information Reporting Requirements </w:t>
      </w:r>
    </w:p>
    <w:p w:rsidR="00600940" w:rsidP="00CB346A" w14:paraId="49D51935" w14:textId="07FBA2F3">
      <w:pPr>
        <w:pStyle w:val="PlainText"/>
        <w:spacing w:after="240"/>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Circumstanc</w:t>
      </w:r>
      <w:r w:rsidR="007E495B">
        <w:rPr>
          <w:rFonts w:ascii="Times New Roman" w:hAnsi="Times New Roman" w:cs="Times New Roman"/>
          <w:sz w:val="24"/>
          <w:szCs w:val="22"/>
          <w:u w:val="single"/>
        </w:rPr>
        <w:t>es necessitating collection of i</w:t>
      </w:r>
      <w:r>
        <w:rPr>
          <w:rFonts w:ascii="Times New Roman" w:hAnsi="Times New Roman" w:cs="Times New Roman"/>
          <w:sz w:val="24"/>
          <w:szCs w:val="22"/>
          <w:u w:val="single"/>
        </w:rPr>
        <w:t>nformation.</w:t>
      </w:r>
    </w:p>
    <w:p w:rsidR="0002275A" w:rsidP="00514E22" w14:paraId="59547B13" w14:textId="1DD6DE5D">
      <w:pPr>
        <w:pStyle w:val="BodyText"/>
        <w:spacing w:before="0" w:after="240"/>
        <w:ind w:right="115" w:firstLine="720"/>
        <w:rPr>
          <w:sz w:val="24"/>
          <w:szCs w:val="24"/>
        </w:rPr>
      </w:pPr>
      <w:r w:rsidRPr="003264BB">
        <w:rPr>
          <w:sz w:val="24"/>
          <w:szCs w:val="24"/>
        </w:rPr>
        <w:t>The Financial Crimes Enforcement Netwo</w:t>
      </w:r>
      <w:r w:rsidRPr="00BD14B4">
        <w:rPr>
          <w:sz w:val="24"/>
          <w:szCs w:val="24"/>
        </w:rPr>
        <w:t>rk (</w:t>
      </w:r>
      <w:r w:rsidRPr="00BD14B4" w:rsidR="002E5188">
        <w:rPr>
          <w:sz w:val="24"/>
          <w:szCs w:val="24"/>
        </w:rPr>
        <w:t>FinCEN</w:t>
      </w:r>
      <w:r w:rsidRPr="00BD14B4">
        <w:rPr>
          <w:sz w:val="24"/>
          <w:szCs w:val="24"/>
        </w:rPr>
        <w:t>)</w:t>
      </w:r>
      <w:r w:rsidRPr="00BD14B4" w:rsidR="002E5188">
        <w:rPr>
          <w:sz w:val="24"/>
          <w:szCs w:val="24"/>
        </w:rPr>
        <w:t xml:space="preserve"> exercises regulatory functions primarily under the Currency and F</w:t>
      </w:r>
      <w:r w:rsidR="00C14091">
        <w:rPr>
          <w:sz w:val="24"/>
          <w:szCs w:val="24"/>
        </w:rPr>
        <w:t>oreign</w:t>
      </w:r>
      <w:r w:rsidRPr="00BD14B4" w:rsidR="002E5188">
        <w:rPr>
          <w:sz w:val="24"/>
          <w:szCs w:val="24"/>
        </w:rPr>
        <w:t xml:space="preserve"> Transactions Reporting Act of 1970, as amended</w:t>
      </w:r>
      <w:r w:rsidRPr="00C455D9" w:rsidR="00F22C5A">
        <w:rPr>
          <w:sz w:val="24"/>
          <w:szCs w:val="24"/>
        </w:rPr>
        <w:t xml:space="preserve"> </w:t>
      </w:r>
      <w:r w:rsidRPr="000C0227" w:rsidR="00F22C5A">
        <w:rPr>
          <w:sz w:val="24"/>
          <w:szCs w:val="24"/>
        </w:rPr>
        <w:t>by the Uniting and Strengthening America by Providing Appropriate Tools Required to Intercept and Obstruct Terrorism Act of 2001 (USA PATRIOT Act), Public Law 107–56 (October 26, 2001), and other legislation</w:t>
      </w:r>
      <w:r w:rsidRPr="00BD14B4" w:rsidR="006562A1">
        <w:rPr>
          <w:sz w:val="24"/>
          <w:szCs w:val="24"/>
        </w:rPr>
        <w:t>, including the Corporate Transparency Act (CTA)</w:t>
      </w:r>
      <w:r w:rsidRPr="00BD14B4" w:rsidR="002E5188">
        <w:rPr>
          <w:sz w:val="24"/>
          <w:szCs w:val="24"/>
        </w:rPr>
        <w:t>.</w:t>
      </w:r>
      <w:r>
        <w:rPr>
          <w:sz w:val="24"/>
          <w:szCs w:val="24"/>
          <w:vertAlign w:val="superscript"/>
        </w:rPr>
        <w:footnoteReference w:id="3"/>
      </w:r>
      <w:r w:rsidRPr="00BD14B4" w:rsidR="002E5188">
        <w:rPr>
          <w:sz w:val="24"/>
          <w:szCs w:val="24"/>
        </w:rPr>
        <w:t>  Th</w:t>
      </w:r>
      <w:r w:rsidR="00382046">
        <w:rPr>
          <w:sz w:val="24"/>
          <w:szCs w:val="24"/>
        </w:rPr>
        <w:t xml:space="preserve">e overall </w:t>
      </w:r>
      <w:r w:rsidRPr="00BD14B4" w:rsidR="002E5188">
        <w:rPr>
          <w:sz w:val="24"/>
          <w:szCs w:val="24"/>
        </w:rPr>
        <w:t>legislative framework is commonly referred to as the Bank Secrecy Act (BSA).</w:t>
      </w:r>
      <w:r w:rsidRPr="00BD14B4" w:rsidR="006562A1">
        <w:rPr>
          <w:sz w:val="24"/>
          <w:szCs w:val="24"/>
        </w:rPr>
        <w:t xml:space="preserve">  The CTA added a new </w:t>
      </w:r>
      <w:r w:rsidR="00F967C8">
        <w:rPr>
          <w:sz w:val="24"/>
          <w:szCs w:val="24"/>
        </w:rPr>
        <w:t>s</w:t>
      </w:r>
      <w:r w:rsidRPr="00BD14B4" w:rsidR="006562A1">
        <w:rPr>
          <w:sz w:val="24"/>
          <w:szCs w:val="24"/>
        </w:rPr>
        <w:t xml:space="preserve">ection </w:t>
      </w:r>
      <w:r w:rsidR="00F967C8">
        <w:rPr>
          <w:sz w:val="24"/>
          <w:szCs w:val="24"/>
        </w:rPr>
        <w:t xml:space="preserve">to the BSA, </w:t>
      </w:r>
      <w:r w:rsidRPr="00BD14B4" w:rsidR="006562A1">
        <w:rPr>
          <w:sz w:val="24"/>
          <w:szCs w:val="24"/>
        </w:rPr>
        <w:t>31 U.S.C. 5336</w:t>
      </w:r>
      <w:r w:rsidR="00F967C8">
        <w:rPr>
          <w:sz w:val="24"/>
          <w:szCs w:val="24"/>
        </w:rPr>
        <w:t>,</w:t>
      </w:r>
      <w:r w:rsidRPr="00BD14B4" w:rsidR="006562A1">
        <w:rPr>
          <w:sz w:val="24"/>
          <w:szCs w:val="24"/>
        </w:rPr>
        <w:t xml:space="preserve"> to </w:t>
      </w:r>
      <w:r w:rsidRPr="00C8322F" w:rsidR="00D04BA7">
        <w:rPr>
          <w:sz w:val="24"/>
          <w:szCs w:val="24"/>
        </w:rPr>
        <w:t xml:space="preserve">provide for collection of </w:t>
      </w:r>
      <w:r w:rsidRPr="0002275A" w:rsidR="00FD39EA">
        <w:rPr>
          <w:sz w:val="24"/>
          <w:szCs w:val="24"/>
        </w:rPr>
        <w:t xml:space="preserve">information about certain legal entities’ </w:t>
      </w:r>
      <w:r w:rsidRPr="0002275A" w:rsidR="006562A1">
        <w:rPr>
          <w:sz w:val="24"/>
          <w:szCs w:val="24"/>
        </w:rPr>
        <w:t>beneficial ownership.</w:t>
      </w:r>
      <w:r w:rsidRPr="0002275A" w:rsidR="0016287F">
        <w:rPr>
          <w:sz w:val="24"/>
          <w:szCs w:val="24"/>
        </w:rPr>
        <w:t xml:space="preserve"> </w:t>
      </w:r>
    </w:p>
    <w:p w:rsidR="0002275A" w:rsidP="00514E22" w14:paraId="508EE0D7" w14:textId="014474E3">
      <w:pPr>
        <w:pStyle w:val="BodyText"/>
        <w:spacing w:before="0" w:after="240"/>
        <w:ind w:right="115" w:firstLine="720"/>
        <w:rPr>
          <w:sz w:val="24"/>
          <w:szCs w:val="24"/>
        </w:rPr>
      </w:pPr>
      <w:r w:rsidRPr="0002275A">
        <w:rPr>
          <w:sz w:val="24"/>
          <w:szCs w:val="24"/>
        </w:rPr>
        <w:t>FinCEN is issuing this statement to support the request for O</w:t>
      </w:r>
      <w:r w:rsidRPr="0002275A" w:rsidR="00505331">
        <w:rPr>
          <w:sz w:val="24"/>
          <w:szCs w:val="24"/>
        </w:rPr>
        <w:t>ffice of Management and Budget (O</w:t>
      </w:r>
      <w:r w:rsidRPr="0002275A">
        <w:rPr>
          <w:sz w:val="24"/>
          <w:szCs w:val="24"/>
        </w:rPr>
        <w:t>MB</w:t>
      </w:r>
      <w:r w:rsidRPr="0002275A" w:rsidR="00505331">
        <w:rPr>
          <w:sz w:val="24"/>
          <w:szCs w:val="24"/>
        </w:rPr>
        <w:t>)</w:t>
      </w:r>
      <w:r w:rsidRPr="0002275A">
        <w:rPr>
          <w:sz w:val="24"/>
          <w:szCs w:val="24"/>
        </w:rPr>
        <w:t xml:space="preserve"> approval of</w:t>
      </w:r>
      <w:r w:rsidRPr="00406A82" w:rsidR="00E35EC9">
        <w:rPr>
          <w:sz w:val="24"/>
          <w:szCs w:val="24"/>
        </w:rPr>
        <w:t xml:space="preserve">: </w:t>
      </w:r>
    </w:p>
    <w:p w:rsidR="00D23FB6" w:rsidP="00514E22" w14:paraId="3C2B3D66" w14:textId="7230D5F8">
      <w:pPr>
        <w:pStyle w:val="BodyText"/>
        <w:numPr>
          <w:ilvl w:val="0"/>
          <w:numId w:val="29"/>
        </w:numPr>
        <w:spacing w:before="0" w:after="240"/>
        <w:ind w:right="115"/>
        <w:rPr>
          <w:sz w:val="24"/>
          <w:szCs w:val="24"/>
        </w:rPr>
      </w:pPr>
      <w:r>
        <w:rPr>
          <w:sz w:val="24"/>
          <w:szCs w:val="24"/>
        </w:rPr>
        <w:t xml:space="preserve">the report </w:t>
      </w:r>
      <w:r w:rsidRPr="003E6C24" w:rsidR="00C02073">
        <w:rPr>
          <w:sz w:val="24"/>
          <w:szCs w:val="24"/>
        </w:rPr>
        <w:t>(BOIR)</w:t>
      </w:r>
      <w:r>
        <w:rPr>
          <w:sz w:val="24"/>
          <w:szCs w:val="24"/>
        </w:rPr>
        <w:t xml:space="preserve"> that will be used to collect beneficial ownership information, as required by the Beneficial Ownership Information Reporting Requirements final rule (the “final rule”) that was published on September 30, 2022,</w:t>
      </w:r>
      <w:r>
        <w:rPr>
          <w:rStyle w:val="FootnoteReference"/>
          <w:sz w:val="24"/>
          <w:szCs w:val="24"/>
        </w:rPr>
        <w:footnoteReference w:id="4"/>
      </w:r>
      <w:r w:rsidRPr="003E6C24" w:rsidR="4899103F">
        <w:rPr>
          <w:sz w:val="24"/>
          <w:szCs w:val="24"/>
        </w:rPr>
        <w:t xml:space="preserve"> which implements the information collection required by 31 U.S.C. 5336</w:t>
      </w:r>
      <w:r>
        <w:rPr>
          <w:sz w:val="24"/>
          <w:szCs w:val="24"/>
        </w:rPr>
        <w:t>; and</w:t>
      </w:r>
    </w:p>
    <w:p w:rsidR="00C8322F" w:rsidRPr="00D23FB6" w:rsidP="00514E22" w14:paraId="0BDF37B2" w14:textId="1FC2CAEF">
      <w:pPr>
        <w:pStyle w:val="BodyText"/>
        <w:numPr>
          <w:ilvl w:val="0"/>
          <w:numId w:val="29"/>
        </w:numPr>
        <w:spacing w:before="0" w:after="240"/>
        <w:ind w:right="115"/>
        <w:rPr>
          <w:sz w:val="24"/>
          <w:szCs w:val="24"/>
        </w:rPr>
      </w:pPr>
      <w:r w:rsidRPr="00D23FB6">
        <w:rPr>
          <w:sz w:val="24"/>
          <w:szCs w:val="24"/>
        </w:rPr>
        <w:t xml:space="preserve">the </w:t>
      </w:r>
      <w:r w:rsidRPr="00D23FB6" w:rsidR="0002275A">
        <w:rPr>
          <w:sz w:val="24"/>
          <w:szCs w:val="24"/>
        </w:rPr>
        <w:t xml:space="preserve">application </w:t>
      </w:r>
      <w:r w:rsidRPr="00D23FB6" w:rsidR="00C02073">
        <w:rPr>
          <w:sz w:val="24"/>
          <w:szCs w:val="24"/>
        </w:rPr>
        <w:t xml:space="preserve">(the “FinCEN identifier application”) </w:t>
      </w:r>
      <w:r w:rsidRPr="00D23FB6" w:rsidR="0002275A">
        <w:rPr>
          <w:sz w:val="24"/>
          <w:szCs w:val="24"/>
        </w:rPr>
        <w:t xml:space="preserve">that will be used to </w:t>
      </w:r>
      <w:r w:rsidR="00D23FB6">
        <w:rPr>
          <w:sz w:val="24"/>
          <w:szCs w:val="24"/>
        </w:rPr>
        <w:t xml:space="preserve">collect information from individuals </w:t>
      </w:r>
      <w:r w:rsidRPr="00D23FB6" w:rsidR="00E424EC">
        <w:rPr>
          <w:sz w:val="24"/>
          <w:szCs w:val="24"/>
        </w:rPr>
        <w:t>that seek to obtain</w:t>
      </w:r>
      <w:r w:rsidR="00D23FB6">
        <w:rPr>
          <w:sz w:val="24"/>
          <w:szCs w:val="24"/>
        </w:rPr>
        <w:t xml:space="preserve"> a FinCEN identifier, in accordance with the final rule. </w:t>
      </w:r>
      <w:r w:rsidRPr="00D23FB6" w:rsidR="00E424EC">
        <w:rPr>
          <w:sz w:val="24"/>
          <w:szCs w:val="24"/>
        </w:rPr>
        <w:t xml:space="preserve"> </w:t>
      </w:r>
    </w:p>
    <w:p w:rsidR="00852CEA" w:rsidP="00514E22" w14:paraId="37D959B0" w14:textId="07AF5AB8">
      <w:pPr>
        <w:pStyle w:val="BodyText"/>
        <w:spacing w:before="0" w:after="240"/>
        <w:ind w:right="115" w:firstLine="720"/>
        <w:rPr>
          <w:sz w:val="24"/>
          <w:szCs w:val="24"/>
        </w:rPr>
      </w:pPr>
      <w:r w:rsidRPr="77052840">
        <w:rPr>
          <w:sz w:val="24"/>
          <w:szCs w:val="24"/>
        </w:rPr>
        <w:t>On January 17, 2023, FinCEN issue</w:t>
      </w:r>
      <w:r w:rsidRPr="77052840">
        <w:rPr>
          <w:sz w:val="24"/>
          <w:szCs w:val="24"/>
        </w:rPr>
        <w:t>d a 60-day notice</w:t>
      </w:r>
      <w:r w:rsidRPr="77052840" w:rsidR="09869D91">
        <w:rPr>
          <w:sz w:val="24"/>
          <w:szCs w:val="24"/>
        </w:rPr>
        <w:t>,</w:t>
      </w:r>
      <w:r w:rsidRPr="77052840">
        <w:rPr>
          <w:sz w:val="24"/>
          <w:szCs w:val="24"/>
        </w:rPr>
        <w:t xml:space="preserve"> </w:t>
      </w:r>
      <w:r w:rsidRPr="77052840" w:rsidR="166013F3">
        <w:rPr>
          <w:sz w:val="24"/>
          <w:szCs w:val="24"/>
        </w:rPr>
        <w:t>consistent</w:t>
      </w:r>
      <w:r w:rsidRPr="77052840">
        <w:rPr>
          <w:sz w:val="24"/>
          <w:szCs w:val="24"/>
        </w:rPr>
        <w:t xml:space="preserve"> with the requirements of the Paperwork Reduction Act </w:t>
      </w:r>
      <w:r w:rsidR="009A65D8">
        <w:rPr>
          <w:sz w:val="24"/>
          <w:szCs w:val="24"/>
        </w:rPr>
        <w:t xml:space="preserve">of 1995 </w:t>
      </w:r>
      <w:r w:rsidRPr="77052840">
        <w:rPr>
          <w:sz w:val="24"/>
          <w:szCs w:val="24"/>
        </w:rPr>
        <w:t>(PRA)</w:t>
      </w:r>
      <w:r w:rsidRPr="77052840" w:rsidR="47D749EC">
        <w:rPr>
          <w:sz w:val="24"/>
          <w:szCs w:val="24"/>
        </w:rPr>
        <w:t>,</w:t>
      </w:r>
      <w:r w:rsidRPr="77052840">
        <w:rPr>
          <w:sz w:val="24"/>
          <w:szCs w:val="24"/>
        </w:rPr>
        <w:t xml:space="preserve"> </w:t>
      </w:r>
      <w:r w:rsidRPr="77052840" w:rsidR="3A59A2E4">
        <w:rPr>
          <w:sz w:val="24"/>
          <w:szCs w:val="24"/>
        </w:rPr>
        <w:t>w</w:t>
      </w:r>
      <w:r w:rsidRPr="77052840" w:rsidR="20ED3C56">
        <w:rPr>
          <w:sz w:val="24"/>
          <w:szCs w:val="24"/>
        </w:rPr>
        <w:t xml:space="preserve">hich </w:t>
      </w:r>
      <w:r w:rsidRPr="77052840" w:rsidR="3E9A453D">
        <w:rPr>
          <w:sz w:val="24"/>
          <w:szCs w:val="24"/>
        </w:rPr>
        <w:t>proposed the BOIR for public comment</w:t>
      </w:r>
      <w:r w:rsidR="00E912E7">
        <w:rPr>
          <w:sz w:val="24"/>
          <w:szCs w:val="24"/>
        </w:rPr>
        <w:t xml:space="preserve"> </w:t>
      </w:r>
      <w:r w:rsidRPr="77052840" w:rsidR="00E912E7">
        <w:rPr>
          <w:sz w:val="24"/>
          <w:szCs w:val="24"/>
        </w:rPr>
        <w:t xml:space="preserve">(the </w:t>
      </w:r>
      <w:r w:rsidR="00E912E7">
        <w:rPr>
          <w:sz w:val="24"/>
          <w:szCs w:val="24"/>
        </w:rPr>
        <w:t>“</w:t>
      </w:r>
      <w:r w:rsidRPr="77052840" w:rsidR="00E912E7">
        <w:rPr>
          <w:sz w:val="24"/>
          <w:szCs w:val="24"/>
        </w:rPr>
        <w:t>BOIR Notice</w:t>
      </w:r>
      <w:r w:rsidR="00E912E7">
        <w:rPr>
          <w:sz w:val="24"/>
          <w:szCs w:val="24"/>
        </w:rPr>
        <w:t>”</w:t>
      </w:r>
      <w:r w:rsidRPr="77052840" w:rsidR="00E912E7">
        <w:rPr>
          <w:sz w:val="24"/>
          <w:szCs w:val="24"/>
        </w:rPr>
        <w:t>)</w:t>
      </w:r>
      <w:r w:rsidRPr="77052840" w:rsidR="3E9A453D">
        <w:rPr>
          <w:sz w:val="24"/>
          <w:szCs w:val="24"/>
        </w:rPr>
        <w:t>.</w:t>
      </w:r>
      <w:r w:rsidRPr="77052840">
        <w:rPr>
          <w:sz w:val="24"/>
          <w:szCs w:val="24"/>
        </w:rPr>
        <w:t xml:space="preserve">  The comment period for the </w:t>
      </w:r>
      <w:r w:rsidRPr="77052840" w:rsidR="1AEB769B">
        <w:rPr>
          <w:sz w:val="24"/>
          <w:szCs w:val="24"/>
        </w:rPr>
        <w:t>BOIR</w:t>
      </w:r>
      <w:r w:rsidR="00034865">
        <w:rPr>
          <w:sz w:val="24"/>
          <w:szCs w:val="24"/>
        </w:rPr>
        <w:t xml:space="preserve"> </w:t>
      </w:r>
      <w:r w:rsidR="001219DE">
        <w:rPr>
          <w:sz w:val="24"/>
          <w:szCs w:val="24"/>
        </w:rPr>
        <w:t>Notice</w:t>
      </w:r>
      <w:r w:rsidR="00034865">
        <w:rPr>
          <w:sz w:val="24"/>
          <w:szCs w:val="24"/>
        </w:rPr>
        <w:t xml:space="preserve"> </w:t>
      </w:r>
      <w:r w:rsidRPr="77052840" w:rsidR="00034865">
        <w:rPr>
          <w:sz w:val="24"/>
          <w:szCs w:val="24"/>
        </w:rPr>
        <w:t>closed on March 20, 2023</w:t>
      </w:r>
      <w:r w:rsidR="00AE551A">
        <w:rPr>
          <w:sz w:val="24"/>
          <w:szCs w:val="24"/>
        </w:rPr>
        <w:t>.</w:t>
      </w:r>
      <w:r>
        <w:rPr>
          <w:rStyle w:val="FootnoteReference"/>
          <w:sz w:val="24"/>
          <w:szCs w:val="24"/>
        </w:rPr>
        <w:footnoteReference w:id="5"/>
      </w:r>
      <w:r w:rsidRPr="77052840" w:rsidR="740726E5">
        <w:rPr>
          <w:sz w:val="24"/>
          <w:szCs w:val="24"/>
        </w:rPr>
        <w:t xml:space="preserve">  </w:t>
      </w:r>
      <w:r w:rsidRPr="77052840">
        <w:rPr>
          <w:sz w:val="24"/>
          <w:szCs w:val="24"/>
        </w:rPr>
        <w:t xml:space="preserve">On January 17, 2023, FinCEN </w:t>
      </w:r>
      <w:r w:rsidR="00AE32A2">
        <w:rPr>
          <w:sz w:val="24"/>
          <w:szCs w:val="24"/>
        </w:rPr>
        <w:t>also</w:t>
      </w:r>
      <w:r w:rsidRPr="77052840" w:rsidR="44E4489E">
        <w:rPr>
          <w:sz w:val="24"/>
          <w:szCs w:val="24"/>
        </w:rPr>
        <w:t xml:space="preserve"> </w:t>
      </w:r>
      <w:r w:rsidRPr="77052840">
        <w:rPr>
          <w:sz w:val="24"/>
          <w:szCs w:val="24"/>
        </w:rPr>
        <w:t>propose</w:t>
      </w:r>
      <w:r w:rsidR="005F5233">
        <w:rPr>
          <w:sz w:val="24"/>
          <w:szCs w:val="24"/>
        </w:rPr>
        <w:t>d</w:t>
      </w:r>
      <w:r w:rsidRPr="77052840" w:rsidR="5D4440F1">
        <w:rPr>
          <w:sz w:val="24"/>
          <w:szCs w:val="24"/>
        </w:rPr>
        <w:t xml:space="preserve"> the</w:t>
      </w:r>
      <w:r w:rsidRPr="77052840">
        <w:rPr>
          <w:sz w:val="24"/>
          <w:szCs w:val="24"/>
        </w:rPr>
        <w:t xml:space="preserve"> </w:t>
      </w:r>
      <w:r w:rsidRPr="77052840" w:rsidR="740726E5">
        <w:rPr>
          <w:sz w:val="24"/>
          <w:szCs w:val="24"/>
        </w:rPr>
        <w:t xml:space="preserve">FinCEN identifier application </w:t>
      </w:r>
      <w:r w:rsidRPr="77052840">
        <w:rPr>
          <w:sz w:val="24"/>
          <w:szCs w:val="24"/>
        </w:rPr>
        <w:t>for public comment</w:t>
      </w:r>
      <w:r w:rsidR="00E912E7">
        <w:rPr>
          <w:sz w:val="24"/>
          <w:szCs w:val="24"/>
        </w:rPr>
        <w:t xml:space="preserve"> </w:t>
      </w:r>
      <w:r w:rsidRPr="77052840" w:rsidR="00E912E7">
        <w:rPr>
          <w:sz w:val="24"/>
          <w:szCs w:val="24"/>
        </w:rPr>
        <w:t xml:space="preserve">(the </w:t>
      </w:r>
      <w:r w:rsidR="00E912E7">
        <w:rPr>
          <w:sz w:val="24"/>
          <w:szCs w:val="24"/>
        </w:rPr>
        <w:t>“</w:t>
      </w:r>
      <w:r w:rsidRPr="77052840" w:rsidR="00E912E7">
        <w:rPr>
          <w:sz w:val="24"/>
          <w:szCs w:val="24"/>
        </w:rPr>
        <w:t>FinCEN Identifier Notice</w:t>
      </w:r>
      <w:r w:rsidR="00E912E7">
        <w:rPr>
          <w:sz w:val="24"/>
          <w:szCs w:val="24"/>
        </w:rPr>
        <w:t>”</w:t>
      </w:r>
      <w:r w:rsidRPr="77052840" w:rsidR="00E912E7">
        <w:rPr>
          <w:sz w:val="24"/>
          <w:szCs w:val="24"/>
        </w:rPr>
        <w:t>)</w:t>
      </w:r>
      <w:r w:rsidRPr="77052840">
        <w:rPr>
          <w:sz w:val="24"/>
          <w:szCs w:val="24"/>
        </w:rPr>
        <w:t xml:space="preserve">.  The </w:t>
      </w:r>
      <w:r w:rsidRPr="77052840" w:rsidR="740726E5">
        <w:rPr>
          <w:sz w:val="24"/>
          <w:szCs w:val="24"/>
        </w:rPr>
        <w:t xml:space="preserve">comment period </w:t>
      </w:r>
      <w:r w:rsidRPr="77052840">
        <w:rPr>
          <w:sz w:val="24"/>
          <w:szCs w:val="24"/>
        </w:rPr>
        <w:t xml:space="preserve">for the FinCEN Identifier Notice </w:t>
      </w:r>
      <w:r w:rsidRPr="77052840" w:rsidR="740726E5">
        <w:rPr>
          <w:sz w:val="24"/>
          <w:szCs w:val="24"/>
        </w:rPr>
        <w:t>closed on March 20, 2023.</w:t>
      </w:r>
      <w:r>
        <w:rPr>
          <w:rStyle w:val="FootnoteReference"/>
          <w:sz w:val="24"/>
          <w:szCs w:val="24"/>
        </w:rPr>
        <w:footnoteReference w:id="6"/>
      </w:r>
      <w:r w:rsidRPr="77052840" w:rsidR="740726E5">
        <w:rPr>
          <w:sz w:val="24"/>
          <w:szCs w:val="24"/>
        </w:rPr>
        <w:t xml:space="preserve">  </w:t>
      </w:r>
    </w:p>
    <w:p w:rsidR="00970EF9" w:rsidP="00514E22" w14:paraId="49964FBD" w14:textId="2BF705E1">
      <w:pPr>
        <w:pStyle w:val="BodyText"/>
        <w:spacing w:before="0" w:after="240"/>
        <w:ind w:right="115" w:firstLine="720"/>
        <w:rPr>
          <w:sz w:val="24"/>
          <w:szCs w:val="24"/>
        </w:rPr>
      </w:pPr>
      <w:r w:rsidRPr="00C8322F">
        <w:rPr>
          <w:sz w:val="24"/>
          <w:szCs w:val="24"/>
        </w:rPr>
        <w:t xml:space="preserve">This statement </w:t>
      </w:r>
      <w:r w:rsidRPr="00C8322F" w:rsidR="55D174E0">
        <w:rPr>
          <w:sz w:val="24"/>
          <w:szCs w:val="24"/>
        </w:rPr>
        <w:t xml:space="preserve">identifies </w:t>
      </w:r>
      <w:r w:rsidRPr="00C8322F">
        <w:rPr>
          <w:sz w:val="24"/>
          <w:szCs w:val="24"/>
        </w:rPr>
        <w:t xml:space="preserve">the </w:t>
      </w:r>
      <w:r w:rsidRPr="00C8322F">
        <w:rPr>
          <w:sz w:val="24"/>
          <w:szCs w:val="24"/>
        </w:rPr>
        <w:t>estimated burden hours for th</w:t>
      </w:r>
      <w:r w:rsidRPr="00C8322F" w:rsidR="55D174E0">
        <w:rPr>
          <w:sz w:val="24"/>
          <w:szCs w:val="24"/>
        </w:rPr>
        <w:t>e</w:t>
      </w:r>
      <w:r w:rsidRPr="00C8322F">
        <w:rPr>
          <w:sz w:val="24"/>
          <w:szCs w:val="24"/>
        </w:rPr>
        <w:t xml:space="preserve"> OMB control number</w:t>
      </w:r>
      <w:r w:rsidRPr="00C8322F" w:rsidR="55D174E0">
        <w:rPr>
          <w:sz w:val="24"/>
          <w:szCs w:val="24"/>
        </w:rPr>
        <w:t xml:space="preserve"> associated with</w:t>
      </w:r>
      <w:r w:rsidRPr="5CA521F6" w:rsidR="4D9A990B">
        <w:rPr>
          <w:sz w:val="24"/>
          <w:szCs w:val="24"/>
        </w:rPr>
        <w:t xml:space="preserve"> the </w:t>
      </w:r>
      <w:r w:rsidRPr="5CA521F6" w:rsidR="20E80275">
        <w:rPr>
          <w:sz w:val="24"/>
          <w:szCs w:val="24"/>
        </w:rPr>
        <w:t xml:space="preserve">final rule.  </w:t>
      </w:r>
      <w:r w:rsidRPr="00C8322F" w:rsidR="55D174E0">
        <w:rPr>
          <w:sz w:val="24"/>
          <w:szCs w:val="24"/>
        </w:rPr>
        <w:t xml:space="preserve">The </w:t>
      </w:r>
      <w:r w:rsidRPr="00C8322F" w:rsidR="4909EF54">
        <w:rPr>
          <w:sz w:val="24"/>
          <w:szCs w:val="24"/>
        </w:rPr>
        <w:t xml:space="preserve">final rule </w:t>
      </w:r>
      <w:r w:rsidRPr="00C8322F" w:rsidR="30368153">
        <w:rPr>
          <w:sz w:val="24"/>
          <w:szCs w:val="24"/>
        </w:rPr>
        <w:t xml:space="preserve">applies to </w:t>
      </w:r>
      <w:r w:rsidRPr="00C8322F" w:rsidR="54AA43AE">
        <w:rPr>
          <w:sz w:val="24"/>
          <w:szCs w:val="24"/>
        </w:rPr>
        <w:t>certain</w:t>
      </w:r>
      <w:r w:rsidRPr="00A33053" w:rsidR="30368153">
        <w:rPr>
          <w:sz w:val="24"/>
          <w:szCs w:val="24"/>
        </w:rPr>
        <w:t xml:space="preserve"> </w:t>
      </w:r>
      <w:r w:rsidRPr="00F967C8" w:rsidR="4E66A84E">
        <w:rPr>
          <w:sz w:val="24"/>
          <w:szCs w:val="24"/>
        </w:rPr>
        <w:t xml:space="preserve">domestic and foreign </w:t>
      </w:r>
      <w:r w:rsidR="32C9A4C9">
        <w:rPr>
          <w:sz w:val="24"/>
          <w:szCs w:val="24"/>
        </w:rPr>
        <w:t xml:space="preserve">legal </w:t>
      </w:r>
      <w:r w:rsidRPr="00F967C8" w:rsidR="4E66A84E">
        <w:rPr>
          <w:sz w:val="24"/>
          <w:szCs w:val="24"/>
        </w:rPr>
        <w:t>entities</w:t>
      </w:r>
      <w:r w:rsidRPr="00F967C8" w:rsidR="30368153">
        <w:rPr>
          <w:sz w:val="24"/>
          <w:szCs w:val="24"/>
        </w:rPr>
        <w:t xml:space="preserve"> that the </w:t>
      </w:r>
      <w:r w:rsidR="4909EF54">
        <w:rPr>
          <w:sz w:val="24"/>
          <w:szCs w:val="24"/>
        </w:rPr>
        <w:t>final rule</w:t>
      </w:r>
      <w:r w:rsidRPr="00F967C8" w:rsidR="30368153">
        <w:rPr>
          <w:sz w:val="24"/>
          <w:szCs w:val="24"/>
        </w:rPr>
        <w:t xml:space="preserve">, like the CTA, calls </w:t>
      </w:r>
      <w:r w:rsidRPr="00F967C8" w:rsidR="4E66A84E">
        <w:rPr>
          <w:sz w:val="24"/>
          <w:szCs w:val="24"/>
        </w:rPr>
        <w:t>“reporting companies</w:t>
      </w:r>
      <w:r w:rsidRPr="00F967C8" w:rsidR="30368153">
        <w:rPr>
          <w:sz w:val="24"/>
          <w:szCs w:val="24"/>
        </w:rPr>
        <w:t xml:space="preserve">.”  Under the </w:t>
      </w:r>
      <w:r w:rsidR="06FFD667">
        <w:rPr>
          <w:sz w:val="24"/>
          <w:szCs w:val="24"/>
        </w:rPr>
        <w:t>final rule</w:t>
      </w:r>
      <w:r w:rsidRPr="00F967C8" w:rsidR="30368153">
        <w:rPr>
          <w:sz w:val="24"/>
          <w:szCs w:val="24"/>
        </w:rPr>
        <w:t>, reporting companie</w:t>
      </w:r>
      <w:r w:rsidR="30368153">
        <w:rPr>
          <w:sz w:val="24"/>
          <w:szCs w:val="24"/>
        </w:rPr>
        <w:t xml:space="preserve">s include all </w:t>
      </w:r>
      <w:r w:rsidR="73F9DEEA">
        <w:rPr>
          <w:sz w:val="24"/>
          <w:szCs w:val="24"/>
        </w:rPr>
        <w:t xml:space="preserve">corporations, limited liability companies, and other </w:t>
      </w:r>
      <w:r w:rsidR="44A9D61B">
        <w:rPr>
          <w:sz w:val="24"/>
          <w:szCs w:val="24"/>
        </w:rPr>
        <w:t xml:space="preserve">similar </w:t>
      </w:r>
      <w:r w:rsidR="73F9DEEA">
        <w:rPr>
          <w:sz w:val="24"/>
          <w:szCs w:val="24"/>
        </w:rPr>
        <w:t xml:space="preserve">entities created by the filing of a document with a secretary of state or similar office of a state, territory, or Indian Tribe, subject to certain specific exemptions.  </w:t>
      </w:r>
      <w:r w:rsidR="44A9D61B">
        <w:rPr>
          <w:sz w:val="24"/>
          <w:szCs w:val="24"/>
        </w:rPr>
        <w:t xml:space="preserve">Reporting companies </w:t>
      </w:r>
      <w:r w:rsidR="73F9DEEA">
        <w:rPr>
          <w:sz w:val="24"/>
          <w:szCs w:val="24"/>
        </w:rPr>
        <w:t xml:space="preserve">also include all </w:t>
      </w:r>
      <w:r w:rsidRPr="00AE5ACD" w:rsidR="44A9D61B">
        <w:rPr>
          <w:sz w:val="24"/>
          <w:szCs w:val="24"/>
        </w:rPr>
        <w:t>corporation</w:t>
      </w:r>
      <w:r w:rsidR="44A9D61B">
        <w:rPr>
          <w:sz w:val="24"/>
          <w:szCs w:val="24"/>
        </w:rPr>
        <w:t>s</w:t>
      </w:r>
      <w:r w:rsidRPr="00AE5ACD" w:rsidR="44A9D61B">
        <w:rPr>
          <w:sz w:val="24"/>
          <w:szCs w:val="24"/>
        </w:rPr>
        <w:t>, limited liabil</w:t>
      </w:r>
      <w:r w:rsidR="44A9D61B">
        <w:rPr>
          <w:sz w:val="24"/>
          <w:szCs w:val="24"/>
        </w:rPr>
        <w:t>ity companies</w:t>
      </w:r>
      <w:r w:rsidRPr="00AE5ACD" w:rsidR="44A9D61B">
        <w:rPr>
          <w:sz w:val="24"/>
          <w:szCs w:val="24"/>
        </w:rPr>
        <w:t xml:space="preserve">, </w:t>
      </w:r>
      <w:r w:rsidR="1BFB2115">
        <w:rPr>
          <w:sz w:val="24"/>
          <w:szCs w:val="24"/>
        </w:rPr>
        <w:t>and</w:t>
      </w:r>
      <w:r w:rsidRPr="00AE5ACD" w:rsidR="44A9D61B">
        <w:rPr>
          <w:sz w:val="24"/>
          <w:szCs w:val="24"/>
        </w:rPr>
        <w:t xml:space="preserve"> other similar </w:t>
      </w:r>
      <w:r w:rsidR="73F9DEEA">
        <w:rPr>
          <w:sz w:val="24"/>
          <w:szCs w:val="24"/>
        </w:rPr>
        <w:t xml:space="preserve">entities </w:t>
      </w:r>
      <w:r w:rsidR="44A9D61B">
        <w:rPr>
          <w:sz w:val="24"/>
          <w:szCs w:val="24"/>
        </w:rPr>
        <w:t xml:space="preserve">formed under the law of a foreign country </w:t>
      </w:r>
      <w:r w:rsidR="73F9DEEA">
        <w:rPr>
          <w:sz w:val="24"/>
          <w:szCs w:val="24"/>
        </w:rPr>
        <w:t xml:space="preserve">that are registered to do business </w:t>
      </w:r>
      <w:r w:rsidR="44A9D61B">
        <w:rPr>
          <w:sz w:val="24"/>
          <w:szCs w:val="24"/>
        </w:rPr>
        <w:t xml:space="preserve">in the United States by the filing of a document </w:t>
      </w:r>
      <w:r w:rsidR="73F9DEEA">
        <w:rPr>
          <w:sz w:val="24"/>
          <w:szCs w:val="24"/>
        </w:rPr>
        <w:t>with a secretary of state or similar office, subject to the same exemptions.</w:t>
      </w:r>
      <w:r>
        <w:rPr>
          <w:rStyle w:val="FootnoteReference"/>
          <w:sz w:val="24"/>
          <w:szCs w:val="24"/>
        </w:rPr>
        <w:footnoteReference w:id="7"/>
      </w:r>
    </w:p>
    <w:p w:rsidR="006D307A" w:rsidP="00514E22" w14:paraId="24BDE40D" w14:textId="79455EB3">
      <w:pPr>
        <w:pStyle w:val="BodyText"/>
        <w:spacing w:before="0" w:after="240"/>
        <w:ind w:right="115" w:firstLine="720"/>
        <w:rPr>
          <w:sz w:val="24"/>
          <w:szCs w:val="24"/>
        </w:rPr>
      </w:pPr>
      <w:r>
        <w:rPr>
          <w:sz w:val="24"/>
          <w:szCs w:val="24"/>
        </w:rPr>
        <w:t>T</w:t>
      </w:r>
      <w:r w:rsidR="00970EF9">
        <w:rPr>
          <w:sz w:val="24"/>
          <w:szCs w:val="24"/>
        </w:rPr>
        <w:t xml:space="preserve">he </w:t>
      </w:r>
      <w:r w:rsidR="00C77DD6">
        <w:rPr>
          <w:sz w:val="24"/>
          <w:szCs w:val="24"/>
        </w:rPr>
        <w:t xml:space="preserve">final </w:t>
      </w:r>
      <w:r w:rsidR="004A537E">
        <w:rPr>
          <w:sz w:val="24"/>
          <w:szCs w:val="24"/>
        </w:rPr>
        <w:t xml:space="preserve">rule </w:t>
      </w:r>
      <w:r>
        <w:rPr>
          <w:sz w:val="24"/>
          <w:szCs w:val="24"/>
        </w:rPr>
        <w:t>require</w:t>
      </w:r>
      <w:r w:rsidR="001561AD">
        <w:rPr>
          <w:sz w:val="24"/>
          <w:szCs w:val="24"/>
        </w:rPr>
        <w:t>s</w:t>
      </w:r>
      <w:r>
        <w:rPr>
          <w:sz w:val="24"/>
          <w:szCs w:val="24"/>
        </w:rPr>
        <w:t xml:space="preserve"> </w:t>
      </w:r>
      <w:r w:rsidR="00970EF9">
        <w:rPr>
          <w:sz w:val="24"/>
          <w:szCs w:val="24"/>
        </w:rPr>
        <w:t xml:space="preserve">reporting companies </w:t>
      </w:r>
      <w:r>
        <w:rPr>
          <w:sz w:val="24"/>
          <w:szCs w:val="24"/>
        </w:rPr>
        <w:t xml:space="preserve">to </w:t>
      </w:r>
      <w:r w:rsidRPr="00B9169E" w:rsidR="009931B0">
        <w:rPr>
          <w:sz w:val="24"/>
          <w:szCs w:val="24"/>
        </w:rPr>
        <w:t xml:space="preserve">report </w:t>
      </w:r>
      <w:r w:rsidR="00176B1D">
        <w:rPr>
          <w:sz w:val="24"/>
          <w:szCs w:val="24"/>
        </w:rPr>
        <w:t xml:space="preserve">to FinCEN information </w:t>
      </w:r>
      <w:r w:rsidR="009B04F7">
        <w:rPr>
          <w:sz w:val="24"/>
          <w:szCs w:val="24"/>
        </w:rPr>
        <w:t xml:space="preserve">identifying themselves </w:t>
      </w:r>
      <w:r w:rsidR="006902E1">
        <w:rPr>
          <w:sz w:val="24"/>
          <w:szCs w:val="24"/>
        </w:rPr>
        <w:t>and</w:t>
      </w:r>
      <w:r w:rsidR="00176B1D">
        <w:rPr>
          <w:sz w:val="24"/>
          <w:szCs w:val="24"/>
        </w:rPr>
        <w:t xml:space="preserve"> specific individuals, namely</w:t>
      </w:r>
      <w:r w:rsidR="00E60890">
        <w:rPr>
          <w:sz w:val="24"/>
          <w:szCs w:val="24"/>
        </w:rPr>
        <w:t>:</w:t>
      </w:r>
      <w:r w:rsidR="00176B1D">
        <w:rPr>
          <w:sz w:val="24"/>
          <w:szCs w:val="24"/>
        </w:rPr>
        <w:t xml:space="preserve"> </w:t>
      </w:r>
      <w:r w:rsidR="00AE5ACD">
        <w:rPr>
          <w:sz w:val="24"/>
          <w:szCs w:val="24"/>
        </w:rPr>
        <w:t>any</w:t>
      </w:r>
      <w:r w:rsidR="00176B1D">
        <w:rPr>
          <w:sz w:val="24"/>
          <w:szCs w:val="24"/>
        </w:rPr>
        <w:t xml:space="preserve"> </w:t>
      </w:r>
      <w:r w:rsidR="00106204">
        <w:rPr>
          <w:sz w:val="24"/>
          <w:szCs w:val="24"/>
        </w:rPr>
        <w:t>individual</w:t>
      </w:r>
      <w:r w:rsidRPr="00BC7544" w:rsidR="00106204">
        <w:rPr>
          <w:sz w:val="24"/>
          <w:szCs w:val="24"/>
        </w:rPr>
        <w:t xml:space="preserve"> </w:t>
      </w:r>
      <w:r w:rsidRPr="00BD14B4" w:rsidR="00106204">
        <w:rPr>
          <w:sz w:val="24"/>
          <w:szCs w:val="24"/>
        </w:rPr>
        <w:t>who directly or indirectly exercise</w:t>
      </w:r>
      <w:r w:rsidR="00AE5ACD">
        <w:rPr>
          <w:sz w:val="24"/>
          <w:szCs w:val="24"/>
        </w:rPr>
        <w:t>s</w:t>
      </w:r>
      <w:r w:rsidRPr="00BD14B4" w:rsidR="00106204">
        <w:rPr>
          <w:sz w:val="24"/>
          <w:szCs w:val="24"/>
        </w:rPr>
        <w:t xml:space="preserve"> substantial control over </w:t>
      </w:r>
      <w:r w:rsidR="00106204">
        <w:rPr>
          <w:sz w:val="24"/>
          <w:szCs w:val="24"/>
        </w:rPr>
        <w:t>the reporting company</w:t>
      </w:r>
      <w:r w:rsidR="00176B1D">
        <w:rPr>
          <w:sz w:val="24"/>
          <w:szCs w:val="24"/>
        </w:rPr>
        <w:t xml:space="preserve">, or </w:t>
      </w:r>
      <w:r w:rsidR="00106204">
        <w:rPr>
          <w:sz w:val="24"/>
          <w:szCs w:val="24"/>
        </w:rPr>
        <w:t>who</w:t>
      </w:r>
      <w:r w:rsidRPr="00BD14B4" w:rsidR="00106204">
        <w:rPr>
          <w:sz w:val="24"/>
          <w:szCs w:val="24"/>
        </w:rPr>
        <w:t xml:space="preserve"> own</w:t>
      </w:r>
      <w:r w:rsidR="008A6AF4">
        <w:rPr>
          <w:sz w:val="24"/>
          <w:szCs w:val="24"/>
        </w:rPr>
        <w:t>s</w:t>
      </w:r>
      <w:r w:rsidRPr="00BD14B4" w:rsidR="00106204">
        <w:rPr>
          <w:sz w:val="24"/>
          <w:szCs w:val="24"/>
        </w:rPr>
        <w:t xml:space="preserve"> or control</w:t>
      </w:r>
      <w:r w:rsidR="008A6AF4">
        <w:rPr>
          <w:sz w:val="24"/>
          <w:szCs w:val="24"/>
        </w:rPr>
        <w:t>s</w:t>
      </w:r>
      <w:r w:rsidRPr="00BD14B4" w:rsidR="00106204">
        <w:rPr>
          <w:sz w:val="24"/>
          <w:szCs w:val="24"/>
        </w:rPr>
        <w:t xml:space="preserve"> 25 percent or more </w:t>
      </w:r>
      <w:r w:rsidR="00AE5ACD">
        <w:rPr>
          <w:sz w:val="24"/>
          <w:szCs w:val="24"/>
        </w:rPr>
        <w:t>o</w:t>
      </w:r>
      <w:r w:rsidRPr="00BD14B4" w:rsidR="00106204">
        <w:rPr>
          <w:sz w:val="24"/>
          <w:szCs w:val="24"/>
        </w:rPr>
        <w:t>f the entity’s ownership inte</w:t>
      </w:r>
      <w:r w:rsidR="00106204">
        <w:rPr>
          <w:sz w:val="24"/>
          <w:szCs w:val="24"/>
        </w:rPr>
        <w:t xml:space="preserve">rests (each a </w:t>
      </w:r>
      <w:r w:rsidR="00AE5ACD">
        <w:rPr>
          <w:sz w:val="24"/>
          <w:szCs w:val="24"/>
        </w:rPr>
        <w:t>“</w:t>
      </w:r>
      <w:r w:rsidR="00106204">
        <w:rPr>
          <w:sz w:val="24"/>
          <w:szCs w:val="24"/>
        </w:rPr>
        <w:t>beneficial owner</w:t>
      </w:r>
      <w:r w:rsidR="00AE5ACD">
        <w:rPr>
          <w:sz w:val="24"/>
          <w:szCs w:val="24"/>
        </w:rPr>
        <w:t>”</w:t>
      </w:r>
      <w:r w:rsidR="00106204">
        <w:rPr>
          <w:sz w:val="24"/>
          <w:szCs w:val="24"/>
        </w:rPr>
        <w:t>);</w:t>
      </w:r>
      <w:r w:rsidRPr="00BD14B4" w:rsidR="00106204">
        <w:rPr>
          <w:sz w:val="24"/>
          <w:szCs w:val="24"/>
        </w:rPr>
        <w:t xml:space="preserve"> </w:t>
      </w:r>
      <w:r w:rsidR="00106204">
        <w:rPr>
          <w:sz w:val="24"/>
          <w:szCs w:val="24"/>
        </w:rPr>
        <w:t>and</w:t>
      </w:r>
      <w:r w:rsidR="00970EF9">
        <w:rPr>
          <w:sz w:val="24"/>
          <w:szCs w:val="24"/>
        </w:rPr>
        <w:t xml:space="preserve"> </w:t>
      </w:r>
      <w:r w:rsidR="00C77DD6">
        <w:rPr>
          <w:sz w:val="24"/>
          <w:szCs w:val="24"/>
        </w:rPr>
        <w:t xml:space="preserve">the </w:t>
      </w:r>
      <w:r w:rsidRPr="00BD14B4" w:rsidR="00106204">
        <w:rPr>
          <w:sz w:val="24"/>
          <w:szCs w:val="24"/>
        </w:rPr>
        <w:t>individual who file</w:t>
      </w:r>
      <w:r w:rsidR="00106204">
        <w:rPr>
          <w:sz w:val="24"/>
          <w:szCs w:val="24"/>
        </w:rPr>
        <w:t>d</w:t>
      </w:r>
      <w:r w:rsidRPr="00BD14B4" w:rsidR="00106204">
        <w:rPr>
          <w:sz w:val="24"/>
          <w:szCs w:val="24"/>
        </w:rPr>
        <w:t xml:space="preserve"> the documents necessary to form or register </w:t>
      </w:r>
      <w:r w:rsidR="00106204">
        <w:rPr>
          <w:sz w:val="24"/>
          <w:szCs w:val="24"/>
        </w:rPr>
        <w:t>the reporting company</w:t>
      </w:r>
      <w:r w:rsidRPr="00BD14B4" w:rsidR="00106204">
        <w:rPr>
          <w:sz w:val="24"/>
          <w:szCs w:val="24"/>
        </w:rPr>
        <w:t xml:space="preserve"> with a secretary of state or similar office</w:t>
      </w:r>
      <w:r w:rsidR="00E60890">
        <w:rPr>
          <w:sz w:val="24"/>
          <w:szCs w:val="24"/>
        </w:rPr>
        <w:t xml:space="preserve">, </w:t>
      </w:r>
      <w:r w:rsidR="00C77DD6">
        <w:rPr>
          <w:sz w:val="24"/>
          <w:szCs w:val="24"/>
        </w:rPr>
        <w:t xml:space="preserve">as well as the individual (if more than one individual is involved in the filing) </w:t>
      </w:r>
      <w:r w:rsidR="00E60890">
        <w:rPr>
          <w:sz w:val="24"/>
          <w:szCs w:val="24"/>
        </w:rPr>
        <w:t xml:space="preserve">who </w:t>
      </w:r>
      <w:r w:rsidR="00C77DD6">
        <w:rPr>
          <w:sz w:val="24"/>
          <w:szCs w:val="24"/>
        </w:rPr>
        <w:t xml:space="preserve">is primarily responsible for </w:t>
      </w:r>
      <w:r w:rsidR="00E60890">
        <w:rPr>
          <w:sz w:val="24"/>
          <w:szCs w:val="24"/>
        </w:rPr>
        <w:t>direct</w:t>
      </w:r>
      <w:r w:rsidR="00C77DD6">
        <w:rPr>
          <w:sz w:val="24"/>
          <w:szCs w:val="24"/>
        </w:rPr>
        <w:t>ing</w:t>
      </w:r>
      <w:r w:rsidR="00E60890">
        <w:rPr>
          <w:sz w:val="24"/>
          <w:szCs w:val="24"/>
        </w:rPr>
        <w:t xml:space="preserve"> or controll</w:t>
      </w:r>
      <w:r w:rsidR="00C77DD6">
        <w:rPr>
          <w:sz w:val="24"/>
          <w:szCs w:val="24"/>
        </w:rPr>
        <w:t>ing</w:t>
      </w:r>
      <w:r w:rsidR="00E60890">
        <w:rPr>
          <w:sz w:val="24"/>
          <w:szCs w:val="24"/>
        </w:rPr>
        <w:t xml:space="preserve"> the filing</w:t>
      </w:r>
      <w:r w:rsidRPr="00874838" w:rsidR="00106204">
        <w:rPr>
          <w:sz w:val="24"/>
          <w:szCs w:val="24"/>
        </w:rPr>
        <w:t xml:space="preserve"> (</w:t>
      </w:r>
      <w:r w:rsidR="00176B1D">
        <w:rPr>
          <w:sz w:val="24"/>
          <w:szCs w:val="24"/>
        </w:rPr>
        <w:t xml:space="preserve">each a </w:t>
      </w:r>
      <w:r w:rsidR="00AE5ACD">
        <w:rPr>
          <w:sz w:val="24"/>
          <w:szCs w:val="24"/>
        </w:rPr>
        <w:t>“</w:t>
      </w:r>
      <w:r w:rsidRPr="00874838" w:rsidR="00106204">
        <w:rPr>
          <w:sz w:val="24"/>
          <w:szCs w:val="24"/>
        </w:rPr>
        <w:t>company applicant</w:t>
      </w:r>
      <w:r w:rsidR="00AE5ACD">
        <w:rPr>
          <w:sz w:val="24"/>
          <w:szCs w:val="24"/>
        </w:rPr>
        <w:t>”</w:t>
      </w:r>
      <w:r w:rsidRPr="00874838" w:rsidR="00106204">
        <w:rPr>
          <w:sz w:val="24"/>
          <w:szCs w:val="24"/>
        </w:rPr>
        <w:t>)</w:t>
      </w:r>
      <w:r w:rsidR="00106204">
        <w:rPr>
          <w:sz w:val="24"/>
          <w:szCs w:val="24"/>
        </w:rPr>
        <w:t>.</w:t>
      </w:r>
      <w:r>
        <w:rPr>
          <w:rStyle w:val="FootnoteReference"/>
          <w:sz w:val="24"/>
          <w:szCs w:val="24"/>
        </w:rPr>
        <w:footnoteReference w:id="8"/>
      </w:r>
      <w:r w:rsidRPr="003264BB" w:rsidR="00106204">
        <w:rPr>
          <w:sz w:val="24"/>
          <w:szCs w:val="24"/>
        </w:rPr>
        <w:t xml:space="preserve"> </w:t>
      </w:r>
      <w:r w:rsidR="00106204">
        <w:rPr>
          <w:sz w:val="24"/>
          <w:szCs w:val="24"/>
        </w:rPr>
        <w:t xml:space="preserve"> </w:t>
      </w:r>
      <w:r w:rsidR="00176B1D">
        <w:rPr>
          <w:sz w:val="24"/>
          <w:szCs w:val="24"/>
        </w:rPr>
        <w:t>Th</w:t>
      </w:r>
      <w:r w:rsidR="00767B9D">
        <w:rPr>
          <w:sz w:val="24"/>
          <w:szCs w:val="24"/>
        </w:rPr>
        <w:t xml:space="preserve">e reported </w:t>
      </w:r>
      <w:r w:rsidR="00176B1D">
        <w:rPr>
          <w:sz w:val="24"/>
          <w:szCs w:val="24"/>
        </w:rPr>
        <w:t xml:space="preserve">information is </w:t>
      </w:r>
      <w:r w:rsidR="00E60890">
        <w:rPr>
          <w:sz w:val="24"/>
          <w:szCs w:val="24"/>
        </w:rPr>
        <w:t xml:space="preserve">collectively </w:t>
      </w:r>
      <w:r w:rsidR="00176B1D">
        <w:rPr>
          <w:sz w:val="24"/>
          <w:szCs w:val="24"/>
        </w:rPr>
        <w:t xml:space="preserve">referred to in the </w:t>
      </w:r>
      <w:r w:rsidR="00050C29">
        <w:rPr>
          <w:sz w:val="24"/>
          <w:szCs w:val="24"/>
        </w:rPr>
        <w:t>final rule</w:t>
      </w:r>
      <w:r w:rsidR="00176B1D">
        <w:rPr>
          <w:sz w:val="24"/>
          <w:szCs w:val="24"/>
        </w:rPr>
        <w:t xml:space="preserve"> and here as </w:t>
      </w:r>
      <w:r w:rsidR="00172FD6">
        <w:rPr>
          <w:sz w:val="24"/>
          <w:szCs w:val="24"/>
        </w:rPr>
        <w:t>“</w:t>
      </w:r>
      <w:r w:rsidR="00176B1D">
        <w:rPr>
          <w:sz w:val="24"/>
          <w:szCs w:val="24"/>
        </w:rPr>
        <w:t>beneficial ownership information</w:t>
      </w:r>
      <w:r w:rsidR="00172FD6">
        <w:rPr>
          <w:sz w:val="24"/>
          <w:szCs w:val="24"/>
        </w:rPr>
        <w:t>”</w:t>
      </w:r>
      <w:r w:rsidR="00176B1D">
        <w:rPr>
          <w:sz w:val="24"/>
          <w:szCs w:val="24"/>
        </w:rPr>
        <w:t xml:space="preserve"> or BOI.  </w:t>
      </w:r>
      <w:r w:rsidR="004A537E">
        <w:rPr>
          <w:sz w:val="24"/>
          <w:szCs w:val="24"/>
        </w:rPr>
        <w:t xml:space="preserve">Under the </w:t>
      </w:r>
      <w:r w:rsidR="00DB63CE">
        <w:rPr>
          <w:sz w:val="24"/>
          <w:szCs w:val="24"/>
        </w:rPr>
        <w:t xml:space="preserve">final </w:t>
      </w:r>
      <w:r w:rsidR="004A537E">
        <w:rPr>
          <w:sz w:val="24"/>
          <w:szCs w:val="24"/>
        </w:rPr>
        <w:t>rule, r</w:t>
      </w:r>
      <w:r w:rsidRPr="003264BB" w:rsidR="006562A1">
        <w:rPr>
          <w:sz w:val="24"/>
          <w:szCs w:val="24"/>
        </w:rPr>
        <w:t xml:space="preserve">eporting companies </w:t>
      </w:r>
      <w:r w:rsidR="00F46145">
        <w:rPr>
          <w:sz w:val="24"/>
          <w:szCs w:val="24"/>
        </w:rPr>
        <w:t>created</w:t>
      </w:r>
      <w:r w:rsidRPr="003264BB" w:rsidR="00F46145">
        <w:rPr>
          <w:sz w:val="24"/>
          <w:szCs w:val="24"/>
        </w:rPr>
        <w:t xml:space="preserve"> </w:t>
      </w:r>
      <w:r w:rsidRPr="003264BB" w:rsidR="006562A1">
        <w:rPr>
          <w:sz w:val="24"/>
          <w:szCs w:val="24"/>
        </w:rPr>
        <w:t xml:space="preserve">or registered </w:t>
      </w:r>
      <w:r w:rsidR="004503E5">
        <w:rPr>
          <w:sz w:val="24"/>
          <w:szCs w:val="24"/>
        </w:rPr>
        <w:t xml:space="preserve">on or </w:t>
      </w:r>
      <w:r w:rsidRPr="003264BB" w:rsidR="006562A1">
        <w:rPr>
          <w:sz w:val="24"/>
          <w:szCs w:val="24"/>
        </w:rPr>
        <w:t xml:space="preserve">after the effective date </w:t>
      </w:r>
      <w:r w:rsidR="00172FD6">
        <w:rPr>
          <w:sz w:val="24"/>
          <w:szCs w:val="24"/>
        </w:rPr>
        <w:t xml:space="preserve">of the final rule </w:t>
      </w:r>
      <w:r w:rsidR="00137FED">
        <w:rPr>
          <w:sz w:val="24"/>
          <w:szCs w:val="24"/>
        </w:rPr>
        <w:t>are required</w:t>
      </w:r>
      <w:r w:rsidRPr="003264BB" w:rsidR="006562A1">
        <w:rPr>
          <w:sz w:val="24"/>
          <w:szCs w:val="24"/>
        </w:rPr>
        <w:t xml:space="preserve"> to </w:t>
      </w:r>
      <w:r w:rsidR="00AE5ACD">
        <w:rPr>
          <w:sz w:val="24"/>
          <w:szCs w:val="24"/>
        </w:rPr>
        <w:t>report</w:t>
      </w:r>
      <w:r w:rsidRPr="003264BB" w:rsidR="00AE5ACD">
        <w:rPr>
          <w:sz w:val="24"/>
          <w:szCs w:val="24"/>
        </w:rPr>
        <w:t xml:space="preserve"> </w:t>
      </w:r>
      <w:r w:rsidRPr="003264BB" w:rsidR="006562A1">
        <w:rPr>
          <w:sz w:val="24"/>
          <w:szCs w:val="24"/>
        </w:rPr>
        <w:t xml:space="preserve">BOI to FinCEN </w:t>
      </w:r>
      <w:r w:rsidR="006E505F">
        <w:rPr>
          <w:sz w:val="24"/>
          <w:szCs w:val="24"/>
        </w:rPr>
        <w:t xml:space="preserve">within </w:t>
      </w:r>
      <w:r w:rsidR="00DB63CE">
        <w:rPr>
          <w:sz w:val="24"/>
          <w:szCs w:val="24"/>
        </w:rPr>
        <w:t>30</w:t>
      </w:r>
      <w:r w:rsidR="006E505F">
        <w:rPr>
          <w:sz w:val="24"/>
          <w:szCs w:val="24"/>
        </w:rPr>
        <w:t xml:space="preserve"> days of </w:t>
      </w:r>
      <w:r w:rsidRPr="003264BB" w:rsidR="006562A1">
        <w:rPr>
          <w:sz w:val="24"/>
          <w:szCs w:val="24"/>
        </w:rPr>
        <w:t>formation</w:t>
      </w:r>
      <w:r w:rsidR="00FD39EA">
        <w:rPr>
          <w:sz w:val="24"/>
          <w:szCs w:val="24"/>
        </w:rPr>
        <w:t>.</w:t>
      </w:r>
      <w:r>
        <w:rPr>
          <w:rStyle w:val="FootnoteReference"/>
          <w:sz w:val="24"/>
          <w:szCs w:val="24"/>
        </w:rPr>
        <w:footnoteReference w:id="9"/>
      </w:r>
      <w:r w:rsidR="00FD39EA">
        <w:rPr>
          <w:sz w:val="24"/>
          <w:szCs w:val="24"/>
        </w:rPr>
        <w:t xml:space="preserve">  R</w:t>
      </w:r>
      <w:r w:rsidRPr="00BD14B4" w:rsidR="006562A1">
        <w:rPr>
          <w:sz w:val="24"/>
          <w:szCs w:val="24"/>
        </w:rPr>
        <w:t xml:space="preserve">eporting companies </w:t>
      </w:r>
      <w:r w:rsidRPr="00BD14B4" w:rsidR="00287C8D">
        <w:rPr>
          <w:sz w:val="24"/>
          <w:szCs w:val="24"/>
        </w:rPr>
        <w:t xml:space="preserve">already in existence </w:t>
      </w:r>
      <w:r w:rsidR="00AE5ACD">
        <w:rPr>
          <w:sz w:val="24"/>
          <w:szCs w:val="24"/>
        </w:rPr>
        <w:t>before</w:t>
      </w:r>
      <w:r w:rsidR="004A537E">
        <w:rPr>
          <w:sz w:val="24"/>
          <w:szCs w:val="24"/>
        </w:rPr>
        <w:t xml:space="preserve"> the effective date of the final rule </w:t>
      </w:r>
      <w:r w:rsidR="00DB63CE">
        <w:rPr>
          <w:sz w:val="24"/>
          <w:szCs w:val="24"/>
        </w:rPr>
        <w:t>will</w:t>
      </w:r>
      <w:r w:rsidRPr="00BD14B4" w:rsidR="006562A1">
        <w:rPr>
          <w:sz w:val="24"/>
          <w:szCs w:val="24"/>
        </w:rPr>
        <w:t xml:space="preserve"> have </w:t>
      </w:r>
      <w:r w:rsidR="006E505F">
        <w:rPr>
          <w:sz w:val="24"/>
          <w:szCs w:val="24"/>
        </w:rPr>
        <w:t xml:space="preserve">one year after the </w:t>
      </w:r>
      <w:r w:rsidR="00172FD6">
        <w:rPr>
          <w:sz w:val="24"/>
          <w:szCs w:val="24"/>
        </w:rPr>
        <w:t xml:space="preserve">effective date of the </w:t>
      </w:r>
      <w:r w:rsidR="006E505F">
        <w:rPr>
          <w:sz w:val="24"/>
          <w:szCs w:val="24"/>
        </w:rPr>
        <w:t xml:space="preserve">final rule to </w:t>
      </w:r>
      <w:r w:rsidR="00AE5ACD">
        <w:rPr>
          <w:sz w:val="24"/>
          <w:szCs w:val="24"/>
        </w:rPr>
        <w:t>report</w:t>
      </w:r>
      <w:r w:rsidRPr="003264BB" w:rsidR="00AE5ACD">
        <w:rPr>
          <w:sz w:val="24"/>
          <w:szCs w:val="24"/>
        </w:rPr>
        <w:t xml:space="preserve"> </w:t>
      </w:r>
      <w:r w:rsidR="00DB63CE">
        <w:rPr>
          <w:sz w:val="24"/>
          <w:szCs w:val="24"/>
        </w:rPr>
        <w:t>information about beneficial owners</w:t>
      </w:r>
      <w:r w:rsidR="00FD39EA">
        <w:rPr>
          <w:sz w:val="24"/>
          <w:szCs w:val="24"/>
        </w:rPr>
        <w:t>; they are not required to report information</w:t>
      </w:r>
      <w:r w:rsidR="00DB63CE">
        <w:rPr>
          <w:sz w:val="24"/>
          <w:szCs w:val="24"/>
        </w:rPr>
        <w:t xml:space="preserve"> about </w:t>
      </w:r>
      <w:r w:rsidR="00FD39EA">
        <w:rPr>
          <w:sz w:val="24"/>
          <w:szCs w:val="24"/>
        </w:rPr>
        <w:t xml:space="preserve">their </w:t>
      </w:r>
      <w:r w:rsidR="00DB63CE">
        <w:rPr>
          <w:sz w:val="24"/>
          <w:szCs w:val="24"/>
        </w:rPr>
        <w:t>company applicants.</w:t>
      </w:r>
      <w:r>
        <w:rPr>
          <w:rStyle w:val="FootnoteReference"/>
          <w:sz w:val="24"/>
          <w:szCs w:val="24"/>
        </w:rPr>
        <w:footnoteReference w:id="10"/>
      </w:r>
      <w:r w:rsidRPr="003264BB" w:rsidR="00D15598">
        <w:rPr>
          <w:sz w:val="24"/>
          <w:szCs w:val="24"/>
        </w:rPr>
        <w:t xml:space="preserve">  </w:t>
      </w:r>
      <w:r w:rsidR="00B46C47">
        <w:rPr>
          <w:sz w:val="24"/>
          <w:szCs w:val="24"/>
        </w:rPr>
        <w:t xml:space="preserve">Both existing and newly </w:t>
      </w:r>
      <w:r w:rsidR="00F46145">
        <w:rPr>
          <w:sz w:val="24"/>
          <w:szCs w:val="24"/>
        </w:rPr>
        <w:t xml:space="preserve">created </w:t>
      </w:r>
      <w:r w:rsidR="00FD39EA">
        <w:rPr>
          <w:sz w:val="24"/>
          <w:szCs w:val="24"/>
        </w:rPr>
        <w:t xml:space="preserve">or registered </w:t>
      </w:r>
      <w:r w:rsidR="00B46C47">
        <w:rPr>
          <w:sz w:val="24"/>
          <w:szCs w:val="24"/>
        </w:rPr>
        <w:t xml:space="preserve">reporting companies </w:t>
      </w:r>
      <w:r w:rsidR="00DB63CE">
        <w:rPr>
          <w:sz w:val="24"/>
          <w:szCs w:val="24"/>
        </w:rPr>
        <w:t>will</w:t>
      </w:r>
      <w:r w:rsidR="00B46C47">
        <w:rPr>
          <w:sz w:val="24"/>
          <w:szCs w:val="24"/>
        </w:rPr>
        <w:t xml:space="preserve"> have to report </w:t>
      </w:r>
      <w:r w:rsidR="004A537E">
        <w:rPr>
          <w:sz w:val="24"/>
          <w:szCs w:val="24"/>
        </w:rPr>
        <w:t xml:space="preserve">corrected or </w:t>
      </w:r>
      <w:r w:rsidR="00B46C47">
        <w:rPr>
          <w:sz w:val="24"/>
          <w:szCs w:val="24"/>
        </w:rPr>
        <w:t xml:space="preserve">updated </w:t>
      </w:r>
      <w:r w:rsidR="00176B1D">
        <w:rPr>
          <w:sz w:val="24"/>
          <w:szCs w:val="24"/>
        </w:rPr>
        <w:t xml:space="preserve">BOI </w:t>
      </w:r>
      <w:r w:rsidR="00B46C47">
        <w:rPr>
          <w:sz w:val="24"/>
          <w:szCs w:val="24"/>
        </w:rPr>
        <w:t xml:space="preserve">to FinCEN </w:t>
      </w:r>
      <w:r w:rsidR="00AE5ACD">
        <w:rPr>
          <w:sz w:val="24"/>
          <w:szCs w:val="24"/>
        </w:rPr>
        <w:t>if</w:t>
      </w:r>
      <w:r w:rsidR="00B46C47">
        <w:rPr>
          <w:sz w:val="24"/>
          <w:szCs w:val="24"/>
        </w:rPr>
        <w:t xml:space="preserve"> previously reported </w:t>
      </w:r>
      <w:r w:rsidR="00176B1D">
        <w:rPr>
          <w:sz w:val="24"/>
          <w:szCs w:val="24"/>
        </w:rPr>
        <w:t xml:space="preserve">BOI </w:t>
      </w:r>
      <w:r w:rsidR="00FD39EA">
        <w:rPr>
          <w:sz w:val="24"/>
          <w:szCs w:val="24"/>
        </w:rPr>
        <w:t xml:space="preserve">was or </w:t>
      </w:r>
      <w:r w:rsidR="00B46C47">
        <w:rPr>
          <w:sz w:val="24"/>
          <w:szCs w:val="24"/>
        </w:rPr>
        <w:t xml:space="preserve">becomes inaccurate or out of date, or when an entity that was a </w:t>
      </w:r>
      <w:r w:rsidR="00B46C47">
        <w:rPr>
          <w:sz w:val="24"/>
          <w:szCs w:val="24"/>
        </w:rPr>
        <w:t xml:space="preserve">reporting company </w:t>
      </w:r>
      <w:r w:rsidR="00AE5ACD">
        <w:rPr>
          <w:sz w:val="24"/>
          <w:szCs w:val="24"/>
        </w:rPr>
        <w:t>becomes exempt</w:t>
      </w:r>
      <w:r w:rsidR="00B46C47">
        <w:rPr>
          <w:sz w:val="24"/>
          <w:szCs w:val="24"/>
        </w:rPr>
        <w:t xml:space="preserve">.  </w:t>
      </w:r>
      <w:r w:rsidR="0064777A">
        <w:rPr>
          <w:sz w:val="24"/>
          <w:szCs w:val="24"/>
        </w:rPr>
        <w:t>Reporting companies will not be required to update BOI related to company applicants.</w:t>
      </w:r>
    </w:p>
    <w:p w:rsidR="006562A1" w:rsidP="00514E22" w14:paraId="0636541C" w14:textId="6B313B78">
      <w:pPr>
        <w:pStyle w:val="BodyText"/>
        <w:spacing w:before="0" w:after="240"/>
        <w:ind w:right="115" w:firstLine="720"/>
        <w:rPr>
          <w:sz w:val="24"/>
          <w:szCs w:val="24"/>
        </w:rPr>
      </w:pPr>
      <w:r>
        <w:rPr>
          <w:sz w:val="24"/>
          <w:szCs w:val="24"/>
        </w:rPr>
        <w:t>As noted above, i</w:t>
      </w:r>
      <w:r w:rsidRPr="003264BB" w:rsidR="00D15598">
        <w:rPr>
          <w:sz w:val="24"/>
          <w:szCs w:val="24"/>
        </w:rPr>
        <w:t xml:space="preserve">n </w:t>
      </w:r>
      <w:r w:rsidR="008B79B9">
        <w:rPr>
          <w:sz w:val="24"/>
          <w:szCs w:val="24"/>
        </w:rPr>
        <w:t xml:space="preserve">the </w:t>
      </w:r>
      <w:r w:rsidR="00050C29">
        <w:rPr>
          <w:sz w:val="24"/>
          <w:szCs w:val="24"/>
        </w:rPr>
        <w:t>final rule</w:t>
      </w:r>
      <w:r w:rsidRPr="003264BB" w:rsidR="00D15598">
        <w:rPr>
          <w:sz w:val="24"/>
          <w:szCs w:val="24"/>
        </w:rPr>
        <w:t>, FinCEN require</w:t>
      </w:r>
      <w:r w:rsidR="006902E1">
        <w:rPr>
          <w:sz w:val="24"/>
          <w:szCs w:val="24"/>
        </w:rPr>
        <w:t>s</w:t>
      </w:r>
      <w:r w:rsidRPr="003264BB" w:rsidR="00D15598">
        <w:rPr>
          <w:sz w:val="24"/>
          <w:szCs w:val="24"/>
        </w:rPr>
        <w:t xml:space="preserve"> reporting companies </w:t>
      </w:r>
      <w:r w:rsidR="00653D5D">
        <w:rPr>
          <w:sz w:val="24"/>
          <w:szCs w:val="24"/>
        </w:rPr>
        <w:t xml:space="preserve">to </w:t>
      </w:r>
      <w:r w:rsidRPr="003264BB" w:rsidR="00D15598">
        <w:rPr>
          <w:sz w:val="24"/>
          <w:szCs w:val="24"/>
        </w:rPr>
        <w:t xml:space="preserve">submit certain </w:t>
      </w:r>
      <w:r w:rsidR="00653D5D">
        <w:rPr>
          <w:sz w:val="24"/>
          <w:szCs w:val="24"/>
        </w:rPr>
        <w:t xml:space="preserve">identifying </w:t>
      </w:r>
      <w:r w:rsidRPr="003264BB" w:rsidR="00D15598">
        <w:rPr>
          <w:sz w:val="24"/>
          <w:szCs w:val="24"/>
        </w:rPr>
        <w:t xml:space="preserve">information </w:t>
      </w:r>
      <w:r w:rsidR="00B9169E">
        <w:rPr>
          <w:sz w:val="24"/>
          <w:szCs w:val="24"/>
        </w:rPr>
        <w:t xml:space="preserve">when they report </w:t>
      </w:r>
      <w:r w:rsidRPr="003264BB" w:rsidR="00D15598">
        <w:rPr>
          <w:sz w:val="24"/>
          <w:szCs w:val="24"/>
        </w:rPr>
        <w:t>BOI</w:t>
      </w:r>
      <w:r>
        <w:rPr>
          <w:sz w:val="24"/>
          <w:szCs w:val="24"/>
        </w:rPr>
        <w:t xml:space="preserve"> about individual beneficial owners and company applicants</w:t>
      </w:r>
      <w:r w:rsidR="000F1E2B">
        <w:rPr>
          <w:sz w:val="24"/>
          <w:szCs w:val="24"/>
        </w:rPr>
        <w:t>.  T</w:t>
      </w:r>
      <w:r w:rsidR="00B9169E">
        <w:rPr>
          <w:sz w:val="24"/>
          <w:szCs w:val="24"/>
        </w:rPr>
        <w:t xml:space="preserve">his identifying information </w:t>
      </w:r>
      <w:r w:rsidR="00AE6169">
        <w:rPr>
          <w:sz w:val="24"/>
          <w:szCs w:val="24"/>
        </w:rPr>
        <w:t xml:space="preserve">is necessary to make the reports </w:t>
      </w:r>
      <w:r w:rsidR="00530A6B">
        <w:rPr>
          <w:sz w:val="24"/>
          <w:szCs w:val="24"/>
        </w:rPr>
        <w:t xml:space="preserve">mandated by </w:t>
      </w:r>
      <w:r w:rsidR="00AE6169">
        <w:rPr>
          <w:sz w:val="24"/>
          <w:szCs w:val="24"/>
        </w:rPr>
        <w:t>the CTA usable</w:t>
      </w:r>
      <w:r w:rsidR="00B9169E">
        <w:rPr>
          <w:sz w:val="24"/>
          <w:szCs w:val="24"/>
        </w:rPr>
        <w:t xml:space="preserve"> by allowing </w:t>
      </w:r>
      <w:r w:rsidR="00AE6169">
        <w:rPr>
          <w:sz w:val="24"/>
          <w:szCs w:val="24"/>
        </w:rPr>
        <w:t xml:space="preserve">FinCEN to match </w:t>
      </w:r>
      <w:r w:rsidR="00B9169E">
        <w:rPr>
          <w:sz w:val="24"/>
          <w:szCs w:val="24"/>
        </w:rPr>
        <w:t>beneficial owners with the entities that they own</w:t>
      </w:r>
      <w:r w:rsidR="00176B1D">
        <w:rPr>
          <w:sz w:val="24"/>
          <w:szCs w:val="24"/>
        </w:rPr>
        <w:t xml:space="preserve"> </w:t>
      </w:r>
      <w:r w:rsidR="00AE6169">
        <w:rPr>
          <w:sz w:val="24"/>
          <w:szCs w:val="24"/>
        </w:rPr>
        <w:t xml:space="preserve">or control, </w:t>
      </w:r>
      <w:r w:rsidR="00C820AA">
        <w:rPr>
          <w:sz w:val="24"/>
          <w:szCs w:val="24"/>
        </w:rPr>
        <w:t xml:space="preserve">and company applicants with the entities </w:t>
      </w:r>
      <w:r w:rsidR="0049190B">
        <w:rPr>
          <w:sz w:val="24"/>
          <w:szCs w:val="24"/>
        </w:rPr>
        <w:t xml:space="preserve">for which </w:t>
      </w:r>
      <w:r w:rsidR="00C820AA">
        <w:rPr>
          <w:sz w:val="24"/>
          <w:szCs w:val="24"/>
        </w:rPr>
        <w:t xml:space="preserve">they </w:t>
      </w:r>
      <w:r w:rsidR="00176B1D">
        <w:rPr>
          <w:sz w:val="24"/>
          <w:szCs w:val="24"/>
        </w:rPr>
        <w:t xml:space="preserve">have filed </w:t>
      </w:r>
      <w:r w:rsidR="00C820AA">
        <w:rPr>
          <w:sz w:val="24"/>
          <w:szCs w:val="24"/>
        </w:rPr>
        <w:t>documents</w:t>
      </w:r>
      <w:r w:rsidRPr="003264BB" w:rsidR="00D15598">
        <w:rPr>
          <w:sz w:val="24"/>
          <w:szCs w:val="24"/>
        </w:rPr>
        <w:t>.</w:t>
      </w:r>
    </w:p>
    <w:p w:rsidR="008B79B9" w:rsidP="00514E22" w14:paraId="46051858" w14:textId="6176B7C3">
      <w:pPr>
        <w:pStyle w:val="BodyText"/>
        <w:spacing w:before="0" w:after="240"/>
        <w:ind w:right="115" w:firstLine="720"/>
        <w:rPr>
          <w:sz w:val="24"/>
          <w:szCs w:val="24"/>
        </w:rPr>
      </w:pPr>
      <w:r>
        <w:rPr>
          <w:sz w:val="24"/>
          <w:szCs w:val="24"/>
        </w:rPr>
        <w:t xml:space="preserve">The </w:t>
      </w:r>
      <w:r w:rsidR="00C77DD6">
        <w:rPr>
          <w:sz w:val="24"/>
          <w:szCs w:val="24"/>
        </w:rPr>
        <w:t>final</w:t>
      </w:r>
      <w:r w:rsidR="004A537E">
        <w:rPr>
          <w:sz w:val="24"/>
          <w:szCs w:val="24"/>
        </w:rPr>
        <w:t xml:space="preserve"> rule also</w:t>
      </w:r>
      <w:r>
        <w:rPr>
          <w:sz w:val="24"/>
          <w:szCs w:val="24"/>
        </w:rPr>
        <w:t xml:space="preserve"> require</w:t>
      </w:r>
      <w:r w:rsidR="00021A69">
        <w:rPr>
          <w:sz w:val="24"/>
          <w:szCs w:val="24"/>
        </w:rPr>
        <w:t>s</w:t>
      </w:r>
      <w:r>
        <w:rPr>
          <w:sz w:val="24"/>
          <w:szCs w:val="24"/>
        </w:rPr>
        <w:t xml:space="preserve"> that certain foreign pooled investment vehicles </w:t>
      </w:r>
      <w:r w:rsidR="00B46C47">
        <w:rPr>
          <w:sz w:val="24"/>
          <w:szCs w:val="24"/>
        </w:rPr>
        <w:t>report limited BOI to FinCEN</w:t>
      </w:r>
      <w:r w:rsidR="00AE6169">
        <w:rPr>
          <w:sz w:val="24"/>
          <w:szCs w:val="24"/>
        </w:rPr>
        <w:t xml:space="preserve"> as </w:t>
      </w:r>
      <w:r w:rsidR="00530A6B">
        <w:rPr>
          <w:sz w:val="24"/>
          <w:szCs w:val="24"/>
        </w:rPr>
        <w:t xml:space="preserve">required by </w:t>
      </w:r>
      <w:r w:rsidR="00AE6169">
        <w:rPr>
          <w:sz w:val="24"/>
          <w:szCs w:val="24"/>
        </w:rPr>
        <w:t>the CTA</w:t>
      </w:r>
      <w:r w:rsidR="005210BE">
        <w:rPr>
          <w:sz w:val="24"/>
          <w:szCs w:val="24"/>
        </w:rPr>
        <w:t>.</w:t>
      </w:r>
      <w:r>
        <w:rPr>
          <w:rStyle w:val="FootnoteReference"/>
          <w:sz w:val="24"/>
          <w:szCs w:val="24"/>
        </w:rPr>
        <w:footnoteReference w:id="11"/>
      </w:r>
      <w:r w:rsidR="00B46C47">
        <w:rPr>
          <w:sz w:val="24"/>
          <w:szCs w:val="24"/>
        </w:rPr>
        <w:t xml:space="preserve">  </w:t>
      </w:r>
      <w:r w:rsidR="00534009">
        <w:rPr>
          <w:sz w:val="24"/>
          <w:szCs w:val="24"/>
        </w:rPr>
        <w:t xml:space="preserve">In addition, the </w:t>
      </w:r>
      <w:r w:rsidR="00C77DD6">
        <w:rPr>
          <w:sz w:val="24"/>
          <w:szCs w:val="24"/>
        </w:rPr>
        <w:t>final</w:t>
      </w:r>
      <w:r w:rsidR="00534009">
        <w:rPr>
          <w:sz w:val="24"/>
          <w:szCs w:val="24"/>
        </w:rPr>
        <w:t xml:space="preserve"> rule require</w:t>
      </w:r>
      <w:r w:rsidR="00021A69">
        <w:rPr>
          <w:sz w:val="24"/>
          <w:szCs w:val="24"/>
        </w:rPr>
        <w:t>s</w:t>
      </w:r>
      <w:r w:rsidR="00534009">
        <w:rPr>
          <w:sz w:val="24"/>
          <w:szCs w:val="24"/>
        </w:rPr>
        <w:t xml:space="preserve"> that these foreign pooled investment vehicles</w:t>
      </w:r>
      <w:r w:rsidR="00F128B9">
        <w:rPr>
          <w:sz w:val="24"/>
          <w:szCs w:val="24"/>
        </w:rPr>
        <w:t xml:space="preserve"> </w:t>
      </w:r>
      <w:r w:rsidR="00534009">
        <w:rPr>
          <w:sz w:val="24"/>
          <w:szCs w:val="24"/>
        </w:rPr>
        <w:t xml:space="preserve">submit </w:t>
      </w:r>
      <w:r w:rsidR="00B003C8">
        <w:rPr>
          <w:sz w:val="24"/>
          <w:szCs w:val="24"/>
        </w:rPr>
        <w:t>some limited</w:t>
      </w:r>
      <w:r w:rsidR="00534009">
        <w:rPr>
          <w:sz w:val="24"/>
          <w:szCs w:val="24"/>
        </w:rPr>
        <w:t xml:space="preserve"> information identifying </w:t>
      </w:r>
      <w:r w:rsidR="00B003C8">
        <w:rPr>
          <w:sz w:val="24"/>
          <w:szCs w:val="24"/>
        </w:rPr>
        <w:t>the foreign pooled investment vehicle</w:t>
      </w:r>
      <w:r w:rsidR="00D30E5F">
        <w:rPr>
          <w:sz w:val="24"/>
          <w:szCs w:val="24"/>
        </w:rPr>
        <w:t>.</w:t>
      </w:r>
      <w:r w:rsidR="00AE6169">
        <w:rPr>
          <w:sz w:val="24"/>
          <w:szCs w:val="24"/>
        </w:rPr>
        <w:t xml:space="preserve">  This identifying information is necessary to make the reports </w:t>
      </w:r>
      <w:r w:rsidR="00530A6B">
        <w:rPr>
          <w:sz w:val="24"/>
          <w:szCs w:val="24"/>
        </w:rPr>
        <w:t xml:space="preserve">mandated by </w:t>
      </w:r>
      <w:r w:rsidR="00AE6169">
        <w:rPr>
          <w:sz w:val="24"/>
          <w:szCs w:val="24"/>
        </w:rPr>
        <w:t>the CTA usable by allowing FinCEN to match the foreign pooled investment vehicle</w:t>
      </w:r>
      <w:r w:rsidRPr="00530A6B" w:rsidR="00530A6B">
        <w:rPr>
          <w:sz w:val="24"/>
          <w:szCs w:val="24"/>
        </w:rPr>
        <w:t xml:space="preserve"> </w:t>
      </w:r>
      <w:r w:rsidR="00530A6B">
        <w:rPr>
          <w:sz w:val="24"/>
          <w:szCs w:val="24"/>
        </w:rPr>
        <w:t>with the limited BOI that it reports</w:t>
      </w:r>
      <w:r w:rsidR="00AE6169">
        <w:rPr>
          <w:sz w:val="24"/>
          <w:szCs w:val="24"/>
        </w:rPr>
        <w:t xml:space="preserve">.  </w:t>
      </w:r>
    </w:p>
    <w:p w:rsidR="00FD39EA" w:rsidRPr="00514E22" w:rsidP="00514E22" w14:paraId="09328433" w14:textId="7AFC7447">
      <w:pPr>
        <w:pStyle w:val="BodyText"/>
        <w:spacing w:before="0" w:after="240"/>
        <w:ind w:right="115" w:firstLine="720"/>
        <w:rPr>
          <w:sz w:val="24"/>
          <w:szCs w:val="24"/>
        </w:rPr>
      </w:pPr>
      <w:r>
        <w:rPr>
          <w:sz w:val="24"/>
          <w:szCs w:val="24"/>
        </w:rPr>
        <w:t xml:space="preserve">Finally, the </w:t>
      </w:r>
      <w:r w:rsidR="00050C29">
        <w:rPr>
          <w:sz w:val="24"/>
          <w:szCs w:val="24"/>
        </w:rPr>
        <w:t>final rule</w:t>
      </w:r>
      <w:r>
        <w:rPr>
          <w:sz w:val="24"/>
          <w:szCs w:val="24"/>
        </w:rPr>
        <w:t xml:space="preserve"> require</w:t>
      </w:r>
      <w:r w:rsidR="001E69A2">
        <w:rPr>
          <w:sz w:val="24"/>
          <w:szCs w:val="24"/>
        </w:rPr>
        <w:t>s</w:t>
      </w:r>
      <w:r>
        <w:rPr>
          <w:sz w:val="24"/>
          <w:szCs w:val="24"/>
        </w:rPr>
        <w:t xml:space="preserve"> that individuals and entities wishing to obtain a unique identifier </w:t>
      </w:r>
      <w:r w:rsidR="00E104EB">
        <w:rPr>
          <w:sz w:val="24"/>
          <w:szCs w:val="24"/>
        </w:rPr>
        <w:t xml:space="preserve">to be reported in </w:t>
      </w:r>
      <w:r>
        <w:rPr>
          <w:sz w:val="24"/>
          <w:szCs w:val="24"/>
        </w:rPr>
        <w:t>lieu of BOI</w:t>
      </w:r>
      <w:r w:rsidR="004A537E">
        <w:rPr>
          <w:sz w:val="24"/>
          <w:szCs w:val="24"/>
        </w:rPr>
        <w:t xml:space="preserve"> </w:t>
      </w:r>
      <w:r w:rsidR="00E104EB">
        <w:rPr>
          <w:sz w:val="24"/>
          <w:szCs w:val="24"/>
        </w:rPr>
        <w:t xml:space="preserve">in certain circumstances </w:t>
      </w:r>
      <w:r w:rsidR="004A537E">
        <w:rPr>
          <w:sz w:val="24"/>
          <w:szCs w:val="24"/>
        </w:rPr>
        <w:t xml:space="preserve">(a </w:t>
      </w:r>
      <w:r w:rsidR="00AE6169">
        <w:rPr>
          <w:sz w:val="24"/>
          <w:szCs w:val="24"/>
        </w:rPr>
        <w:t>“</w:t>
      </w:r>
      <w:r w:rsidR="004A537E">
        <w:rPr>
          <w:sz w:val="24"/>
          <w:szCs w:val="24"/>
        </w:rPr>
        <w:t xml:space="preserve">FinCEN </w:t>
      </w:r>
      <w:r w:rsidR="008704CA">
        <w:rPr>
          <w:sz w:val="24"/>
          <w:szCs w:val="24"/>
        </w:rPr>
        <w:t>i</w:t>
      </w:r>
      <w:r w:rsidR="004A537E">
        <w:rPr>
          <w:sz w:val="24"/>
          <w:szCs w:val="24"/>
        </w:rPr>
        <w:t>dentifier</w:t>
      </w:r>
      <w:r w:rsidR="00AE6169">
        <w:rPr>
          <w:sz w:val="24"/>
          <w:szCs w:val="24"/>
        </w:rPr>
        <w:t>”</w:t>
      </w:r>
      <w:r w:rsidR="004A537E">
        <w:rPr>
          <w:sz w:val="24"/>
          <w:szCs w:val="24"/>
        </w:rPr>
        <w:t>)</w:t>
      </w:r>
      <w:r>
        <w:rPr>
          <w:sz w:val="24"/>
          <w:szCs w:val="24"/>
        </w:rPr>
        <w:t xml:space="preserve"> </w:t>
      </w:r>
      <w:r w:rsidR="00171291">
        <w:rPr>
          <w:sz w:val="24"/>
          <w:szCs w:val="24"/>
        </w:rPr>
        <w:t xml:space="preserve">submit </w:t>
      </w:r>
      <w:r w:rsidR="00842DAD">
        <w:rPr>
          <w:sz w:val="24"/>
          <w:szCs w:val="24"/>
        </w:rPr>
        <w:t>certain</w:t>
      </w:r>
      <w:r w:rsidR="00171291">
        <w:rPr>
          <w:sz w:val="24"/>
          <w:szCs w:val="24"/>
        </w:rPr>
        <w:t xml:space="preserve"> identifying information about themselves.</w:t>
      </w:r>
      <w:r>
        <w:rPr>
          <w:rStyle w:val="FootnoteReference"/>
          <w:sz w:val="24"/>
          <w:szCs w:val="24"/>
        </w:rPr>
        <w:footnoteReference w:id="12"/>
      </w:r>
      <w:r w:rsidR="00A25A11">
        <w:rPr>
          <w:sz w:val="24"/>
          <w:szCs w:val="24"/>
        </w:rPr>
        <w:t xml:space="preserve">  Individuals that obtain FinCEN identifiers will have to report updated</w:t>
      </w:r>
      <w:r w:rsidR="008F19BA">
        <w:rPr>
          <w:sz w:val="24"/>
          <w:szCs w:val="24"/>
        </w:rPr>
        <w:t xml:space="preserve"> or corrected</w:t>
      </w:r>
      <w:r w:rsidR="00A25A11">
        <w:rPr>
          <w:sz w:val="24"/>
          <w:szCs w:val="24"/>
        </w:rPr>
        <w:t xml:space="preserve"> information about themselves if previously </w:t>
      </w:r>
      <w:r w:rsidR="00767B9D">
        <w:rPr>
          <w:sz w:val="24"/>
          <w:szCs w:val="24"/>
        </w:rPr>
        <w:t xml:space="preserve">reported </w:t>
      </w:r>
      <w:r w:rsidR="00A25A11">
        <w:rPr>
          <w:sz w:val="24"/>
          <w:szCs w:val="24"/>
        </w:rPr>
        <w:t>information becomes out of date</w:t>
      </w:r>
      <w:r w:rsidR="008F19BA">
        <w:rPr>
          <w:sz w:val="24"/>
          <w:szCs w:val="24"/>
        </w:rPr>
        <w:t xml:space="preserve"> or was incorrect when filed</w:t>
      </w:r>
      <w:r w:rsidR="00A25A11">
        <w:rPr>
          <w:sz w:val="24"/>
          <w:szCs w:val="24"/>
        </w:rPr>
        <w:t>.</w:t>
      </w:r>
    </w:p>
    <w:p w:rsidR="00B63390" w:rsidP="00514E22" w14:paraId="1B86CB69" w14:textId="171771E3">
      <w:pPr>
        <w:autoSpaceDE w:val="0"/>
        <w:autoSpaceDN w:val="0"/>
        <w:adjustRightInd w:val="0"/>
        <w:spacing w:after="240"/>
        <w:ind w:firstLine="720"/>
        <w:contextualSpacing/>
      </w:pPr>
      <w:r w:rsidRPr="00BD14B4">
        <w:t>Th</w:t>
      </w:r>
      <w:r w:rsidR="00DC4DB4">
        <w:t>e</w:t>
      </w:r>
      <w:r w:rsidRPr="00BD14B4">
        <w:t xml:space="preserve"> collection of information </w:t>
      </w:r>
      <w:r w:rsidR="00320E35">
        <w:t xml:space="preserve">in the </w:t>
      </w:r>
      <w:r w:rsidR="00050C29">
        <w:t>final rule</w:t>
      </w:r>
      <w:r w:rsidR="00DC4DB4">
        <w:t xml:space="preserve"> </w:t>
      </w:r>
      <w:r w:rsidRPr="00BD14B4">
        <w:t xml:space="preserve">is necessary to </w:t>
      </w:r>
      <w:r w:rsidRPr="00BD14B4">
        <w:t xml:space="preserve">fulfill FinCEN’s statutory obligation </w:t>
      </w:r>
      <w:r w:rsidR="00A93D3A">
        <w:t xml:space="preserve">under the CTA </w:t>
      </w:r>
      <w:r w:rsidRPr="00BD14B4">
        <w:t xml:space="preserve">to </w:t>
      </w:r>
      <w:r w:rsidR="00842DAD">
        <w:t xml:space="preserve">require reporting of </w:t>
      </w:r>
      <w:r w:rsidRPr="00BD14B4">
        <w:t xml:space="preserve">BOI, </w:t>
      </w:r>
      <w:r w:rsidRPr="00B9169E" w:rsidR="00D15598">
        <w:t xml:space="preserve">create a highly useful </w:t>
      </w:r>
      <w:r w:rsidRPr="00B9169E">
        <w:t xml:space="preserve">database </w:t>
      </w:r>
      <w:r w:rsidRPr="00B9169E" w:rsidR="00D15598">
        <w:t xml:space="preserve">of </w:t>
      </w:r>
      <w:r w:rsidRPr="00B9169E">
        <w:t xml:space="preserve">that BOI, and make the BOI </w:t>
      </w:r>
      <w:r w:rsidRPr="00BF5574" w:rsidR="00593665">
        <w:t xml:space="preserve">from the database </w:t>
      </w:r>
      <w:r w:rsidRPr="00BF5574">
        <w:t xml:space="preserve">available </w:t>
      </w:r>
      <w:r w:rsidRPr="00BF5574" w:rsidR="00593665">
        <w:t xml:space="preserve">to </w:t>
      </w:r>
      <w:r w:rsidR="00AE6169">
        <w:t>authorized</w:t>
      </w:r>
      <w:r w:rsidRPr="00BF5574" w:rsidR="00593665">
        <w:t xml:space="preserve"> users </w:t>
      </w:r>
      <w:r w:rsidRPr="00BF5574">
        <w:t xml:space="preserve">subject to statutory </w:t>
      </w:r>
      <w:r w:rsidR="00AE6169">
        <w:t xml:space="preserve">access </w:t>
      </w:r>
      <w:r w:rsidRPr="00BF5574">
        <w:t>limitations.</w:t>
      </w:r>
      <w:r>
        <w:rPr>
          <w:rStyle w:val="FootnoteReference"/>
        </w:rPr>
        <w:footnoteReference w:id="13"/>
      </w:r>
      <w:r w:rsidRPr="00BF5574">
        <w:t xml:space="preserve">  </w:t>
      </w:r>
      <w:r w:rsidR="00D04BA7">
        <w:t>As required by the CTA, FinCEN has aimed to minimize burden</w:t>
      </w:r>
      <w:r w:rsidR="00577AF6">
        <w:t>s</w:t>
      </w:r>
      <w:r w:rsidR="00D04BA7">
        <w:t xml:space="preserve"> on reporting companies to the extent practicable</w:t>
      </w:r>
      <w:r w:rsidR="004D4542">
        <w:t>, while also fulfilling the statutory mandate to generate a database that is highly useful to national security, intelligence, and law enforcement agencies and Federal functional regulators</w:t>
      </w:r>
      <w:r w:rsidR="00D04BA7">
        <w:t>.</w:t>
      </w:r>
      <w:r>
        <w:rPr>
          <w:rStyle w:val="FootnoteReference"/>
        </w:rPr>
        <w:footnoteReference w:id="14"/>
      </w:r>
    </w:p>
    <w:p w:rsidR="00600940" w:rsidRPr="00514E22" w:rsidP="00514E22" w14:paraId="09D27FA2" w14:textId="37BE10FC">
      <w:pPr>
        <w:keepNext/>
        <w:keepLines/>
        <w:spacing w:after="240"/>
        <w:rPr>
          <w:u w:val="single"/>
        </w:rPr>
      </w:pPr>
      <w:r>
        <w:t xml:space="preserve">2. </w:t>
      </w:r>
      <w:r w:rsidR="007E495B">
        <w:rPr>
          <w:u w:val="single"/>
        </w:rPr>
        <w:t>Method of c</w:t>
      </w:r>
      <w:r>
        <w:rPr>
          <w:u w:val="single"/>
        </w:rPr>
        <w:t xml:space="preserve">ollection and </w:t>
      </w:r>
      <w:r w:rsidR="007E495B">
        <w:rPr>
          <w:u w:val="single"/>
        </w:rPr>
        <w:t>u</w:t>
      </w:r>
      <w:r>
        <w:rPr>
          <w:u w:val="single"/>
        </w:rPr>
        <w:t xml:space="preserve">se of </w:t>
      </w:r>
      <w:r w:rsidR="007E495B">
        <w:rPr>
          <w:u w:val="single"/>
        </w:rPr>
        <w:t>d</w:t>
      </w:r>
      <w:r w:rsidRPr="000272F8">
        <w:rPr>
          <w:u w:val="single"/>
        </w:rPr>
        <w:t>ata</w:t>
      </w:r>
      <w:r w:rsidRPr="00781ED2">
        <w:rPr>
          <w:u w:val="single"/>
        </w:rPr>
        <w:t xml:space="preserve">. </w:t>
      </w:r>
    </w:p>
    <w:p w:rsidR="00D74BE6" w:rsidP="00514E22" w14:paraId="74DD86B4" w14:textId="68ADAF1C">
      <w:pPr>
        <w:keepNext/>
        <w:keepLines/>
        <w:spacing w:after="240"/>
        <w:ind w:firstLine="720"/>
      </w:pPr>
      <w:r>
        <w:t xml:space="preserve">FinCEN </w:t>
      </w:r>
      <w:r w:rsidR="1F3F9671">
        <w:t>intends to collect BOI from reporting companies</w:t>
      </w:r>
      <w:r w:rsidR="1F442521">
        <w:t xml:space="preserve"> </w:t>
      </w:r>
      <w:r w:rsidR="04E63C02">
        <w:t xml:space="preserve">through </w:t>
      </w:r>
      <w:r w:rsidR="1F3F9671">
        <w:t>a</w:t>
      </w:r>
      <w:r w:rsidR="00B84E1F">
        <w:t xml:space="preserve"> </w:t>
      </w:r>
      <w:r w:rsidR="1F3F9671">
        <w:t>form</w:t>
      </w:r>
      <w:r w:rsidR="075DB31C">
        <w:t xml:space="preserve">, referred to as a </w:t>
      </w:r>
      <w:r w:rsidR="695EF9E8">
        <w:t>BOIR</w:t>
      </w:r>
      <w:r w:rsidR="00B84E1F">
        <w:t>, that will be available electronically</w:t>
      </w:r>
      <w:r w:rsidR="695EF9E8">
        <w:t>.</w:t>
      </w:r>
      <w:r>
        <w:t xml:space="preserve">  FinCEN is aware that some </w:t>
      </w:r>
      <w:r w:rsidR="00B84E1F">
        <w:t xml:space="preserve">possible BOIR filers may </w:t>
      </w:r>
      <w:r w:rsidR="00EA4319">
        <w:t xml:space="preserve">lack </w:t>
      </w:r>
      <w:r>
        <w:t xml:space="preserve">internet access and is already engaging with partners, such as </w:t>
      </w:r>
      <w:r w:rsidR="00AA1B39">
        <w:t>s</w:t>
      </w:r>
      <w:r>
        <w:t xml:space="preserve">ecretaries of </w:t>
      </w:r>
      <w:r w:rsidR="00AA1B39">
        <w:t>s</w:t>
      </w:r>
      <w:r>
        <w:t>tate</w:t>
      </w:r>
      <w:r w:rsidR="00B84E1F">
        <w:t xml:space="preserve"> of relevant </w:t>
      </w:r>
      <w:r w:rsidR="00AA1B39">
        <w:t>s</w:t>
      </w:r>
      <w:r>
        <w:t>tate</w:t>
      </w:r>
      <w:r w:rsidR="00AA1B39">
        <w:t>s</w:t>
      </w:r>
      <w:r>
        <w:t xml:space="preserve">, to determine how to address this issue. </w:t>
      </w:r>
    </w:p>
    <w:p w:rsidR="00A25A11" w:rsidP="00514E22" w14:paraId="1D3185E2" w14:textId="604291BA">
      <w:pPr>
        <w:keepNext/>
        <w:keepLines/>
        <w:spacing w:after="240"/>
        <w:ind w:firstLine="720"/>
      </w:pPr>
      <w:r>
        <w:t xml:space="preserve">As discussed in more detail in </w:t>
      </w:r>
      <w:r w:rsidR="7B3BC215">
        <w:t>S</w:t>
      </w:r>
      <w:r>
        <w:t>ection 8</w:t>
      </w:r>
      <w:r w:rsidR="7B3BC215">
        <w:t xml:space="preserve">, </w:t>
      </w:r>
      <w:r w:rsidR="00C830A8">
        <w:t>FinCEN</w:t>
      </w:r>
      <w:r w:rsidR="00033F60">
        <w:t xml:space="preserve"> </w:t>
      </w:r>
      <w:r>
        <w:t xml:space="preserve">published </w:t>
      </w:r>
      <w:r w:rsidR="00F367FC">
        <w:t xml:space="preserve">the </w:t>
      </w:r>
      <w:r w:rsidR="00B76890">
        <w:t xml:space="preserve">BOIR Notice </w:t>
      </w:r>
      <w:r>
        <w:t xml:space="preserve">in the Federal Register on January 17, 2023, </w:t>
      </w:r>
      <w:r w:rsidR="00B63390">
        <w:t>with the proposed data fields for the BOI</w:t>
      </w:r>
      <w:r w:rsidR="00676543">
        <w:t>R</w:t>
      </w:r>
      <w:r>
        <w:t xml:space="preserve"> </w:t>
      </w:r>
      <w:r w:rsidR="00666B10">
        <w:t xml:space="preserve">set out </w:t>
      </w:r>
      <w:r>
        <w:t xml:space="preserve">as an appendix to the </w:t>
      </w:r>
      <w:r w:rsidR="2C85B14F">
        <w:t xml:space="preserve">BOIR </w:t>
      </w:r>
      <w:r w:rsidR="6D32E268">
        <w:t>Notice</w:t>
      </w:r>
      <w:r w:rsidR="00B63390">
        <w:t>.  This</w:t>
      </w:r>
      <w:r w:rsidR="00D57F3E">
        <w:t xml:space="preserve"> appendix </w:t>
      </w:r>
      <w:r w:rsidR="04E63C02">
        <w:t>identified</w:t>
      </w:r>
      <w:r w:rsidR="1F3F9671">
        <w:t xml:space="preserve"> </w:t>
      </w:r>
      <w:r w:rsidR="04E63C02">
        <w:t xml:space="preserve">the </w:t>
      </w:r>
      <w:r w:rsidR="00B63390">
        <w:t xml:space="preserve">specific </w:t>
      </w:r>
      <w:r w:rsidR="1F3F9671">
        <w:t xml:space="preserve">information that a </w:t>
      </w:r>
      <w:r w:rsidR="04E63C02">
        <w:t>reporting company</w:t>
      </w:r>
      <w:r w:rsidR="1F3F9671">
        <w:t xml:space="preserve"> </w:t>
      </w:r>
      <w:r w:rsidR="7C87EE53">
        <w:t>will</w:t>
      </w:r>
      <w:r w:rsidR="1F3F9671">
        <w:t xml:space="preserve"> be required to submit about itself</w:t>
      </w:r>
      <w:r w:rsidR="04E63C02">
        <w:t xml:space="preserve">, </w:t>
      </w:r>
      <w:r w:rsidR="1F3F9671">
        <w:t>its</w:t>
      </w:r>
      <w:r w:rsidR="04E63C02">
        <w:t xml:space="preserve"> beneficial owner</w:t>
      </w:r>
      <w:r w:rsidR="1F3F9671">
        <w:t>(s)</w:t>
      </w:r>
      <w:r w:rsidR="04E63C02">
        <w:t xml:space="preserve">, and </w:t>
      </w:r>
      <w:r w:rsidR="1F3F9671">
        <w:t>its company applicant(s)</w:t>
      </w:r>
      <w:r w:rsidR="3013547E">
        <w:t>.</w:t>
      </w:r>
    </w:p>
    <w:p w:rsidR="00E34D72" w:rsidRPr="00514E22" w:rsidP="00514E22" w14:paraId="5D1AB789" w14:textId="00674A8F">
      <w:pPr>
        <w:spacing w:after="240"/>
        <w:ind w:firstLine="720"/>
      </w:pPr>
      <w:r>
        <w:t xml:space="preserve">FinCEN </w:t>
      </w:r>
      <w:r w:rsidR="7A7CAC1C">
        <w:t xml:space="preserve">also </w:t>
      </w:r>
      <w:r>
        <w:t xml:space="preserve">intends to collect identifying information from </w:t>
      </w:r>
      <w:r w:rsidR="009D52F6">
        <w:t>reporting companies</w:t>
      </w:r>
      <w:r w:rsidR="00BC68A3">
        <w:t xml:space="preserve"> </w:t>
      </w:r>
      <w:r>
        <w:t xml:space="preserve">wishing to obtain FinCEN </w:t>
      </w:r>
      <w:r w:rsidR="340DCC8A">
        <w:t>i</w:t>
      </w:r>
      <w:r>
        <w:t>dentifiers th</w:t>
      </w:r>
      <w:r w:rsidR="019E682A">
        <w:t>r</w:t>
      </w:r>
      <w:r>
        <w:t xml:space="preserve">ough the electronically available </w:t>
      </w:r>
      <w:r w:rsidR="002F3D61">
        <w:t>BOIR</w:t>
      </w:r>
      <w:r>
        <w:t xml:space="preserve">. </w:t>
      </w:r>
      <w:r w:rsidR="00676543">
        <w:t xml:space="preserve"> </w:t>
      </w:r>
      <w:r w:rsidR="47A3FACB">
        <w:t xml:space="preserve">However, </w:t>
      </w:r>
      <w:r>
        <w:t>FinCEN intends to collect identifying i</w:t>
      </w:r>
      <w:r>
        <w:t xml:space="preserve">nformation from individuals wishing to obtain FinCEN </w:t>
      </w:r>
      <w:r w:rsidR="340DCC8A">
        <w:t>i</w:t>
      </w:r>
      <w:r>
        <w:t>dentifiers through a separate electronically available application</w:t>
      </w:r>
      <w:r w:rsidR="0E9D639E">
        <w:t>, the FinCEN identifier application</w:t>
      </w:r>
      <w:r>
        <w:t xml:space="preserve">.  Individuals will </w:t>
      </w:r>
      <w:r w:rsidR="00102A36">
        <w:t xml:space="preserve">also </w:t>
      </w:r>
      <w:r>
        <w:t xml:space="preserve">use this separate application to provide updated information associated with their FinCEN </w:t>
      </w:r>
      <w:r w:rsidR="340DCC8A">
        <w:t>i</w:t>
      </w:r>
      <w:r>
        <w:t>dentifier.</w:t>
      </w:r>
      <w:r w:rsidR="2DA07DCF">
        <w:t xml:space="preserve">  As discussed in more detail in Section 8, the </w:t>
      </w:r>
      <w:r w:rsidR="00D53D67">
        <w:t>FinCEN Identifier Notice</w:t>
      </w:r>
      <w:r w:rsidR="2DA07DCF">
        <w:t xml:space="preserve"> </w:t>
      </w:r>
      <w:r w:rsidR="00983755">
        <w:t xml:space="preserve">also </w:t>
      </w:r>
      <w:r w:rsidR="00033F60">
        <w:t>w</w:t>
      </w:r>
      <w:r w:rsidR="000641C4">
        <w:t>as</w:t>
      </w:r>
      <w:r w:rsidR="00033F60">
        <w:t xml:space="preserve"> </w:t>
      </w:r>
      <w:r w:rsidR="2DA07DCF">
        <w:t xml:space="preserve">published in the Federal Register on January 17, 2023, </w:t>
      </w:r>
      <w:r w:rsidR="004F7F55">
        <w:t xml:space="preserve">with the proposed data fields for </w:t>
      </w:r>
      <w:r w:rsidR="164BD9C7">
        <w:t xml:space="preserve">the </w:t>
      </w:r>
      <w:r w:rsidR="0066225D">
        <w:t xml:space="preserve">FinCEN identifier application </w:t>
      </w:r>
      <w:r w:rsidR="2DA07DCF">
        <w:t>as an appendix to the FinCEN Identifier Notice</w:t>
      </w:r>
      <w:r w:rsidR="00305CBB">
        <w:t>.</w:t>
      </w:r>
      <w:r w:rsidR="2DA07DCF">
        <w:t xml:space="preserve"> </w:t>
      </w:r>
      <w:r w:rsidR="00305CBB">
        <w:t xml:space="preserve"> This </w:t>
      </w:r>
      <w:r w:rsidR="2DA07DCF">
        <w:t xml:space="preserve">identified the information that an individual will be required to submit if they </w:t>
      </w:r>
      <w:r w:rsidR="3440BD03">
        <w:t>wish</w:t>
      </w:r>
      <w:r w:rsidR="5DBB493C">
        <w:t xml:space="preserve"> </w:t>
      </w:r>
      <w:r w:rsidR="2DA07DCF">
        <w:t>to obtain a FinCEN identifier.</w:t>
      </w:r>
    </w:p>
    <w:p w:rsidR="00E34D72" w:rsidRPr="00514E22" w:rsidP="00514E22" w14:paraId="633AABD6" w14:textId="1B1471C4">
      <w:pPr>
        <w:spacing w:after="240"/>
        <w:ind w:firstLine="720"/>
      </w:pPr>
      <w:r>
        <w:rPr>
          <w:iCs/>
        </w:rPr>
        <w:t xml:space="preserve">Under the CTA, </w:t>
      </w:r>
      <w:r>
        <w:t>FinCEN is authorized</w:t>
      </w:r>
      <w:r>
        <w:t xml:space="preserve"> to disclose BOI </w:t>
      </w:r>
      <w:r w:rsidR="00032C15">
        <w:t xml:space="preserve">and FinCEN </w:t>
      </w:r>
      <w:r w:rsidR="00416346">
        <w:t>i</w:t>
      </w:r>
      <w:r w:rsidR="00032C15">
        <w:t>dentifier information</w:t>
      </w:r>
      <w:r>
        <w:t xml:space="preserve"> to certain authorized users, subject to</w:t>
      </w:r>
      <w:r w:rsidRPr="001062A4">
        <w:t xml:space="preserve"> appropriate protocols</w:t>
      </w:r>
      <w:r>
        <w:t xml:space="preserve"> to protect the security and confidentiality of the information</w:t>
      </w:r>
      <w:r w:rsidRPr="001062A4">
        <w:t xml:space="preserve">.  </w:t>
      </w:r>
      <w:r>
        <w:t>Subject to certain limitations and access requirements, authorized users of BO</w:t>
      </w:r>
      <w:r>
        <w:t>I include:</w:t>
      </w:r>
      <w:r w:rsidRPr="001062A4">
        <w:t xml:space="preserve"> </w:t>
      </w:r>
      <w:r w:rsidR="00916164">
        <w:t>F</w:t>
      </w:r>
      <w:r w:rsidRPr="001062A4">
        <w:t xml:space="preserve">ederal agencies engaged in national security, </w:t>
      </w:r>
      <w:r w:rsidRPr="005A7C0B">
        <w:t>intelligence</w:t>
      </w:r>
      <w:r w:rsidRPr="001062A4">
        <w:t>, or law enforcement activities</w:t>
      </w:r>
      <w:r>
        <w:t>;</w:t>
      </w:r>
      <w:r w:rsidRPr="001062A4">
        <w:t xml:space="preserve"> state, local, or Tribal law enforcement agencies</w:t>
      </w:r>
      <w:r>
        <w:t xml:space="preserve">; foreign </w:t>
      </w:r>
      <w:r w:rsidRPr="001062A4">
        <w:t>law enforcement, judicial, or prosecutorial authorities</w:t>
      </w:r>
      <w:r>
        <w:t>;</w:t>
      </w:r>
      <w:r w:rsidRPr="001062A4">
        <w:t xml:space="preserve"> </w:t>
      </w:r>
      <w:r>
        <w:t>f</w:t>
      </w:r>
      <w:r w:rsidRPr="001062A4">
        <w:t>inancial institutions subject to cust</w:t>
      </w:r>
      <w:r w:rsidRPr="001062A4">
        <w:t>omer due diligence requirements</w:t>
      </w:r>
      <w:r>
        <w:t xml:space="preserve">; certain </w:t>
      </w:r>
      <w:r w:rsidRPr="001062A4">
        <w:t>Federal functional regulators and other appropriate regulatory agencies</w:t>
      </w:r>
      <w:r w:rsidR="009A6FEE">
        <w:t>; and Department of the Treasury officers and employees</w:t>
      </w:r>
      <w:r w:rsidR="00996289">
        <w:t xml:space="preserve"> </w:t>
      </w:r>
      <w:r w:rsidR="00ED5E87">
        <w:t>for</w:t>
      </w:r>
      <w:r w:rsidR="009A6FEE">
        <w:t xml:space="preserve"> their official duties, including for tax administration purposes</w:t>
      </w:r>
      <w:r w:rsidRPr="001062A4">
        <w:t>.</w:t>
      </w:r>
      <w:r>
        <w:rPr>
          <w:vertAlign w:val="superscript"/>
        </w:rPr>
        <w:footnoteReference w:id="15"/>
      </w:r>
      <w:r w:rsidRPr="001062A4">
        <w:t xml:space="preserve">  </w:t>
      </w:r>
    </w:p>
    <w:p w:rsidR="009441F4" w:rsidP="00514E22" w14:paraId="3A7775BB" w14:textId="6F44D02E">
      <w:pPr>
        <w:autoSpaceDE w:val="0"/>
        <w:autoSpaceDN w:val="0"/>
        <w:adjustRightInd w:val="0"/>
        <w:spacing w:after="240"/>
        <w:ind w:firstLine="720"/>
      </w:pPr>
      <w:r>
        <w:rPr>
          <w:rFonts w:eastAsia="MS Mincho"/>
        </w:rPr>
        <w:t>The</w:t>
      </w:r>
      <w:r w:rsidR="0047082D">
        <w:rPr>
          <w:rFonts w:eastAsia="MS Mincho"/>
        </w:rPr>
        <w:t xml:space="preserve"> </w:t>
      </w:r>
      <w:r>
        <w:rPr>
          <w:rFonts w:eastAsia="MS Mincho"/>
        </w:rPr>
        <w:t xml:space="preserve">information collected </w:t>
      </w:r>
      <w:r w:rsidR="007F013C">
        <w:rPr>
          <w:rFonts w:eastAsia="MS Mincho"/>
        </w:rPr>
        <w:t xml:space="preserve">is intended to </w:t>
      </w:r>
      <w:r>
        <w:rPr>
          <w:rFonts w:eastAsia="MS Mincho"/>
        </w:rPr>
        <w:t>assist law enforcement in anti-money laundering, tax, and other financial investigations</w:t>
      </w:r>
      <w:r w:rsidR="00CC622B">
        <w:rPr>
          <w:rFonts w:eastAsia="MS Mincho"/>
        </w:rPr>
        <w:t>;</w:t>
      </w:r>
      <w:r w:rsidR="00A93D3A">
        <w:rPr>
          <w:rFonts w:eastAsia="MS Mincho"/>
        </w:rPr>
        <w:t xml:space="preserve"> </w:t>
      </w:r>
      <w:r>
        <w:rPr>
          <w:rFonts w:eastAsia="MS Mincho"/>
        </w:rPr>
        <w:t>advance counterterrorism, counter</w:t>
      </w:r>
      <w:r w:rsidR="00337F71">
        <w:rPr>
          <w:rFonts w:eastAsia="MS Mincho"/>
        </w:rPr>
        <w:t>-</w:t>
      </w:r>
      <w:r>
        <w:rPr>
          <w:rFonts w:eastAsia="MS Mincho"/>
        </w:rPr>
        <w:t>proliferation, and broader national security and intelligence interests</w:t>
      </w:r>
      <w:r w:rsidR="00CC622B">
        <w:rPr>
          <w:rFonts w:eastAsia="MS Mincho"/>
        </w:rPr>
        <w:t>;</w:t>
      </w:r>
      <w:r w:rsidR="00A93D3A">
        <w:rPr>
          <w:rFonts w:eastAsia="MS Mincho"/>
        </w:rPr>
        <w:t xml:space="preserve"> </w:t>
      </w:r>
      <w:r>
        <w:rPr>
          <w:rFonts w:eastAsia="MS Mincho"/>
        </w:rPr>
        <w:t>improve financial inst</w:t>
      </w:r>
      <w:r>
        <w:rPr>
          <w:rFonts w:eastAsia="MS Mincho"/>
        </w:rPr>
        <w:t>itutions’ ability to assess and mitigate risk</w:t>
      </w:r>
      <w:r w:rsidR="00CC622B">
        <w:rPr>
          <w:rFonts w:eastAsia="MS Mincho"/>
        </w:rPr>
        <w:t>;</w:t>
      </w:r>
      <w:r w:rsidR="00A93D3A">
        <w:rPr>
          <w:rFonts w:eastAsia="MS Mincho"/>
        </w:rPr>
        <w:t xml:space="preserve"> </w:t>
      </w:r>
      <w:r>
        <w:rPr>
          <w:rFonts w:eastAsia="MS Mincho"/>
        </w:rPr>
        <w:t>help prevent evasion of financial sanctions</w:t>
      </w:r>
      <w:r w:rsidR="00CC622B">
        <w:rPr>
          <w:rFonts w:eastAsia="MS Mincho"/>
        </w:rPr>
        <w:t>;</w:t>
      </w:r>
      <w:r w:rsidR="00A93D3A">
        <w:rPr>
          <w:rFonts w:eastAsia="MS Mincho"/>
        </w:rPr>
        <w:t xml:space="preserve"> </w:t>
      </w:r>
      <w:r>
        <w:rPr>
          <w:rFonts w:eastAsia="MS Mincho"/>
        </w:rPr>
        <w:t>facilitate tax compliance</w:t>
      </w:r>
      <w:r w:rsidR="00CC622B">
        <w:rPr>
          <w:rFonts w:eastAsia="MS Mincho"/>
        </w:rPr>
        <w:t>;</w:t>
      </w:r>
      <w:r w:rsidR="00A93D3A">
        <w:rPr>
          <w:rFonts w:eastAsia="MS Mincho"/>
        </w:rPr>
        <w:t xml:space="preserve"> </w:t>
      </w:r>
      <w:r>
        <w:rPr>
          <w:rFonts w:eastAsia="MS Mincho"/>
        </w:rPr>
        <w:t>enhance the financial transparency</w:t>
      </w:r>
      <w:r w:rsidR="00CC622B">
        <w:rPr>
          <w:rFonts w:eastAsia="MS Mincho"/>
        </w:rPr>
        <w:t>;</w:t>
      </w:r>
      <w:r w:rsidR="00A93D3A">
        <w:rPr>
          <w:rFonts w:eastAsia="MS Mincho"/>
        </w:rPr>
        <w:t xml:space="preserve"> </w:t>
      </w:r>
      <w:r>
        <w:rPr>
          <w:rFonts w:eastAsia="MS Mincho"/>
        </w:rPr>
        <w:t>and advance U.S. compliance with international standards and information sharing commitments.  Moreov</w:t>
      </w:r>
      <w:r>
        <w:rPr>
          <w:rFonts w:eastAsia="MS Mincho"/>
        </w:rPr>
        <w:t xml:space="preserve">er, </w:t>
      </w:r>
      <w:r w:rsidR="00CC622B">
        <w:rPr>
          <w:rFonts w:eastAsia="MS Mincho"/>
        </w:rPr>
        <w:t xml:space="preserve">the reporting </w:t>
      </w:r>
      <w:r w:rsidR="007843A7">
        <w:rPr>
          <w:rFonts w:eastAsia="MS Mincho"/>
        </w:rPr>
        <w:t xml:space="preserve">required by </w:t>
      </w:r>
      <w:r w:rsidR="00CC622B">
        <w:rPr>
          <w:rFonts w:eastAsia="MS Mincho"/>
        </w:rPr>
        <w:t xml:space="preserve">the CTA </w:t>
      </w:r>
      <w:r w:rsidR="007F013C">
        <w:rPr>
          <w:rFonts w:eastAsia="MS Mincho"/>
        </w:rPr>
        <w:t>may</w:t>
      </w:r>
      <w:r w:rsidR="00337F71">
        <w:rPr>
          <w:rFonts w:eastAsia="MS Mincho"/>
        </w:rPr>
        <w:t xml:space="preserve"> make </w:t>
      </w:r>
      <w:r w:rsidR="00CC622B">
        <w:rPr>
          <w:rFonts w:eastAsia="MS Mincho"/>
        </w:rPr>
        <w:t>illicit financial activity</w:t>
      </w:r>
      <w:r w:rsidR="00337F71">
        <w:rPr>
          <w:rFonts w:eastAsia="MS Mincho"/>
        </w:rPr>
        <w:t xml:space="preserve"> in the United States more difficult by increasing barriers for illicit actors to covertly transact through shell or front companies within the U.S. economy.  </w:t>
      </w:r>
      <w:r w:rsidR="00BF53DE">
        <w:t xml:space="preserve">Recent geopolitical events </w:t>
      </w:r>
      <w:r w:rsidR="00BF53DE">
        <w:t xml:space="preserve">have reinforced the threat that abuse of corporate entities, including shell or front companies, by illicit actors and corrupt officials presents to the U.S. national security and the U.S. and international financial systems. </w:t>
      </w:r>
      <w:r w:rsidR="00525D12">
        <w:t xml:space="preserve"> </w:t>
      </w:r>
      <w:r w:rsidR="00EA4319">
        <w:t xml:space="preserve">The aftermath of Russia’s illegal annexation of Crimea in March 2014 and </w:t>
      </w:r>
      <w:r w:rsidR="00BF53DE">
        <w:t xml:space="preserve">unlawful invasion of Ukraine in February 2022 </w:t>
      </w:r>
      <w:r w:rsidR="00EA4319">
        <w:t xml:space="preserve">make clear </w:t>
      </w:r>
      <w:r w:rsidR="00BF53DE">
        <w:t xml:space="preserve">that Russian elites, state-owned enterprises, and organized crime, as well as the Government of the Russian Federation have attempted </w:t>
      </w:r>
      <w:r w:rsidR="00EA4319">
        <w:t xml:space="preserve">and will continue to attempt </w:t>
      </w:r>
      <w:r w:rsidR="00BF53DE">
        <w:t>to use U.S. and non-U.S. shell companies to evade sanctions imposed on Russia.  Money laundering and sanctions evasion by these sanctioned Russians pose a significant threat to the national security of the United States and its partners and allies.</w:t>
      </w:r>
    </w:p>
    <w:p w:rsidR="00BF53DE" w:rsidP="00514E22" w14:paraId="222C8EAE" w14:textId="10A7B644">
      <w:pPr>
        <w:autoSpaceDE w:val="0"/>
        <w:autoSpaceDN w:val="0"/>
        <w:adjustRightInd w:val="0"/>
        <w:spacing w:after="240"/>
        <w:ind w:firstLine="720"/>
      </w:pPr>
      <w:r>
        <w:t xml:space="preserve">The collection of </w:t>
      </w:r>
      <w:r>
        <w:t>BOI</w:t>
      </w:r>
      <w:r>
        <w:t xml:space="preserve"> in a centralized database, accessible to U.S. Government departments and agencies, law enforcement, tax authorities, and financial institutions, may also help to level the playing field for honest businesses, including small busin</w:t>
      </w:r>
      <w:r>
        <w:t>esses with fewer resources, that are at a disadvantage when competing against criminals who use shell companies to evade taxes, hide their illicit wealth, and defraud employees and customers.</w:t>
      </w:r>
    </w:p>
    <w:p w:rsidR="00EC33D9" w:rsidP="00514E22" w14:paraId="09E2C090" w14:textId="694E2EE3">
      <w:pPr>
        <w:autoSpaceDE w:val="0"/>
        <w:autoSpaceDN w:val="0"/>
        <w:adjustRightInd w:val="0"/>
        <w:spacing w:after="240"/>
        <w:ind w:firstLine="720"/>
      </w:pPr>
      <w:r>
        <w:t>While the CTA sets out general BOI use</w:t>
      </w:r>
      <w:r w:rsidR="65E535EF">
        <w:t>-</w:t>
      </w:r>
      <w:r>
        <w:t>and</w:t>
      </w:r>
      <w:r w:rsidR="65E535EF">
        <w:t>-</w:t>
      </w:r>
      <w:r>
        <w:t>access protocols, the</w:t>
      </w:r>
      <w:r>
        <w:t xml:space="preserve"> statute requires </w:t>
      </w:r>
      <w:r w:rsidRPr="00B24004" w:rsidR="3013547E">
        <w:t xml:space="preserve">FinCEN </w:t>
      </w:r>
      <w:r w:rsidRPr="00B24004">
        <w:t xml:space="preserve">to </w:t>
      </w:r>
      <w:r w:rsidR="003D525C">
        <w:t xml:space="preserve">issue regulations concerning </w:t>
      </w:r>
      <w:r w:rsidRPr="00B24004" w:rsidR="791EF4CC">
        <w:t>those</w:t>
      </w:r>
      <w:r w:rsidRPr="00B24004">
        <w:t xml:space="preserve"> </w:t>
      </w:r>
      <w:r w:rsidRPr="00B24004" w:rsidR="478A6C69">
        <w:t>protocols</w:t>
      </w:r>
      <w:r w:rsidRPr="00B24004" w:rsidR="404A9F0A">
        <w:t>.</w:t>
      </w:r>
      <w:r w:rsidR="5D2F6690">
        <w:t xml:space="preserve">  On </w:t>
      </w:r>
      <w:r w:rsidR="4C57EDC3">
        <w:t xml:space="preserve">December 16, 2022, FinCEN published </w:t>
      </w:r>
      <w:r w:rsidR="104546F9">
        <w:t xml:space="preserve">a </w:t>
      </w:r>
      <w:r w:rsidR="4C57EDC3">
        <w:t>notice of proposed rulemaking</w:t>
      </w:r>
      <w:r w:rsidR="00F22786">
        <w:t xml:space="preserve"> regarding access </w:t>
      </w:r>
      <w:r w:rsidRPr="5CA521F6" w:rsidR="48EEB447">
        <w:rPr>
          <w:color w:val="000000" w:themeColor="text1"/>
        </w:rPr>
        <w:t>to BO</w:t>
      </w:r>
      <w:r w:rsidR="00F22786">
        <w:rPr>
          <w:color w:val="000000" w:themeColor="text1"/>
        </w:rPr>
        <w:t>I by</w:t>
      </w:r>
      <w:r w:rsidRPr="5CA521F6" w:rsidR="166457F4">
        <w:rPr>
          <w:color w:val="000000" w:themeColor="text1"/>
        </w:rPr>
        <w:t xml:space="preserve"> authorized recipients</w:t>
      </w:r>
      <w:r w:rsidRPr="5CA521F6" w:rsidR="2B684401">
        <w:rPr>
          <w:color w:val="000000" w:themeColor="text1"/>
        </w:rPr>
        <w:t xml:space="preserve">, </w:t>
      </w:r>
      <w:r w:rsidRPr="5CA521F6" w:rsidR="5BC1AC46">
        <w:rPr>
          <w:color w:val="000000" w:themeColor="text1"/>
        </w:rPr>
        <w:t xml:space="preserve">which </w:t>
      </w:r>
      <w:r w:rsidRPr="5CA521F6" w:rsidR="2B684401">
        <w:rPr>
          <w:color w:val="000000" w:themeColor="text1"/>
        </w:rPr>
        <w:t>includ</w:t>
      </w:r>
      <w:r w:rsidRPr="5CA521F6" w:rsidR="6B80D8AA">
        <w:rPr>
          <w:color w:val="000000" w:themeColor="text1"/>
        </w:rPr>
        <w:t>ed</w:t>
      </w:r>
      <w:r w:rsidRPr="5CA521F6" w:rsidR="2B684401">
        <w:rPr>
          <w:color w:val="000000" w:themeColor="text1"/>
        </w:rPr>
        <w:t xml:space="preserve"> the p</w:t>
      </w:r>
      <w:r w:rsidRPr="5CA521F6" w:rsidR="2B684401">
        <w:t>rotocols on security and confidentiality required by the CTA</w:t>
      </w:r>
      <w:r w:rsidR="00F22786">
        <w:t xml:space="preserve"> (Access NPRM).</w:t>
      </w:r>
      <w:r>
        <w:rPr>
          <w:rStyle w:val="FootnoteReference"/>
          <w:color w:val="000000"/>
        </w:rPr>
        <w:footnoteReference w:id="16"/>
      </w:r>
      <w:r w:rsidR="00F22786">
        <w:t xml:space="preserve">  The </w:t>
      </w:r>
      <w:r w:rsidR="4E80CD75">
        <w:t>Access</w:t>
      </w:r>
      <w:r w:rsidR="00F22786">
        <w:t xml:space="preserve"> NPRM had a 60-day comment period that closed on February 14, 2023.</w:t>
      </w:r>
    </w:p>
    <w:p w:rsidR="00600940" w:rsidP="00E2669C" w14:paraId="4D37384E" w14:textId="6097FE96">
      <w:pPr>
        <w:spacing w:after="240"/>
        <w:rPr>
          <w:szCs w:val="22"/>
        </w:rPr>
      </w:pPr>
      <w:r>
        <w:rPr>
          <w:szCs w:val="22"/>
        </w:rPr>
        <w:t xml:space="preserve">3. </w:t>
      </w:r>
      <w:r w:rsidR="007E495B">
        <w:rPr>
          <w:szCs w:val="22"/>
          <w:u w:val="single"/>
        </w:rPr>
        <w:t>Use of improved i</w:t>
      </w:r>
      <w:r>
        <w:rPr>
          <w:szCs w:val="22"/>
          <w:u w:val="single"/>
        </w:rPr>
        <w:t>n</w:t>
      </w:r>
      <w:r w:rsidR="007E495B">
        <w:rPr>
          <w:szCs w:val="22"/>
          <w:u w:val="single"/>
        </w:rPr>
        <w:t>formation technology to reduce b</w:t>
      </w:r>
      <w:r>
        <w:rPr>
          <w:szCs w:val="22"/>
          <w:u w:val="single"/>
        </w:rPr>
        <w:t>urden.</w:t>
      </w:r>
      <w:r>
        <w:rPr>
          <w:szCs w:val="22"/>
        </w:rPr>
        <w:t xml:space="preserve"> </w:t>
      </w:r>
    </w:p>
    <w:p w:rsidR="00600940" w:rsidP="00E2669C" w14:paraId="5A77E911" w14:textId="1D39B7D3">
      <w:pPr>
        <w:spacing w:after="240"/>
        <w:ind w:firstLine="720"/>
        <w:rPr>
          <w:szCs w:val="22"/>
        </w:rPr>
      </w:pPr>
      <w:r w:rsidRPr="002C287D">
        <w:rPr>
          <w:szCs w:val="22"/>
        </w:rPr>
        <w:t>Reporting companies</w:t>
      </w:r>
      <w:r w:rsidRPr="002C287D" w:rsidR="00C0759E">
        <w:rPr>
          <w:szCs w:val="22"/>
        </w:rPr>
        <w:t xml:space="preserve"> and persons applying for FinCEN identifiers </w:t>
      </w:r>
      <w:r w:rsidRPr="002C287D">
        <w:rPr>
          <w:szCs w:val="22"/>
        </w:rPr>
        <w:t xml:space="preserve">will be required to submit </w:t>
      </w:r>
      <w:r w:rsidRPr="002C287D" w:rsidR="00C0759E">
        <w:rPr>
          <w:szCs w:val="22"/>
        </w:rPr>
        <w:t xml:space="preserve">information </w:t>
      </w:r>
      <w:r w:rsidRPr="002C287D">
        <w:rPr>
          <w:szCs w:val="22"/>
        </w:rPr>
        <w:t>electronically.</w:t>
      </w:r>
      <w:r>
        <w:rPr>
          <w:szCs w:val="22"/>
        </w:rPr>
        <w:t xml:space="preserve">  </w:t>
      </w:r>
    </w:p>
    <w:p w:rsidR="006E505F" w:rsidP="00E2669C" w14:paraId="3E9755D5" w14:textId="0EEA06F8">
      <w:pPr>
        <w:keepNext/>
        <w:keepLines/>
        <w:spacing w:after="240"/>
        <w:rPr>
          <w:szCs w:val="22"/>
          <w:u w:val="single"/>
        </w:rPr>
      </w:pPr>
      <w:r>
        <w:rPr>
          <w:szCs w:val="22"/>
        </w:rPr>
        <w:t xml:space="preserve">4. </w:t>
      </w:r>
      <w:r w:rsidR="007E495B">
        <w:rPr>
          <w:szCs w:val="22"/>
          <w:u w:val="single"/>
        </w:rPr>
        <w:t>Efforts to identify d</w:t>
      </w:r>
      <w:r>
        <w:rPr>
          <w:szCs w:val="22"/>
          <w:u w:val="single"/>
        </w:rPr>
        <w:t>uplication</w:t>
      </w:r>
      <w:r w:rsidR="00384B9B">
        <w:rPr>
          <w:szCs w:val="22"/>
          <w:u w:val="single"/>
        </w:rPr>
        <w:t>.</w:t>
      </w:r>
      <w:r>
        <w:rPr>
          <w:szCs w:val="22"/>
          <w:u w:val="single"/>
        </w:rPr>
        <w:t xml:space="preserve"> </w:t>
      </w:r>
    </w:p>
    <w:p w:rsidR="006308F9" w:rsidP="00E2669C" w14:paraId="23FE2C08" w14:textId="75DAA913">
      <w:pPr>
        <w:keepNext/>
        <w:keepLines/>
        <w:spacing w:after="240"/>
        <w:ind w:firstLine="720"/>
      </w:pPr>
      <w:r>
        <w:t>T</w:t>
      </w:r>
      <w:r w:rsidR="06249327">
        <w:t xml:space="preserve">here are no </w:t>
      </w:r>
      <w:r w:rsidR="5A7268D7">
        <w:t>F</w:t>
      </w:r>
      <w:r w:rsidR="06249327">
        <w:t xml:space="preserve">ederal rules that directly </w:t>
      </w:r>
      <w:r w:rsidR="0A274EB9">
        <w:t xml:space="preserve">or </w:t>
      </w:r>
      <w:r w:rsidR="06249327">
        <w:t>fully duplicate</w:t>
      </w:r>
      <w:r w:rsidR="7C8182EA">
        <w:t xml:space="preserve"> or </w:t>
      </w:r>
      <w:r w:rsidR="06249327">
        <w:t>overlap</w:t>
      </w:r>
      <w:r w:rsidR="2F0C573D">
        <w:t xml:space="preserve"> </w:t>
      </w:r>
      <w:r w:rsidR="06249327">
        <w:t xml:space="preserve">with the </w:t>
      </w:r>
      <w:r w:rsidR="1A7A9160">
        <w:t>final</w:t>
      </w:r>
      <w:r w:rsidR="06249327">
        <w:t xml:space="preserve"> rule</w:t>
      </w:r>
      <w:r w:rsidR="7C8182EA">
        <w:t>, or that require the reporting of the same information</w:t>
      </w:r>
      <w:r w:rsidR="06249327">
        <w:t xml:space="preserve">.  </w:t>
      </w:r>
      <w:r w:rsidR="7C8182EA">
        <w:t>Therefore</w:t>
      </w:r>
      <w:r w:rsidR="66F1B3F8">
        <w:t>,</w:t>
      </w:r>
      <w:r w:rsidR="7C8182EA">
        <w:t xml:space="preserve"> there is no information already available to the </w:t>
      </w:r>
      <w:r w:rsidR="44D8D694">
        <w:t>F</w:t>
      </w:r>
      <w:r w:rsidR="7C8182EA">
        <w:t xml:space="preserve">ederal government that could be used or modified to fully satisfy the statutory requirements identified in </w:t>
      </w:r>
      <w:r w:rsidR="32C62634">
        <w:t xml:space="preserve">Section </w:t>
      </w:r>
      <w:r w:rsidR="7C8182EA">
        <w:t xml:space="preserve">1 </w:t>
      </w:r>
      <w:r w:rsidR="32C62634">
        <w:t xml:space="preserve">above </w:t>
      </w:r>
      <w:r w:rsidR="7C8182EA">
        <w:t>or</w:t>
      </w:r>
      <w:r w:rsidR="66F1B3F8">
        <w:t xml:space="preserve"> that</w:t>
      </w:r>
      <w:r w:rsidR="7C8182EA">
        <w:t xml:space="preserve"> fully serve the uses identified in </w:t>
      </w:r>
      <w:r w:rsidR="32C62634">
        <w:t xml:space="preserve">Section </w:t>
      </w:r>
      <w:r w:rsidR="7C8182EA">
        <w:t>2</w:t>
      </w:r>
      <w:r w:rsidR="32C62634">
        <w:t xml:space="preserve"> above</w:t>
      </w:r>
      <w:r w:rsidR="7C8182EA">
        <w:t>.</w:t>
      </w:r>
    </w:p>
    <w:p w:rsidR="00BC34B9" w:rsidP="00E2669C" w14:paraId="25555F2B" w14:textId="3CF86061">
      <w:pPr>
        <w:spacing w:after="240"/>
        <w:ind w:firstLine="720"/>
      </w:pPr>
      <w:r>
        <w:t xml:space="preserve">FinCEN identified </w:t>
      </w:r>
      <w:r w:rsidR="00BF5574">
        <w:t xml:space="preserve">several </w:t>
      </w:r>
      <w:r>
        <w:t xml:space="preserve">areas of </w:t>
      </w:r>
      <w:r w:rsidR="00216F7E">
        <w:t xml:space="preserve">possible or apparent </w:t>
      </w:r>
      <w:r>
        <w:t>partial overlap</w:t>
      </w:r>
      <w:r w:rsidR="005E7FE6">
        <w:t xml:space="preserve">, but </w:t>
      </w:r>
      <w:r w:rsidR="00C567C7">
        <w:t xml:space="preserve">none of the following appear to involve </w:t>
      </w:r>
      <w:r w:rsidR="005E7FE6">
        <w:t xml:space="preserve">any </w:t>
      </w:r>
      <w:r w:rsidR="00C567C7">
        <w:t xml:space="preserve">significant </w:t>
      </w:r>
      <w:r w:rsidR="000123F1">
        <w:t>duplication of effort</w:t>
      </w:r>
      <w:r w:rsidR="006308F9">
        <w:t xml:space="preserve">.  </w:t>
      </w:r>
    </w:p>
    <w:p w:rsidR="00BC34B9" w:rsidP="00E2669C" w14:paraId="1AECB5F7" w14:textId="534D0C09">
      <w:pPr>
        <w:pStyle w:val="ListParagraph"/>
        <w:numPr>
          <w:ilvl w:val="0"/>
          <w:numId w:val="7"/>
        </w:numPr>
        <w:spacing w:after="240"/>
        <w:ind w:left="720"/>
        <w:contextualSpacing w:val="0"/>
      </w:pPr>
      <w:r>
        <w:t>T</w:t>
      </w:r>
      <w:r w:rsidRPr="00630863">
        <w:t>he CTA requires the Administrator for Federal Procurement Policy to revis</w:t>
      </w:r>
      <w:r w:rsidRPr="00630863">
        <w:t xml:space="preserve">e the Federal Acquisition Regulation maintained under 41 U.S.C. 1303(a)(1) to require any contractor or subcontractor that is subject to the reporting requirements of the CTA and </w:t>
      </w:r>
      <w:r w:rsidR="2E5DDCBF">
        <w:t xml:space="preserve">the </w:t>
      </w:r>
      <w:r w:rsidR="1A7A9160">
        <w:t>final</w:t>
      </w:r>
      <w:r w:rsidRPr="00630863">
        <w:t xml:space="preserve"> rule to disclose the same information to the </w:t>
      </w:r>
      <w:r w:rsidRPr="00630863" w:rsidR="04899A52">
        <w:t>F</w:t>
      </w:r>
      <w:r w:rsidRPr="00630863">
        <w:t xml:space="preserve">ederal </w:t>
      </w:r>
      <w:r w:rsidRPr="00630863">
        <w:t xml:space="preserve">government as </w:t>
      </w:r>
      <w:r w:rsidRPr="00630863">
        <w:t>part of any bid or proposal for a contract that meets the threshold set in 41 U.S.C. 134.</w:t>
      </w:r>
      <w:r>
        <w:rPr>
          <w:rStyle w:val="FootnoteReference"/>
        </w:rPr>
        <w:footnoteReference w:id="17"/>
      </w:r>
      <w:r w:rsidRPr="00630863">
        <w:t xml:space="preserve">  </w:t>
      </w:r>
      <w:r w:rsidR="26EE77B7">
        <w:t xml:space="preserve">Additionally, </w:t>
      </w:r>
      <w:r w:rsidR="0A274EB9">
        <w:t>Congress</w:t>
      </w:r>
      <w:r w:rsidR="26EE77B7">
        <w:t xml:space="preserve"> create</w:t>
      </w:r>
      <w:r w:rsidR="0A274EB9">
        <w:t>d</w:t>
      </w:r>
      <w:r w:rsidR="26EE77B7">
        <w:t xml:space="preserve"> a new beneficial ownership disclosure requirement for the database of </w:t>
      </w:r>
      <w:r w:rsidR="40EC3222">
        <w:t>F</w:t>
      </w:r>
      <w:r w:rsidR="26EE77B7">
        <w:t xml:space="preserve">ederal agency contract and grant officers that already exists pursuant to 41 U.S.C. 2313(d).  </w:t>
      </w:r>
      <w:r w:rsidR="26EE77B7">
        <w:rPr>
          <w:rStyle w:val="CommentReference"/>
        </w:rPr>
        <w:t xml:space="preserve"> </w:t>
      </w:r>
      <w:r w:rsidRPr="00630863">
        <w:t xml:space="preserve">FinCEN </w:t>
      </w:r>
      <w:r w:rsidR="19795D31">
        <w:t>will</w:t>
      </w:r>
      <w:r w:rsidRPr="00630863">
        <w:t xml:space="preserve"> collaborate with the Administrator </w:t>
      </w:r>
      <w:r w:rsidRPr="00630863" w:rsidR="0AA2599E">
        <w:t xml:space="preserve">for Federal Procurement Policy </w:t>
      </w:r>
      <w:r w:rsidRPr="00630863">
        <w:t xml:space="preserve">and other government agencies as necessary to </w:t>
      </w:r>
      <w:r w:rsidR="0AA2599E">
        <w:t>reduc</w:t>
      </w:r>
      <w:r w:rsidR="26EE77B7">
        <w:t>e</w:t>
      </w:r>
      <w:r w:rsidR="0AA2599E">
        <w:t>, to the extent possible, any</w:t>
      </w:r>
      <w:r w:rsidRPr="00630863">
        <w:t xml:space="preserve"> </w:t>
      </w:r>
      <w:r w:rsidRPr="00630863" w:rsidR="0AA2599E">
        <w:t>duplicati</w:t>
      </w:r>
      <w:r w:rsidR="0AA2599E">
        <w:t>on</w:t>
      </w:r>
      <w:r w:rsidRPr="00630863" w:rsidR="0AA2599E">
        <w:t xml:space="preserve"> </w:t>
      </w:r>
      <w:r w:rsidRPr="00630863">
        <w:t>of the CTA requirements.</w:t>
      </w:r>
      <w:r>
        <w:t xml:space="preserve">  </w:t>
      </w:r>
    </w:p>
    <w:p w:rsidR="00BC34B9" w:rsidP="00E2669C" w14:paraId="4D4AE09E" w14:textId="2B1BBD3F">
      <w:pPr>
        <w:pStyle w:val="ListParagraph"/>
        <w:numPr>
          <w:ilvl w:val="0"/>
          <w:numId w:val="7"/>
        </w:numPr>
        <w:spacing w:after="240"/>
        <w:ind w:left="720"/>
        <w:contextualSpacing w:val="0"/>
      </w:pPr>
      <w:r>
        <w:t xml:space="preserve">FinCEN is aware that the </w:t>
      </w:r>
      <w:r w:rsidR="047794D1">
        <w:t>Internal Revenue Service (</w:t>
      </w:r>
      <w:r>
        <w:t>IRS</w:t>
      </w:r>
      <w:r w:rsidR="2F59994E">
        <w:t>)</w:t>
      </w:r>
      <w:r>
        <w:t xml:space="preserve"> collects taxpayer information that may include information related to beneficial ownership, such as information on entity ownership structure and identifying information about such </w:t>
      </w:r>
      <w:r w:rsidR="0A274EB9">
        <w:t xml:space="preserve">entities and their </w:t>
      </w:r>
      <w:r>
        <w:t xml:space="preserve">owners.  </w:t>
      </w:r>
      <w:r w:rsidR="271BE983">
        <w:t>However,</w:t>
      </w:r>
      <w:r w:rsidR="00DD1B95">
        <w:t xml:space="preserve"> </w:t>
      </w:r>
      <w:r w:rsidR="000123F1">
        <w:t>limits on IRS</w:t>
      </w:r>
      <w:r w:rsidR="00DD1B95">
        <w:t xml:space="preserve"> disclosure of taxpayer information</w:t>
      </w:r>
      <w:r w:rsidR="000123F1">
        <w:t xml:space="preserve"> are inconsistent with the broad uses of beneficial ownership information envisioned in </w:t>
      </w:r>
      <w:r w:rsidR="00DD1B95">
        <w:t xml:space="preserve">the </w:t>
      </w:r>
      <w:r w:rsidR="00DD1B95">
        <w:t>CTA</w:t>
      </w:r>
      <w:r w:rsidR="000123F1">
        <w:t xml:space="preserve"> </w:t>
      </w:r>
      <w:r w:rsidR="00DD1B95">
        <w:t>.</w:t>
      </w:r>
      <w:r w:rsidR="00DD1B95">
        <w:t xml:space="preserve">  </w:t>
      </w:r>
      <w:r w:rsidR="271BE983">
        <w:t xml:space="preserve"> </w:t>
      </w:r>
    </w:p>
    <w:p w:rsidR="00193447" w:rsidP="00E2669C" w14:paraId="56F238CD" w14:textId="15888F86">
      <w:pPr>
        <w:pStyle w:val="ListParagraph"/>
        <w:numPr>
          <w:ilvl w:val="0"/>
          <w:numId w:val="7"/>
        </w:numPr>
        <w:spacing w:after="240"/>
        <w:ind w:left="720"/>
        <w:contextualSpacing w:val="0"/>
      </w:pPr>
      <w:r>
        <w:t xml:space="preserve">FinCEN is also aware that </w:t>
      </w:r>
      <w:r w:rsidRPr="00023B6D">
        <w:t xml:space="preserve">financial institutions subject to </w:t>
      </w:r>
      <w:r w:rsidRPr="00023B6D" w:rsidR="623BDA29">
        <w:t>FinCEN’s 2016 rule regarding customer due dilig</w:t>
      </w:r>
      <w:r w:rsidRPr="00023B6D" w:rsidR="3ADDF20A">
        <w:t>e</w:t>
      </w:r>
      <w:r w:rsidRPr="00023B6D" w:rsidR="623BDA29">
        <w:t>nce</w:t>
      </w:r>
      <w:r>
        <w:rPr>
          <w:vertAlign w:val="superscript"/>
        </w:rPr>
        <w:footnoteReference w:id="18"/>
      </w:r>
      <w:r w:rsidRPr="00023B6D">
        <w:t xml:space="preserve"> </w:t>
      </w:r>
      <w:r w:rsidRPr="00023B6D" w:rsidR="5A5474E4">
        <w:t>(</w:t>
      </w:r>
      <w:r w:rsidR="66F1B3F8">
        <w:t xml:space="preserve">2016 </w:t>
      </w:r>
      <w:r w:rsidRPr="00023B6D">
        <w:t>CDD Rule</w:t>
      </w:r>
      <w:r w:rsidRPr="00023B6D" w:rsidR="24682972">
        <w:t>)</w:t>
      </w:r>
      <w:r w:rsidRPr="00023B6D">
        <w:t xml:space="preserve"> are required to collect </w:t>
      </w:r>
      <w:r>
        <w:t xml:space="preserve">some </w:t>
      </w:r>
      <w:r w:rsidR="0A274EB9">
        <w:t>beneficial ownership information</w:t>
      </w:r>
      <w:r w:rsidRPr="00023B6D">
        <w:t xml:space="preserve"> from </w:t>
      </w:r>
      <w:r>
        <w:t xml:space="preserve">legal </w:t>
      </w:r>
      <w:r w:rsidRPr="00023B6D">
        <w:t xml:space="preserve">entities that establish </w:t>
      </w:r>
      <w:r>
        <w:t>new accounts</w:t>
      </w:r>
      <w:r w:rsidRPr="00023B6D">
        <w:t>.</w:t>
      </w:r>
      <w:r>
        <w:rPr>
          <w:rStyle w:val="FootnoteReference"/>
        </w:rPr>
        <w:footnoteReference w:id="19"/>
      </w:r>
      <w:r w:rsidRPr="00023B6D">
        <w:t xml:space="preserve">  </w:t>
      </w:r>
      <w:r>
        <w:t xml:space="preserve">However, the </w:t>
      </w:r>
      <w:r w:rsidR="66F1B3F8">
        <w:t xml:space="preserve">2016 </w:t>
      </w:r>
      <w:r>
        <w:t>CDD Rule does not require these financial institutions to file a report with FinCEN</w:t>
      </w:r>
      <w:r w:rsidRPr="003D525C" w:rsidR="003D525C">
        <w:t xml:space="preserve"> </w:t>
      </w:r>
      <w:r w:rsidR="003D525C">
        <w:t>containing that information</w:t>
      </w:r>
      <w:r>
        <w:t xml:space="preserve">.  </w:t>
      </w:r>
      <w:r w:rsidR="36CF95B3">
        <w:t>T</w:t>
      </w:r>
      <w:r>
        <w:t>he</w:t>
      </w:r>
      <w:r w:rsidRPr="006F66E9">
        <w:t xml:space="preserve"> CTA requires that </w:t>
      </w:r>
      <w:r>
        <w:t xml:space="preserve">the </w:t>
      </w:r>
      <w:r w:rsidR="66F1B3F8">
        <w:t xml:space="preserve">2016 </w:t>
      </w:r>
      <w:r>
        <w:t>CDD</w:t>
      </w:r>
      <w:r w:rsidRPr="006F66E9">
        <w:t xml:space="preserve"> </w:t>
      </w:r>
      <w:r>
        <w:t>R</w:t>
      </w:r>
      <w:r w:rsidRPr="006F66E9">
        <w:t>ule be revised</w:t>
      </w:r>
      <w:r w:rsidR="35A2D6F5">
        <w:t xml:space="preserve"> </w:t>
      </w:r>
      <w:r w:rsidR="7A95343B">
        <w:t xml:space="preserve">within one year </w:t>
      </w:r>
      <w:r w:rsidR="35A2D6F5">
        <w:t xml:space="preserve">after the effective date of the </w:t>
      </w:r>
      <w:r w:rsidR="1A7A9160">
        <w:t>final</w:t>
      </w:r>
      <w:r w:rsidR="35A2D6F5">
        <w:t xml:space="preserve"> rul</w:t>
      </w:r>
      <w:r w:rsidR="4689B4FB">
        <w:t>e</w:t>
      </w:r>
      <w:r w:rsidR="35A2D6F5">
        <w:t>.</w:t>
      </w:r>
      <w:r w:rsidRPr="006F66E9">
        <w:t xml:space="preserve">  The CTA explicitly identifies three purposes for this revision: to bring the rule into conformity with the AML Act as a whole, including the CTA; to account for </w:t>
      </w:r>
      <w:r w:rsidR="4574AB44">
        <w:t xml:space="preserve">any access that </w:t>
      </w:r>
      <w:r w:rsidRPr="006F66E9">
        <w:t xml:space="preserve">financial institutions </w:t>
      </w:r>
      <w:r w:rsidR="4689B4FB">
        <w:t xml:space="preserve">will </w:t>
      </w:r>
      <w:r w:rsidRPr="006F66E9">
        <w:t xml:space="preserve">have to </w:t>
      </w:r>
      <w:r w:rsidR="4574AB44">
        <w:t xml:space="preserve">the database of </w:t>
      </w:r>
      <w:r w:rsidRPr="006F66E9">
        <w:t xml:space="preserve">BOI </w:t>
      </w:r>
      <w:r w:rsidR="4574AB44">
        <w:t>for the limited purpose of facilitating c</w:t>
      </w:r>
      <w:r w:rsidR="36CF95B3">
        <w:t>o</w:t>
      </w:r>
      <w:r w:rsidR="4574AB44">
        <w:t>mpliance with their own</w:t>
      </w:r>
      <w:r w:rsidRPr="006F66E9">
        <w:t xml:space="preserve"> customer due diligence </w:t>
      </w:r>
      <w:r w:rsidR="4574AB44">
        <w:t>obligations</w:t>
      </w:r>
      <w:r w:rsidRPr="006F66E9">
        <w:t>; and to reduce unnecessary or duplicative burdens on financial institutions and customers.</w:t>
      </w:r>
    </w:p>
    <w:p w:rsidR="00BC34B9" w:rsidP="00E2669C" w14:paraId="4C97DC4C" w14:textId="58795F05">
      <w:pPr>
        <w:pStyle w:val="ListParagraph"/>
        <w:numPr>
          <w:ilvl w:val="0"/>
          <w:numId w:val="7"/>
        </w:numPr>
        <w:spacing w:after="240"/>
        <w:ind w:left="720"/>
        <w:contextualSpacing w:val="0"/>
      </w:pPr>
      <w:r>
        <w:t>Finally, FinCEN is aware that the Secure Federal LEASEs Act</w:t>
      </w:r>
      <w:r w:rsidR="3C93AAAC">
        <w:t xml:space="preserve"> requires most </w:t>
      </w:r>
      <w:r w:rsidR="28503EED">
        <w:t>F</w:t>
      </w:r>
      <w:r w:rsidR="3C93AAAC">
        <w:t>ederal agencies with leasing authority to identify the beneficial owners of prospective lessors before entering into leases of space intended as high security leased space, in conformity with a government-wide plan to be developed by General Services Administration (GSA).</w:t>
      </w:r>
      <w:r>
        <w:rPr>
          <w:rStyle w:val="FootnoteReference"/>
        </w:rPr>
        <w:footnoteReference w:id="20"/>
      </w:r>
      <w:r w:rsidR="3C93AAAC">
        <w:t xml:space="preserve">  FinCEN is working with GSA to</w:t>
      </w:r>
      <w:r w:rsidR="04908F12">
        <w:t xml:space="preserve"> </w:t>
      </w:r>
      <w:r w:rsidR="2D67BE52">
        <w:t>harmonize</w:t>
      </w:r>
      <w:r w:rsidR="04908F12">
        <w:t xml:space="preserve"> the </w:t>
      </w:r>
      <w:r w:rsidR="3C93AAAC">
        <w:t>definitions used in this government-wide plan with those used in the final rule</w:t>
      </w:r>
      <w:r w:rsidR="764D4EAB">
        <w:t>.</w:t>
      </w:r>
    </w:p>
    <w:p w:rsidR="00023164" w:rsidRPr="00E2669C" w:rsidP="00E2669C" w14:paraId="2E217663" w14:textId="02B097CD">
      <w:pPr>
        <w:spacing w:after="240"/>
        <w:rPr>
          <w:szCs w:val="22"/>
          <w:u w:val="single"/>
        </w:rPr>
      </w:pPr>
      <w:r w:rsidRPr="005713B0">
        <w:rPr>
          <w:szCs w:val="22"/>
        </w:rPr>
        <w:t xml:space="preserve">5. </w:t>
      </w:r>
      <w:r w:rsidRPr="005713B0">
        <w:rPr>
          <w:szCs w:val="22"/>
          <w:u w:val="single"/>
        </w:rPr>
        <w:t>Metho</w:t>
      </w:r>
      <w:r w:rsidRPr="005713B0" w:rsidR="007E495B">
        <w:rPr>
          <w:szCs w:val="22"/>
          <w:u w:val="single"/>
        </w:rPr>
        <w:t>ds to minimize burden on small b</w:t>
      </w:r>
      <w:r w:rsidRPr="005713B0">
        <w:rPr>
          <w:szCs w:val="22"/>
          <w:u w:val="single"/>
        </w:rPr>
        <w:t xml:space="preserve">usinesses or </w:t>
      </w:r>
      <w:r w:rsidRPr="005713B0" w:rsidR="007E495B">
        <w:rPr>
          <w:szCs w:val="22"/>
          <w:u w:val="single"/>
        </w:rPr>
        <w:t>other small e</w:t>
      </w:r>
      <w:r w:rsidRPr="005713B0">
        <w:rPr>
          <w:szCs w:val="22"/>
          <w:u w:val="single"/>
        </w:rPr>
        <w:t>ntities</w:t>
      </w:r>
      <w:r w:rsidRPr="005713B0" w:rsidR="00384B9B">
        <w:rPr>
          <w:szCs w:val="22"/>
          <w:u w:val="single"/>
        </w:rPr>
        <w:t>.</w:t>
      </w:r>
    </w:p>
    <w:p w:rsidR="00072689" w:rsidRPr="00023164" w:rsidP="00E2669C" w14:paraId="52D9C754" w14:textId="3CC73579">
      <w:pPr>
        <w:autoSpaceDE w:val="0"/>
        <w:autoSpaceDN w:val="0"/>
        <w:adjustRightInd w:val="0"/>
        <w:spacing w:after="240"/>
        <w:ind w:firstLine="720"/>
      </w:pPr>
      <w:r>
        <w:t>To the extent practicable, and consistent with</w:t>
      </w:r>
      <w:r>
        <w:t xml:space="preserve"> its statutory obligations, FinCEN has followed the CTA’s mandate to: (1) minimize burdens on reporting companies associated with the collection of </w:t>
      </w:r>
      <w:r>
        <w:t>BOI</w:t>
      </w:r>
      <w:r>
        <w:t>, including by eliminating duplicative requirements; and (2) ensure that the BOI reported to FinCEN is ac</w:t>
      </w:r>
      <w:r>
        <w:t xml:space="preserve">curate, complete, and highly useful.  </w:t>
      </w:r>
      <w:r w:rsidR="5694E901">
        <w:t xml:space="preserve">In addition, </w:t>
      </w:r>
      <w:r w:rsidR="374AF149">
        <w:t xml:space="preserve">FinCEN aims to minimize the burden on small businesses by providing clear guidance on how to comply with the </w:t>
      </w:r>
      <w:r w:rsidR="5364CC0C">
        <w:t xml:space="preserve">final </w:t>
      </w:r>
      <w:r w:rsidR="374AF149">
        <w:t>rule</w:t>
      </w:r>
      <w:r w:rsidR="35965BE7">
        <w:t>.</w:t>
      </w:r>
      <w:r w:rsidR="7EDD479E">
        <w:t xml:space="preserve"> </w:t>
      </w:r>
      <w:r w:rsidRPr="00B96B93" w:rsidR="00B96B93">
        <w:t xml:space="preserve"> </w:t>
      </w:r>
      <w:r w:rsidR="00AD6409">
        <w:t xml:space="preserve">For instance, </w:t>
      </w:r>
      <w:r w:rsidRPr="004D411A" w:rsidR="00B96B93">
        <w:t xml:space="preserve">FinCEN </w:t>
      </w:r>
      <w:r w:rsidR="00FF285B">
        <w:t xml:space="preserve">has </w:t>
      </w:r>
      <w:r w:rsidR="00AD6409">
        <w:t>published a</w:t>
      </w:r>
      <w:r w:rsidRPr="004D411A" w:rsidR="00B96B93">
        <w:t xml:space="preserve"> Small Entity Compliance Guide</w:t>
      </w:r>
      <w:r w:rsidR="00FF285B">
        <w:t xml:space="preserve"> and other educational materials</w:t>
      </w:r>
      <w:r w:rsidR="0059431E">
        <w:t>,</w:t>
      </w:r>
      <w:r w:rsidR="00FF285B">
        <w:t xml:space="preserve"> such as infographics </w:t>
      </w:r>
      <w:r w:rsidR="0059431E">
        <w:t xml:space="preserve">and </w:t>
      </w:r>
      <w:r w:rsidR="00FF285B">
        <w:t>an introductory video</w:t>
      </w:r>
      <w:r w:rsidR="0059431E">
        <w:t>,</w:t>
      </w:r>
      <w:r w:rsidR="00FF285B">
        <w:t xml:space="preserve"> </w:t>
      </w:r>
      <w:r w:rsidR="00B96B93">
        <w:t>in an effort</w:t>
      </w:r>
      <w:r w:rsidRPr="004D411A" w:rsidR="00B96B93">
        <w:t xml:space="preserve"> to</w:t>
      </w:r>
      <w:r w:rsidRPr="004D411A" w:rsidR="00B96B93">
        <w:t xml:space="preserve"> lessen the burden on small businesses by simply explaining to them what they need to report</w:t>
      </w:r>
      <w:r w:rsidR="00B96B93">
        <w:t>.</w:t>
      </w:r>
    </w:p>
    <w:p w:rsidR="00600940" w:rsidP="00E2669C" w14:paraId="02259CBA" w14:textId="1FE56856">
      <w:pPr>
        <w:spacing w:after="240"/>
        <w:rPr>
          <w:szCs w:val="22"/>
        </w:rPr>
      </w:pPr>
      <w:r>
        <w:rPr>
          <w:szCs w:val="22"/>
        </w:rPr>
        <w:t xml:space="preserve">6. </w:t>
      </w:r>
      <w:r w:rsidR="007E495B">
        <w:rPr>
          <w:szCs w:val="22"/>
          <w:u w:val="single"/>
        </w:rPr>
        <w:t>Consequences to the Federal g</w:t>
      </w:r>
      <w:r>
        <w:rPr>
          <w:szCs w:val="22"/>
          <w:u w:val="single"/>
        </w:rPr>
        <w:t>ove</w:t>
      </w:r>
      <w:r>
        <w:rPr>
          <w:szCs w:val="22"/>
          <w:u w:val="single"/>
        </w:rPr>
        <w:t xml:space="preserve">rnment of </w:t>
      </w:r>
      <w:r w:rsidR="007E495B">
        <w:rPr>
          <w:szCs w:val="22"/>
          <w:u w:val="single"/>
        </w:rPr>
        <w:t>n</w:t>
      </w:r>
      <w:r>
        <w:rPr>
          <w:szCs w:val="22"/>
          <w:u w:val="single"/>
        </w:rPr>
        <w:t xml:space="preserve">ot </w:t>
      </w:r>
      <w:r w:rsidR="007E495B">
        <w:rPr>
          <w:szCs w:val="22"/>
          <w:u w:val="single"/>
        </w:rPr>
        <w:t>collecting the i</w:t>
      </w:r>
      <w:r>
        <w:rPr>
          <w:szCs w:val="22"/>
          <w:u w:val="single"/>
        </w:rPr>
        <w:t>nformation.</w:t>
      </w:r>
      <w:r>
        <w:rPr>
          <w:szCs w:val="22"/>
        </w:rPr>
        <w:t xml:space="preserve"> </w:t>
      </w:r>
    </w:p>
    <w:p w:rsidR="009C79E1" w:rsidRPr="00AB3047" w:rsidP="00E2669C" w14:paraId="4F8946AE" w14:textId="74FF4B18">
      <w:pPr>
        <w:spacing w:after="240"/>
        <w:ind w:firstLine="720"/>
        <w:rPr>
          <w:szCs w:val="22"/>
        </w:rPr>
      </w:pPr>
      <w:r w:rsidRPr="009C79E1">
        <w:rPr>
          <w:szCs w:val="22"/>
        </w:rPr>
        <w:t>Legal entities</w:t>
      </w:r>
      <w:r w:rsidR="006E4717">
        <w:rPr>
          <w:szCs w:val="22"/>
        </w:rPr>
        <w:t>,</w:t>
      </w:r>
      <w:r w:rsidRPr="009C79E1">
        <w:rPr>
          <w:szCs w:val="22"/>
        </w:rPr>
        <w:t xml:space="preserve"> </w:t>
      </w:r>
      <w:r w:rsidR="006E4717">
        <w:rPr>
          <w:szCs w:val="22"/>
        </w:rPr>
        <w:t>including</w:t>
      </w:r>
      <w:r w:rsidRPr="009C79E1">
        <w:rPr>
          <w:szCs w:val="22"/>
        </w:rPr>
        <w:t xml:space="preserve"> corporations, limited liability companies, </w:t>
      </w:r>
      <w:r w:rsidR="006E4717">
        <w:rPr>
          <w:szCs w:val="22"/>
        </w:rPr>
        <w:t xml:space="preserve">and similar entities, </w:t>
      </w:r>
      <w:r w:rsidRPr="009C79E1">
        <w:rPr>
          <w:szCs w:val="22"/>
        </w:rPr>
        <w:t xml:space="preserve">play an essential and legitimate role in the U.S. and global economies.  </w:t>
      </w:r>
      <w:r>
        <w:rPr>
          <w:szCs w:val="22"/>
        </w:rPr>
        <w:t>However, t</w:t>
      </w:r>
      <w:r w:rsidRPr="009C79E1">
        <w:rPr>
          <w:szCs w:val="22"/>
        </w:rPr>
        <w:t>hey can also be used to engage in illic</w:t>
      </w:r>
      <w:r w:rsidRPr="009C79E1">
        <w:rPr>
          <w:szCs w:val="22"/>
        </w:rPr>
        <w:t xml:space="preserve">it activity, launder </w:t>
      </w:r>
      <w:r w:rsidR="00743F79">
        <w:rPr>
          <w:szCs w:val="22"/>
        </w:rPr>
        <w:t xml:space="preserve">the </w:t>
      </w:r>
      <w:r w:rsidRPr="009C79E1">
        <w:rPr>
          <w:szCs w:val="22"/>
        </w:rPr>
        <w:t>proceeds</w:t>
      </w:r>
      <w:r w:rsidR="00743F79">
        <w:rPr>
          <w:szCs w:val="22"/>
        </w:rPr>
        <w:t xml:space="preserve"> of illicit activity</w:t>
      </w:r>
      <w:r w:rsidRPr="009C79E1">
        <w:rPr>
          <w:szCs w:val="22"/>
        </w:rPr>
        <w:t>, or enable those who threaten U.S. national security to access and transact in the U.S. economy.</w:t>
      </w:r>
    </w:p>
    <w:p w:rsidR="00600940" w:rsidRPr="00CC5AC8" w:rsidP="00421067" w14:paraId="77FA2CE9" w14:textId="1ABE7360">
      <w:pPr>
        <w:autoSpaceDE w:val="0"/>
        <w:autoSpaceDN w:val="0"/>
        <w:adjustRightInd w:val="0"/>
        <w:spacing w:after="240"/>
        <w:ind w:firstLine="720"/>
      </w:pPr>
      <w:r w:rsidRPr="00AB3047">
        <w:rPr>
          <w:szCs w:val="22"/>
        </w:rPr>
        <w:t xml:space="preserve">Requiring the disclosure of </w:t>
      </w:r>
      <w:r w:rsidRPr="00AB3047" w:rsidR="00F8572E">
        <w:rPr>
          <w:szCs w:val="22"/>
        </w:rPr>
        <w:t xml:space="preserve">beneficial owners and company applicants </w:t>
      </w:r>
      <w:r w:rsidR="00E90A4C">
        <w:rPr>
          <w:szCs w:val="22"/>
        </w:rPr>
        <w:t xml:space="preserve">is intended to </w:t>
      </w:r>
      <w:r w:rsidRPr="00AB3047">
        <w:rPr>
          <w:szCs w:val="22"/>
        </w:rPr>
        <w:t xml:space="preserve">help </w:t>
      </w:r>
      <w:r w:rsidRPr="00AB3047" w:rsidR="00406859">
        <w:rPr>
          <w:szCs w:val="22"/>
        </w:rPr>
        <w:t xml:space="preserve">the Federal government </w:t>
      </w:r>
      <w:r w:rsidR="00406859">
        <w:rPr>
          <w:szCs w:val="22"/>
        </w:rPr>
        <w:t xml:space="preserve">protect U.S. national security, </w:t>
      </w:r>
      <w:r w:rsidRPr="00AB3047" w:rsidR="00406859">
        <w:rPr>
          <w:szCs w:val="22"/>
        </w:rPr>
        <w:t>fight financial and other crime</w:t>
      </w:r>
      <w:r w:rsidR="009C79E1">
        <w:rPr>
          <w:szCs w:val="22"/>
        </w:rPr>
        <w:t>,</w:t>
      </w:r>
      <w:r w:rsidR="00406859">
        <w:rPr>
          <w:szCs w:val="22"/>
        </w:rPr>
        <w:t xml:space="preserve"> promote financial integrity and compliance</w:t>
      </w:r>
      <w:r w:rsidR="00805F14">
        <w:rPr>
          <w:szCs w:val="22"/>
        </w:rPr>
        <w:t xml:space="preserve"> with key international standards</w:t>
      </w:r>
      <w:r w:rsidR="00CC5AC8">
        <w:rPr>
          <w:szCs w:val="22"/>
        </w:rPr>
        <w:t xml:space="preserve">, and may also </w:t>
      </w:r>
      <w:r w:rsidR="00CC5AC8">
        <w:t>help to level the playing field for honest businesses, including small businesses with fewer resources, that are at a disadvantage when competing against criminals who use shell companies to evade taxes, hide their illicit wealth, and defraud employees and customers</w:t>
      </w:r>
      <w:r w:rsidRPr="00AB3047" w:rsidR="00406859">
        <w:rPr>
          <w:szCs w:val="22"/>
        </w:rPr>
        <w:t xml:space="preserve">. </w:t>
      </w:r>
      <w:r w:rsidRPr="00396AB2" w:rsidR="00F8572E">
        <w:rPr>
          <w:szCs w:val="22"/>
        </w:rPr>
        <w:t xml:space="preserve"> Not collecting this information </w:t>
      </w:r>
      <w:r w:rsidR="009C79E1">
        <w:rPr>
          <w:szCs w:val="22"/>
        </w:rPr>
        <w:t xml:space="preserve">would </w:t>
      </w:r>
      <w:r w:rsidRPr="00396AB2" w:rsidR="00F8572E">
        <w:rPr>
          <w:szCs w:val="22"/>
        </w:rPr>
        <w:t xml:space="preserve">deprive </w:t>
      </w:r>
      <w:r w:rsidR="00922E4E">
        <w:rPr>
          <w:szCs w:val="22"/>
        </w:rPr>
        <w:t xml:space="preserve">authorized </w:t>
      </w:r>
      <w:r w:rsidR="006E7B6C">
        <w:rPr>
          <w:szCs w:val="22"/>
        </w:rPr>
        <w:t>recipients</w:t>
      </w:r>
      <w:r w:rsidR="00922E4E">
        <w:rPr>
          <w:szCs w:val="22"/>
        </w:rPr>
        <w:t xml:space="preserve">, such as those engaged in </w:t>
      </w:r>
      <w:r w:rsidRPr="00396AB2" w:rsidR="00F8572E">
        <w:rPr>
          <w:szCs w:val="22"/>
        </w:rPr>
        <w:t>law enforcement</w:t>
      </w:r>
      <w:r w:rsidR="00922E4E">
        <w:rPr>
          <w:szCs w:val="22"/>
        </w:rPr>
        <w:t xml:space="preserve"> or </w:t>
      </w:r>
      <w:r w:rsidR="00080F03">
        <w:rPr>
          <w:szCs w:val="22"/>
        </w:rPr>
        <w:t>national security</w:t>
      </w:r>
      <w:r w:rsidR="00922E4E">
        <w:rPr>
          <w:szCs w:val="22"/>
        </w:rPr>
        <w:t xml:space="preserve"> activities</w:t>
      </w:r>
      <w:r w:rsidR="00080F03">
        <w:rPr>
          <w:szCs w:val="22"/>
        </w:rPr>
        <w:t>,</w:t>
      </w:r>
      <w:r w:rsidRPr="00396AB2" w:rsidR="00F8572E">
        <w:rPr>
          <w:szCs w:val="22"/>
        </w:rPr>
        <w:t xml:space="preserve"> of </w:t>
      </w:r>
      <w:r w:rsidR="009C79E1">
        <w:rPr>
          <w:szCs w:val="22"/>
        </w:rPr>
        <w:t>a valuable source of information to combat money laundering, terrorist financing, and other illicit activities.</w:t>
      </w:r>
      <w:r>
        <w:rPr>
          <w:szCs w:val="22"/>
        </w:rPr>
        <w:t xml:space="preserve"> </w:t>
      </w:r>
      <w:r w:rsidRPr="00CC5AC8" w:rsidR="00CC5AC8">
        <w:t xml:space="preserve"> </w:t>
      </w:r>
    </w:p>
    <w:p w:rsidR="00600940" w:rsidRPr="00E2669C" w:rsidP="00E2669C" w14:paraId="513FE6D5" w14:textId="221333AB">
      <w:pPr>
        <w:spacing w:after="240"/>
        <w:rPr>
          <w:szCs w:val="22"/>
          <w:u w:val="single"/>
        </w:rPr>
      </w:pPr>
      <w:r>
        <w:rPr>
          <w:szCs w:val="22"/>
        </w:rPr>
        <w:t xml:space="preserve">7. </w:t>
      </w:r>
      <w:r>
        <w:rPr>
          <w:szCs w:val="22"/>
          <w:u w:val="single"/>
        </w:rPr>
        <w:t>S</w:t>
      </w:r>
      <w:r w:rsidR="007E495B">
        <w:rPr>
          <w:szCs w:val="22"/>
          <w:u w:val="single"/>
        </w:rPr>
        <w:t>pecial circumstances requiring d</w:t>
      </w:r>
      <w:r>
        <w:rPr>
          <w:szCs w:val="22"/>
          <w:u w:val="single"/>
        </w:rPr>
        <w:t>at</w:t>
      </w:r>
      <w:r w:rsidR="007E495B">
        <w:rPr>
          <w:szCs w:val="22"/>
          <w:u w:val="single"/>
        </w:rPr>
        <w:t>a collection inconsistent with g</w:t>
      </w:r>
      <w:r>
        <w:rPr>
          <w:szCs w:val="22"/>
          <w:u w:val="single"/>
        </w:rPr>
        <w:t>uidelines.</w:t>
      </w:r>
    </w:p>
    <w:p w:rsidR="00600940" w:rsidP="00E2669C" w14:paraId="1B875DEF" w14:textId="64F65CF7">
      <w:pPr>
        <w:spacing w:after="240"/>
        <w:ind w:firstLine="720"/>
        <w:rPr>
          <w:szCs w:val="4"/>
        </w:rPr>
      </w:pPr>
      <w:r>
        <w:rPr>
          <w:szCs w:val="4"/>
        </w:rPr>
        <w:t xml:space="preserve">There are no special circumstances under which the </w:t>
      </w:r>
      <w:r w:rsidR="00050C29">
        <w:rPr>
          <w:szCs w:val="4"/>
        </w:rPr>
        <w:t>final rule</w:t>
      </w:r>
      <w:r>
        <w:rPr>
          <w:szCs w:val="4"/>
        </w:rPr>
        <w:t xml:space="preserve"> will require data collection inconsistent with guidelines.</w:t>
      </w:r>
    </w:p>
    <w:p w:rsidR="00600940" w:rsidP="00E2669C" w14:paraId="23A26236" w14:textId="16D69832">
      <w:pPr>
        <w:spacing w:after="240"/>
        <w:rPr>
          <w:szCs w:val="22"/>
        </w:rPr>
      </w:pPr>
      <w:r>
        <w:rPr>
          <w:szCs w:val="22"/>
        </w:rPr>
        <w:t xml:space="preserve">8. </w:t>
      </w:r>
      <w:r>
        <w:rPr>
          <w:szCs w:val="22"/>
          <w:u w:val="single"/>
        </w:rPr>
        <w:t>Consultation w</w:t>
      </w:r>
      <w:r w:rsidR="007E495B">
        <w:rPr>
          <w:szCs w:val="22"/>
          <w:u w:val="single"/>
        </w:rPr>
        <w:t>ith individuals outside of the a</w:t>
      </w:r>
      <w:r>
        <w:rPr>
          <w:szCs w:val="22"/>
          <w:u w:val="single"/>
        </w:rPr>
        <w:t xml:space="preserve">gency on </w:t>
      </w:r>
      <w:r w:rsidR="007E495B">
        <w:rPr>
          <w:szCs w:val="22"/>
          <w:u w:val="single"/>
        </w:rPr>
        <w:t>availability of data,</w:t>
      </w:r>
      <w:r w:rsidR="00902855">
        <w:rPr>
          <w:szCs w:val="22"/>
          <w:u w:val="single"/>
        </w:rPr>
        <w:t xml:space="preserve"> </w:t>
      </w:r>
      <w:r w:rsidR="007E495B">
        <w:rPr>
          <w:szCs w:val="22"/>
          <w:u w:val="single"/>
        </w:rPr>
        <w:t>f</w:t>
      </w:r>
      <w:r>
        <w:rPr>
          <w:szCs w:val="22"/>
          <w:u w:val="single"/>
        </w:rPr>
        <w:t>requ</w:t>
      </w:r>
      <w:r w:rsidR="007E495B">
        <w:rPr>
          <w:szCs w:val="22"/>
          <w:u w:val="single"/>
        </w:rPr>
        <w:t>ency of collection, clarity of i</w:t>
      </w:r>
      <w:r>
        <w:rPr>
          <w:szCs w:val="22"/>
          <w:u w:val="single"/>
        </w:rPr>
        <w:t>n</w:t>
      </w:r>
      <w:r w:rsidR="007E495B">
        <w:rPr>
          <w:szCs w:val="22"/>
          <w:u w:val="single"/>
        </w:rPr>
        <w:t>structions and forms, and data e</w:t>
      </w:r>
      <w:r>
        <w:rPr>
          <w:szCs w:val="22"/>
          <w:u w:val="single"/>
        </w:rPr>
        <w:t>lements.</w:t>
      </w:r>
      <w:r>
        <w:rPr>
          <w:szCs w:val="22"/>
        </w:rPr>
        <w:t xml:space="preserve"> </w:t>
      </w:r>
    </w:p>
    <w:p w:rsidR="001C2136" w:rsidP="00F63CC6" w14:paraId="0D15BB01" w14:textId="2BA092ED">
      <w:pPr>
        <w:spacing w:after="240"/>
        <w:ind w:firstLine="720"/>
        <w:rPr>
          <w:szCs w:val="22"/>
        </w:rPr>
      </w:pPr>
      <w:r>
        <w:rPr>
          <w:szCs w:val="22"/>
        </w:rPr>
        <w:t xml:space="preserve">Comments </w:t>
      </w:r>
      <w:r w:rsidR="00F45009">
        <w:rPr>
          <w:szCs w:val="22"/>
        </w:rPr>
        <w:t>received in response to the BOIR Notice and FinCEN Identifier Notice are addressed below in Sections 8</w:t>
      </w:r>
      <w:r w:rsidR="00862D0D">
        <w:rPr>
          <w:szCs w:val="22"/>
        </w:rPr>
        <w:t>.</w:t>
      </w:r>
      <w:r w:rsidR="00F45009">
        <w:rPr>
          <w:szCs w:val="22"/>
        </w:rPr>
        <w:t>A and 8</w:t>
      </w:r>
      <w:r w:rsidR="00862D0D">
        <w:rPr>
          <w:szCs w:val="22"/>
        </w:rPr>
        <w:t>.</w:t>
      </w:r>
      <w:r w:rsidR="00F45009">
        <w:rPr>
          <w:szCs w:val="22"/>
        </w:rPr>
        <w:t>B</w:t>
      </w:r>
      <w:r w:rsidR="0090389E">
        <w:rPr>
          <w:szCs w:val="22"/>
        </w:rPr>
        <w:t>,</w:t>
      </w:r>
      <w:r w:rsidR="00F94036">
        <w:rPr>
          <w:szCs w:val="22"/>
        </w:rPr>
        <w:t xml:space="preserve"> respectively</w:t>
      </w:r>
      <w:r w:rsidR="00F45009">
        <w:rPr>
          <w:szCs w:val="22"/>
        </w:rPr>
        <w:t xml:space="preserve">.  </w:t>
      </w:r>
    </w:p>
    <w:p w:rsidR="004423B9" w:rsidP="00F63CC6" w14:paraId="2CE24054" w14:textId="175CD722">
      <w:pPr>
        <w:pStyle w:val="BodyText"/>
        <w:spacing w:before="0" w:after="240"/>
        <w:ind w:right="115" w:firstLine="720"/>
        <w:rPr>
          <w:sz w:val="24"/>
          <w:szCs w:val="24"/>
        </w:rPr>
      </w:pPr>
      <w:r>
        <w:rPr>
          <w:sz w:val="24"/>
          <w:szCs w:val="24"/>
        </w:rPr>
        <w:t xml:space="preserve">A. </w:t>
      </w:r>
      <w:r w:rsidR="00F06945">
        <w:rPr>
          <w:sz w:val="24"/>
          <w:szCs w:val="24"/>
        </w:rPr>
        <w:t xml:space="preserve">Comments to the </w:t>
      </w:r>
      <w:r w:rsidR="000B336B">
        <w:rPr>
          <w:sz w:val="24"/>
          <w:szCs w:val="24"/>
        </w:rPr>
        <w:t xml:space="preserve">BOIR </w:t>
      </w:r>
      <w:r w:rsidR="00F06945">
        <w:rPr>
          <w:sz w:val="24"/>
          <w:szCs w:val="24"/>
        </w:rPr>
        <w:t xml:space="preserve">60-day </w:t>
      </w:r>
      <w:r w:rsidR="000B336B">
        <w:rPr>
          <w:sz w:val="24"/>
          <w:szCs w:val="24"/>
        </w:rPr>
        <w:t xml:space="preserve">Notice </w:t>
      </w:r>
    </w:p>
    <w:p w:rsidR="00351D36" w:rsidP="00F63CC6" w14:paraId="2DA0CA88" w14:textId="77777777">
      <w:pPr>
        <w:pStyle w:val="BodyText"/>
        <w:spacing w:before="0" w:after="240"/>
        <w:ind w:right="115" w:firstLine="720"/>
        <w:rPr>
          <w:sz w:val="24"/>
          <w:szCs w:val="24"/>
        </w:rPr>
      </w:pPr>
      <w:r w:rsidRPr="000C0227">
        <w:rPr>
          <w:sz w:val="24"/>
          <w:szCs w:val="24"/>
        </w:rPr>
        <w:t xml:space="preserve">FinCEN received </w:t>
      </w:r>
      <w:r w:rsidR="00A85F34">
        <w:rPr>
          <w:sz w:val="24"/>
          <w:szCs w:val="24"/>
        </w:rPr>
        <w:t>a number of comment letters</w:t>
      </w:r>
      <w:r w:rsidRPr="000C0227">
        <w:rPr>
          <w:sz w:val="24"/>
          <w:szCs w:val="24"/>
        </w:rPr>
        <w:t xml:space="preserve"> </w:t>
      </w:r>
      <w:r w:rsidRPr="00A0099D" w:rsidR="246846CD">
        <w:rPr>
          <w:sz w:val="24"/>
          <w:szCs w:val="24"/>
        </w:rPr>
        <w:t xml:space="preserve">on the BOIR Notice </w:t>
      </w:r>
      <w:r w:rsidRPr="00A0099D" w:rsidR="4B047C6D">
        <w:rPr>
          <w:sz w:val="24"/>
          <w:szCs w:val="24"/>
        </w:rPr>
        <w:t>from:</w:t>
      </w:r>
      <w:r w:rsidRPr="000C0227" w:rsidR="4523C390">
        <w:rPr>
          <w:sz w:val="24"/>
          <w:szCs w:val="24"/>
        </w:rPr>
        <w:t xml:space="preserve"> individuals</w:t>
      </w:r>
      <w:r w:rsidRPr="00A0099D" w:rsidR="1EE732E8">
        <w:rPr>
          <w:sz w:val="24"/>
          <w:szCs w:val="24"/>
        </w:rPr>
        <w:t xml:space="preserve">; </w:t>
      </w:r>
      <w:r w:rsidRPr="000C0227" w:rsidR="4523C390">
        <w:rPr>
          <w:sz w:val="24"/>
          <w:szCs w:val="24"/>
        </w:rPr>
        <w:t>anti-corruption</w:t>
      </w:r>
      <w:r w:rsidRPr="00A0099D" w:rsidR="00E76C63">
        <w:rPr>
          <w:sz w:val="24"/>
          <w:szCs w:val="24"/>
        </w:rPr>
        <w:t xml:space="preserve"> advocacy group</w:t>
      </w:r>
      <w:r w:rsidR="00A85F34">
        <w:rPr>
          <w:sz w:val="24"/>
          <w:szCs w:val="24"/>
        </w:rPr>
        <w:t>s</w:t>
      </w:r>
      <w:r w:rsidRPr="00A0099D" w:rsidR="1EE732E8">
        <w:rPr>
          <w:sz w:val="24"/>
          <w:szCs w:val="24"/>
        </w:rPr>
        <w:t>;</w:t>
      </w:r>
      <w:r w:rsidRPr="000C0227" w:rsidR="4523C390">
        <w:rPr>
          <w:sz w:val="24"/>
          <w:szCs w:val="24"/>
        </w:rPr>
        <w:t xml:space="preserve"> business associations</w:t>
      </w:r>
      <w:r w:rsidRPr="00A0099D" w:rsidR="1EE732E8">
        <w:rPr>
          <w:sz w:val="24"/>
          <w:szCs w:val="24"/>
        </w:rPr>
        <w:t>;</w:t>
      </w:r>
      <w:r w:rsidRPr="000C0227" w:rsidR="4523C390">
        <w:rPr>
          <w:sz w:val="24"/>
          <w:szCs w:val="24"/>
        </w:rPr>
        <w:t xml:space="preserve"> corporate service providers</w:t>
      </w:r>
      <w:r w:rsidRPr="00A0099D" w:rsidR="1EE732E8">
        <w:rPr>
          <w:sz w:val="24"/>
          <w:szCs w:val="24"/>
        </w:rPr>
        <w:t>;</w:t>
      </w:r>
      <w:r w:rsidRPr="000C0227" w:rsidR="4523C390">
        <w:rPr>
          <w:sz w:val="24"/>
          <w:szCs w:val="24"/>
        </w:rPr>
        <w:t xml:space="preserve"> corporate transparency advocacy groups</w:t>
      </w:r>
      <w:r w:rsidRPr="00A0099D" w:rsidR="1EE732E8">
        <w:rPr>
          <w:sz w:val="24"/>
          <w:szCs w:val="24"/>
        </w:rPr>
        <w:t>;</w:t>
      </w:r>
      <w:r w:rsidRPr="000C0227" w:rsidR="4523C390">
        <w:rPr>
          <w:sz w:val="24"/>
          <w:szCs w:val="24"/>
        </w:rPr>
        <w:t xml:space="preserve"> financial services industry groups</w:t>
      </w:r>
      <w:r w:rsidRPr="00A0099D" w:rsidR="1EE732E8">
        <w:rPr>
          <w:sz w:val="24"/>
          <w:szCs w:val="24"/>
        </w:rPr>
        <w:t>;</w:t>
      </w:r>
      <w:r w:rsidRPr="000C0227" w:rsidR="4523C390">
        <w:rPr>
          <w:sz w:val="24"/>
          <w:szCs w:val="24"/>
        </w:rPr>
        <w:t xml:space="preserve"> financial institutions</w:t>
      </w:r>
      <w:r w:rsidRPr="00A0099D" w:rsidR="1EE732E8">
        <w:rPr>
          <w:sz w:val="24"/>
          <w:szCs w:val="24"/>
        </w:rPr>
        <w:t>;</w:t>
      </w:r>
      <w:r w:rsidRPr="000C0227" w:rsidR="4523C390">
        <w:rPr>
          <w:sz w:val="24"/>
          <w:szCs w:val="24"/>
        </w:rPr>
        <w:t xml:space="preserve"> legal association</w:t>
      </w:r>
      <w:r w:rsidRPr="00A0099D" w:rsidR="1EE732E8">
        <w:rPr>
          <w:sz w:val="24"/>
          <w:szCs w:val="24"/>
        </w:rPr>
        <w:t>;</w:t>
      </w:r>
      <w:r w:rsidRPr="000C0227" w:rsidR="4523C390">
        <w:rPr>
          <w:sz w:val="24"/>
          <w:szCs w:val="24"/>
        </w:rPr>
        <w:t xml:space="preserve"> anonymous comment</w:t>
      </w:r>
      <w:r w:rsidRPr="000C0227" w:rsidR="474CE777">
        <w:rPr>
          <w:sz w:val="24"/>
          <w:szCs w:val="24"/>
        </w:rPr>
        <w:t>ers</w:t>
      </w:r>
      <w:r w:rsidRPr="00A0099D" w:rsidR="2C08515D">
        <w:rPr>
          <w:sz w:val="24"/>
          <w:szCs w:val="24"/>
        </w:rPr>
        <w:t xml:space="preserve">; and </w:t>
      </w:r>
      <w:r w:rsidRPr="00A0099D" w:rsidR="00500E6F">
        <w:rPr>
          <w:sz w:val="24"/>
          <w:szCs w:val="24"/>
        </w:rPr>
        <w:t>m</w:t>
      </w:r>
      <w:r w:rsidRPr="00A0099D" w:rsidR="2C08515D">
        <w:rPr>
          <w:sz w:val="24"/>
          <w:szCs w:val="24"/>
        </w:rPr>
        <w:t xml:space="preserve">embers of </w:t>
      </w:r>
      <w:r w:rsidRPr="00A0099D" w:rsidR="2C08515D">
        <w:rPr>
          <w:sz w:val="24"/>
          <w:szCs w:val="24"/>
        </w:rPr>
        <w:t>Congress</w:t>
      </w:r>
      <w:r w:rsidRPr="00A0099D" w:rsidR="21B619A9">
        <w:rPr>
          <w:sz w:val="24"/>
          <w:szCs w:val="24"/>
        </w:rPr>
        <w:t xml:space="preserve"> (</w:t>
      </w:r>
      <w:r w:rsidRPr="00A0099D" w:rsidR="4733E0E3">
        <w:rPr>
          <w:sz w:val="24"/>
          <w:szCs w:val="24"/>
        </w:rPr>
        <w:t xml:space="preserve">by way of </w:t>
      </w:r>
      <w:r w:rsidRPr="00A0099D" w:rsidR="2C08515D">
        <w:rPr>
          <w:sz w:val="24"/>
          <w:szCs w:val="24"/>
        </w:rPr>
        <w:t xml:space="preserve">one </w:t>
      </w:r>
      <w:r w:rsidRPr="00A0099D" w:rsidR="21B619A9">
        <w:rPr>
          <w:sz w:val="24"/>
          <w:szCs w:val="24"/>
        </w:rPr>
        <w:t>jointly signed letter)</w:t>
      </w:r>
      <w:r w:rsidRPr="000C0227" w:rsidR="4523C390">
        <w:rPr>
          <w:sz w:val="24"/>
          <w:szCs w:val="24"/>
        </w:rPr>
        <w:t>.</w:t>
      </w:r>
      <w:r>
        <w:rPr>
          <w:rStyle w:val="FootnoteReference"/>
          <w:sz w:val="24"/>
          <w:szCs w:val="24"/>
        </w:rPr>
        <w:footnoteReference w:id="21"/>
      </w:r>
      <w:r w:rsidRPr="00A0099D" w:rsidR="701C1275">
        <w:rPr>
          <w:sz w:val="24"/>
          <w:szCs w:val="24"/>
        </w:rPr>
        <w:t xml:space="preserve">  </w:t>
      </w:r>
      <w:r w:rsidRPr="00A0099D" w:rsidR="2313D976">
        <w:rPr>
          <w:sz w:val="24"/>
          <w:szCs w:val="24"/>
        </w:rPr>
        <w:t>The comment</w:t>
      </w:r>
      <w:r w:rsidRPr="00A0099D" w:rsidR="21B619A9">
        <w:rPr>
          <w:sz w:val="24"/>
          <w:szCs w:val="24"/>
        </w:rPr>
        <w:t xml:space="preserve"> letter</w:t>
      </w:r>
      <w:r w:rsidRPr="00A0099D" w:rsidR="2313D976">
        <w:rPr>
          <w:sz w:val="24"/>
          <w:szCs w:val="24"/>
        </w:rPr>
        <w:t xml:space="preserve">s to the BOIR Notice </w:t>
      </w:r>
      <w:r w:rsidRPr="00A0099D" w:rsidR="21B619A9">
        <w:rPr>
          <w:sz w:val="24"/>
          <w:szCs w:val="24"/>
        </w:rPr>
        <w:t xml:space="preserve">addressed </w:t>
      </w:r>
      <w:r w:rsidR="00363AB7">
        <w:rPr>
          <w:sz w:val="24"/>
          <w:szCs w:val="24"/>
        </w:rPr>
        <w:t>four</w:t>
      </w:r>
      <w:r w:rsidRPr="00A0099D" w:rsidR="21B619A9">
        <w:rPr>
          <w:sz w:val="24"/>
          <w:szCs w:val="24"/>
        </w:rPr>
        <w:t xml:space="preserve"> topics</w:t>
      </w:r>
      <w:r w:rsidRPr="00A0099D" w:rsidR="2313D976">
        <w:rPr>
          <w:sz w:val="24"/>
          <w:szCs w:val="24"/>
        </w:rPr>
        <w:t>: (</w:t>
      </w:r>
      <w:r w:rsidR="004D1325">
        <w:rPr>
          <w:sz w:val="24"/>
          <w:szCs w:val="24"/>
        </w:rPr>
        <w:t>1</w:t>
      </w:r>
      <w:r w:rsidRPr="00A0099D" w:rsidR="2313D976">
        <w:rPr>
          <w:sz w:val="24"/>
          <w:szCs w:val="24"/>
        </w:rPr>
        <w:t xml:space="preserve">) </w:t>
      </w:r>
      <w:r w:rsidRPr="00A0099D" w:rsidR="21B619A9">
        <w:rPr>
          <w:sz w:val="24"/>
          <w:szCs w:val="24"/>
        </w:rPr>
        <w:t xml:space="preserve">the </w:t>
      </w:r>
      <w:r w:rsidRPr="00A0099D" w:rsidR="2313D976">
        <w:rPr>
          <w:sz w:val="24"/>
          <w:szCs w:val="24"/>
        </w:rPr>
        <w:t xml:space="preserve">option </w:t>
      </w:r>
      <w:r w:rsidRPr="00A0099D" w:rsidR="23A5CB41">
        <w:rPr>
          <w:sz w:val="24"/>
          <w:szCs w:val="24"/>
        </w:rPr>
        <w:t xml:space="preserve">on the </w:t>
      </w:r>
      <w:r w:rsidRPr="00A0099D" w:rsidR="21B619A9">
        <w:rPr>
          <w:sz w:val="24"/>
          <w:szCs w:val="24"/>
        </w:rPr>
        <w:t xml:space="preserve">proposed </w:t>
      </w:r>
      <w:r w:rsidRPr="00A0099D" w:rsidR="23A5CB41">
        <w:rPr>
          <w:sz w:val="24"/>
          <w:szCs w:val="24"/>
        </w:rPr>
        <w:t xml:space="preserve">BOIR </w:t>
      </w:r>
      <w:r w:rsidRPr="00A0099D" w:rsidR="2313D976">
        <w:rPr>
          <w:sz w:val="24"/>
          <w:szCs w:val="24"/>
        </w:rPr>
        <w:t>to allow incomplete filings;</w:t>
      </w:r>
      <w:r w:rsidRPr="00A0099D" w:rsidR="2A0C798C">
        <w:rPr>
          <w:sz w:val="24"/>
          <w:szCs w:val="24"/>
        </w:rPr>
        <w:t xml:space="preserve"> </w:t>
      </w:r>
      <w:r w:rsidRPr="00A0099D" w:rsidR="2A6FBB96">
        <w:rPr>
          <w:sz w:val="24"/>
          <w:szCs w:val="24"/>
        </w:rPr>
        <w:t>(</w:t>
      </w:r>
      <w:r w:rsidR="004D1325">
        <w:rPr>
          <w:sz w:val="24"/>
          <w:szCs w:val="24"/>
        </w:rPr>
        <w:t>2</w:t>
      </w:r>
      <w:r w:rsidRPr="00A0099D" w:rsidR="2A6FBB96">
        <w:rPr>
          <w:sz w:val="24"/>
          <w:szCs w:val="24"/>
        </w:rPr>
        <w:t xml:space="preserve">) </w:t>
      </w:r>
      <w:r w:rsidR="004B3D60">
        <w:rPr>
          <w:sz w:val="24"/>
          <w:szCs w:val="24"/>
        </w:rPr>
        <w:t xml:space="preserve">proposed data field revisions to the BOIR; (3) </w:t>
      </w:r>
      <w:r w:rsidRPr="00A0099D" w:rsidR="03C9F33F">
        <w:rPr>
          <w:sz w:val="24"/>
          <w:szCs w:val="24"/>
        </w:rPr>
        <w:t>clarifications and</w:t>
      </w:r>
      <w:r w:rsidR="004B3D60">
        <w:rPr>
          <w:sz w:val="24"/>
          <w:szCs w:val="24"/>
        </w:rPr>
        <w:t xml:space="preserve"> guidance</w:t>
      </w:r>
      <w:r w:rsidRPr="00A0099D" w:rsidR="2A0C798C">
        <w:rPr>
          <w:sz w:val="24"/>
          <w:szCs w:val="24"/>
        </w:rPr>
        <w:t>; and (</w:t>
      </w:r>
      <w:r w:rsidR="004B3D60">
        <w:rPr>
          <w:sz w:val="24"/>
          <w:szCs w:val="24"/>
        </w:rPr>
        <w:t>4</w:t>
      </w:r>
      <w:r w:rsidRPr="00A0099D" w:rsidR="2A0C798C">
        <w:rPr>
          <w:sz w:val="24"/>
          <w:szCs w:val="24"/>
        </w:rPr>
        <w:t xml:space="preserve">) </w:t>
      </w:r>
      <w:r w:rsidRPr="00A0099D" w:rsidR="7D4212F3">
        <w:rPr>
          <w:sz w:val="24"/>
          <w:szCs w:val="24"/>
        </w:rPr>
        <w:t xml:space="preserve">FinCEN’s </w:t>
      </w:r>
      <w:r w:rsidRPr="00A0099D" w:rsidR="2A0C798C">
        <w:rPr>
          <w:sz w:val="24"/>
          <w:szCs w:val="24"/>
        </w:rPr>
        <w:t>burden</w:t>
      </w:r>
      <w:r w:rsidRPr="00A0099D" w:rsidR="7D4212F3">
        <w:rPr>
          <w:sz w:val="24"/>
          <w:szCs w:val="24"/>
        </w:rPr>
        <w:t xml:space="preserve"> estimate </w:t>
      </w:r>
      <w:r w:rsidRPr="00A0099D" w:rsidR="21B619A9">
        <w:rPr>
          <w:sz w:val="24"/>
          <w:szCs w:val="24"/>
        </w:rPr>
        <w:t xml:space="preserve">in connection with the BOIR </w:t>
      </w:r>
      <w:r w:rsidRPr="00A0099D" w:rsidR="7D4212F3">
        <w:rPr>
          <w:sz w:val="24"/>
          <w:szCs w:val="24"/>
        </w:rPr>
        <w:t>in the final rule’s regulatory impact analysis</w:t>
      </w:r>
      <w:r w:rsidRPr="00A0099D" w:rsidR="15AA3310">
        <w:rPr>
          <w:sz w:val="24"/>
          <w:szCs w:val="24"/>
        </w:rPr>
        <w:t>.</w:t>
      </w:r>
      <w:r w:rsidRPr="00A0099D" w:rsidR="5D9BD217">
        <w:rPr>
          <w:sz w:val="24"/>
          <w:szCs w:val="24"/>
        </w:rPr>
        <w:t xml:space="preserve">  </w:t>
      </w:r>
      <w:r w:rsidR="004006F8">
        <w:rPr>
          <w:sz w:val="24"/>
          <w:szCs w:val="24"/>
        </w:rPr>
        <w:t>FinCEN carefully considered the comments</w:t>
      </w:r>
      <w:r w:rsidR="004D524F">
        <w:rPr>
          <w:sz w:val="24"/>
          <w:szCs w:val="24"/>
        </w:rPr>
        <w:t xml:space="preserve"> received</w:t>
      </w:r>
      <w:r w:rsidR="004006F8">
        <w:rPr>
          <w:sz w:val="24"/>
          <w:szCs w:val="24"/>
        </w:rPr>
        <w:t xml:space="preserve"> in revising the BOIR and its proposal</w:t>
      </w:r>
      <w:r w:rsidR="004D524F">
        <w:rPr>
          <w:sz w:val="24"/>
          <w:szCs w:val="24"/>
        </w:rPr>
        <w:t xml:space="preserve">s contained in this </w:t>
      </w:r>
      <w:r w:rsidR="00C86912">
        <w:rPr>
          <w:sz w:val="24"/>
          <w:szCs w:val="24"/>
        </w:rPr>
        <w:t>statement</w:t>
      </w:r>
      <w:r w:rsidR="004D524F">
        <w:rPr>
          <w:sz w:val="24"/>
          <w:szCs w:val="24"/>
        </w:rPr>
        <w:t xml:space="preserve"> regarding </w:t>
      </w:r>
      <w:r w:rsidR="00C86912">
        <w:rPr>
          <w:sz w:val="24"/>
          <w:szCs w:val="24"/>
        </w:rPr>
        <w:t xml:space="preserve">ways to effectively </w:t>
      </w:r>
      <w:r w:rsidRPr="00212041" w:rsidR="00C86912">
        <w:rPr>
          <w:sz w:val="24"/>
          <w:szCs w:val="24"/>
        </w:rPr>
        <w:t>implement the CTA</w:t>
      </w:r>
      <w:r w:rsidRPr="00212041" w:rsidR="006768AD">
        <w:rPr>
          <w:sz w:val="24"/>
          <w:szCs w:val="24"/>
        </w:rPr>
        <w:t xml:space="preserve"> reporting requirements consistent </w:t>
      </w:r>
      <w:r w:rsidRPr="00212041" w:rsidR="00BA19C1">
        <w:rPr>
          <w:sz w:val="24"/>
          <w:szCs w:val="24"/>
        </w:rPr>
        <w:t xml:space="preserve">with </w:t>
      </w:r>
      <w:r w:rsidRPr="00212041" w:rsidR="006768AD">
        <w:rPr>
          <w:sz w:val="24"/>
          <w:szCs w:val="24"/>
        </w:rPr>
        <w:t>the statute.</w:t>
      </w:r>
      <w:r w:rsidRPr="00212041" w:rsidR="004D524F">
        <w:rPr>
          <w:sz w:val="24"/>
          <w:szCs w:val="24"/>
        </w:rPr>
        <w:t xml:space="preserve"> </w:t>
      </w:r>
      <w:r w:rsidR="00027861">
        <w:rPr>
          <w:sz w:val="24"/>
          <w:szCs w:val="24"/>
        </w:rPr>
        <w:t xml:space="preserve"> </w:t>
      </w:r>
    </w:p>
    <w:p w:rsidR="00570801" w:rsidRPr="00212041" w:rsidP="00F63CC6" w14:paraId="11367221" w14:textId="68C6CC84">
      <w:pPr>
        <w:pStyle w:val="BodyText"/>
        <w:spacing w:before="0" w:after="240"/>
        <w:ind w:right="115" w:firstLine="720"/>
        <w:rPr>
          <w:sz w:val="24"/>
          <w:szCs w:val="24"/>
        </w:rPr>
      </w:pPr>
      <w:r w:rsidRPr="00421067">
        <w:rPr>
          <w:color w:val="000000"/>
          <w:sz w:val="24"/>
          <w:szCs w:val="24"/>
        </w:rPr>
        <w:t>FinCEN also received comments related to the BOIR in response to the notice of propose</w:t>
      </w:r>
      <w:r w:rsidRPr="00421067">
        <w:rPr>
          <w:color w:val="000000"/>
          <w:sz w:val="24"/>
          <w:szCs w:val="24"/>
        </w:rPr>
        <w:t>d rulemaking (NPRM) for the Access Rule,</w:t>
      </w:r>
      <w:r>
        <w:rPr>
          <w:rStyle w:val="FootnoteReference"/>
          <w:color w:val="000000"/>
          <w:sz w:val="24"/>
          <w:szCs w:val="24"/>
        </w:rPr>
        <w:footnoteReference w:id="22"/>
      </w:r>
      <w:r w:rsidRPr="00421067">
        <w:rPr>
          <w:color w:val="000000"/>
          <w:sz w:val="24"/>
          <w:szCs w:val="24"/>
        </w:rPr>
        <w:t xml:space="preserve"> notwithstanding that the subject matter of those comments was not within the scope of that NPRM. </w:t>
      </w:r>
      <w:r w:rsidR="00FE4D97">
        <w:rPr>
          <w:color w:val="000000"/>
          <w:sz w:val="24"/>
          <w:szCs w:val="24"/>
        </w:rPr>
        <w:t xml:space="preserve"> </w:t>
      </w:r>
      <w:r w:rsidRPr="00421067">
        <w:rPr>
          <w:color w:val="000000"/>
          <w:sz w:val="24"/>
          <w:szCs w:val="24"/>
        </w:rPr>
        <w:t>Because the issues raised within those comments relate to the BOIR Notice, FinCEN has considered the BOIR-related c</w:t>
      </w:r>
      <w:r w:rsidRPr="00421067">
        <w:rPr>
          <w:color w:val="000000"/>
          <w:sz w:val="24"/>
          <w:szCs w:val="24"/>
        </w:rPr>
        <w:t>omments received in response to the Access Rule NPRM in this supporting statement.</w:t>
      </w:r>
    </w:p>
    <w:p w:rsidR="004423B9" w:rsidRPr="00212041" w:rsidP="00FA06D8" w14:paraId="1EA1BA20" w14:textId="455EF3FA">
      <w:pPr>
        <w:pStyle w:val="BodyText"/>
        <w:spacing w:before="0" w:after="240"/>
        <w:ind w:left="360" w:right="115"/>
        <w:rPr>
          <w:sz w:val="24"/>
          <w:szCs w:val="24"/>
        </w:rPr>
      </w:pPr>
      <w:r w:rsidRPr="00212041">
        <w:rPr>
          <w:sz w:val="24"/>
          <w:szCs w:val="24"/>
        </w:rPr>
        <w:t xml:space="preserve">1. </w:t>
      </w:r>
      <w:r w:rsidRPr="00212041" w:rsidR="72E020A4">
        <w:rPr>
          <w:sz w:val="24"/>
          <w:szCs w:val="24"/>
        </w:rPr>
        <w:t xml:space="preserve">Option to allow incomplete filings. </w:t>
      </w:r>
    </w:p>
    <w:p w:rsidR="00044113" w:rsidRPr="00F63CC6" w:rsidP="00F63CC6" w14:paraId="0431A602" w14:textId="211F9BDE">
      <w:pPr>
        <w:pStyle w:val="BodyText"/>
        <w:spacing w:before="0" w:after="240"/>
        <w:ind w:right="115"/>
        <w:rPr>
          <w:i/>
          <w:iCs/>
          <w:sz w:val="24"/>
          <w:szCs w:val="24"/>
        </w:rPr>
      </w:pPr>
      <w:r w:rsidRPr="00212041">
        <w:rPr>
          <w:i/>
          <w:iCs/>
          <w:sz w:val="24"/>
          <w:szCs w:val="24"/>
        </w:rPr>
        <w:t>Comments received</w:t>
      </w:r>
      <w:r w:rsidRPr="00421067">
        <w:rPr>
          <w:sz w:val="24"/>
          <w:szCs w:val="24"/>
        </w:rPr>
        <w:t xml:space="preserve">: </w:t>
      </w:r>
      <w:r w:rsidRPr="00212041" w:rsidR="00EA045B">
        <w:rPr>
          <w:sz w:val="24"/>
          <w:szCs w:val="24"/>
        </w:rPr>
        <w:t xml:space="preserve">Commenters </w:t>
      </w:r>
      <w:r w:rsidRPr="00212041" w:rsidR="2488C4CC">
        <w:rPr>
          <w:sz w:val="24"/>
          <w:szCs w:val="24"/>
        </w:rPr>
        <w:t xml:space="preserve">were </w:t>
      </w:r>
      <w:r w:rsidRPr="00212041" w:rsidR="0070390F">
        <w:rPr>
          <w:sz w:val="24"/>
          <w:szCs w:val="24"/>
        </w:rPr>
        <w:t>uniformly</w:t>
      </w:r>
      <w:r w:rsidRPr="00212041" w:rsidR="613C9313">
        <w:rPr>
          <w:sz w:val="24"/>
          <w:szCs w:val="24"/>
        </w:rPr>
        <w:t xml:space="preserve"> </w:t>
      </w:r>
      <w:r w:rsidRPr="00212041" w:rsidR="2488C4CC">
        <w:rPr>
          <w:sz w:val="24"/>
          <w:szCs w:val="24"/>
        </w:rPr>
        <w:t xml:space="preserve">critical of </w:t>
      </w:r>
      <w:r w:rsidRPr="00212041" w:rsidR="613C9313">
        <w:rPr>
          <w:sz w:val="24"/>
          <w:szCs w:val="24"/>
        </w:rPr>
        <w:t xml:space="preserve">the </w:t>
      </w:r>
      <w:r w:rsidRPr="00212041" w:rsidR="00023B39">
        <w:rPr>
          <w:sz w:val="24"/>
          <w:szCs w:val="24"/>
        </w:rPr>
        <w:t xml:space="preserve">generic </w:t>
      </w:r>
      <w:r w:rsidRPr="00212041" w:rsidR="00606846">
        <w:rPr>
          <w:sz w:val="24"/>
          <w:szCs w:val="24"/>
        </w:rPr>
        <w:t xml:space="preserve">“unknown” </w:t>
      </w:r>
      <w:r w:rsidRPr="00212041" w:rsidR="0069209B">
        <w:rPr>
          <w:sz w:val="24"/>
          <w:szCs w:val="24"/>
        </w:rPr>
        <w:t>checkboxes that would allow a reporting company to indicate if certain information about a beneficial owner or company applicant is “</w:t>
      </w:r>
      <w:r w:rsidRPr="00212041" w:rsidR="006A658A">
        <w:rPr>
          <w:sz w:val="24"/>
          <w:szCs w:val="24"/>
        </w:rPr>
        <w:t>u</w:t>
      </w:r>
      <w:r w:rsidRPr="00212041" w:rsidR="0069209B">
        <w:rPr>
          <w:sz w:val="24"/>
          <w:szCs w:val="24"/>
        </w:rPr>
        <w:t>nknown” or if the reporting company is “</w:t>
      </w:r>
      <w:r w:rsidRPr="00212041" w:rsidR="006A658A">
        <w:rPr>
          <w:sz w:val="24"/>
          <w:szCs w:val="24"/>
        </w:rPr>
        <w:t>u</w:t>
      </w:r>
      <w:r w:rsidRPr="00212041" w:rsidR="0069209B">
        <w:rPr>
          <w:sz w:val="24"/>
          <w:szCs w:val="24"/>
        </w:rPr>
        <w:t xml:space="preserve">nable to </w:t>
      </w:r>
      <w:r w:rsidRPr="00212041" w:rsidR="006A658A">
        <w:rPr>
          <w:sz w:val="24"/>
          <w:szCs w:val="24"/>
        </w:rPr>
        <w:t>i</w:t>
      </w:r>
      <w:r w:rsidRPr="00212041" w:rsidR="0069209B">
        <w:rPr>
          <w:sz w:val="24"/>
          <w:szCs w:val="24"/>
        </w:rPr>
        <w:t>dentify” any information about a beneficial owner or company applicant (</w:t>
      </w:r>
      <w:r w:rsidRPr="00212041" w:rsidR="00272775">
        <w:rPr>
          <w:sz w:val="24"/>
          <w:szCs w:val="24"/>
        </w:rPr>
        <w:t>referred to by commenters as</w:t>
      </w:r>
      <w:r w:rsidRPr="00212041" w:rsidR="00EA045B">
        <w:rPr>
          <w:sz w:val="24"/>
          <w:szCs w:val="24"/>
        </w:rPr>
        <w:t xml:space="preserve"> “unknown” checkboxes</w:t>
      </w:r>
      <w:r w:rsidR="00EA045B">
        <w:rPr>
          <w:sz w:val="24"/>
          <w:szCs w:val="24"/>
        </w:rPr>
        <w:t>)</w:t>
      </w:r>
      <w:r w:rsidRPr="00A0099D" w:rsidR="0069209B">
        <w:rPr>
          <w:sz w:val="24"/>
          <w:szCs w:val="24"/>
        </w:rPr>
        <w:t xml:space="preserve">.  </w:t>
      </w:r>
      <w:r w:rsidRPr="00A0099D" w:rsidR="44CF912A">
        <w:rPr>
          <w:sz w:val="24"/>
          <w:szCs w:val="24"/>
        </w:rPr>
        <w:t>Several of these commenters</w:t>
      </w:r>
      <w:r w:rsidRPr="00A0099D" w:rsidR="613C9313">
        <w:rPr>
          <w:sz w:val="24"/>
          <w:szCs w:val="24"/>
        </w:rPr>
        <w:t xml:space="preserve"> </w:t>
      </w:r>
      <w:r w:rsidRPr="00A0099D" w:rsidR="44CF912A">
        <w:rPr>
          <w:sz w:val="24"/>
          <w:szCs w:val="24"/>
        </w:rPr>
        <w:t>requested that FinCEN remove all such checkboxes</w:t>
      </w:r>
      <w:r w:rsidRPr="00A0099D" w:rsidR="1C81D8AE">
        <w:rPr>
          <w:sz w:val="24"/>
          <w:szCs w:val="24"/>
        </w:rPr>
        <w:t>, arguing that the</w:t>
      </w:r>
      <w:r w:rsidR="003F2FDF">
        <w:rPr>
          <w:sz w:val="24"/>
          <w:szCs w:val="24"/>
        </w:rPr>
        <w:t xml:space="preserve"> checkboxes</w:t>
      </w:r>
      <w:r w:rsidR="00EA045B">
        <w:rPr>
          <w:sz w:val="24"/>
          <w:szCs w:val="24"/>
        </w:rPr>
        <w:t xml:space="preserve"> would effectively make the CTA an optional reporting regime</w:t>
      </w:r>
      <w:r w:rsidR="003F2FDF">
        <w:rPr>
          <w:sz w:val="24"/>
          <w:szCs w:val="24"/>
        </w:rPr>
        <w:t>,</w:t>
      </w:r>
      <w:r w:rsidR="00EA045B">
        <w:rPr>
          <w:sz w:val="24"/>
          <w:szCs w:val="24"/>
        </w:rPr>
        <w:t xml:space="preserve"> contrary to the statutory requirements of the CTA.  </w:t>
      </w:r>
    </w:p>
    <w:p w:rsidR="00442BDC" w:rsidP="00F63CC6" w14:paraId="7126AA8F" w14:textId="1F2913F9">
      <w:pPr>
        <w:pStyle w:val="BodyText"/>
        <w:spacing w:before="0" w:after="240"/>
        <w:ind w:right="115" w:firstLine="720"/>
        <w:rPr>
          <w:sz w:val="24"/>
          <w:szCs w:val="24"/>
        </w:rPr>
      </w:pPr>
      <w:r w:rsidRPr="000C0227">
        <w:rPr>
          <w:sz w:val="24"/>
          <w:szCs w:val="24"/>
        </w:rPr>
        <w:t xml:space="preserve">Several commenters expressed concern with the usefulness of the registry to authorized users if </w:t>
      </w:r>
      <w:r w:rsidRPr="000C0227" w:rsidR="00681127">
        <w:rPr>
          <w:sz w:val="24"/>
          <w:szCs w:val="24"/>
        </w:rPr>
        <w:t xml:space="preserve">such </w:t>
      </w:r>
      <w:r w:rsidRPr="000C0227">
        <w:rPr>
          <w:sz w:val="24"/>
          <w:szCs w:val="24"/>
        </w:rPr>
        <w:t>checkbox</w:t>
      </w:r>
      <w:r w:rsidRPr="000C0227" w:rsidR="4A2EA7B3">
        <w:rPr>
          <w:sz w:val="24"/>
          <w:szCs w:val="24"/>
        </w:rPr>
        <w:t>es are</w:t>
      </w:r>
      <w:r w:rsidRPr="000C0227">
        <w:rPr>
          <w:sz w:val="24"/>
          <w:szCs w:val="24"/>
        </w:rPr>
        <w:t xml:space="preserve"> included in the final BOIR.</w:t>
      </w:r>
      <w:r w:rsidR="002D3ED0">
        <w:rPr>
          <w:sz w:val="24"/>
          <w:szCs w:val="24"/>
        </w:rPr>
        <w:t xml:space="preserve">  </w:t>
      </w:r>
      <w:r w:rsidR="001F587C">
        <w:rPr>
          <w:sz w:val="24"/>
          <w:szCs w:val="24"/>
        </w:rPr>
        <w:t xml:space="preserve">One </w:t>
      </w:r>
      <w:r w:rsidRPr="000C0227">
        <w:rPr>
          <w:sz w:val="24"/>
          <w:szCs w:val="24"/>
        </w:rPr>
        <w:t xml:space="preserve">commenter </w:t>
      </w:r>
      <w:r w:rsidRPr="00A0099D" w:rsidR="53E6F644">
        <w:rPr>
          <w:sz w:val="24"/>
          <w:szCs w:val="24"/>
        </w:rPr>
        <w:t>suggested</w:t>
      </w:r>
      <w:r w:rsidRPr="00A0099D">
        <w:rPr>
          <w:sz w:val="24"/>
          <w:szCs w:val="24"/>
        </w:rPr>
        <w:t xml:space="preserve"> </w:t>
      </w:r>
      <w:r w:rsidRPr="000C0227">
        <w:rPr>
          <w:sz w:val="24"/>
          <w:szCs w:val="24"/>
        </w:rPr>
        <w:t>that the availability of these ch</w:t>
      </w:r>
      <w:r w:rsidRPr="000C0227">
        <w:rPr>
          <w:sz w:val="24"/>
          <w:szCs w:val="24"/>
        </w:rPr>
        <w:t xml:space="preserve">eckboxes could discourage reporting companies from undertaking a </w:t>
      </w:r>
      <w:r w:rsidRPr="000C0227" w:rsidR="4AA93194">
        <w:rPr>
          <w:sz w:val="24"/>
          <w:szCs w:val="24"/>
        </w:rPr>
        <w:t>“</w:t>
      </w:r>
      <w:r w:rsidRPr="000C0227">
        <w:rPr>
          <w:sz w:val="24"/>
          <w:szCs w:val="24"/>
        </w:rPr>
        <w:t>diligent inquiry</w:t>
      </w:r>
      <w:r w:rsidRPr="000C0227" w:rsidR="51953B40">
        <w:rPr>
          <w:sz w:val="24"/>
          <w:szCs w:val="24"/>
        </w:rPr>
        <w:t>”</w:t>
      </w:r>
      <w:r w:rsidRPr="000C0227">
        <w:rPr>
          <w:sz w:val="24"/>
          <w:szCs w:val="24"/>
        </w:rPr>
        <w:t xml:space="preserve"> to secure the requisite information. </w:t>
      </w:r>
    </w:p>
    <w:p w:rsidR="00421067" w:rsidP="00F63CC6" w14:paraId="2F0BD0C2" w14:textId="77777777">
      <w:pPr>
        <w:spacing w:after="240"/>
        <w:rPr>
          <w:color w:val="040404"/>
        </w:rPr>
      </w:pPr>
      <w:r>
        <w:tab/>
      </w:r>
      <w:r w:rsidRPr="000C0227" w:rsidR="00B323AC">
        <w:t xml:space="preserve">Some of these commenters </w:t>
      </w:r>
      <w:r w:rsidR="00B323AC">
        <w:rPr>
          <w:color w:val="040404"/>
        </w:rPr>
        <w:t>acknowledged that there w</w:t>
      </w:r>
      <w:r w:rsidR="007517C2">
        <w:rPr>
          <w:color w:val="040404"/>
        </w:rPr>
        <w:t xml:space="preserve">ould </w:t>
      </w:r>
      <w:r w:rsidR="00B323AC">
        <w:rPr>
          <w:color w:val="040404"/>
        </w:rPr>
        <w:t>be situations where reporting companies are legitimately unable to obtain and provide the required BOI.</w:t>
      </w:r>
      <w:r w:rsidR="006B7D51">
        <w:rPr>
          <w:color w:val="040404"/>
        </w:rPr>
        <w:t xml:space="preserve"> </w:t>
      </w:r>
    </w:p>
    <w:p w:rsidR="005A1C93" w:rsidP="00F63CC6" w14:paraId="33C1D7CA" w14:textId="05EFECBC">
      <w:pPr>
        <w:spacing w:after="240"/>
      </w:pPr>
      <w:r w:rsidRPr="000C0227">
        <w:rPr>
          <w:i/>
        </w:rPr>
        <w:t>Response</w:t>
      </w:r>
      <w:r w:rsidRPr="00421067">
        <w:rPr>
          <w:iCs/>
        </w:rPr>
        <w:t>:</w:t>
      </w:r>
      <w:r w:rsidRPr="000C0227">
        <w:rPr>
          <w:i/>
        </w:rPr>
        <w:t xml:space="preserve"> </w:t>
      </w:r>
      <w:r w:rsidRPr="00DD6EEE" w:rsidR="00E65354">
        <w:t xml:space="preserve">In response to the comments, FinCEN is pursuing a revised approach to the BOIR Form that will </w:t>
      </w:r>
      <w:r w:rsidR="00E65354">
        <w:t xml:space="preserve">not contain unknown checkboxes. </w:t>
      </w:r>
      <w:r w:rsidR="00FE4D97">
        <w:t xml:space="preserve"> </w:t>
      </w:r>
      <w:r w:rsidR="00E65354">
        <w:t xml:space="preserve">This approach will consist of a first implementation </w:t>
      </w:r>
      <w:r>
        <w:t xml:space="preserve">that </w:t>
      </w:r>
      <w:r w:rsidRPr="00DD6EEE" w:rsidR="00E65354">
        <w:t>will be used starting January 1, 2024</w:t>
      </w:r>
      <w:r w:rsidR="00E65354">
        <w:t xml:space="preserve">, and a potential alternative implementation, which </w:t>
      </w:r>
      <w:r w:rsidR="00BA52C6">
        <w:t>would only</w:t>
      </w:r>
      <w:r w:rsidR="00E65354">
        <w:t xml:space="preserve"> be adopted a later date</w:t>
      </w:r>
      <w:r w:rsidR="00BA52C6">
        <w:t xml:space="preserve"> </w:t>
      </w:r>
      <w:r w:rsidR="000E526B">
        <w:t xml:space="preserve">following feedback from </w:t>
      </w:r>
      <w:r w:rsidR="00BA52C6">
        <w:t>filers, law enforcement agencies, and other key stakeholders</w:t>
      </w:r>
      <w:r w:rsidR="00E65354">
        <w:t xml:space="preserve">.  </w:t>
      </w:r>
    </w:p>
    <w:p w:rsidR="005A1C93" w:rsidP="00421067" w14:paraId="4E4E7DCA" w14:textId="6CBF9410">
      <w:pPr>
        <w:spacing w:after="240"/>
        <w:ind w:firstLine="720"/>
      </w:pPr>
      <w:r>
        <w:t xml:space="preserve">The first implementation </w:t>
      </w:r>
      <w:r w:rsidRPr="00DD6EEE">
        <w:t>will require every field to be completed (i.e., have responses</w:t>
      </w:r>
      <w:r>
        <w:t xml:space="preserve"> entered in text boxes</w:t>
      </w:r>
      <w:r w:rsidRPr="00DD6EEE">
        <w:t>)</w:t>
      </w:r>
      <w:r w:rsidR="002D7A6D">
        <w:t>,</w:t>
      </w:r>
      <w:r w:rsidRPr="00DD6EEE">
        <w:t xml:space="preserve"> and </w:t>
      </w:r>
      <w:r w:rsidR="002D7A6D">
        <w:t xml:space="preserve">a filer will only be able to submit </w:t>
      </w:r>
      <w:r w:rsidRPr="00DD6EEE">
        <w:t xml:space="preserve">the </w:t>
      </w:r>
      <w:r>
        <w:t>BOIR Form</w:t>
      </w:r>
      <w:r w:rsidRPr="00DD6EEE">
        <w:t xml:space="preserve"> once each </w:t>
      </w:r>
      <w:r>
        <w:t xml:space="preserve">required </w:t>
      </w:r>
      <w:r w:rsidRPr="00DD6EEE">
        <w:t xml:space="preserve">field </w:t>
      </w:r>
      <w:r>
        <w:t>has been filled out</w:t>
      </w:r>
      <w:r w:rsidRPr="00DD6EEE">
        <w:t xml:space="preserve">.  </w:t>
      </w:r>
      <w:r>
        <w:t xml:space="preserve">In the first implementation, </w:t>
      </w:r>
      <w:r>
        <w:t>a</w:t>
      </w:r>
      <w:r w:rsidRPr="00CA55D0">
        <w:t>ny field left blank, whether intentionally or accidentally, will prevent the filer from submitting their BOIR</w:t>
      </w:r>
      <w:r>
        <w:t xml:space="preserve"> Form</w:t>
      </w:r>
      <w:r w:rsidRPr="00CA55D0">
        <w:t>.  It is our hope that filers will find the filing process to be seamless, users of the database will determine that the information collecte</w:t>
      </w:r>
      <w:r w:rsidRPr="00CA55D0">
        <w:t xml:space="preserve">d is </w:t>
      </w:r>
      <w:r>
        <w:t>accurate</w:t>
      </w:r>
      <w:r w:rsidRPr="00CA55D0">
        <w:t xml:space="preserve">, and </w:t>
      </w:r>
      <w:r>
        <w:t>all</w:t>
      </w:r>
      <w:r w:rsidRPr="00CA55D0">
        <w:t xml:space="preserve"> stakeholders</w:t>
      </w:r>
      <w:r>
        <w:t>, including law enforcement,</w:t>
      </w:r>
      <w:r w:rsidRPr="00CA55D0">
        <w:t xml:space="preserve"> will find this </w:t>
      </w:r>
      <w:r>
        <w:t xml:space="preserve">implementation to be </w:t>
      </w:r>
      <w:r w:rsidRPr="00CA55D0">
        <w:t>sufficiently straightforward, transparent, and efficient.</w:t>
      </w:r>
      <w:r>
        <w:t xml:space="preserve">  </w:t>
      </w:r>
      <w:bookmarkStart w:id="0" w:name="_Hlk142322437"/>
    </w:p>
    <w:p w:rsidR="000B63B9" w:rsidP="00421067" w14:paraId="74D238D9" w14:textId="15C091BA">
      <w:pPr>
        <w:spacing w:after="240"/>
        <w:ind w:firstLine="720"/>
      </w:pPr>
      <w:r w:rsidRPr="00824CB0">
        <w:t xml:space="preserve">FinCEN believes </w:t>
      </w:r>
      <w:r w:rsidR="00926233">
        <w:t>the removal of the “unknown” checkboxes will</w:t>
      </w:r>
      <w:r w:rsidRPr="00824CB0">
        <w:t xml:space="preserve"> provide</w:t>
      </w:r>
      <w:r>
        <w:t xml:space="preserve"> clear notice to reporting c</w:t>
      </w:r>
      <w:r>
        <w:t xml:space="preserve">ompanies that they must take steps necessary to identify beneficial owner and company applicant </w:t>
      </w:r>
      <w:r>
        <w:t>information  As</w:t>
      </w:r>
      <w:r>
        <w:t xml:space="preserve"> some commenters emphasized, an approach that incentivizes full compliance with BOI reporting, coupled with a proactive enforcement strategy, cou</w:t>
      </w:r>
      <w:r>
        <w:t xml:space="preserve">ld increase data integrity over time.  This </w:t>
      </w:r>
      <w:r w:rsidR="001E065D">
        <w:t xml:space="preserve">revised </w:t>
      </w:r>
      <w:r>
        <w:t xml:space="preserve">approach also accounts for commenter views that allowing the filing of incomplete BOIRs will undermine the integrity of the reporting requirement and the usefulness of the </w:t>
      </w:r>
      <w:r w:rsidR="003C4E69">
        <w:t>BOI information technology system (</w:t>
      </w:r>
      <w:r>
        <w:t>BOI IT System</w:t>
      </w:r>
      <w:r w:rsidR="003C4E69">
        <w:t>)</w:t>
      </w:r>
      <w:r>
        <w:t>.</w:t>
      </w:r>
      <w:r w:rsidR="00F53543">
        <w:t xml:space="preserve"> </w:t>
      </w:r>
    </w:p>
    <w:p w:rsidR="000B63B9" w14:paraId="5749B581" w14:textId="1347157D">
      <w:pPr>
        <w:ind w:firstLine="720"/>
      </w:pPr>
      <w:r w:rsidRPr="00421067">
        <w:t>FinCEN is cognizant that reporting companies could face difficulties in obtaining information promptly.  To better understand this potential concern, FinCEN consulted with behavioral scientists at the General Services Administration, te</w:t>
      </w:r>
      <w:r w:rsidRPr="00421067">
        <w:t>chnology experts at the Department of the Treasury, and various others throughout the U.S. Government who have expertise around these issues.  The consultations highlighted potential</w:t>
      </w:r>
      <w:r w:rsidR="002707C2">
        <w:t>, though not inevitable,</w:t>
      </w:r>
      <w:r w:rsidRPr="00421067">
        <w:t xml:space="preserve"> pitfalls in not providing an explanatory mechanis</w:t>
      </w:r>
      <w:r w:rsidRPr="00421067">
        <w:t>m in the BOIR Form when a filer is unable to obtain certain required information.  This might inadvertently discourage reporting companies from filing in a timely manner (or filing at all) because they do not have sufficient information.  It may also incen</w:t>
      </w:r>
      <w:r w:rsidRPr="00421067">
        <w:t>tivize reporting companies to file meaningless or untruthful information in certain fields to make a deadline.  These difficulties also have the potential to significantly increase the volume of inquiries to FinCEN’s Contact Center</w:t>
      </w:r>
      <w:r>
        <w:rPr>
          <w:vertAlign w:val="superscript"/>
        </w:rPr>
        <w:footnoteReference w:id="23"/>
      </w:r>
      <w:r w:rsidRPr="00421067">
        <w:t xml:space="preserve"> from reporting compani</w:t>
      </w:r>
      <w:r w:rsidRPr="00421067">
        <w:t>es that seek clarification of the filing requirements when they are unable to obtain BOI.</w:t>
      </w:r>
    </w:p>
    <w:p w:rsidR="001D4226" w14:paraId="72726F54" w14:textId="77777777">
      <w:pPr>
        <w:ind w:firstLine="720"/>
      </w:pPr>
    </w:p>
    <w:p w:rsidR="000D5CC1" w:rsidRPr="000C0227" w:rsidP="00421067" w14:paraId="5B3606FA" w14:textId="0CF25AEC">
      <w:pPr>
        <w:ind w:firstLine="720"/>
      </w:pPr>
      <w:r w:rsidRPr="00421067">
        <w:t xml:space="preserve">Bearing these potential concerns in mind, in addition to feedback from filers and database users in the months following the first implementation, FinCEN may consider an alternative implementation.  </w:t>
      </w:r>
      <w:r>
        <w:t xml:space="preserve">The alternative implementation would </w:t>
      </w:r>
      <w:r w:rsidRPr="00DD6EEE">
        <w:t>hav</w:t>
      </w:r>
      <w:r>
        <w:t>e</w:t>
      </w:r>
      <w:r w:rsidRPr="00DD6EEE">
        <w:t xml:space="preserve"> the same respon</w:t>
      </w:r>
      <w:r w:rsidRPr="00DD6EEE">
        <w:t>se fields that require the same information</w:t>
      </w:r>
      <w:r>
        <w:t xml:space="preserve"> to be reported, and r</w:t>
      </w:r>
      <w:r w:rsidRPr="00DD6EEE">
        <w:t xml:space="preserve">eporting companies </w:t>
      </w:r>
      <w:r>
        <w:t>would be required to provide</w:t>
      </w:r>
      <w:r w:rsidRPr="00DD6EEE">
        <w:t xml:space="preserve"> </w:t>
      </w:r>
      <w:r>
        <w:t>accurate</w:t>
      </w:r>
      <w:r w:rsidRPr="00DD6EEE">
        <w:t xml:space="preserve"> responses in every field to submit a filing.</w:t>
      </w:r>
      <w:r>
        <w:t xml:space="preserve"> </w:t>
      </w:r>
      <w:r w:rsidRPr="00DD6EEE">
        <w:t xml:space="preserve"> </w:t>
      </w:r>
      <w:r>
        <w:t>H</w:t>
      </w:r>
      <w:r w:rsidRPr="00DD6EEE">
        <w:t xml:space="preserve">owever, </w:t>
      </w:r>
      <w:r>
        <w:t>this implementation would</w:t>
      </w:r>
      <w:r w:rsidRPr="00DD6EEE">
        <w:t xml:space="preserve"> provide a mechanism for filers to </w:t>
      </w:r>
      <w:r>
        <w:t>indicate if they ar</w:t>
      </w:r>
      <w:r>
        <w:t xml:space="preserve">e </w:t>
      </w:r>
      <w:r w:rsidR="00CC2CED">
        <w:t xml:space="preserve">temporarily </w:t>
      </w:r>
      <w:r>
        <w:t>unable to provide certain information for certain reasons</w:t>
      </w:r>
      <w:r w:rsidRPr="00DD6EEE">
        <w:t xml:space="preserve">. </w:t>
      </w:r>
      <w:r>
        <w:t xml:space="preserve"> </w:t>
      </w:r>
      <w:r w:rsidRPr="00DD6EEE">
        <w:t xml:space="preserve">Specifically, </w:t>
      </w:r>
      <w:r>
        <w:t>there would be</w:t>
      </w:r>
      <w:r w:rsidRPr="00DD6EEE">
        <w:t xml:space="preserve"> a drop-down option in the Beneficial Owner(s) section </w:t>
      </w:r>
      <w:r>
        <w:t xml:space="preserve">that would allow </w:t>
      </w:r>
      <w:r w:rsidRPr="00DD6EEE">
        <w:t xml:space="preserve">filers </w:t>
      </w:r>
      <w:r>
        <w:t>to</w:t>
      </w:r>
      <w:r w:rsidRPr="00DD6EEE">
        <w:t xml:space="preserve"> specify </w:t>
      </w:r>
      <w:r>
        <w:t xml:space="preserve">one of </w:t>
      </w:r>
      <w:r w:rsidR="00A05FA0">
        <w:t>several</w:t>
      </w:r>
      <w:r>
        <w:t xml:space="preserve"> </w:t>
      </w:r>
      <w:r w:rsidRPr="00DD6EEE">
        <w:t>reason</w:t>
      </w:r>
      <w:r>
        <w:t>s</w:t>
      </w:r>
      <w:r w:rsidRPr="00DD6EEE">
        <w:t xml:space="preserve"> why they are </w:t>
      </w:r>
      <w:r>
        <w:t xml:space="preserve">temporarily </w:t>
      </w:r>
      <w:r w:rsidRPr="00DD6EEE">
        <w:t>unable to provid</w:t>
      </w:r>
      <w:r w:rsidRPr="00DD6EEE">
        <w:t xml:space="preserve">e a piece of information about a beneficial owner.  </w:t>
      </w:r>
      <w:bookmarkStart w:id="1" w:name="_Hlk144469737"/>
      <w:bookmarkStart w:id="2" w:name="_Hlk144469595"/>
      <w:bookmarkStart w:id="3" w:name="_Hlk144469551"/>
      <w:r w:rsidRPr="00BB7724">
        <w:t xml:space="preserve">FinCEN is considering </w:t>
      </w:r>
      <w:r>
        <w:t>several</w:t>
      </w:r>
      <w:r w:rsidRPr="00BB7724">
        <w:t xml:space="preserve"> drop-down options</w:t>
      </w:r>
      <w:r>
        <w:t>, including (but not limited to)</w:t>
      </w:r>
      <w:r w:rsidRPr="00BB7724">
        <w:t xml:space="preserve">: “Cannot Contact BO”; “BO Unresponsive”; “BO Refused to Provide”; and </w:t>
      </w:r>
      <w:bookmarkStart w:id="4" w:name="_Hlk144469428"/>
      <w:r>
        <w:t>“</w:t>
      </w:r>
      <w:r w:rsidRPr="00BB7724">
        <w:t>Third Party</w:t>
      </w:r>
      <w:r>
        <w:t xml:space="preserve"> Refused to Provide.</w:t>
      </w:r>
      <w:r w:rsidRPr="00BB7724">
        <w:t xml:space="preserve">”  </w:t>
      </w:r>
      <w:bookmarkEnd w:id="4"/>
      <w:r w:rsidRPr="00BB7724">
        <w:t>Drop-down options w</w:t>
      </w:r>
      <w:r w:rsidRPr="00BB7724">
        <w:t xml:space="preserve">ill not </w:t>
      </w:r>
      <w:r w:rsidRPr="00BB7724">
        <w:t xml:space="preserve">be included in the other sections of the form (i.e., </w:t>
      </w:r>
      <w:r w:rsidR="00620FF4">
        <w:t xml:space="preserve">Reporting Company </w:t>
      </w:r>
      <w:r w:rsidRPr="00BB7724">
        <w:t xml:space="preserve">Section and Company Applicant(s) Section).  Forms </w:t>
      </w:r>
      <w:r>
        <w:t xml:space="preserve">whose filers select </w:t>
      </w:r>
      <w:r w:rsidRPr="00BB7724">
        <w:t xml:space="preserve">a drop-down option will be accepted into the </w:t>
      </w:r>
      <w:r>
        <w:t xml:space="preserve">filing </w:t>
      </w:r>
      <w:r w:rsidRPr="00BB7724">
        <w:t>system</w:t>
      </w:r>
      <w:r>
        <w:t xml:space="preserve"> but</w:t>
      </w:r>
      <w:r w:rsidRPr="00BB7724">
        <w:t xml:space="preserve"> will </w:t>
      </w:r>
      <w:r>
        <w:t xml:space="preserve">still </w:t>
      </w:r>
      <w:r w:rsidRPr="00BB7724">
        <w:t>be considered incomplete and non-</w:t>
      </w:r>
      <w:r w:rsidRPr="00BB7724">
        <w:t>compliant filing</w:t>
      </w:r>
      <w:r>
        <w:t>s.</w:t>
      </w:r>
      <w:r w:rsidRPr="00BB7724">
        <w:t xml:space="preserve"> </w:t>
      </w:r>
      <w:r>
        <w:t xml:space="preserve"> Forms will only be considered complete and compliant once the missing </w:t>
      </w:r>
      <w:r w:rsidRPr="00BB7724">
        <w:t>information is</w:t>
      </w:r>
      <w:r>
        <w:t xml:space="preserve"> subsequently</w:t>
      </w:r>
      <w:r w:rsidRPr="00BB7724">
        <w:t xml:space="preserve"> added</w:t>
      </w:r>
      <w:r>
        <w:t>,</w:t>
      </w:r>
      <w:r w:rsidRPr="00BB7724">
        <w:t xml:space="preserve"> the drop-down</w:t>
      </w:r>
      <w:r>
        <w:t xml:space="preserve"> option</w:t>
      </w:r>
      <w:r w:rsidRPr="00BB7724">
        <w:t xml:space="preserve"> is removed</w:t>
      </w:r>
      <w:r>
        <w:t xml:space="preserve"> from each field, and the form is updated.</w:t>
      </w:r>
      <w:r w:rsidRPr="00BB7724">
        <w:t xml:space="preserve">  FinCEN will be </w:t>
      </w:r>
      <w:bookmarkEnd w:id="1"/>
      <w:r w:rsidRPr="00BB7724">
        <w:t xml:space="preserve">seeking </w:t>
      </w:r>
      <w:bookmarkEnd w:id="2"/>
      <w:r w:rsidRPr="00BB7724">
        <w:t>feedback from database users, inc</w:t>
      </w:r>
      <w:r w:rsidRPr="00BB7724">
        <w:t>luding filers and law enforcement</w:t>
      </w:r>
      <w:r w:rsidR="003D7EC5">
        <w:t>,</w:t>
      </w:r>
      <w:r w:rsidRPr="00BB7724">
        <w:t xml:space="preserve"> on these options.</w:t>
      </w:r>
      <w:r>
        <w:t xml:space="preserve"> </w:t>
      </w:r>
      <w:bookmarkEnd w:id="3"/>
    </w:p>
    <w:p w:rsidR="000B63B9" w:rsidP="000B63B9" w14:paraId="3B6EE591" w14:textId="19D60F20">
      <w:pPr>
        <w:ind w:firstLine="720"/>
      </w:pPr>
    </w:p>
    <w:p w:rsidR="000B63B9" w:rsidP="00DF2AAD" w14:paraId="5F1D1229" w14:textId="6DD48426">
      <w:pPr>
        <w:ind w:firstLine="720"/>
      </w:pPr>
      <w:r w:rsidRPr="00421067">
        <w:t xml:space="preserve">FinCEN’s adoption of the </w:t>
      </w:r>
      <w:r w:rsidR="005B4368">
        <w:t>alternative (</w:t>
      </w:r>
      <w:r w:rsidRPr="00421067">
        <w:t>drop-down</w:t>
      </w:r>
      <w:r w:rsidR="005B4368">
        <w:t>)</w:t>
      </w:r>
      <w:r w:rsidRPr="00421067">
        <w:t xml:space="preserve"> implementation will be informed by feedback from stakeholders, including filers and law enforcement agencies.  The filer experience, the usefulness of information for law enforcement, and the overall quality of the data reported to FinCEN will be some of </w:t>
      </w:r>
      <w:r w:rsidRPr="00421067">
        <w:t xml:space="preserve">the key metrics taken into consideration.  Ultimately, any decision to adopt the alternative implementation with drop-down options, should it be pursued at all, would only be made after </w:t>
      </w:r>
      <w:r w:rsidR="00723D9C">
        <w:t>careful analysi</w:t>
      </w:r>
      <w:r w:rsidR="00241C6B">
        <w:t>s</w:t>
      </w:r>
      <w:r w:rsidRPr="00421067">
        <w:t xml:space="preserve"> of the initial implementation.</w:t>
      </w:r>
      <w:r w:rsidRPr="007D43B1">
        <w:t xml:space="preserve"> </w:t>
      </w:r>
      <w:r w:rsidRPr="00DD6EEE" w:rsidR="00BA68FE">
        <w:t xml:space="preserve">Equally as important, should </w:t>
      </w:r>
      <w:r w:rsidR="00BA68FE">
        <w:t>FinCEN adopt the alternative implementation</w:t>
      </w:r>
      <w:r w:rsidRPr="00DD6EEE" w:rsidR="00BA68FE">
        <w:t xml:space="preserve">, </w:t>
      </w:r>
      <w:r w:rsidR="00BA68FE">
        <w:t>FinCEN will issue guidance well in advance of any change</w:t>
      </w:r>
      <w:r w:rsidR="003C073B">
        <w:t>,</w:t>
      </w:r>
      <w:r w:rsidR="00BA68FE">
        <w:t xml:space="preserve"> and there will only ever be one of the implementations “live” </w:t>
      </w:r>
      <w:r w:rsidR="003A0FEC">
        <w:t>that</w:t>
      </w:r>
      <w:r w:rsidR="00BA68FE">
        <w:t xml:space="preserve"> filers </w:t>
      </w:r>
      <w:r w:rsidR="003A0FEC">
        <w:t>can</w:t>
      </w:r>
      <w:r w:rsidR="00BA68FE">
        <w:t xml:space="preserve"> see and use.  </w:t>
      </w:r>
      <w:r w:rsidRPr="00DD6EEE" w:rsidR="00BA68FE">
        <w:t xml:space="preserve">FinCEN </w:t>
      </w:r>
      <w:r w:rsidR="00BA68FE">
        <w:t xml:space="preserve">believes that this revised approach will best address </w:t>
      </w:r>
      <w:r w:rsidRPr="00DD6EEE" w:rsidR="00BA68FE">
        <w:t xml:space="preserve">the feedback from commenters and </w:t>
      </w:r>
      <w:r w:rsidR="00BA68FE">
        <w:t>maintain appropriate</w:t>
      </w:r>
      <w:r w:rsidRPr="00DD6EEE" w:rsidR="00BA68FE">
        <w:t xml:space="preserve"> flexibility to </w:t>
      </w:r>
      <w:r w:rsidR="00BA68FE">
        <w:t>adapt the BOIR Form to</w:t>
      </w:r>
      <w:r w:rsidRPr="00DD6EEE" w:rsidR="00BA68FE">
        <w:t xml:space="preserve"> </w:t>
      </w:r>
      <w:r w:rsidR="00BA68FE">
        <w:t>meet</w:t>
      </w:r>
      <w:r w:rsidRPr="00DD6EEE" w:rsidR="00BA68FE">
        <w:t xml:space="preserve"> the needs of filers, </w:t>
      </w:r>
      <w:r w:rsidR="00BA68FE">
        <w:t>database users</w:t>
      </w:r>
      <w:r w:rsidRPr="00DD6EEE" w:rsidR="00BA68FE">
        <w:t>, and other important stakeholders</w:t>
      </w:r>
      <w:r w:rsidR="00BA68FE">
        <w:t xml:space="preserve"> based on what FinCEN learns after the system becomes operational</w:t>
      </w:r>
      <w:r w:rsidRPr="00DD6EEE" w:rsidR="00BA68FE">
        <w:t>.</w:t>
      </w:r>
    </w:p>
    <w:p w:rsidR="0012472E" w:rsidP="00421067" w14:paraId="4E561F1C" w14:textId="77777777">
      <w:pPr>
        <w:ind w:firstLine="720"/>
      </w:pPr>
    </w:p>
    <w:p w:rsidR="005B4368" w:rsidP="005B4368" w14:paraId="72C1E912" w14:textId="0256FE45">
      <w:pPr>
        <w:ind w:firstLine="720"/>
      </w:pPr>
      <w:r>
        <w:t>The benefit of this implementation would be to (</w:t>
      </w:r>
      <w:r w:rsidRPr="00CA55D0">
        <w:t xml:space="preserve">1) </w:t>
      </w:r>
      <w:r>
        <w:t>p</w:t>
      </w:r>
      <w:r w:rsidRPr="00CA55D0">
        <w:t xml:space="preserve">rovide a mechanism for the collection of some beneficial ownership information that would be of immediate use to </w:t>
      </w:r>
      <w:r w:rsidRPr="009544F0">
        <w:t>law enforcement</w:t>
      </w:r>
      <w:r>
        <w:t xml:space="preserve"> agencies</w:t>
      </w:r>
      <w:r w:rsidRPr="00CA55D0">
        <w:t xml:space="preserve"> and other authorized users of BOI; </w:t>
      </w:r>
      <w:r>
        <w:t>(</w:t>
      </w:r>
      <w:r w:rsidRPr="00CA55D0">
        <w:t xml:space="preserve">2) </w:t>
      </w:r>
      <w:r>
        <w:t>p</w:t>
      </w:r>
      <w:r w:rsidRPr="00CA55D0">
        <w:t>rovide insight into</w:t>
      </w:r>
      <w:r w:rsidRPr="00CA55D0">
        <w:t xml:space="preserve"> any </w:t>
      </w:r>
      <w:r>
        <w:t>common</w:t>
      </w:r>
      <w:r w:rsidRPr="00CA55D0">
        <w:t xml:space="preserve"> difficulties that might arise so that FinCEN can potentially provide </w:t>
      </w:r>
      <w:r>
        <w:t>g</w:t>
      </w:r>
      <w:r w:rsidRPr="00CA55D0">
        <w:t xml:space="preserve">uidance, </w:t>
      </w:r>
      <w:r>
        <w:t>frequently asked questions (</w:t>
      </w:r>
      <w:r w:rsidRPr="00CA55D0">
        <w:t>FAQs</w:t>
      </w:r>
      <w:r>
        <w:t>)</w:t>
      </w:r>
      <w:r w:rsidRPr="00CA55D0">
        <w:t xml:space="preserve">, </w:t>
      </w:r>
      <w:r>
        <w:t xml:space="preserve">or </w:t>
      </w:r>
      <w:r w:rsidRPr="00CA55D0">
        <w:t xml:space="preserve">follow-up </w:t>
      </w:r>
      <w:r>
        <w:t>with reporting companies or beneficial owners</w:t>
      </w:r>
      <w:r w:rsidRPr="00CA55D0">
        <w:t xml:space="preserve">; and </w:t>
      </w:r>
      <w:r w:rsidR="00361F82">
        <w:t>(</w:t>
      </w:r>
      <w:r w:rsidRPr="00CA55D0">
        <w:t xml:space="preserve">3) </w:t>
      </w:r>
      <w:r>
        <w:t>p</w:t>
      </w:r>
      <w:r w:rsidRPr="00CA55D0">
        <w:t xml:space="preserve">rovide notice for FinCEN that </w:t>
      </w:r>
      <w:r>
        <w:t>an</w:t>
      </w:r>
      <w:r w:rsidRPr="00CA55D0">
        <w:t xml:space="preserve"> incomplete report has been s</w:t>
      </w:r>
      <w:r w:rsidRPr="00CA55D0">
        <w:t>ubmitted and facilitate appropriate related follow-up</w:t>
      </w:r>
      <w:r>
        <w:t>.</w:t>
      </w:r>
      <w:r w:rsidRPr="005B4368">
        <w:t xml:space="preserve">  </w:t>
      </w:r>
    </w:p>
    <w:p w:rsidR="005B4368" w:rsidP="00421067" w14:paraId="60293831" w14:textId="77777777">
      <w:pPr>
        <w:ind w:firstLine="720"/>
      </w:pPr>
    </w:p>
    <w:bookmarkEnd w:id="0"/>
    <w:p w:rsidR="000A4157" w:rsidRPr="000C0227" w:rsidP="001E3A1D" w14:paraId="711C84D9" w14:textId="3EBE2A1B">
      <w:pPr>
        <w:spacing w:after="240" w:line="259" w:lineRule="auto"/>
        <w:ind w:firstLine="360"/>
      </w:pPr>
      <w:r>
        <w:t>In both implementations</w:t>
      </w:r>
      <w:r w:rsidRPr="003F0289" w:rsidR="001471F0">
        <w:rPr>
          <w:bCs/>
          <w:iCs/>
        </w:rPr>
        <w:t xml:space="preserve">, </w:t>
      </w:r>
      <w:r w:rsidR="003739A3">
        <w:rPr>
          <w:bCs/>
          <w:iCs/>
        </w:rPr>
        <w:t>FinCEN intends</w:t>
      </w:r>
      <w:r w:rsidRPr="003F0289" w:rsidR="001471F0">
        <w:rPr>
          <w:bCs/>
        </w:rPr>
        <w:t xml:space="preserve"> to make clear </w:t>
      </w:r>
      <w:r w:rsidR="008D0800">
        <w:rPr>
          <w:bCs/>
        </w:rPr>
        <w:t xml:space="preserve">on the BOIR </w:t>
      </w:r>
      <w:r w:rsidRPr="003F0289" w:rsidR="001471F0">
        <w:rPr>
          <w:bCs/>
        </w:rPr>
        <w:t>that reporting companies must provide all required information to satisfy their reporting obligations</w:t>
      </w:r>
      <w:r w:rsidR="001471F0">
        <w:rPr>
          <w:bCs/>
        </w:rPr>
        <w:t xml:space="preserve">.  For example, the BOIR </w:t>
      </w:r>
      <w:r w:rsidR="000F18C7">
        <w:rPr>
          <w:bCs/>
        </w:rPr>
        <w:t>will</w:t>
      </w:r>
      <w:r w:rsidR="001471F0">
        <w:rPr>
          <w:bCs/>
        </w:rPr>
        <w:t xml:space="preserve"> include t</w:t>
      </w:r>
      <w:r w:rsidRPr="00224CA8" w:rsidR="001471F0">
        <w:t>ool tip</w:t>
      </w:r>
      <w:r w:rsidRPr="008262D1" w:rsidR="001471F0">
        <w:t>s (</w:t>
      </w:r>
      <w:r w:rsidRPr="008262D1" w:rsidR="007B76F2">
        <w:t xml:space="preserve">i.e., </w:t>
      </w:r>
      <w:r w:rsidRPr="008262D1" w:rsidR="001471F0">
        <w:t>text box</w:t>
      </w:r>
      <w:r w:rsidRPr="008262D1" w:rsidR="000F18C7">
        <w:t>es</w:t>
      </w:r>
      <w:r w:rsidRPr="008262D1" w:rsidR="001471F0">
        <w:t xml:space="preserve"> </w:t>
      </w:r>
      <w:r w:rsidR="00420414">
        <w:t xml:space="preserve">that will be </w:t>
      </w:r>
      <w:r w:rsidRPr="008262D1" w:rsidR="001471F0">
        <w:t xml:space="preserve">displayed </w:t>
      </w:r>
      <w:r w:rsidR="00420414">
        <w:t xml:space="preserve">for a BOIR field or section, </w:t>
      </w:r>
      <w:r w:rsidRPr="008262D1" w:rsidR="00F6383E">
        <w:t>which will</w:t>
      </w:r>
      <w:r w:rsidR="008262D1">
        <w:t xml:space="preserve"> convey requirements, instructions, and clarifying information</w:t>
      </w:r>
      <w:r w:rsidRPr="008262D1" w:rsidR="00F6383E">
        <w:t xml:space="preserve"> for the </w:t>
      </w:r>
      <w:r w:rsidRPr="008262D1" w:rsidR="00F6383E">
        <w:t>particular field</w:t>
      </w:r>
      <w:r w:rsidR="008262D1">
        <w:t xml:space="preserve"> or section</w:t>
      </w:r>
      <w:r w:rsidRPr="008262D1" w:rsidR="001471F0">
        <w:t>.</w:t>
      </w:r>
      <w:r w:rsidR="0041188A">
        <w:t xml:space="preserve"> </w:t>
      </w:r>
      <w:r w:rsidR="000633CE">
        <w:t xml:space="preserve"> </w:t>
      </w:r>
      <w:r>
        <w:t>If a drop-down option is se</w:t>
      </w:r>
      <w:r>
        <w:t xml:space="preserve">lected, the BOIR would make clear </w:t>
      </w:r>
      <w:r w:rsidRPr="000C0227">
        <w:t xml:space="preserve">that the reporting company </w:t>
      </w:r>
      <w:r>
        <w:t xml:space="preserve">is expected to </w:t>
      </w:r>
      <w:r w:rsidRPr="000C0227">
        <w:t>continue to try and locate the missing information and ultimately submit a fully completed form.</w:t>
      </w:r>
      <w:r>
        <w:t xml:space="preserve">  </w:t>
      </w:r>
      <w:r w:rsidR="006E7BA4">
        <w:t>The BOIR will</w:t>
      </w:r>
      <w:r w:rsidR="000A6633">
        <w:t xml:space="preserve"> also</w:t>
      </w:r>
      <w:r w:rsidR="006E7BA4">
        <w:t xml:space="preserve"> include a certification whereby filers must certify that the </w:t>
      </w:r>
      <w:r w:rsidRPr="002B7C7C" w:rsidR="006E7BA4">
        <w:t>information furnished is true, correct, and complete</w:t>
      </w:r>
      <w:r w:rsidR="006E7BA4">
        <w:t xml:space="preserve">.  </w:t>
      </w:r>
      <w:r w:rsidRPr="00B40230" w:rsidR="00BB6B59">
        <w:t>A</w:t>
      </w:r>
      <w:r w:rsidR="00BB6B59">
        <w:t xml:space="preserve"> compliance reminder</w:t>
      </w:r>
      <w:r w:rsidRPr="00B2479B" w:rsidR="00BB6B59">
        <w:rPr>
          <w:i/>
          <w:iCs/>
          <w:color w:val="FF0000"/>
        </w:rPr>
        <w:t xml:space="preserve">, </w:t>
      </w:r>
      <w:r w:rsidRPr="00C51A91" w:rsidR="00BB6B59">
        <w:t xml:space="preserve">which will be posted below the certification on the BOIR, will </w:t>
      </w:r>
      <w:r w:rsidRPr="00C51A91" w:rsidR="004E246F">
        <w:t xml:space="preserve">remind </w:t>
      </w:r>
      <w:r w:rsidRPr="00C51A91" w:rsidR="00BB6B59">
        <w:t xml:space="preserve">filers </w:t>
      </w:r>
      <w:r w:rsidRPr="00C51A91" w:rsidR="004E246F">
        <w:t xml:space="preserve">that </w:t>
      </w:r>
      <w:r w:rsidRPr="00AB5DE8" w:rsidR="00C51A91">
        <w:t>the willful failure to report complete or updated BOI to FinCEN, or the willful provision of false or fraudulent BOI to FinCEN, may result in civil or criminal penalties</w:t>
      </w:r>
      <w:r w:rsidRPr="00C51A91" w:rsidR="00C51A91">
        <w:t>.</w:t>
      </w:r>
      <w:r w:rsidR="00BB6B59">
        <w:t xml:space="preserve">  </w:t>
      </w:r>
      <w:r w:rsidRPr="008262D1">
        <w:t>FinCEN will also address this requirement in guidance documents and other materials</w:t>
      </w:r>
      <w:r w:rsidRPr="003E6C24">
        <w:t>, such as press releases, briefings, and frequently asked questions (FAQs).</w:t>
      </w:r>
      <w:r w:rsidRPr="00B673FF">
        <w:rPr>
          <w:shd w:val="clear" w:color="auto" w:fill="E6E6E6"/>
        </w:rPr>
        <w:t xml:space="preserve"> </w:t>
      </w:r>
    </w:p>
    <w:p w:rsidR="007A474A" w:rsidRPr="000D5A1A" w:rsidP="00687B48" w14:paraId="2D458FC7" w14:textId="06C59745">
      <w:pPr>
        <w:spacing w:after="240"/>
        <w:ind w:left="360"/>
      </w:pPr>
      <w:r>
        <w:t xml:space="preserve">2. </w:t>
      </w:r>
      <w:r w:rsidR="00B54EF8">
        <w:tab/>
      </w:r>
      <w:r w:rsidR="00687B48">
        <w:t>P</w:t>
      </w:r>
      <w:r w:rsidRPr="000D5A1A" w:rsidR="00222A64">
        <w:t>roposed</w:t>
      </w:r>
      <w:r w:rsidRPr="000D5A1A">
        <w:t xml:space="preserve"> </w:t>
      </w:r>
      <w:r w:rsidRPr="000D5A1A" w:rsidR="00433929">
        <w:t xml:space="preserve">data </w:t>
      </w:r>
      <w:r w:rsidRPr="000D5A1A">
        <w:t>field revisions</w:t>
      </w:r>
      <w:r w:rsidRPr="000D5A1A" w:rsidR="00D10EEB">
        <w:t xml:space="preserve"> </w:t>
      </w:r>
    </w:p>
    <w:p w:rsidR="009D2F14" w14:paraId="6254A2A1" w14:textId="6548D7E7">
      <w:pPr>
        <w:spacing w:after="240"/>
      </w:pPr>
      <w:r w:rsidRPr="000D5A1A">
        <w:t>Several</w:t>
      </w:r>
      <w:r w:rsidRPr="000D5A1A" w:rsidR="57F6F09D">
        <w:t xml:space="preserve"> commenters requested </w:t>
      </w:r>
      <w:r w:rsidRPr="000D5A1A" w:rsidR="03C9F33F">
        <w:t xml:space="preserve">specific </w:t>
      </w:r>
      <w:r w:rsidRPr="000D5A1A" w:rsidR="57F6F09D">
        <w:t>revisions to data fields on the form.</w:t>
      </w:r>
      <w:r w:rsidRPr="000D5A1A" w:rsidR="37064C81">
        <w:t xml:space="preserve">  </w:t>
      </w:r>
      <w:r w:rsidR="00E5113E">
        <w:t xml:space="preserve">Specifically, commenters recommended removing fields, </w:t>
      </w:r>
      <w:r w:rsidR="00516D17">
        <w:t xml:space="preserve">adding new fields, moving fields, and revising the language of fields.  </w:t>
      </w:r>
    </w:p>
    <w:p w:rsidR="009D2F14" w14:paraId="2018AB88" w14:textId="2A2820D4">
      <w:pPr>
        <w:spacing w:after="240"/>
      </w:pPr>
      <w:r>
        <w:t>Commenters’ recommended change</w:t>
      </w:r>
      <w:r>
        <w:t xml:space="preserve">s in the </w:t>
      </w:r>
      <w:r w:rsidR="00D32312">
        <w:t xml:space="preserve">data </w:t>
      </w:r>
      <w:r w:rsidR="00EF71D5">
        <w:t>fields relate</w:t>
      </w:r>
      <w:r w:rsidR="007F3090">
        <w:t>d</w:t>
      </w:r>
      <w:r w:rsidR="00EF71D5">
        <w:t xml:space="preserve"> to</w:t>
      </w:r>
      <w:r>
        <w:t xml:space="preserve">: </w:t>
      </w:r>
    </w:p>
    <w:p w:rsidR="009D2F14" w:rsidP="00F9646D" w14:paraId="5077DD95" w14:textId="246A9E3E">
      <w:pPr>
        <w:pStyle w:val="ListParagraph"/>
        <w:numPr>
          <w:ilvl w:val="0"/>
          <w:numId w:val="37"/>
        </w:numPr>
        <w:contextualSpacing w:val="0"/>
      </w:pPr>
      <w:r w:rsidRPr="00421067">
        <w:rPr>
          <w:i/>
          <w:iCs/>
        </w:rPr>
        <w:t>Filing information</w:t>
      </w:r>
      <w:r w:rsidR="00423F4A">
        <w:t>: R</w:t>
      </w:r>
      <w:r w:rsidR="008D2DD8">
        <w:t>emov</w:t>
      </w:r>
      <w:r w:rsidR="00423F4A">
        <w:t>e</w:t>
      </w:r>
      <w:r w:rsidR="008D2DD8">
        <w:t xml:space="preserve"> line 1(d) (newly exempt entity</w:t>
      </w:r>
      <w:r w:rsidR="008D2DD8">
        <w:t>)</w:t>
      </w:r>
      <w:r w:rsidR="00274F58">
        <w:t>;</w:t>
      </w:r>
    </w:p>
    <w:p w:rsidR="009D2F14" w:rsidP="00F9646D" w14:paraId="2E59751E" w14:textId="4822F175">
      <w:pPr>
        <w:pStyle w:val="ListParagraph"/>
        <w:numPr>
          <w:ilvl w:val="0"/>
          <w:numId w:val="37"/>
        </w:numPr>
        <w:contextualSpacing w:val="0"/>
      </w:pPr>
      <w:r w:rsidRPr="00421067">
        <w:rPr>
          <w:i/>
          <w:iCs/>
        </w:rPr>
        <w:t>R</w:t>
      </w:r>
      <w:r w:rsidRPr="00421067" w:rsidR="00EF71D5">
        <w:rPr>
          <w:i/>
          <w:iCs/>
        </w:rPr>
        <w:t>eporting company information</w:t>
      </w:r>
      <w:r>
        <w:t>: A</w:t>
      </w:r>
      <w:r w:rsidR="008D2DD8">
        <w:t xml:space="preserve">dd a new field for filers </w:t>
      </w:r>
      <w:r w:rsidRPr="00A0099D" w:rsidR="008D2DD8">
        <w:t xml:space="preserve">to disclose the type of entity submitting the </w:t>
      </w:r>
      <w:r w:rsidRPr="00A0099D" w:rsidR="008D2DD8">
        <w:t>report</w:t>
      </w:r>
      <w:r w:rsidR="00274F58">
        <w:t>;</w:t>
      </w:r>
    </w:p>
    <w:p w:rsidR="009D2F14" w:rsidP="00F9646D" w14:paraId="4C6A057A" w14:textId="275D4E51">
      <w:pPr>
        <w:pStyle w:val="ListParagraph"/>
        <w:numPr>
          <w:ilvl w:val="0"/>
          <w:numId w:val="37"/>
        </w:numPr>
        <w:contextualSpacing w:val="0"/>
      </w:pPr>
      <w:r w:rsidRPr="00421067">
        <w:rPr>
          <w:i/>
          <w:iCs/>
        </w:rPr>
        <w:t>F</w:t>
      </w:r>
      <w:r w:rsidRPr="00421067" w:rsidR="00EF71D5">
        <w:rPr>
          <w:i/>
          <w:iCs/>
        </w:rPr>
        <w:t>oreign pooled investment vehicles</w:t>
      </w:r>
      <w:r>
        <w:t>: Move line 4</w:t>
      </w:r>
      <w:r w:rsidRPr="00A0099D">
        <w:t xml:space="preserve"> (f</w:t>
      </w:r>
      <w:r w:rsidRPr="00A0099D">
        <w:t>oreign pooled investment vehicle) into line 10h (foreign reporting company question</w:t>
      </w:r>
      <w:r w:rsidRPr="00A0099D">
        <w:t>)</w:t>
      </w:r>
      <w:r w:rsidR="00274F58">
        <w:t>;</w:t>
      </w:r>
      <w:r w:rsidR="00EF71D5">
        <w:t xml:space="preserve"> </w:t>
      </w:r>
    </w:p>
    <w:p w:rsidR="008E30E2" w:rsidP="00F9646D" w14:paraId="65A06C3E" w14:textId="6AD1DA57">
      <w:pPr>
        <w:pStyle w:val="ListParagraph"/>
        <w:numPr>
          <w:ilvl w:val="0"/>
          <w:numId w:val="37"/>
        </w:numPr>
        <w:contextualSpacing w:val="0"/>
      </w:pPr>
      <w:r>
        <w:rPr>
          <w:i/>
          <w:iCs/>
        </w:rPr>
        <w:t>C</w:t>
      </w:r>
      <w:r w:rsidRPr="00421067" w:rsidR="00EF71D5">
        <w:rPr>
          <w:i/>
          <w:iCs/>
        </w:rPr>
        <w:t>ompany applicant</w:t>
      </w:r>
      <w:r w:rsidR="00743A3B">
        <w:rPr>
          <w:i/>
          <w:iCs/>
        </w:rPr>
        <w:t xml:space="preserve"> information</w:t>
      </w:r>
      <w:r w:rsidRPr="00421067">
        <w:t>:</w:t>
      </w:r>
      <w:r>
        <w:rPr>
          <w:i/>
          <w:iCs/>
        </w:rPr>
        <w:t xml:space="preserve"> </w:t>
      </w:r>
      <w:r w:rsidR="009D0797">
        <w:t>Move line 16</w:t>
      </w:r>
      <w:r w:rsidR="009D0797">
        <w:rPr>
          <w:i/>
          <w:iCs/>
        </w:rPr>
        <w:t xml:space="preserve"> </w:t>
      </w:r>
      <w:r w:rsidRPr="00A0099D" w:rsidR="009D0797">
        <w:t>(existing reporting company) under Part II (company applicant information) and disab</w:t>
      </w:r>
      <w:r w:rsidR="009D0797">
        <w:t>le</w:t>
      </w:r>
      <w:r w:rsidRPr="00A0099D" w:rsidR="009D0797">
        <w:t xml:space="preserve"> fields in Part II if line 16 is checked </w:t>
      </w:r>
      <w:r w:rsidR="009D0797">
        <w:t>(</w:t>
      </w:r>
      <w:r w:rsidRPr="00A0099D" w:rsidR="009D0797">
        <w:t>as this information would not be required</w:t>
      </w:r>
      <w:r w:rsidR="009D0797">
        <w:t>)</w:t>
      </w:r>
      <w:r w:rsidR="00110240">
        <w:t>;</w:t>
      </w:r>
      <w:r w:rsidR="00EF71D5">
        <w:t xml:space="preserve"> </w:t>
      </w:r>
    </w:p>
    <w:p w:rsidR="00743A3B" w:rsidRPr="00421067" w:rsidP="00F9646D" w14:paraId="34524268" w14:textId="52C1419C">
      <w:pPr>
        <w:pStyle w:val="ListParagraph"/>
        <w:numPr>
          <w:ilvl w:val="0"/>
          <w:numId w:val="37"/>
        </w:numPr>
        <w:contextualSpacing w:val="0"/>
      </w:pPr>
      <w:r w:rsidRPr="00421067">
        <w:rPr>
          <w:i/>
          <w:iCs/>
        </w:rPr>
        <w:t>Beneficial owner information</w:t>
      </w:r>
      <w:r w:rsidRPr="007E64BB">
        <w:t xml:space="preserve">: </w:t>
      </w:r>
      <w:r>
        <w:t>A</w:t>
      </w:r>
      <w:r w:rsidRPr="00A0099D">
        <w:t>dd a data field to identify each beneficial owner as an owner or control person</w:t>
      </w:r>
      <w:r>
        <w:t>,</w:t>
      </w:r>
      <w:r w:rsidRPr="00A0099D">
        <w:t xml:space="preserve"> as </w:t>
      </w:r>
      <w:r w:rsidRPr="00A0099D">
        <w:t>appropriate</w:t>
      </w:r>
      <w:r>
        <w:t>;</w:t>
      </w:r>
    </w:p>
    <w:p w:rsidR="009D2F14" w:rsidP="00F9646D" w14:paraId="1B107359" w14:textId="75DBE64E">
      <w:pPr>
        <w:pStyle w:val="ListParagraph"/>
        <w:numPr>
          <w:ilvl w:val="0"/>
          <w:numId w:val="37"/>
        </w:numPr>
        <w:contextualSpacing w:val="0"/>
      </w:pPr>
      <w:r>
        <w:rPr>
          <w:i/>
          <w:iCs/>
        </w:rPr>
        <w:t>A</w:t>
      </w:r>
      <w:r w:rsidRPr="00421067" w:rsidR="00EF71D5">
        <w:rPr>
          <w:i/>
          <w:iCs/>
        </w:rPr>
        <w:t>ddress fields</w:t>
      </w:r>
      <w:r w:rsidRPr="00421067" w:rsidR="00A41619">
        <w:t>:</w:t>
      </w:r>
      <w:r w:rsidR="00A41619">
        <w:rPr>
          <w:i/>
          <w:iCs/>
        </w:rPr>
        <w:t xml:space="preserve"> </w:t>
      </w:r>
      <w:r w:rsidRPr="00421067" w:rsidR="00A41619">
        <w:t xml:space="preserve">Specify that </w:t>
      </w:r>
      <w:r w:rsidRPr="001562F3" w:rsidR="00A41619">
        <w:rPr>
          <w:shd w:val="clear" w:color="auto" w:fill="FFFFFF"/>
        </w:rPr>
        <w:t>“current U.S. address” refers to the street address</w:t>
      </w:r>
      <w:r w:rsidR="00110240">
        <w:t>;</w:t>
      </w:r>
      <w:r w:rsidR="00EF71D5">
        <w:t xml:space="preserve"> and </w:t>
      </w:r>
    </w:p>
    <w:p w:rsidR="009D2F14" w:rsidP="00F9646D" w14:paraId="463AED7F" w14:textId="0288EE19">
      <w:pPr>
        <w:pStyle w:val="ListParagraph"/>
        <w:numPr>
          <w:ilvl w:val="0"/>
          <w:numId w:val="37"/>
        </w:numPr>
        <w:contextualSpacing w:val="0"/>
      </w:pPr>
      <w:r>
        <w:rPr>
          <w:i/>
          <w:iCs/>
        </w:rPr>
        <w:t>I</w:t>
      </w:r>
      <w:r w:rsidRPr="00421067" w:rsidR="00EF71D5">
        <w:rPr>
          <w:i/>
          <w:iCs/>
        </w:rPr>
        <w:t>dentifying documents</w:t>
      </w:r>
      <w:r w:rsidRPr="00421067" w:rsidR="00A41619">
        <w:t>:</w:t>
      </w:r>
      <w:r w:rsidR="00A41619">
        <w:rPr>
          <w:i/>
          <w:iCs/>
        </w:rPr>
        <w:t xml:space="preserve"> </w:t>
      </w:r>
      <w:r w:rsidR="00A41619">
        <w:t>R</w:t>
      </w:r>
      <w:r w:rsidRPr="00A0099D" w:rsidR="00A41619">
        <w:t>emove lines 33 (identifying document image for company applicant) and 51 (identifying document image for beneficial owner)</w:t>
      </w:r>
      <w:r w:rsidR="00EF71D5">
        <w:t xml:space="preserve">.  </w:t>
      </w:r>
    </w:p>
    <w:p w:rsidR="00F9646D" w:rsidP="00F9646D" w14:paraId="4F483735" w14:textId="77777777">
      <w:pPr>
        <w:pStyle w:val="ListParagraph"/>
        <w:contextualSpacing w:val="0"/>
      </w:pPr>
    </w:p>
    <w:p w:rsidR="00687B48" w:rsidP="00F63CC6" w14:paraId="2FD04461" w14:textId="155A908F">
      <w:pPr>
        <w:spacing w:after="240" w:line="259" w:lineRule="auto"/>
      </w:pPr>
      <w:r w:rsidRPr="00FB6686">
        <w:t xml:space="preserve">FinCEN </w:t>
      </w:r>
      <w:r>
        <w:t>took these comments into consideration in making spe</w:t>
      </w:r>
      <w:r>
        <w:t>cific changes to the BOIR.</w:t>
      </w:r>
      <w:r w:rsidR="00A36CEC">
        <w:tab/>
      </w:r>
    </w:p>
    <w:p w:rsidR="00687B48" w:rsidP="00421067" w14:paraId="0F1F22E8" w14:textId="0654BCAC">
      <w:pPr>
        <w:spacing w:after="240" w:line="259" w:lineRule="auto"/>
        <w:ind w:firstLine="360"/>
      </w:pPr>
      <w:r>
        <w:t xml:space="preserve">3. </w:t>
      </w:r>
      <w:r w:rsidR="00B54EF8">
        <w:tab/>
      </w:r>
      <w:r>
        <w:t xml:space="preserve">Clarifications and guidance </w:t>
      </w:r>
    </w:p>
    <w:p w:rsidR="00DB53B7" w:rsidP="00424BF6" w14:paraId="31F31083" w14:textId="404F9508">
      <w:r w:rsidRPr="000D5A1A">
        <w:t xml:space="preserve">Several commenters requested </w:t>
      </w:r>
      <w:r>
        <w:t>clarification and guidance on the BOIR and the BOIR filing process.</w:t>
      </w:r>
      <w:r w:rsidR="000432D6">
        <w:t xml:space="preserve">  These comments related to the following: </w:t>
      </w:r>
      <w:r>
        <w:t xml:space="preserve"> </w:t>
      </w:r>
    </w:p>
    <w:p w:rsidR="00424BF6" w:rsidRPr="00421067" w:rsidP="00421067" w14:paraId="041D0682" w14:textId="77777777"/>
    <w:p w:rsidR="00DB53B7" w:rsidP="002D7FD4" w14:paraId="6CB2190B" w14:textId="40B1D898">
      <w:pPr>
        <w:spacing w:after="240" w:line="259" w:lineRule="auto"/>
      </w:pPr>
      <w:r w:rsidRPr="00421067">
        <w:rPr>
          <w:i/>
          <w:iCs/>
        </w:rPr>
        <w:t>I</w:t>
      </w:r>
      <w:r w:rsidRPr="00421067" w:rsidR="00516D17">
        <w:rPr>
          <w:i/>
          <w:iCs/>
        </w:rPr>
        <w:t>nstructions</w:t>
      </w:r>
      <w:r w:rsidRPr="00421067">
        <w:t>:</w:t>
      </w:r>
      <w:r>
        <w:rPr>
          <w:b/>
          <w:bCs/>
        </w:rPr>
        <w:t xml:space="preserve"> </w:t>
      </w:r>
      <w:r>
        <w:t xml:space="preserve">Some commenters recommended adding clear instructions for filling out the form. </w:t>
      </w:r>
      <w:r w:rsidR="00B54EF8">
        <w:t xml:space="preserve"> </w:t>
      </w:r>
      <w:r w:rsidRPr="000D5A1A" w:rsidR="00424BF6">
        <w:t>FinCEN</w:t>
      </w:r>
      <w:r w:rsidR="00424BF6">
        <w:t xml:space="preserve"> </w:t>
      </w:r>
      <w:r w:rsidRPr="000D5A1A" w:rsidR="00424BF6">
        <w:t>intends to make available detailed instructions for filers that clearly explain how to fill out the BOIR.</w:t>
      </w:r>
      <w:r w:rsidR="00424BF6">
        <w:t xml:space="preserve">  </w:t>
      </w:r>
      <w:r w:rsidR="00E86DDC">
        <w:t xml:space="preserve">FinCEN published guidance materials on its website </w:t>
      </w:r>
      <w:r w:rsidR="007D05D3">
        <w:t>an</w:t>
      </w:r>
      <w:r w:rsidR="008E5C57">
        <w:t>d</w:t>
      </w:r>
      <w:r w:rsidR="007D05D3">
        <w:t xml:space="preserve"> also</w:t>
      </w:r>
      <w:r w:rsidR="007D05D3">
        <w:t xml:space="preserve"> </w:t>
      </w:r>
      <w:r w:rsidR="00E86DDC">
        <w:t>issu</w:t>
      </w:r>
      <w:r w:rsidR="007D05D3">
        <w:t>ed</w:t>
      </w:r>
      <w:r w:rsidR="00E86DDC">
        <w:t xml:space="preserve"> a Small </w:t>
      </w:r>
      <w:r w:rsidRPr="000D5A1A" w:rsidR="00E86DDC">
        <w:t xml:space="preserve">Entity Compliance Guide that provides comprehensive information about the beneficial ownership information reporting requirements.  </w:t>
      </w:r>
    </w:p>
    <w:p w:rsidR="002D7FD4" w:rsidRPr="000C0227" w:rsidP="002D7FD4" w14:paraId="3C07D9CE" w14:textId="5201B393">
      <w:pPr>
        <w:spacing w:after="240" w:line="259" w:lineRule="auto"/>
        <w:rPr>
          <w:i/>
          <w:iCs/>
        </w:rPr>
      </w:pPr>
      <w:r>
        <w:rPr>
          <w:i/>
          <w:iCs/>
        </w:rPr>
        <w:t>P</w:t>
      </w:r>
      <w:r w:rsidRPr="00421067" w:rsidR="00516D17">
        <w:rPr>
          <w:i/>
          <w:iCs/>
        </w:rPr>
        <w:t>rivacy / confidentiality</w:t>
      </w:r>
      <w:r w:rsidRPr="00421067">
        <w:t>:</w:t>
      </w:r>
      <w:r>
        <w:rPr>
          <w:i/>
          <w:iCs/>
        </w:rPr>
        <w:t xml:space="preserve"> </w:t>
      </w:r>
      <w:r>
        <w:t xml:space="preserve">Some commenters recommended adding </w:t>
      </w:r>
      <w:r w:rsidRPr="000D5A1A">
        <w:t>specific language on</w:t>
      </w:r>
      <w:r>
        <w:t xml:space="preserve"> the f</w:t>
      </w:r>
      <w:r w:rsidRPr="000D5A1A">
        <w:t>orm indicating that T</w:t>
      </w:r>
      <w:r w:rsidRPr="000D5A1A">
        <w:t>reasury/FinCEN will keep information submitted in</w:t>
      </w:r>
      <w:r>
        <w:t xml:space="preserve"> a BOIR c</w:t>
      </w:r>
      <w:r w:rsidRPr="000D5A1A">
        <w:t>onfidential</w:t>
      </w:r>
      <w:r>
        <w:t xml:space="preserve">. </w:t>
      </w:r>
      <w:r w:rsidR="00B54EF8">
        <w:t xml:space="preserve"> </w:t>
      </w:r>
      <w:r>
        <w:t xml:space="preserve">As explained in greater detail in the preamble to the final rule and corresponding FAQs, FinCEN takes seriously its responsibility to protect BOI and will ensure that BOI submitted to </w:t>
      </w:r>
      <w:r>
        <w:t xml:space="preserve">FinCEN will be used only for statutorily authorized purposes and will be subject to stringent use and security protocols, consistent with the requirements of the CTA. </w:t>
      </w:r>
      <w:r w:rsidR="00763A14">
        <w:t xml:space="preserve"> </w:t>
      </w:r>
      <w:r>
        <w:t>Given FinCEN’s desire to keep the BOIR as short and uncomplicated as reasonably practica</w:t>
      </w:r>
      <w:r>
        <w:t xml:space="preserve">l, FinCEN is not including a statement about these </w:t>
      </w:r>
      <w:r w:rsidRPr="000D5A1A">
        <w:t xml:space="preserve">use and security protocols in the BOIR itself. </w:t>
      </w:r>
    </w:p>
    <w:p w:rsidR="00516D17" w:rsidRPr="00421067" w:rsidP="00421067" w14:paraId="4C01AC32" w14:textId="601A9DF3">
      <w:pPr>
        <w:spacing w:after="240" w:line="259" w:lineRule="auto"/>
      </w:pPr>
      <w:r w:rsidRPr="00421067">
        <w:rPr>
          <w:i/>
          <w:iCs/>
        </w:rPr>
        <w:t>Submission of multiple BOIRs</w:t>
      </w:r>
      <w:r w:rsidRPr="00421067" w:rsidR="002D7FD4">
        <w:t>:</w:t>
      </w:r>
      <w:r w:rsidR="002D7FD4">
        <w:rPr>
          <w:i/>
          <w:iCs/>
        </w:rPr>
        <w:t xml:space="preserve"> </w:t>
      </w:r>
      <w:r w:rsidR="00C703A1">
        <w:rPr>
          <w:shd w:val="clear" w:color="auto" w:fill="FFFFFF"/>
        </w:rPr>
        <w:t>C</w:t>
      </w:r>
      <w:r w:rsidRPr="000D5A1A" w:rsidR="003D2955">
        <w:rPr>
          <w:shd w:val="clear" w:color="auto" w:fill="FFFFFF"/>
        </w:rPr>
        <w:t>ommenter</w:t>
      </w:r>
      <w:r w:rsidR="00C703A1">
        <w:rPr>
          <w:shd w:val="clear" w:color="auto" w:fill="FFFFFF"/>
        </w:rPr>
        <w:t>s</w:t>
      </w:r>
      <w:r w:rsidRPr="000D5A1A" w:rsidR="003D2955">
        <w:rPr>
          <w:shd w:val="clear" w:color="auto" w:fill="FFFFFF"/>
        </w:rPr>
        <w:t xml:space="preserve"> asked whether </w:t>
      </w:r>
      <w:r w:rsidRPr="000D5A1A" w:rsidR="003D2955">
        <w:t xml:space="preserve">FinCEN will require that each BOIR be completed and submitted online individually, or whether service providers could develop methods to complete and submit BOIRs via a direct link from service provider systems to the registry, to enable more efficient processing of BOIRs where services providers are involved in filing the reports on behalf of entities. </w:t>
      </w:r>
      <w:r w:rsidR="00C5706D">
        <w:t xml:space="preserve"> </w:t>
      </w:r>
      <w:r w:rsidR="003C073B">
        <w:t xml:space="preserve">FinCEN realizes that this would be a helpful tool for many filers and third parties, and is working to prepare such a tool as soon as possible, </w:t>
      </w:r>
      <w:r w:rsidR="003C073B">
        <w:t>taking into account</w:t>
      </w:r>
      <w:r w:rsidR="003C073B">
        <w:t xml:space="preserve"> relevant resource, technology, and security considerations.</w:t>
      </w:r>
    </w:p>
    <w:p w:rsidR="0056491F" w:rsidRPr="00421067" w:rsidP="0056491F" w14:paraId="04BB4AA5" w14:textId="46060BC1">
      <w:pPr>
        <w:spacing w:after="240" w:line="259" w:lineRule="auto"/>
        <w:rPr>
          <w:rStyle w:val="cf01"/>
          <w:rFonts w:ascii="Times New Roman" w:hAnsi="Times New Roman" w:cs="Times New Roman"/>
          <w:sz w:val="24"/>
          <w:szCs w:val="24"/>
          <w:shd w:val="clear" w:color="auto" w:fill="auto"/>
        </w:rPr>
      </w:pPr>
      <w:r w:rsidRPr="00421067">
        <w:rPr>
          <w:i/>
          <w:iCs/>
        </w:rPr>
        <w:t>P</w:t>
      </w:r>
      <w:r w:rsidRPr="00421067" w:rsidR="00516D17">
        <w:rPr>
          <w:i/>
          <w:iCs/>
        </w:rPr>
        <w:t>aper submissions</w:t>
      </w:r>
      <w:r w:rsidRPr="00421067">
        <w:t>:</w:t>
      </w:r>
      <w:r w:rsidRPr="00421067">
        <w:rPr>
          <w:i/>
          <w:iCs/>
        </w:rPr>
        <w:t xml:space="preserve"> </w:t>
      </w:r>
      <w:r w:rsidR="00C703A1">
        <w:t>C</w:t>
      </w:r>
      <w:r>
        <w:t>ommenter</w:t>
      </w:r>
      <w:r w:rsidR="00C703A1">
        <w:t>s</w:t>
      </w:r>
      <w:r>
        <w:t xml:space="preserve"> recommended that FinCEN allow for the paper submission of BOIRs.</w:t>
      </w:r>
      <w:r w:rsidR="00A548BB">
        <w:t xml:space="preserve">  </w:t>
      </w:r>
      <w:r w:rsidRPr="000C0227">
        <w:t xml:space="preserve">BOIRs </w:t>
      </w:r>
      <w:r w:rsidRPr="000D5A1A">
        <w:t xml:space="preserve">generally </w:t>
      </w:r>
      <w:r w:rsidRPr="000C0227">
        <w:t>must be filed electronically through a secure filing system that will be av</w:t>
      </w:r>
      <w:r w:rsidRPr="000C0227">
        <w:t>ailable via FinCEN’s website starting January 1, 20</w:t>
      </w:r>
      <w:r w:rsidRPr="00A0099D">
        <w:t>2</w:t>
      </w:r>
      <w:r w:rsidRPr="000C0227">
        <w:t>4.</w:t>
      </w:r>
      <w:r w:rsidRPr="00A0099D">
        <w:t xml:space="preserve">  FinCEN will </w:t>
      </w:r>
      <w:r w:rsidRPr="000C0227">
        <w:t xml:space="preserve">not accept paper filings.  Filers will be directed to contact FinCEN’s Contact Center if they are unable to file a BOIR electronically. </w:t>
      </w:r>
      <w:r w:rsidRPr="000C0227">
        <w:rPr>
          <w:sz w:val="21"/>
          <w:szCs w:val="21"/>
        </w:rPr>
        <w:t xml:space="preserve">  </w:t>
      </w:r>
    </w:p>
    <w:p w:rsidR="00516D17" w:rsidP="007C2D3D" w14:paraId="36C3D9E5" w14:textId="3637B1BA">
      <w:pPr>
        <w:spacing w:after="240"/>
      </w:pPr>
      <w:r w:rsidRPr="00421067">
        <w:rPr>
          <w:i/>
          <w:iCs/>
        </w:rPr>
        <w:t>F</w:t>
      </w:r>
      <w:r w:rsidR="00C703A1">
        <w:rPr>
          <w:i/>
          <w:iCs/>
        </w:rPr>
        <w:t>il</w:t>
      </w:r>
      <w:r w:rsidR="00B23483">
        <w:rPr>
          <w:i/>
          <w:iCs/>
        </w:rPr>
        <w:t>i</w:t>
      </w:r>
      <w:r w:rsidRPr="00421067">
        <w:rPr>
          <w:i/>
          <w:iCs/>
        </w:rPr>
        <w:t>ng information</w:t>
      </w:r>
      <w:r w:rsidR="00C703A1">
        <w:t xml:space="preserve">: Commenters recommended guidance on the options on lines 1(a) (initial report); 1(b) (update prior report); 1(c) (correct prior report); and 1(d) (newly exempt entity). </w:t>
      </w:r>
      <w:r w:rsidR="0079702D">
        <w:t xml:space="preserve"> </w:t>
      </w:r>
      <w:r w:rsidR="00C703A1">
        <w:t>The final BOIR, and the related instructions and tool tips, will include clarifying guidance on how to complete all fields in the form, including lines 1(a) through 1(d).</w:t>
      </w:r>
    </w:p>
    <w:p w:rsidR="00516D17" w:rsidRPr="00430F31" w:rsidP="002A7743" w14:paraId="128AF1F2" w14:textId="10C1D6DE">
      <w:pPr>
        <w:spacing w:after="240"/>
        <w:rPr>
          <w:rFonts w:ascii="Segoe UI" w:hAnsi="Segoe UI" w:cs="Segoe UI"/>
          <w:sz w:val="18"/>
          <w:szCs w:val="18"/>
        </w:rPr>
      </w:pPr>
      <w:r w:rsidRPr="00421067">
        <w:rPr>
          <w:i/>
          <w:iCs/>
        </w:rPr>
        <w:t>Reporting company information</w:t>
      </w:r>
      <w:r w:rsidR="00EA4158">
        <w:t xml:space="preserve">: </w:t>
      </w:r>
      <w:r w:rsidR="00EB19CB">
        <w:t>C</w:t>
      </w:r>
      <w:r w:rsidRPr="00A0099D" w:rsidR="00EB19CB">
        <w:t>ommenter</w:t>
      </w:r>
      <w:r w:rsidR="00EB19CB">
        <w:t>s</w:t>
      </w:r>
      <w:r w:rsidRPr="00A0099D" w:rsidR="00EB19CB">
        <w:t xml:space="preserve"> requested </w:t>
      </w:r>
      <w:r w:rsidR="004F6F59">
        <w:t>clarifications in line 5</w:t>
      </w:r>
      <w:r w:rsidRPr="00A0099D" w:rsidR="00EB19CB">
        <w:t xml:space="preserve"> (reporting company legal name) </w:t>
      </w:r>
      <w:r w:rsidR="004F6F59">
        <w:t xml:space="preserve">and </w:t>
      </w:r>
      <w:r w:rsidRPr="00A0099D" w:rsidR="00EB19CB">
        <w:t>line 10e (foreign reporting company,</w:t>
      </w:r>
      <w:r w:rsidR="00EB19CB">
        <w:t xml:space="preserve"> state of first registration)</w:t>
      </w:r>
      <w:r w:rsidR="004F6F59">
        <w:t xml:space="preserve">.  </w:t>
      </w:r>
      <w:r w:rsidR="0079702D">
        <w:t xml:space="preserve">The instructions and tool tips accompanying the form will provide clarification for these lines. </w:t>
      </w:r>
      <w:r w:rsidR="00C5706D">
        <w:t xml:space="preserve"> </w:t>
      </w:r>
      <w:r w:rsidR="0079702D">
        <w:t>FinCEN will also take these comments under</w:t>
      </w:r>
      <w:r w:rsidRPr="004E7114" w:rsidR="0079702D">
        <w:t xml:space="preserve"> consideration </w:t>
      </w:r>
      <w:r w:rsidR="0079702D">
        <w:t xml:space="preserve">as a possible subject for </w:t>
      </w:r>
      <w:r w:rsidRPr="004E7114" w:rsidR="0079702D">
        <w:t>future guidance</w:t>
      </w:r>
      <w:r w:rsidR="00185EAD">
        <w:t>.</w:t>
      </w:r>
    </w:p>
    <w:p w:rsidR="00516D17" w:rsidRPr="00421067" w:rsidP="00421067" w14:paraId="77709CE3" w14:textId="2C5D9ED5">
      <w:pPr>
        <w:spacing w:after="240" w:line="259" w:lineRule="auto"/>
        <w:rPr>
          <w:i/>
          <w:iCs/>
        </w:rPr>
      </w:pPr>
      <w:r w:rsidRPr="00421067">
        <w:rPr>
          <w:i/>
          <w:iCs/>
        </w:rPr>
        <w:t xml:space="preserve">Foreign pooled investment </w:t>
      </w:r>
      <w:r w:rsidRPr="00421067">
        <w:rPr>
          <w:i/>
          <w:iCs/>
        </w:rPr>
        <w:t>vehicles</w:t>
      </w:r>
      <w:r>
        <w:t xml:space="preserve">: </w:t>
      </w:r>
      <w:r w:rsidR="00CB1A50">
        <w:t xml:space="preserve">Commenters suggested </w:t>
      </w:r>
      <w:r w:rsidRPr="00A0099D" w:rsidR="00CB1A50">
        <w:t xml:space="preserve">that the BOIR specify that a foreign </w:t>
      </w:r>
      <w:r w:rsidR="00B979B5">
        <w:t>pooled investment vehicle</w:t>
      </w:r>
      <w:r w:rsidRPr="00A0099D" w:rsidR="00CB1A50">
        <w:t xml:space="preserve"> that is required to file a report to identify an individual exercising substantial control over the </w:t>
      </w:r>
      <w:r w:rsidR="00B979B5">
        <w:t>pooled investment vehicle</w:t>
      </w:r>
      <w:r w:rsidRPr="00A0099D" w:rsidR="00CB1A50">
        <w:t xml:space="preserve"> should </w:t>
      </w:r>
      <w:r w:rsidRPr="00E4584A" w:rsidR="00CB1A50">
        <w:t xml:space="preserve">complete Part III of the report on beneficial owners (rather than Part II on company applicants).  </w:t>
      </w:r>
      <w:r w:rsidRPr="00E4584A" w:rsidR="001D2956">
        <w:t>I</w:t>
      </w:r>
      <w:r w:rsidR="00843566">
        <w:t>n the final BOIR, i</w:t>
      </w:r>
      <w:r w:rsidRPr="00E4584A" w:rsidR="001D2956">
        <w:t>f line 4 is checked (foreign pooled investment vehicle), f</w:t>
      </w:r>
      <w:r w:rsidRPr="00E4584A" w:rsidR="00CB1A50">
        <w:t>ields for company applicant information</w:t>
      </w:r>
      <w:r w:rsidRPr="00A0099D" w:rsidR="00CB1A50">
        <w:t xml:space="preserve"> (Part II) will automatically be disabled and the filer will only be able to provide information for </w:t>
      </w:r>
      <w:r w:rsidRPr="000C0227" w:rsidR="00CB1A50">
        <w:rPr>
          <w:i/>
        </w:rPr>
        <w:t>one</w:t>
      </w:r>
      <w:r w:rsidRPr="00A0099D" w:rsidR="00CB1A50">
        <w:t xml:space="preserve"> beneficial owner </w:t>
      </w:r>
      <w:r w:rsidRPr="000C0227" w:rsidR="00CB1A50">
        <w:t>in Part III</w:t>
      </w:r>
      <w:r w:rsidRPr="00A0099D" w:rsidR="00CB1A50">
        <w:t xml:space="preserve">.  </w:t>
      </w:r>
    </w:p>
    <w:p w:rsidR="00516D17" w:rsidRPr="00421067" w:rsidP="00421067" w14:paraId="363FB7B6" w14:textId="05B88F4C">
      <w:pPr>
        <w:spacing w:after="240" w:line="259" w:lineRule="auto"/>
      </w:pPr>
      <w:r w:rsidRPr="00421067">
        <w:rPr>
          <w:i/>
          <w:iCs/>
        </w:rPr>
        <w:t>Company applicant information</w:t>
      </w:r>
      <w:r>
        <w:t xml:space="preserve">: </w:t>
      </w:r>
      <w:r w:rsidR="00831452">
        <w:t>C</w:t>
      </w:r>
      <w:r w:rsidRPr="00A0099D" w:rsidR="002B6AEF">
        <w:t>ommenter</w:t>
      </w:r>
      <w:r w:rsidR="00831452">
        <w:t>s</w:t>
      </w:r>
      <w:r w:rsidRPr="00A0099D" w:rsidR="002B6AEF">
        <w:t xml:space="preserve"> recommended additional guidance at the beginning of Part II to explain that if the checkbox for line 16 (existing reporting company) is selected, the filer should proceed to Part III.</w:t>
      </w:r>
      <w:r w:rsidR="00E4584A">
        <w:t xml:space="preserve">  </w:t>
      </w:r>
      <w:r w:rsidR="00E4584A">
        <w:rPr>
          <w:bCs/>
        </w:rPr>
        <w:t>I</w:t>
      </w:r>
      <w:r w:rsidRPr="001562F3" w:rsidR="002B6AEF">
        <w:rPr>
          <w:bCs/>
        </w:rPr>
        <w:t>f the checkbox for line 16 is selected, t</w:t>
      </w:r>
      <w:r w:rsidRPr="001562F3" w:rsidR="002B6AEF">
        <w:t xml:space="preserve">he </w:t>
      </w:r>
      <w:r w:rsidRPr="001562F3" w:rsidR="002B6AEF">
        <w:rPr>
          <w:bCs/>
        </w:rPr>
        <w:t>fields for company applicant information (Part II)</w:t>
      </w:r>
      <w:r w:rsidR="002B6AEF">
        <w:rPr>
          <w:bCs/>
        </w:rPr>
        <w:t xml:space="preserve"> will automatically be disabled</w:t>
      </w:r>
      <w:r w:rsidRPr="001562F3" w:rsidR="002B6AEF">
        <w:rPr>
          <w:bCs/>
        </w:rPr>
        <w:t>.  The final BOIR will include additional guidance at the beginning of Part II to explain that if line 16 (existing reporting company) is checked, the filer does not have to complete Part II and should proceed to Part III.</w:t>
      </w:r>
    </w:p>
    <w:p w:rsidR="00E4584A" w:rsidRPr="00421067" w:rsidP="00E4584A" w14:paraId="39E582E8" w14:textId="494FCA18">
      <w:pPr>
        <w:spacing w:after="240" w:line="259" w:lineRule="auto"/>
        <w:rPr>
          <w:i/>
          <w:iCs/>
        </w:rPr>
      </w:pPr>
      <w:r w:rsidRPr="00421067">
        <w:rPr>
          <w:i/>
          <w:iCs/>
        </w:rPr>
        <w:t>B</w:t>
      </w:r>
      <w:r w:rsidRPr="00421067" w:rsidR="00516D17">
        <w:rPr>
          <w:i/>
          <w:iCs/>
        </w:rPr>
        <w:t>eneficial ownership information</w:t>
      </w:r>
      <w:r>
        <w:t>: C</w:t>
      </w:r>
      <w:r w:rsidRPr="00A0099D">
        <w:t>ommenter</w:t>
      </w:r>
      <w:r>
        <w:t>s</w:t>
      </w:r>
      <w:r w:rsidRPr="00A0099D">
        <w:t xml:space="preserve"> requested guidance for situations where beneficial owners (aside from </w:t>
      </w:r>
      <w:r w:rsidRPr="00A0099D">
        <w:t>minor children) are under guardianship</w:t>
      </w:r>
      <w:r>
        <w:t xml:space="preserve">.  </w:t>
      </w:r>
      <w:r w:rsidRPr="001562F3">
        <w:t xml:space="preserve">FinCEN will take such situations into consideration </w:t>
      </w:r>
      <w:r>
        <w:t>as a possible subject for future</w:t>
      </w:r>
      <w:r w:rsidRPr="001562F3">
        <w:t xml:space="preserve"> guidance materials. </w:t>
      </w:r>
    </w:p>
    <w:p w:rsidR="00516D17" w:rsidRPr="00074250" w:rsidP="00421067" w14:paraId="17B743BB" w14:textId="6468ECC1">
      <w:pPr>
        <w:spacing w:after="240"/>
        <w:rPr>
          <w:rFonts w:ascii="Segoe UI" w:hAnsi="Segoe UI" w:cs="Segoe UI"/>
          <w:sz w:val="18"/>
          <w:szCs w:val="18"/>
        </w:rPr>
      </w:pPr>
      <w:r w:rsidRPr="00421067">
        <w:rPr>
          <w:i/>
          <w:iCs/>
        </w:rPr>
        <w:t>Address fields</w:t>
      </w:r>
      <w:r>
        <w:t xml:space="preserve">: </w:t>
      </w:r>
      <w:r w:rsidRPr="001562F3" w:rsidR="00074250">
        <w:rPr>
          <w:shd w:val="clear" w:color="auto" w:fill="FFFFFF"/>
        </w:rPr>
        <w:t xml:space="preserve">Several commenters requested </w:t>
      </w:r>
      <w:r w:rsidR="00843566">
        <w:rPr>
          <w:shd w:val="clear" w:color="auto" w:fill="FFFFFF"/>
        </w:rPr>
        <w:t>that</w:t>
      </w:r>
      <w:r w:rsidRPr="001562F3" w:rsidR="00074250">
        <w:rPr>
          <w:shd w:val="clear" w:color="auto" w:fill="FFFFFF"/>
        </w:rPr>
        <w:t xml:space="preserve"> the address fields</w:t>
      </w:r>
      <w:r w:rsidR="00074250">
        <w:rPr>
          <w:shd w:val="clear" w:color="auto" w:fill="FFFFFF"/>
        </w:rPr>
        <w:t xml:space="preserve"> specify the type of address to be provided.</w:t>
      </w:r>
      <w:r w:rsidR="00D27C29">
        <w:rPr>
          <w:shd w:val="clear" w:color="auto" w:fill="FFFFFF"/>
        </w:rPr>
        <w:t xml:space="preserve"> </w:t>
      </w:r>
      <w:r w:rsidR="00074250">
        <w:rPr>
          <w:shd w:val="clear" w:color="auto" w:fill="FFFFFF"/>
        </w:rPr>
        <w:t xml:space="preserve"> </w:t>
      </w:r>
      <w:r w:rsidRPr="00A0099D" w:rsidR="00074250">
        <w:t xml:space="preserve">The final BOIR will include specific instructions and clarifying information, such as tool tips, for address fields to explain what specific information a filer must provide.  </w:t>
      </w:r>
    </w:p>
    <w:p w:rsidR="00516D17" w:rsidP="00984769" w14:paraId="6CAE23E3" w14:textId="17915ABC">
      <w:r w:rsidRPr="00421067">
        <w:rPr>
          <w:i/>
          <w:iCs/>
        </w:rPr>
        <w:t>Identifying document</w:t>
      </w:r>
      <w:r w:rsidR="00843566">
        <w:t>:</w:t>
      </w:r>
      <w:r w:rsidRPr="000D5A1A">
        <w:t xml:space="preserve"> </w:t>
      </w:r>
      <w:r w:rsidR="00984769">
        <w:t xml:space="preserve">Commenters recommended that FinCEN add </w:t>
      </w:r>
      <w:r w:rsidRPr="00A0099D" w:rsidR="00984769">
        <w:t>guidance to line 30d to indicate</w:t>
      </w:r>
      <w:r w:rsidR="00984769">
        <w:t xml:space="preserve"> that </w:t>
      </w:r>
      <w:r w:rsidRPr="00A0099D" w:rsidR="00984769">
        <w:t xml:space="preserve">foreign </w:t>
      </w:r>
      <w:r w:rsidR="00984769">
        <w:t xml:space="preserve">passports </w:t>
      </w:r>
      <w:r w:rsidRPr="00A0099D" w:rsidR="00984769">
        <w:t>should only be provided if</w:t>
      </w:r>
      <w:r w:rsidR="00984769">
        <w:t xml:space="preserve"> an </w:t>
      </w:r>
      <w:r w:rsidRPr="00A0099D" w:rsidR="00984769">
        <w:t>individual does not possess a state-issued driver’s license, state/local/Tribe-issued ID, or U.S. passpor</w:t>
      </w:r>
      <w:r w:rsidR="00984769">
        <w:t xml:space="preserve">t.  </w:t>
      </w:r>
      <w:r w:rsidRPr="00A0099D" w:rsidR="00984769">
        <w:t xml:space="preserve">The final BOIR will include specific instructions and clarifying information to explain that a foreign passport should only be provided as an identifying document if an individual does not possess a state-issued driver’s license, state/local/Tribe-issued ID, or U.S. passport.   </w:t>
      </w:r>
    </w:p>
    <w:p w:rsidR="00984769" w:rsidRPr="00421067" w:rsidP="00421067" w14:paraId="2288E575" w14:textId="77777777"/>
    <w:p w:rsidR="00984769" w:rsidP="00074250" w14:paraId="0647B444" w14:textId="1858CB22">
      <w:pPr>
        <w:spacing w:after="240"/>
      </w:pPr>
      <w:r w:rsidRPr="00421067">
        <w:rPr>
          <w:i/>
          <w:iCs/>
        </w:rPr>
        <w:t>C</w:t>
      </w:r>
      <w:r w:rsidRPr="00421067" w:rsidR="00516D17">
        <w:rPr>
          <w:i/>
          <w:iCs/>
        </w:rPr>
        <w:t>ertification</w:t>
      </w:r>
      <w:r w:rsidRPr="00421067">
        <w:t xml:space="preserve">: </w:t>
      </w:r>
      <w:r>
        <w:t>Commenters</w:t>
      </w:r>
      <w:r w:rsidRPr="00A0099D">
        <w:t xml:space="preserve"> noted that certification language was not provided in the list of fields in the BOIR Notice</w:t>
      </w:r>
      <w:r>
        <w:t xml:space="preserve"> and requested that it be added.  </w:t>
      </w:r>
      <w:r w:rsidRPr="00A0099D">
        <w:t xml:space="preserve">FinCEN regrets any confusion or uncertainty that resulted from the BOIR Notice not disclosing the specific certification language </w:t>
      </w:r>
      <w:r w:rsidRPr="00A0099D">
        <w:t xml:space="preserve">that will appear when a filer submits the BOIR.  </w:t>
      </w:r>
      <w:r w:rsidRPr="000C0227">
        <w:t xml:space="preserve">FinCEN </w:t>
      </w:r>
      <w:r>
        <w:t>will</w:t>
      </w:r>
      <w:r w:rsidRPr="000C0227">
        <w:t xml:space="preserve"> provide certification language </w:t>
      </w:r>
      <w:r>
        <w:t xml:space="preserve">and ensure filers are reminded that </w:t>
      </w:r>
      <w:r w:rsidRPr="002B7C7C">
        <w:t>the willful provision of false or fraudulent information required to be reported to FinCEN pursuant to 31 C.F.R. 1010.380 may re</w:t>
      </w:r>
      <w:r w:rsidRPr="002B7C7C">
        <w:t>sult in civil or criminal penalties</w:t>
      </w:r>
      <w:r>
        <w:t xml:space="preserve">.  </w:t>
      </w:r>
    </w:p>
    <w:p w:rsidR="00871586" w:rsidRPr="00685942" w:rsidP="00E4584A" w14:paraId="5C56DC57" w14:textId="1E2E640F">
      <w:pPr>
        <w:spacing w:after="240" w:line="259" w:lineRule="auto"/>
      </w:pPr>
      <w:r>
        <w:rPr>
          <w:i/>
          <w:iCs/>
        </w:rPr>
        <w:t xml:space="preserve">Americans with Disabilities Act </w:t>
      </w:r>
      <w:r w:rsidR="00DB73E0">
        <w:rPr>
          <w:i/>
          <w:iCs/>
        </w:rPr>
        <w:t>–</w:t>
      </w:r>
      <w:r>
        <w:rPr>
          <w:i/>
          <w:iCs/>
        </w:rPr>
        <w:t xml:space="preserve"> Section 508 Compliance</w:t>
      </w:r>
      <w:r w:rsidRPr="00421067">
        <w:t>:</w:t>
      </w:r>
      <w:r w:rsidRPr="5CA521F6">
        <w:rPr>
          <w:i/>
          <w:iCs/>
        </w:rPr>
        <w:t xml:space="preserve"> </w:t>
      </w:r>
      <w:r>
        <w:t xml:space="preserve">One commenter stated that it is imperative that the website for the collection of BOIR </w:t>
      </w:r>
      <w:r>
        <w:t>be in compliance with</w:t>
      </w:r>
      <w:r>
        <w:t xml:space="preserve"> the Americans with Disabilities Act.  FinCEN conti</w:t>
      </w:r>
      <w:r>
        <w:t xml:space="preserve">nually assesses its website for </w:t>
      </w:r>
      <w:r w:rsidR="00FC33CE">
        <w:t xml:space="preserve">compliance with </w:t>
      </w:r>
      <w:r>
        <w:t>S</w:t>
      </w:r>
      <w:r w:rsidRPr="00A0099D">
        <w:t xml:space="preserve">ection 508 the Americans with Disabilities Act.  </w:t>
      </w:r>
      <w:r w:rsidR="00EB19CB">
        <w:t xml:space="preserve">     </w:t>
      </w:r>
    </w:p>
    <w:p w:rsidR="00F5705E" w:rsidP="00CB346A" w14:paraId="6F9EBDB5" w14:textId="30C2766F">
      <w:pPr>
        <w:spacing w:after="240"/>
        <w:ind w:left="360"/>
      </w:pPr>
      <w:r w:rsidRPr="001562F3">
        <w:rPr>
          <w:shd w:val="clear" w:color="auto" w:fill="FFFFFF"/>
        </w:rPr>
        <w:t xml:space="preserve"> </w:t>
      </w:r>
      <w:r w:rsidRPr="001562F3" w:rsidR="008E3A44">
        <w:rPr>
          <w:shd w:val="clear" w:color="auto" w:fill="FFFFFF"/>
        </w:rPr>
        <w:t xml:space="preserve"> </w:t>
      </w:r>
      <w:r w:rsidR="0051494D">
        <w:t>4</w:t>
      </w:r>
      <w:r w:rsidR="005925FF">
        <w:t xml:space="preserve">. </w:t>
      </w:r>
      <w:r w:rsidR="007A474A">
        <w:t>Burden</w:t>
      </w:r>
    </w:p>
    <w:p w:rsidR="00AC0344" w:rsidP="00F63CC6" w14:paraId="1764AC28" w14:textId="63E214ED">
      <w:pPr>
        <w:spacing w:after="240"/>
        <w:ind w:firstLine="720"/>
      </w:pPr>
      <w:r>
        <w:t xml:space="preserve">Two commenters requested that </w:t>
      </w:r>
      <w:r w:rsidR="5FDB452A">
        <w:t>the</w:t>
      </w:r>
      <w:r w:rsidR="0BF82ADC">
        <w:t xml:space="preserve"> burden estimate of the information collection in the final rule’s </w:t>
      </w:r>
      <w:r w:rsidR="228F55E8">
        <w:t>regulatory impact a</w:t>
      </w:r>
      <w:r w:rsidR="733C9842">
        <w:t xml:space="preserve">nalysis </w:t>
      </w:r>
      <w:r w:rsidR="0BF82ADC">
        <w:t xml:space="preserve">be revisited.  </w:t>
      </w:r>
      <w:r w:rsidR="7FB60A2B">
        <w:t xml:space="preserve">These comments relate to: (a) costs to financial institutions; and (b) </w:t>
      </w:r>
      <w:r w:rsidR="0BF82ADC">
        <w:t>FinCEN’s assumptions and burden estimates</w:t>
      </w:r>
      <w:r w:rsidR="4352EFFF">
        <w:t xml:space="preserve"> more generally</w:t>
      </w:r>
      <w:r w:rsidR="5FDB452A">
        <w:t xml:space="preserve">. </w:t>
      </w:r>
    </w:p>
    <w:p w:rsidR="00400E89" w:rsidRPr="000C0227" w:rsidP="00F63CC6" w14:paraId="15AFC464" w14:textId="6BD7114F">
      <w:pPr>
        <w:pStyle w:val="ListParagraph"/>
        <w:numPr>
          <w:ilvl w:val="0"/>
          <w:numId w:val="18"/>
        </w:numPr>
        <w:spacing w:after="240"/>
        <w:ind w:left="1800"/>
        <w:contextualSpacing w:val="0"/>
      </w:pPr>
      <w:r w:rsidRPr="00400E89">
        <w:t xml:space="preserve">Costs to </w:t>
      </w:r>
      <w:r w:rsidRPr="00400E89">
        <w:t>financial institutions</w:t>
      </w:r>
    </w:p>
    <w:p w:rsidR="00E43041" w:rsidRPr="00F63CC6" w:rsidP="00F63CC6" w14:paraId="26B30E02" w14:textId="16934E7F">
      <w:pPr>
        <w:spacing w:after="240"/>
      </w:pPr>
      <w:r w:rsidRPr="005007D8">
        <w:rPr>
          <w:i/>
          <w:iCs/>
        </w:rPr>
        <w:t>Comment received</w:t>
      </w:r>
      <w:r w:rsidRPr="00421067" w:rsidR="007B275D">
        <w:t>:</w:t>
      </w:r>
      <w:r w:rsidR="007B275D">
        <w:rPr>
          <w:i/>
          <w:iCs/>
        </w:rPr>
        <w:t xml:space="preserve"> </w:t>
      </w:r>
      <w:r w:rsidR="007B275D">
        <w:t xml:space="preserve">One commenter noted that FinCEN’s burden analysis should consider costs to financial institutions in responding to customers’ questions about the reporting requirement. </w:t>
      </w:r>
      <w:r w:rsidRPr="005007D8">
        <w:rPr>
          <w:i/>
          <w:iCs/>
        </w:rPr>
        <w:t xml:space="preserve">  </w:t>
      </w:r>
    </w:p>
    <w:p w:rsidR="0041606F" w:rsidRPr="00EE103D" w:rsidP="00F63CC6" w14:paraId="1B728F0F" w14:textId="64B75D28">
      <w:pPr>
        <w:pStyle w:val="pf0"/>
        <w:spacing w:before="0" w:beforeAutospacing="0" w:after="240" w:afterAutospacing="0"/>
        <w:rPr>
          <w:rFonts w:ascii="Arial" w:hAnsi="Arial" w:cs="Arial"/>
          <w:sz w:val="20"/>
          <w:szCs w:val="20"/>
        </w:rPr>
      </w:pPr>
      <w:r w:rsidRPr="39FD11F7">
        <w:rPr>
          <w:i/>
          <w:iCs/>
        </w:rPr>
        <w:t xml:space="preserve">Response: </w:t>
      </w:r>
      <w:r w:rsidRPr="39FD11F7" w:rsidR="42F27368">
        <w:rPr>
          <w:i/>
          <w:iCs/>
        </w:rPr>
        <w:t xml:space="preserve"> </w:t>
      </w:r>
      <w:r w:rsidR="001869F7">
        <w:t xml:space="preserve">FinCEN’s regulatory impact analysis </w:t>
      </w:r>
      <w:r w:rsidRPr="000C0227" w:rsidR="00D93249">
        <w:t>considered</w:t>
      </w:r>
      <w:r w:rsidRPr="000C0227" w:rsidR="001869F7">
        <w:t xml:space="preserve"> the relevant costs</w:t>
      </w:r>
      <w:r w:rsidRPr="000C0227" w:rsidR="00E116F6">
        <w:t xml:space="preserve"> of </w:t>
      </w:r>
      <w:r w:rsidRPr="000C0227" w:rsidR="001869F7">
        <w:t xml:space="preserve">the reporting </w:t>
      </w:r>
      <w:r w:rsidRPr="000C0227" w:rsidR="00E116F6">
        <w:t>rule</w:t>
      </w:r>
      <w:r w:rsidR="00E116F6">
        <w:t>.</w:t>
      </w:r>
      <w:r w:rsidRPr="000C0227" w:rsidR="00E116F6">
        <w:t xml:space="preserve"> </w:t>
      </w:r>
      <w:r w:rsidRPr="000C0227" w:rsidR="001869F7">
        <w:t xml:space="preserve"> </w:t>
      </w:r>
      <w:r w:rsidR="007D0C02">
        <w:t>FinCEN understands</w:t>
      </w:r>
      <w:r w:rsidR="00DB73E0">
        <w:t xml:space="preserve"> that</w:t>
      </w:r>
      <w:r w:rsidR="00FC33CE">
        <w:t>,</w:t>
      </w:r>
      <w:r w:rsidR="007D0C02">
        <w:t xml:space="preserve"> although there is no requirement for financial institutions to assist reporting companies in complying with the rule, </w:t>
      </w:r>
      <w:r w:rsidR="003C1A0F">
        <w:t xml:space="preserve">many nonetheless will.  This burden is not reflected in the regulatory impact analysis despite this reality given the scope of analysis that is required.  </w:t>
      </w:r>
      <w:r w:rsidR="76ED5165">
        <w:t>However, F</w:t>
      </w:r>
      <w:r w:rsidRPr="000C0227" w:rsidR="42F27368">
        <w:t xml:space="preserve">inCEN considered that reporting </w:t>
      </w:r>
      <w:r w:rsidRPr="000C0227" w:rsidR="42F27368">
        <w:t>companies may reach out to other</w:t>
      </w:r>
      <w:r w:rsidR="03C7FDF2">
        <w:t xml:space="preserve"> entities</w:t>
      </w:r>
      <w:r w:rsidRPr="000C0227" w:rsidR="42F27368">
        <w:t>, particularly state authorities, regarding</w:t>
      </w:r>
      <w:r w:rsidR="42F27368">
        <w:t xml:space="preserve"> </w:t>
      </w:r>
      <w:r w:rsidR="5ED95D0A">
        <w:t>how to comply with</w:t>
      </w:r>
      <w:r w:rsidRPr="000C0227" w:rsidR="42F27368">
        <w:t xml:space="preserve"> the reporting requirement.  </w:t>
      </w:r>
    </w:p>
    <w:p w:rsidR="00D960B0" w:rsidRPr="00F63CC6" w:rsidP="00F63CC6" w14:paraId="658E948F" w14:textId="631D3F33">
      <w:pPr>
        <w:spacing w:after="240"/>
        <w:ind w:firstLine="720"/>
        <w:rPr>
          <w:sz w:val="22"/>
          <w:szCs w:val="22"/>
        </w:rPr>
      </w:pPr>
      <w:r>
        <w:t>As noted in the final rule, F</w:t>
      </w:r>
      <w:r w:rsidR="42F27368">
        <w:t xml:space="preserve">inCEN </w:t>
      </w:r>
      <w:r w:rsidR="00BF7124">
        <w:t>is</w:t>
      </w:r>
      <w:r w:rsidR="42F27368">
        <w:t xml:space="preserve"> committing significant resources to prepare for and enable the rule</w:t>
      </w:r>
      <w:r w:rsidR="574E9DE9">
        <w:t>’</w:t>
      </w:r>
      <w:r w:rsidR="42F27368">
        <w:t xml:space="preserve">s successful implementation by stakeholders. </w:t>
      </w:r>
      <w:r w:rsidR="00056955">
        <w:t xml:space="preserve"> </w:t>
      </w:r>
      <w:r w:rsidR="00BF7124">
        <w:t>T</w:t>
      </w:r>
      <w:r w:rsidR="42F27368">
        <w:t>hese resources will be dedicated to outreach; the drafting and issuance of guidance, FAQs, and interpretive advice; and other procedures and activities.</w:t>
      </w:r>
      <w:r>
        <w:rPr>
          <w:rStyle w:val="FootnoteReference"/>
        </w:rPr>
        <w:footnoteReference w:id="24"/>
      </w:r>
      <w:r w:rsidR="42F27368">
        <w:t xml:space="preserve">  FinCEN recognizes the need to ensure that reporting companies, authorized users, and other stakeholders have a thorough understanding of the </w:t>
      </w:r>
      <w:r w:rsidR="733C9842">
        <w:t xml:space="preserve">final </w:t>
      </w:r>
      <w:r w:rsidR="42F27368">
        <w:t xml:space="preserve">rule and its requirements, both before and after the effective date. </w:t>
      </w:r>
      <w:r w:rsidR="5EBE8A78">
        <w:t xml:space="preserve"> </w:t>
      </w:r>
      <w:r w:rsidR="42F27368">
        <w:t>In addition, FinCEN remains mindful of the imperative to minimize any associated burdens on reporting companies while also fulfilling the CTA</w:t>
      </w:r>
      <w:r w:rsidR="3BE05DFC">
        <w:t>’</w:t>
      </w:r>
      <w:r w:rsidR="42F27368">
        <w:t>s directives for establishing an effective reporting framework.</w:t>
      </w:r>
      <w:r>
        <w:rPr>
          <w:rStyle w:val="FootnoteReference"/>
        </w:rPr>
        <w:footnoteReference w:id="25"/>
      </w:r>
      <w:r w:rsidR="42F27368">
        <w:t xml:space="preserve">  </w:t>
      </w:r>
      <w:r w:rsidR="001C5202">
        <w:t>As FinCEN has confirmed on numerous occasions, ou</w:t>
      </w:r>
      <w:r w:rsidR="42F27368">
        <w:t>treach and education</w:t>
      </w:r>
      <w:r w:rsidR="778DC225">
        <w:t xml:space="preserve"> are</w:t>
      </w:r>
      <w:r w:rsidR="42F27368">
        <w:t xml:space="preserve"> important element</w:t>
      </w:r>
      <w:r w:rsidR="778DC225">
        <w:t>s</w:t>
      </w:r>
      <w:r w:rsidR="42F27368">
        <w:t xml:space="preserve"> of the effort to reduce any such compliance burdens.</w:t>
      </w:r>
      <w:r w:rsidR="00CC1407">
        <w:t xml:space="preserve">  </w:t>
      </w:r>
    </w:p>
    <w:p w:rsidR="00F11533" w:rsidRPr="00F63CC6" w:rsidP="00F63CC6" w14:paraId="4C6C1B10" w14:textId="293B6EF3">
      <w:pPr>
        <w:spacing w:after="240"/>
        <w:ind w:firstLine="720"/>
      </w:pPr>
      <w:r>
        <w:t>Additionally, FinCEN estimated in the regulatory impact analysis</w:t>
      </w:r>
      <w:r w:rsidR="007D76BF">
        <w:t xml:space="preserve"> </w:t>
      </w:r>
      <w:r>
        <w:t xml:space="preserve">the cost of reporting companies consulting with </w:t>
      </w:r>
      <w:r>
        <w:t>professionals, such as lawyers and accountants, regarding the reporting requirement. </w:t>
      </w:r>
    </w:p>
    <w:p w:rsidR="00400E89" w:rsidRPr="00F63CC6" w:rsidP="00F63CC6" w14:paraId="0C6CFB77" w14:textId="12EB77B7">
      <w:pPr>
        <w:pStyle w:val="ListParagraph"/>
        <w:numPr>
          <w:ilvl w:val="0"/>
          <w:numId w:val="18"/>
        </w:numPr>
        <w:spacing w:after="240"/>
        <w:ind w:left="1800"/>
        <w:contextualSpacing w:val="0"/>
        <w:rPr>
          <w:iCs/>
        </w:rPr>
      </w:pPr>
      <w:r>
        <w:rPr>
          <w:iCs/>
        </w:rPr>
        <w:t xml:space="preserve">Assumptions and burden estimates, </w:t>
      </w:r>
      <w:r w:rsidR="001C6FF8">
        <w:rPr>
          <w:iCs/>
        </w:rPr>
        <w:t xml:space="preserve">in </w:t>
      </w:r>
      <w:r>
        <w:rPr>
          <w:iCs/>
        </w:rPr>
        <w:t>general</w:t>
      </w:r>
    </w:p>
    <w:p w:rsidR="00F5705E" w:rsidP="00F63CC6" w14:paraId="577973D1" w14:textId="4AD9D894">
      <w:pPr>
        <w:spacing w:after="240"/>
      </w:pPr>
      <w:r>
        <w:rPr>
          <w:i/>
        </w:rPr>
        <w:t>Comment received</w:t>
      </w:r>
      <w:r w:rsidRPr="004746A3">
        <w:rPr>
          <w:iCs/>
        </w:rPr>
        <w:t xml:space="preserve">: </w:t>
      </w:r>
      <w:r w:rsidR="002B341E">
        <w:t>One commenter</w:t>
      </w:r>
      <w:r>
        <w:t xml:space="preserve"> </w:t>
      </w:r>
      <w:r w:rsidRPr="00251C6E" w:rsidR="00E43041">
        <w:t>provided detailed feedback on the regulatory analysis presented in the final rule</w:t>
      </w:r>
      <w:r w:rsidR="002B341E">
        <w:t xml:space="preserve">. </w:t>
      </w:r>
      <w:r w:rsidR="007338C4">
        <w:t xml:space="preserve"> The commenter</w:t>
      </w:r>
      <w:r w:rsidRPr="00251C6E" w:rsidR="00E43041">
        <w:t xml:space="preserve"> noted that FinCEN’s regulatory impact analysis included many assumptions</w:t>
      </w:r>
      <w:r w:rsidR="001C344B">
        <w:t>, as</w:t>
      </w:r>
      <w:r w:rsidRPr="00251C6E" w:rsidR="00E43041">
        <w:t xml:space="preserve"> FinCEN </w:t>
      </w:r>
      <w:r w:rsidR="001C344B">
        <w:t xml:space="preserve">itself made clear </w:t>
      </w:r>
      <w:r w:rsidRPr="00251C6E" w:rsidR="00E43041">
        <w:t xml:space="preserve">throughout the analysis.  The comment also </w:t>
      </w:r>
      <w:r w:rsidR="001C344B">
        <w:t xml:space="preserve">suggested </w:t>
      </w:r>
      <w:r w:rsidRPr="00251C6E" w:rsidR="00E43041">
        <w:t>change</w:t>
      </w:r>
      <w:r w:rsidR="001C344B">
        <w:t>s to</w:t>
      </w:r>
      <w:r w:rsidRPr="00251C6E" w:rsidR="00E43041">
        <w:t xml:space="preserve"> the analysis and stated that the burdens estimated in the analysis are grossly underestimated.  </w:t>
      </w:r>
    </w:p>
    <w:p w:rsidR="00E43041" w:rsidRPr="00F63CC6" w:rsidP="00B16292" w14:paraId="57C4AB05" w14:textId="7728DDF9">
      <w:pPr>
        <w:spacing w:after="240"/>
      </w:pPr>
      <w:r w:rsidRPr="00EC32EA">
        <w:rPr>
          <w:i/>
          <w:iCs/>
        </w:rPr>
        <w:t>Response</w:t>
      </w:r>
      <w:r w:rsidRPr="004746A3">
        <w:rPr>
          <w:i/>
          <w:iCs/>
        </w:rPr>
        <w:t xml:space="preserve">: </w:t>
      </w:r>
      <w:r w:rsidRPr="00EC32EA">
        <w:t>FinCEN</w:t>
      </w:r>
      <w:r w:rsidRPr="00251C6E">
        <w:t xml:space="preserve"> assesses that the final rule’s regulatory impact analysis considered the suggestions raised by the commenter</w:t>
      </w:r>
      <w:r w:rsidR="00AF5880">
        <w:t xml:space="preserve"> in a manner that was reasonable, albeit not the manner suggested by the commenter</w:t>
      </w:r>
      <w:r w:rsidRPr="00251C6E" w:rsidR="00AF5880">
        <w:t>.</w:t>
      </w:r>
      <w:r w:rsidRPr="00251C6E">
        <w:t xml:space="preserve">  FinCEN will continue to evaluate the burden and impact of the BOI reporting requirement throughout its implementation.</w:t>
      </w:r>
    </w:p>
    <w:p w:rsidR="00C1120F" w:rsidRPr="00D52918" w:rsidP="00F63CC6" w14:paraId="62B49A49" w14:textId="549E0094">
      <w:pPr>
        <w:pStyle w:val="BodyText"/>
        <w:spacing w:before="0" w:after="240"/>
        <w:ind w:right="115" w:firstLine="720"/>
        <w:rPr>
          <w:sz w:val="24"/>
          <w:szCs w:val="24"/>
        </w:rPr>
      </w:pPr>
      <w:r>
        <w:rPr>
          <w:sz w:val="24"/>
          <w:szCs w:val="24"/>
        </w:rPr>
        <w:t>B. Comments</w:t>
      </w:r>
      <w:r w:rsidR="00E34FAC">
        <w:rPr>
          <w:sz w:val="24"/>
          <w:szCs w:val="24"/>
        </w:rPr>
        <w:t xml:space="preserve"> to </w:t>
      </w:r>
      <w:r w:rsidR="006F67EB">
        <w:rPr>
          <w:sz w:val="24"/>
          <w:szCs w:val="24"/>
        </w:rPr>
        <w:t xml:space="preserve">the FinCEN </w:t>
      </w:r>
      <w:r w:rsidR="00EC32EA">
        <w:rPr>
          <w:sz w:val="24"/>
          <w:szCs w:val="24"/>
        </w:rPr>
        <w:t>Identifier</w:t>
      </w:r>
      <w:r w:rsidR="006F67EB">
        <w:rPr>
          <w:sz w:val="24"/>
          <w:szCs w:val="24"/>
        </w:rPr>
        <w:t xml:space="preserve"> Application </w:t>
      </w:r>
      <w:r w:rsidR="00E34FAC">
        <w:rPr>
          <w:sz w:val="24"/>
          <w:szCs w:val="24"/>
        </w:rPr>
        <w:t xml:space="preserve">60-day Notice </w:t>
      </w:r>
    </w:p>
    <w:p w:rsidR="00813632" w14:paraId="03738525" w14:textId="5B7D1981">
      <w:pPr>
        <w:pStyle w:val="BodyText"/>
        <w:spacing w:before="0" w:after="240"/>
        <w:ind w:right="115" w:firstLine="720"/>
      </w:pPr>
      <w:r w:rsidRPr="5C6C7D8A">
        <w:rPr>
          <w:sz w:val="24"/>
          <w:szCs w:val="24"/>
        </w:rPr>
        <w:t xml:space="preserve">In response to the 60-day </w:t>
      </w:r>
      <w:r w:rsidRPr="00A0099D">
        <w:rPr>
          <w:sz w:val="24"/>
          <w:szCs w:val="24"/>
        </w:rPr>
        <w:t>notice,</w:t>
      </w:r>
      <w:r w:rsidR="007B275D">
        <w:rPr>
          <w:sz w:val="24"/>
          <w:szCs w:val="24"/>
        </w:rPr>
        <w:t xml:space="preserve"> FinCEN received</w:t>
      </w:r>
      <w:r w:rsidR="00614793">
        <w:rPr>
          <w:sz w:val="24"/>
          <w:szCs w:val="24"/>
        </w:rPr>
        <w:t xml:space="preserve"> </w:t>
      </w:r>
      <w:r w:rsidR="007B275D">
        <w:rPr>
          <w:sz w:val="24"/>
          <w:szCs w:val="24"/>
        </w:rPr>
        <w:t>comment letters from: individuals, corporate service providers, financial services industry group</w:t>
      </w:r>
      <w:r w:rsidR="00614793">
        <w:rPr>
          <w:sz w:val="24"/>
          <w:szCs w:val="24"/>
        </w:rPr>
        <w:t>s</w:t>
      </w:r>
      <w:r w:rsidR="007B275D">
        <w:rPr>
          <w:sz w:val="24"/>
          <w:szCs w:val="24"/>
        </w:rPr>
        <w:t>, business association</w:t>
      </w:r>
      <w:r w:rsidR="00614793">
        <w:rPr>
          <w:sz w:val="24"/>
          <w:szCs w:val="24"/>
        </w:rPr>
        <w:t>s</w:t>
      </w:r>
      <w:r w:rsidR="007B275D">
        <w:rPr>
          <w:sz w:val="24"/>
          <w:szCs w:val="24"/>
        </w:rPr>
        <w:t xml:space="preserve">, </w:t>
      </w:r>
      <w:r w:rsidR="00614793">
        <w:rPr>
          <w:sz w:val="24"/>
          <w:szCs w:val="24"/>
        </w:rPr>
        <w:t xml:space="preserve">and </w:t>
      </w:r>
      <w:r w:rsidR="007B275D">
        <w:rPr>
          <w:sz w:val="24"/>
          <w:szCs w:val="24"/>
        </w:rPr>
        <w:t>religious organization</w:t>
      </w:r>
      <w:r w:rsidR="00614793">
        <w:rPr>
          <w:sz w:val="24"/>
          <w:szCs w:val="24"/>
        </w:rPr>
        <w:t>s.</w:t>
      </w:r>
      <w:r w:rsidR="00EC32EA">
        <w:rPr>
          <w:sz w:val="24"/>
          <w:szCs w:val="24"/>
        </w:rPr>
        <w:t xml:space="preserve">  </w:t>
      </w:r>
      <w:r w:rsidRPr="005E070A" w:rsidR="00B27234">
        <w:rPr>
          <w:sz w:val="24"/>
          <w:szCs w:val="24"/>
        </w:rPr>
        <w:t xml:space="preserve">Several commenters requested clarifications and specific revisions to data fields on the </w:t>
      </w:r>
      <w:r w:rsidRPr="005E070A" w:rsidR="005E070A">
        <w:rPr>
          <w:sz w:val="24"/>
          <w:szCs w:val="24"/>
        </w:rPr>
        <w:t>FinCEN Identifier Application.</w:t>
      </w:r>
      <w:r w:rsidR="005E070A">
        <w:t xml:space="preserve"> </w:t>
      </w:r>
      <w:r w:rsidRPr="000D5A1A" w:rsidR="00B27234">
        <w:t xml:space="preserve">  </w:t>
      </w:r>
    </w:p>
    <w:p w:rsidR="00B27234" w:rsidRPr="00E34FAC" w:rsidP="00421067" w14:paraId="49837B5F" w14:textId="48FF4224">
      <w:pPr>
        <w:pStyle w:val="BodyText"/>
        <w:spacing w:before="0" w:after="240"/>
        <w:ind w:right="115"/>
      </w:pPr>
      <w:r>
        <w:rPr>
          <w:sz w:val="24"/>
          <w:szCs w:val="24"/>
        </w:rPr>
        <w:t>These c</w:t>
      </w:r>
      <w:r w:rsidRPr="00E34FAC" w:rsidR="00E34FAC">
        <w:rPr>
          <w:sz w:val="24"/>
          <w:szCs w:val="24"/>
        </w:rPr>
        <w:t>omment</w:t>
      </w:r>
      <w:r>
        <w:rPr>
          <w:sz w:val="24"/>
          <w:szCs w:val="24"/>
        </w:rPr>
        <w:t xml:space="preserve">s </w:t>
      </w:r>
      <w:r w:rsidRPr="00E34FAC" w:rsidR="00E34FAC">
        <w:rPr>
          <w:sz w:val="24"/>
          <w:szCs w:val="24"/>
        </w:rPr>
        <w:t xml:space="preserve">related to: </w:t>
      </w:r>
    </w:p>
    <w:p w:rsidR="005E070A" w:rsidP="00421067" w14:paraId="24125A47" w14:textId="5E4F6F05">
      <w:pPr>
        <w:pStyle w:val="ListParagraph"/>
        <w:numPr>
          <w:ilvl w:val="0"/>
          <w:numId w:val="32"/>
        </w:numPr>
        <w:spacing w:line="259" w:lineRule="auto"/>
        <w:ind w:left="778"/>
        <w:contextualSpacing w:val="0"/>
      </w:pPr>
      <w:r>
        <w:t xml:space="preserve">Allowing paper submission of </w:t>
      </w:r>
      <w:r>
        <w:t>application</w:t>
      </w:r>
      <w:r w:rsidR="009D0E92">
        <w:t>s</w:t>
      </w:r>
      <w:r w:rsidRPr="00A0099D">
        <w:t>;</w:t>
      </w:r>
      <w:r w:rsidRPr="00A0099D">
        <w:t xml:space="preserve"> </w:t>
      </w:r>
    </w:p>
    <w:p w:rsidR="005E070A" w:rsidP="00421067" w14:paraId="0288F69D" w14:textId="7AACC632">
      <w:pPr>
        <w:pStyle w:val="ListParagraph"/>
        <w:numPr>
          <w:ilvl w:val="0"/>
          <w:numId w:val="32"/>
        </w:numPr>
        <w:spacing w:line="259" w:lineRule="auto"/>
        <w:ind w:left="778"/>
        <w:contextualSpacing w:val="0"/>
      </w:pPr>
      <w:r>
        <w:t>A</w:t>
      </w:r>
      <w:r w:rsidRPr="00A0099D">
        <w:t xml:space="preserve">dding specific language on </w:t>
      </w:r>
      <w:r w:rsidR="009D0E92">
        <w:t xml:space="preserve">the application </w:t>
      </w:r>
      <w:r w:rsidRPr="00A0099D">
        <w:t xml:space="preserve">indicating that Treasury/FinCEN shall keep information submitted in </w:t>
      </w:r>
      <w:r w:rsidR="00C626BE">
        <w:t xml:space="preserve">the </w:t>
      </w:r>
      <w:r w:rsidRPr="00A0099D">
        <w:t xml:space="preserve">form as </w:t>
      </w:r>
      <w:r w:rsidRPr="00A0099D">
        <w:t>confidential;</w:t>
      </w:r>
      <w:r w:rsidRPr="00A0099D">
        <w:t xml:space="preserve"> </w:t>
      </w:r>
    </w:p>
    <w:p w:rsidR="005E070A" w:rsidP="00421067" w14:paraId="14AEA88D" w14:textId="127E4D48">
      <w:pPr>
        <w:pStyle w:val="ListParagraph"/>
        <w:numPr>
          <w:ilvl w:val="0"/>
          <w:numId w:val="32"/>
        </w:numPr>
        <w:spacing w:line="259" w:lineRule="auto"/>
        <w:ind w:left="778"/>
        <w:contextualSpacing w:val="0"/>
      </w:pPr>
      <w:r>
        <w:t xml:space="preserve">Adding guidance to indicate </w:t>
      </w:r>
      <w:r w:rsidR="009D0E92">
        <w:t xml:space="preserve">a </w:t>
      </w:r>
      <w:r>
        <w:t xml:space="preserve">foreign passport should only be provided if </w:t>
      </w:r>
      <w:r w:rsidR="009D0E92">
        <w:t xml:space="preserve">an </w:t>
      </w:r>
      <w:r>
        <w:t>individual does not possess a state-issued driver’s license, state/local/Tribe-issue</w:t>
      </w:r>
      <w:r>
        <w:t xml:space="preserve">d ID, or U.S. </w:t>
      </w:r>
      <w:r>
        <w:t>passport;</w:t>
      </w:r>
      <w:r>
        <w:t xml:space="preserve">  </w:t>
      </w:r>
    </w:p>
    <w:p w:rsidR="005E070A" w:rsidP="00421067" w14:paraId="296A7856" w14:textId="2960F271">
      <w:pPr>
        <w:pStyle w:val="ListParagraph"/>
        <w:numPr>
          <w:ilvl w:val="0"/>
          <w:numId w:val="32"/>
        </w:numPr>
        <w:spacing w:line="259" w:lineRule="auto"/>
        <w:ind w:left="778"/>
        <w:contextualSpacing w:val="0"/>
      </w:pPr>
      <w:r>
        <w:t>A</w:t>
      </w:r>
      <w:r w:rsidRPr="00A0099D">
        <w:t xml:space="preserve">llowing for redaction of non-relevant </w:t>
      </w:r>
      <w:r w:rsidRPr="00A0099D">
        <w:t>information</w:t>
      </w:r>
      <w:r>
        <w:t>;</w:t>
      </w:r>
    </w:p>
    <w:p w:rsidR="005E070A" w:rsidP="00421067" w14:paraId="013AEDBD" w14:textId="7E928555">
      <w:pPr>
        <w:pStyle w:val="ListParagraph"/>
        <w:numPr>
          <w:ilvl w:val="0"/>
          <w:numId w:val="32"/>
        </w:numPr>
        <w:spacing w:line="259" w:lineRule="auto"/>
        <w:ind w:left="778"/>
        <w:contextualSpacing w:val="0"/>
      </w:pPr>
      <w:r>
        <w:t>S</w:t>
      </w:r>
      <w:r w:rsidRPr="00A0099D">
        <w:t>pecifying the purpose for obtaining a FinCEN identifier (company applicant or beneficial owner</w:t>
      </w:r>
      <w:r w:rsidRPr="00A0099D">
        <w:t>);</w:t>
      </w:r>
      <w:r w:rsidRPr="00A0099D">
        <w:t xml:space="preserve"> </w:t>
      </w:r>
    </w:p>
    <w:p w:rsidR="005E070A" w:rsidP="00421067" w14:paraId="29BAD3EB" w14:textId="0DD2AC08">
      <w:pPr>
        <w:pStyle w:val="ListParagraph"/>
        <w:numPr>
          <w:ilvl w:val="0"/>
          <w:numId w:val="32"/>
        </w:numPr>
        <w:spacing w:line="259" w:lineRule="auto"/>
        <w:ind w:left="778"/>
        <w:contextualSpacing w:val="0"/>
      </w:pPr>
      <w:r>
        <w:t>C</w:t>
      </w:r>
      <w:r w:rsidRPr="00A0099D">
        <w:t xml:space="preserve">ompany applicant information </w:t>
      </w:r>
      <w:r w:rsidRPr="00A0099D">
        <w:t>updates;</w:t>
      </w:r>
      <w:r w:rsidRPr="00A0099D">
        <w:t xml:space="preserve"> </w:t>
      </w:r>
    </w:p>
    <w:p w:rsidR="005E070A" w:rsidP="00421067" w14:paraId="05F54B6E" w14:textId="77777777">
      <w:pPr>
        <w:pStyle w:val="ListParagraph"/>
        <w:numPr>
          <w:ilvl w:val="0"/>
          <w:numId w:val="32"/>
        </w:numPr>
        <w:spacing w:line="259" w:lineRule="auto"/>
        <w:ind w:left="778"/>
        <w:contextualSpacing w:val="0"/>
      </w:pPr>
      <w:r w:rsidRPr="00A0099D">
        <w:t xml:space="preserve">FinCEN identifier application </w:t>
      </w:r>
      <w:r w:rsidRPr="00A0099D">
        <w:t>timing;</w:t>
      </w:r>
      <w:r w:rsidRPr="00A0099D">
        <w:t xml:space="preserve"> </w:t>
      </w:r>
    </w:p>
    <w:p w:rsidR="005E070A" w:rsidP="00421067" w14:paraId="04D4388B" w14:textId="37AB3006">
      <w:pPr>
        <w:pStyle w:val="ListParagraph"/>
        <w:numPr>
          <w:ilvl w:val="0"/>
          <w:numId w:val="32"/>
        </w:numPr>
        <w:spacing w:line="259" w:lineRule="auto"/>
        <w:ind w:left="778"/>
        <w:contextualSpacing w:val="0"/>
      </w:pPr>
      <w:r>
        <w:t>C</w:t>
      </w:r>
      <w:r w:rsidRPr="00A0099D">
        <w:t>ertification</w:t>
      </w:r>
      <w:r>
        <w:t xml:space="preserve"> language</w:t>
      </w:r>
      <w:r w:rsidRPr="00A0099D">
        <w:t xml:space="preserve">; and </w:t>
      </w:r>
    </w:p>
    <w:p w:rsidR="005E070A" w:rsidP="00813632" w14:paraId="56B5E703" w14:textId="5F56F927">
      <w:pPr>
        <w:pStyle w:val="ListParagraph"/>
        <w:numPr>
          <w:ilvl w:val="0"/>
          <w:numId w:val="32"/>
        </w:numPr>
        <w:spacing w:line="259" w:lineRule="auto"/>
        <w:ind w:left="778"/>
        <w:contextualSpacing w:val="0"/>
      </w:pPr>
      <w:r>
        <w:t>R</w:t>
      </w:r>
      <w:r w:rsidRPr="00A0099D">
        <w:t xml:space="preserve">etiring/cancelling a FinCEN identifier. </w:t>
      </w:r>
    </w:p>
    <w:p w:rsidR="00571E9D" w:rsidRPr="00A0099D" w:rsidP="00421067" w14:paraId="51668678" w14:textId="77777777">
      <w:pPr>
        <w:pStyle w:val="ListParagraph"/>
        <w:spacing w:line="259" w:lineRule="auto"/>
        <w:ind w:left="778"/>
        <w:contextualSpacing w:val="0"/>
      </w:pPr>
    </w:p>
    <w:p w:rsidR="00B27234" w:rsidRPr="00421067" w:rsidP="00421067" w14:paraId="6AD620A0" w14:textId="31B0A9B4">
      <w:pPr>
        <w:spacing w:after="240"/>
        <w:rPr>
          <w:rFonts w:ascii="Segoe UI" w:hAnsi="Segoe UI" w:cs="Segoe UI"/>
          <w:sz w:val="18"/>
          <w:szCs w:val="18"/>
        </w:rPr>
      </w:pPr>
      <w:r w:rsidRPr="00FB6686">
        <w:t xml:space="preserve">FinCEN </w:t>
      </w:r>
      <w:r>
        <w:t>carefully considered these comments</w:t>
      </w:r>
      <w:r w:rsidRPr="00FB6686">
        <w:t>, which</w:t>
      </w:r>
      <w:r>
        <w:t xml:space="preserve"> resulted in changes to specific lines that</w:t>
      </w:r>
      <w:r w:rsidRPr="00FB6686">
        <w:t xml:space="preserve"> are reflected in the revised </w:t>
      </w:r>
      <w:r w:rsidR="005E070A">
        <w:t xml:space="preserve">FinCEN Identifier Application. </w:t>
      </w:r>
    </w:p>
    <w:p w:rsidR="00600940" w:rsidP="00F63CC6" w14:paraId="79226055" w14:textId="34E53F04">
      <w:pPr>
        <w:spacing w:after="240"/>
        <w:rPr>
          <w:szCs w:val="22"/>
        </w:rPr>
      </w:pPr>
      <w:r>
        <w:rPr>
          <w:szCs w:val="22"/>
        </w:rPr>
        <w:t xml:space="preserve">9. </w:t>
      </w:r>
      <w:r w:rsidR="00902855">
        <w:rPr>
          <w:szCs w:val="22"/>
          <w:u w:val="single"/>
        </w:rPr>
        <w:t>Payments and g</w:t>
      </w:r>
      <w:r>
        <w:rPr>
          <w:szCs w:val="22"/>
          <w:u w:val="single"/>
        </w:rPr>
        <w:t>ifts</w:t>
      </w:r>
      <w:r w:rsidR="00384B9B">
        <w:rPr>
          <w:szCs w:val="22"/>
          <w:u w:val="single"/>
        </w:rPr>
        <w:t>.</w:t>
      </w:r>
      <w:r>
        <w:rPr>
          <w:szCs w:val="22"/>
        </w:rPr>
        <w:t xml:space="preserve"> </w:t>
      </w:r>
    </w:p>
    <w:p w:rsidR="00600940" w:rsidP="00F63CC6" w14:paraId="36D68C13" w14:textId="77777777">
      <w:pPr>
        <w:spacing w:after="240"/>
        <w:ind w:firstLine="720"/>
        <w:rPr>
          <w:szCs w:val="22"/>
        </w:rPr>
      </w:pPr>
      <w:r>
        <w:rPr>
          <w:szCs w:val="22"/>
        </w:rPr>
        <w:t>No pay</w:t>
      </w:r>
      <w:r>
        <w:rPr>
          <w:szCs w:val="22"/>
        </w:rPr>
        <w:t xml:space="preserve">ments or gifts were made to respondents. </w:t>
      </w:r>
    </w:p>
    <w:p w:rsidR="00600940" w:rsidP="00F63CC6" w14:paraId="5FC87DA8" w14:textId="1EF42798">
      <w:pPr>
        <w:pStyle w:val="BodyText"/>
        <w:spacing w:before="0" w:after="240"/>
        <w:rPr>
          <w:sz w:val="24"/>
        </w:rPr>
      </w:pPr>
      <w:r>
        <w:rPr>
          <w:sz w:val="24"/>
        </w:rPr>
        <w:t xml:space="preserve">10. </w:t>
      </w:r>
      <w:r>
        <w:rPr>
          <w:sz w:val="24"/>
          <w:u w:val="single"/>
        </w:rPr>
        <w:t>A</w:t>
      </w:r>
      <w:r w:rsidR="00902855">
        <w:rPr>
          <w:sz w:val="24"/>
          <w:u w:val="single"/>
        </w:rPr>
        <w:t>ssurance of confidentiality of r</w:t>
      </w:r>
      <w:r>
        <w:rPr>
          <w:sz w:val="24"/>
          <w:u w:val="single"/>
        </w:rPr>
        <w:t>esponses.</w:t>
      </w:r>
      <w:r>
        <w:rPr>
          <w:sz w:val="24"/>
        </w:rPr>
        <w:t xml:space="preserve"> </w:t>
      </w:r>
    </w:p>
    <w:p w:rsidR="00805F14" w:rsidP="00F63CC6" w14:paraId="3750ED35" w14:textId="1022FA95">
      <w:pPr>
        <w:pStyle w:val="BodyText"/>
        <w:spacing w:before="0" w:after="240"/>
        <w:ind w:right="115" w:firstLine="720"/>
        <w:rPr>
          <w:sz w:val="24"/>
          <w:szCs w:val="24"/>
        </w:rPr>
      </w:pPr>
      <w:r>
        <w:rPr>
          <w:sz w:val="24"/>
          <w:szCs w:val="24"/>
        </w:rPr>
        <w:t xml:space="preserve">Pursuant to </w:t>
      </w:r>
      <w:r w:rsidRPr="001B781A">
        <w:rPr>
          <w:sz w:val="24"/>
          <w:szCs w:val="24"/>
        </w:rPr>
        <w:t>31 U.S.C. 5336(</w:t>
      </w:r>
      <w:r>
        <w:rPr>
          <w:sz w:val="24"/>
          <w:szCs w:val="24"/>
        </w:rPr>
        <w:t>c</w:t>
      </w:r>
      <w:r w:rsidRPr="001B781A">
        <w:rPr>
          <w:sz w:val="24"/>
          <w:szCs w:val="24"/>
        </w:rPr>
        <w:t>)</w:t>
      </w:r>
      <w:r>
        <w:rPr>
          <w:sz w:val="24"/>
          <w:szCs w:val="24"/>
        </w:rPr>
        <w:t>,</w:t>
      </w:r>
      <w:r w:rsidRPr="001B781A">
        <w:rPr>
          <w:sz w:val="24"/>
          <w:szCs w:val="24"/>
        </w:rPr>
        <w:t xml:space="preserve"> </w:t>
      </w:r>
      <w:r w:rsidR="5677BEE9">
        <w:rPr>
          <w:sz w:val="24"/>
          <w:szCs w:val="24"/>
        </w:rPr>
        <w:t xml:space="preserve">BOI </w:t>
      </w:r>
      <w:r w:rsidR="5579D97A">
        <w:rPr>
          <w:sz w:val="24"/>
          <w:szCs w:val="24"/>
        </w:rPr>
        <w:t>and FinCEN</w:t>
      </w:r>
      <w:r w:rsidR="7A6BAD16">
        <w:rPr>
          <w:sz w:val="24"/>
          <w:szCs w:val="24"/>
        </w:rPr>
        <w:t>-</w:t>
      </w:r>
      <w:r w:rsidR="5579D97A">
        <w:rPr>
          <w:sz w:val="24"/>
          <w:szCs w:val="24"/>
        </w:rPr>
        <w:t>identifier information</w:t>
      </w:r>
      <w:r w:rsidR="5677BEE9">
        <w:rPr>
          <w:sz w:val="24"/>
          <w:szCs w:val="24"/>
        </w:rPr>
        <w:t xml:space="preserve"> </w:t>
      </w:r>
      <w:r w:rsidRPr="001B781A" w:rsidR="5677BEE9">
        <w:rPr>
          <w:sz w:val="24"/>
          <w:szCs w:val="24"/>
        </w:rPr>
        <w:t>collected under 31 U.S.C. 5336(b)</w:t>
      </w:r>
      <w:r w:rsidR="5677BEE9">
        <w:rPr>
          <w:sz w:val="24"/>
          <w:szCs w:val="24"/>
        </w:rPr>
        <w:t xml:space="preserve"> </w:t>
      </w:r>
      <w:r w:rsidR="01599E96">
        <w:rPr>
          <w:sz w:val="24"/>
          <w:szCs w:val="24"/>
        </w:rPr>
        <w:t>is confidential and may not be disclosed except as authorized.  The CTA authorizes disclosure</w:t>
      </w:r>
      <w:r w:rsidR="5677BEE9">
        <w:rPr>
          <w:sz w:val="24"/>
          <w:szCs w:val="24"/>
        </w:rPr>
        <w:t xml:space="preserve"> </w:t>
      </w:r>
      <w:r w:rsidR="7A6BAD16">
        <w:rPr>
          <w:sz w:val="24"/>
          <w:szCs w:val="24"/>
        </w:rPr>
        <w:t xml:space="preserve">of BOI </w:t>
      </w:r>
      <w:r>
        <w:rPr>
          <w:sz w:val="24"/>
          <w:szCs w:val="24"/>
        </w:rPr>
        <w:t>to certain categories of users, subject to</w:t>
      </w:r>
      <w:r w:rsidRPr="001062A4" w:rsidR="5A810682">
        <w:rPr>
          <w:sz w:val="24"/>
          <w:szCs w:val="24"/>
        </w:rPr>
        <w:t xml:space="preserve"> appropriate protocols</w:t>
      </w:r>
      <w:r w:rsidR="5677BEE9">
        <w:rPr>
          <w:sz w:val="24"/>
          <w:szCs w:val="24"/>
        </w:rPr>
        <w:t xml:space="preserve"> to protect the security and confidentiality of the information</w:t>
      </w:r>
      <w:r w:rsidRPr="001062A4" w:rsidR="5A810682">
        <w:rPr>
          <w:sz w:val="24"/>
          <w:szCs w:val="24"/>
        </w:rPr>
        <w:t xml:space="preserve">.  </w:t>
      </w:r>
      <w:r w:rsidR="5677BEE9">
        <w:rPr>
          <w:sz w:val="24"/>
          <w:szCs w:val="24"/>
        </w:rPr>
        <w:t>Subject to certain limitations and access requirements, authorized users of BOI include:</w:t>
      </w:r>
      <w:r w:rsidRPr="001062A4" w:rsidR="24C8AF56">
        <w:rPr>
          <w:sz w:val="24"/>
          <w:szCs w:val="24"/>
        </w:rPr>
        <w:t xml:space="preserve"> </w:t>
      </w:r>
      <w:r w:rsidRPr="001062A4" w:rsidR="6196F6BE">
        <w:rPr>
          <w:sz w:val="24"/>
          <w:szCs w:val="24"/>
        </w:rPr>
        <w:t>F</w:t>
      </w:r>
      <w:r w:rsidRPr="001062A4" w:rsidR="5A810682">
        <w:rPr>
          <w:sz w:val="24"/>
          <w:szCs w:val="24"/>
        </w:rPr>
        <w:t xml:space="preserve">ederal agencies engaged in national security, </w:t>
      </w:r>
      <w:r w:rsidRPr="005A7C0B" w:rsidR="5A810682">
        <w:rPr>
          <w:sz w:val="24"/>
          <w:szCs w:val="24"/>
        </w:rPr>
        <w:t>intelligence</w:t>
      </w:r>
      <w:r w:rsidRPr="001062A4" w:rsidR="5A810682">
        <w:rPr>
          <w:sz w:val="24"/>
          <w:szCs w:val="24"/>
        </w:rPr>
        <w:t xml:space="preserve">, or </w:t>
      </w:r>
      <w:r w:rsidRPr="001062A4" w:rsidR="24C8AF56">
        <w:rPr>
          <w:sz w:val="24"/>
          <w:szCs w:val="24"/>
        </w:rPr>
        <w:t xml:space="preserve">law enforcement </w:t>
      </w:r>
      <w:r w:rsidRPr="001062A4" w:rsidR="5A810682">
        <w:rPr>
          <w:sz w:val="24"/>
          <w:szCs w:val="24"/>
        </w:rPr>
        <w:t>activities</w:t>
      </w:r>
      <w:r w:rsidR="5677BEE9">
        <w:rPr>
          <w:sz w:val="24"/>
          <w:szCs w:val="24"/>
        </w:rPr>
        <w:t>;</w:t>
      </w:r>
      <w:r w:rsidRPr="001062A4" w:rsidR="5677BEE9">
        <w:rPr>
          <w:sz w:val="24"/>
          <w:szCs w:val="24"/>
        </w:rPr>
        <w:t xml:space="preserve"> </w:t>
      </w:r>
      <w:r w:rsidRPr="001062A4" w:rsidR="5A810682">
        <w:rPr>
          <w:sz w:val="24"/>
          <w:szCs w:val="24"/>
        </w:rPr>
        <w:t>state, local, or Tribal law enforcement agencies</w:t>
      </w:r>
      <w:r w:rsidR="5677BEE9">
        <w:rPr>
          <w:sz w:val="24"/>
          <w:szCs w:val="24"/>
        </w:rPr>
        <w:t xml:space="preserve">; foreign </w:t>
      </w:r>
      <w:r w:rsidRPr="001062A4" w:rsidR="5A810682">
        <w:rPr>
          <w:sz w:val="24"/>
          <w:szCs w:val="24"/>
        </w:rPr>
        <w:t>law enforcement, judicial, or prosecutorial authorities</w:t>
      </w:r>
      <w:r w:rsidR="5677BEE9">
        <w:rPr>
          <w:sz w:val="24"/>
          <w:szCs w:val="24"/>
        </w:rPr>
        <w:t>;</w:t>
      </w:r>
      <w:r w:rsidRPr="001062A4" w:rsidR="2EFE90FF">
        <w:rPr>
          <w:sz w:val="24"/>
          <w:szCs w:val="24"/>
        </w:rPr>
        <w:t xml:space="preserve"> </w:t>
      </w:r>
      <w:r w:rsidR="5677BEE9">
        <w:rPr>
          <w:sz w:val="24"/>
          <w:szCs w:val="24"/>
        </w:rPr>
        <w:t>f</w:t>
      </w:r>
      <w:r w:rsidRPr="001062A4" w:rsidR="5677BEE9">
        <w:rPr>
          <w:sz w:val="24"/>
          <w:szCs w:val="24"/>
        </w:rPr>
        <w:t>inancial</w:t>
      </w:r>
      <w:r w:rsidRPr="001062A4" w:rsidR="2EFE90FF">
        <w:rPr>
          <w:sz w:val="24"/>
          <w:szCs w:val="24"/>
        </w:rPr>
        <w:t xml:space="preserve"> institutions subject to customer due diligence requirements</w:t>
      </w:r>
      <w:r w:rsidR="5677BEE9">
        <w:rPr>
          <w:sz w:val="24"/>
          <w:szCs w:val="24"/>
        </w:rPr>
        <w:t xml:space="preserve">; certain </w:t>
      </w:r>
      <w:r w:rsidRPr="001062A4" w:rsidR="3278BCBF">
        <w:rPr>
          <w:sz w:val="24"/>
          <w:szCs w:val="24"/>
        </w:rPr>
        <w:t xml:space="preserve">Federal functional regulators and other appropriate regulatory </w:t>
      </w:r>
      <w:r w:rsidRPr="001062A4" w:rsidR="24C8AF56">
        <w:rPr>
          <w:sz w:val="24"/>
          <w:szCs w:val="24"/>
        </w:rPr>
        <w:t>agencies</w:t>
      </w:r>
      <w:r w:rsidR="004B27C8">
        <w:rPr>
          <w:sz w:val="24"/>
          <w:szCs w:val="24"/>
        </w:rPr>
        <w:t xml:space="preserve">; </w:t>
      </w:r>
      <w:r w:rsidRPr="000C0227" w:rsidR="004B27C8">
        <w:rPr>
          <w:sz w:val="24"/>
          <w:szCs w:val="24"/>
        </w:rPr>
        <w:t>and Department of the Treasury officers and employees for their official duties, including for tax administration purposes</w:t>
      </w:r>
      <w:r w:rsidRPr="001062A4" w:rsidR="24C8AF56">
        <w:rPr>
          <w:sz w:val="24"/>
          <w:szCs w:val="24"/>
        </w:rPr>
        <w:t>.</w:t>
      </w:r>
      <w:r>
        <w:rPr>
          <w:sz w:val="24"/>
          <w:szCs w:val="24"/>
          <w:vertAlign w:val="superscript"/>
        </w:rPr>
        <w:footnoteReference w:id="26"/>
      </w:r>
      <w:r w:rsidR="234F1E0F">
        <w:rPr>
          <w:sz w:val="24"/>
          <w:szCs w:val="24"/>
        </w:rPr>
        <w:t xml:space="preserve">  </w:t>
      </w:r>
    </w:p>
    <w:p w:rsidR="00600940" w:rsidRPr="001062A4" w:rsidP="00F63CC6" w14:paraId="29897E2F" w14:textId="388A38B8">
      <w:pPr>
        <w:pStyle w:val="BodyText"/>
        <w:spacing w:before="0" w:after="240"/>
        <w:ind w:right="115" w:firstLine="720"/>
        <w:rPr>
          <w:sz w:val="24"/>
          <w:szCs w:val="24"/>
        </w:rPr>
      </w:pPr>
      <w:r>
        <w:rPr>
          <w:sz w:val="24"/>
          <w:szCs w:val="24"/>
        </w:rPr>
        <w:t xml:space="preserve">As noted </w:t>
      </w:r>
      <w:r w:rsidRPr="39FD11F7" w:rsidR="73BD21CE">
        <w:rPr>
          <w:sz w:val="24"/>
          <w:szCs w:val="24"/>
        </w:rPr>
        <w:t xml:space="preserve">in Section </w:t>
      </w:r>
      <w:r w:rsidRPr="39FD11F7" w:rsidR="63EFB947">
        <w:rPr>
          <w:sz w:val="24"/>
          <w:szCs w:val="24"/>
        </w:rPr>
        <w:t>2</w:t>
      </w:r>
      <w:r>
        <w:rPr>
          <w:sz w:val="24"/>
          <w:szCs w:val="24"/>
        </w:rPr>
        <w:t xml:space="preserve">, </w:t>
      </w:r>
      <w:r w:rsidRPr="39FD11F7" w:rsidR="63EFB947">
        <w:rPr>
          <w:sz w:val="24"/>
          <w:szCs w:val="24"/>
        </w:rPr>
        <w:t xml:space="preserve">on December 16, 2022, FinCEN published the Access NPRM </w:t>
      </w:r>
      <w:r w:rsidRPr="39FD11F7" w:rsidR="63EFB947">
        <w:rPr>
          <w:color w:val="000000" w:themeColor="text1"/>
          <w:sz w:val="24"/>
          <w:szCs w:val="24"/>
        </w:rPr>
        <w:t xml:space="preserve">regarding </w:t>
      </w:r>
      <w:r w:rsidRPr="001062A4" w:rsidR="327B2D9E">
        <w:rPr>
          <w:sz w:val="24"/>
          <w:szCs w:val="24"/>
        </w:rPr>
        <w:t>the specific protocols</w:t>
      </w:r>
      <w:r w:rsidR="234F1E0F">
        <w:rPr>
          <w:sz w:val="24"/>
          <w:szCs w:val="24"/>
        </w:rPr>
        <w:t xml:space="preserve"> that will govern </w:t>
      </w:r>
      <w:r w:rsidR="20302422">
        <w:rPr>
          <w:sz w:val="24"/>
          <w:szCs w:val="24"/>
        </w:rPr>
        <w:t>authorized users’ access to BOI</w:t>
      </w:r>
      <w:r w:rsidRPr="001062A4" w:rsidR="327B2D9E">
        <w:rPr>
          <w:sz w:val="24"/>
          <w:szCs w:val="24"/>
        </w:rPr>
        <w:t>.</w:t>
      </w:r>
      <w:r>
        <w:rPr>
          <w:rStyle w:val="FootnoteReference"/>
          <w:color w:val="000000"/>
          <w:sz w:val="24"/>
          <w:szCs w:val="24"/>
        </w:rPr>
        <w:footnoteReference w:id="27"/>
      </w:r>
      <w:r w:rsidRPr="39FD11F7" w:rsidR="5100D82E">
        <w:rPr>
          <w:color w:val="000000" w:themeColor="text1"/>
          <w:sz w:val="24"/>
          <w:szCs w:val="24"/>
        </w:rPr>
        <w:t xml:space="preserve"> </w:t>
      </w:r>
      <w:r w:rsidRPr="001062A4" w:rsidR="327B2D9E">
        <w:rPr>
          <w:sz w:val="24"/>
          <w:szCs w:val="24"/>
        </w:rPr>
        <w:t xml:space="preserve">  </w:t>
      </w:r>
      <w:r w:rsidR="5694E901">
        <w:rPr>
          <w:sz w:val="24"/>
          <w:szCs w:val="24"/>
        </w:rPr>
        <w:t xml:space="preserve">FinCEN </w:t>
      </w:r>
      <w:r w:rsidRPr="39FD11F7" w:rsidR="5100D82E">
        <w:rPr>
          <w:sz w:val="24"/>
          <w:szCs w:val="24"/>
        </w:rPr>
        <w:t xml:space="preserve">has </w:t>
      </w:r>
      <w:r w:rsidRPr="39FD11F7" w:rsidR="37DC6C09">
        <w:rPr>
          <w:sz w:val="24"/>
          <w:szCs w:val="24"/>
        </w:rPr>
        <w:t>issue</w:t>
      </w:r>
      <w:r>
        <w:rPr>
          <w:sz w:val="24"/>
          <w:szCs w:val="24"/>
        </w:rPr>
        <w:t>d</w:t>
      </w:r>
      <w:r w:rsidRPr="39FD11F7" w:rsidR="5100D82E">
        <w:rPr>
          <w:sz w:val="24"/>
          <w:szCs w:val="24"/>
        </w:rPr>
        <w:t xml:space="preserve"> </w:t>
      </w:r>
      <w:r w:rsidR="5694E901">
        <w:rPr>
          <w:sz w:val="24"/>
          <w:szCs w:val="24"/>
        </w:rPr>
        <w:t xml:space="preserve">a </w:t>
      </w:r>
      <w:r w:rsidR="494EFFBA">
        <w:rPr>
          <w:sz w:val="24"/>
          <w:szCs w:val="24"/>
        </w:rPr>
        <w:t xml:space="preserve">new </w:t>
      </w:r>
      <w:r w:rsidR="34F0F43C">
        <w:rPr>
          <w:sz w:val="24"/>
          <w:szCs w:val="24"/>
        </w:rPr>
        <w:t>S</w:t>
      </w:r>
      <w:r w:rsidR="5694E901">
        <w:rPr>
          <w:sz w:val="24"/>
          <w:szCs w:val="24"/>
        </w:rPr>
        <w:t xml:space="preserve">ystem of </w:t>
      </w:r>
      <w:r w:rsidR="34F0F43C">
        <w:rPr>
          <w:sz w:val="24"/>
          <w:szCs w:val="24"/>
        </w:rPr>
        <w:t>R</w:t>
      </w:r>
      <w:r w:rsidR="5694E901">
        <w:rPr>
          <w:sz w:val="24"/>
          <w:szCs w:val="24"/>
        </w:rPr>
        <w:t xml:space="preserve">ecords </w:t>
      </w:r>
      <w:r w:rsidR="34F0F43C">
        <w:rPr>
          <w:sz w:val="24"/>
          <w:szCs w:val="24"/>
        </w:rPr>
        <w:t>N</w:t>
      </w:r>
      <w:r w:rsidR="5694E901">
        <w:rPr>
          <w:sz w:val="24"/>
          <w:szCs w:val="24"/>
        </w:rPr>
        <w:t>otice</w:t>
      </w:r>
      <w:r w:rsidR="40A5B864">
        <w:rPr>
          <w:sz w:val="24"/>
          <w:szCs w:val="24"/>
        </w:rPr>
        <w:t xml:space="preserve"> (SORN)</w:t>
      </w:r>
      <w:r w:rsidRPr="39FD11F7" w:rsidR="37DC6C09">
        <w:rPr>
          <w:sz w:val="24"/>
          <w:szCs w:val="24"/>
        </w:rPr>
        <w:t xml:space="preserve"> </w:t>
      </w:r>
      <w:r w:rsidRPr="39FD11F7" w:rsidR="267D7B8F">
        <w:rPr>
          <w:sz w:val="24"/>
          <w:szCs w:val="24"/>
        </w:rPr>
        <w:t xml:space="preserve">for </w:t>
      </w:r>
      <w:r w:rsidRPr="39FD11F7" w:rsidR="37DC6C09">
        <w:rPr>
          <w:sz w:val="24"/>
          <w:szCs w:val="24"/>
        </w:rPr>
        <w:t>BOI</w:t>
      </w:r>
      <w:r w:rsidRPr="39FD11F7" w:rsidR="7034855A">
        <w:rPr>
          <w:sz w:val="24"/>
          <w:szCs w:val="24"/>
        </w:rPr>
        <w:t xml:space="preserve"> collected in connection with the implementation of the CTA</w:t>
      </w:r>
      <w:r w:rsidR="5694E901">
        <w:rPr>
          <w:sz w:val="24"/>
          <w:szCs w:val="24"/>
        </w:rPr>
        <w:t xml:space="preserve">, </w:t>
      </w:r>
      <w:r w:rsidRPr="39FD11F7" w:rsidR="5100D82E">
        <w:rPr>
          <w:sz w:val="24"/>
          <w:szCs w:val="24"/>
        </w:rPr>
        <w:t xml:space="preserve">which </w:t>
      </w:r>
      <w:r w:rsidR="5694E901">
        <w:rPr>
          <w:sz w:val="24"/>
          <w:szCs w:val="24"/>
        </w:rPr>
        <w:t>publicly identif</w:t>
      </w:r>
      <w:r>
        <w:rPr>
          <w:sz w:val="24"/>
          <w:szCs w:val="24"/>
        </w:rPr>
        <w:t>ied</w:t>
      </w:r>
      <w:r w:rsidR="5694E901">
        <w:rPr>
          <w:sz w:val="24"/>
          <w:szCs w:val="24"/>
        </w:rPr>
        <w:t xml:space="preserve"> the routine uses of the information</w:t>
      </w:r>
      <w:r>
        <w:rPr>
          <w:sz w:val="24"/>
          <w:szCs w:val="24"/>
        </w:rPr>
        <w:t xml:space="preserve"> (88 FR 62889, 9/13/2023) </w:t>
      </w:r>
      <w:r w:rsidR="5694E901">
        <w:rPr>
          <w:sz w:val="24"/>
          <w:szCs w:val="24"/>
        </w:rPr>
        <w:t xml:space="preserve">.  </w:t>
      </w:r>
    </w:p>
    <w:p w:rsidR="00600940" w:rsidP="00F63CC6" w14:paraId="1ABA96FC" w14:textId="6C91755C">
      <w:pPr>
        <w:spacing w:after="240"/>
        <w:rPr>
          <w:szCs w:val="22"/>
        </w:rPr>
      </w:pPr>
      <w:r>
        <w:rPr>
          <w:szCs w:val="22"/>
        </w:rPr>
        <w:t xml:space="preserve">11. </w:t>
      </w:r>
      <w:r w:rsidR="00CA6EF3">
        <w:rPr>
          <w:szCs w:val="22"/>
          <w:u w:val="single"/>
        </w:rPr>
        <w:t>Justification of s</w:t>
      </w:r>
      <w:r w:rsidR="00902855">
        <w:rPr>
          <w:szCs w:val="22"/>
          <w:u w:val="single"/>
        </w:rPr>
        <w:t>ensitive q</w:t>
      </w:r>
      <w:r>
        <w:rPr>
          <w:szCs w:val="22"/>
          <w:u w:val="single"/>
        </w:rPr>
        <w:t>uestions.</w:t>
      </w:r>
      <w:r>
        <w:rPr>
          <w:szCs w:val="22"/>
        </w:rPr>
        <w:t xml:space="preserve"> </w:t>
      </w:r>
    </w:p>
    <w:p w:rsidR="00663BD0" w:rsidP="00F63CC6" w14:paraId="033F0716" w14:textId="363C1DBE">
      <w:pPr>
        <w:spacing w:after="240"/>
        <w:ind w:firstLine="720"/>
      </w:pPr>
      <w:r>
        <w:t xml:space="preserve">There are no questions of a sensitive nature in the collection of information.  </w:t>
      </w:r>
      <w:r w:rsidR="00746523">
        <w:t xml:space="preserve">Access to any personally identifiable information collected under the CTA will be strictly </w:t>
      </w:r>
      <w:r w:rsidR="00746523">
        <w:t>controlled, as will be outlined in the SORN applicable to the information</w:t>
      </w:r>
      <w:r w:rsidR="005C3EDA">
        <w:t xml:space="preserve"> </w:t>
      </w:r>
      <w:r w:rsidR="00746523">
        <w:t>(see item 10 above).</w:t>
      </w:r>
    </w:p>
    <w:p w:rsidR="00600940" w:rsidP="00F63CC6" w14:paraId="23FF79B0" w14:textId="634E49B6">
      <w:pPr>
        <w:spacing w:after="240"/>
        <w:rPr>
          <w:szCs w:val="22"/>
        </w:rPr>
      </w:pPr>
      <w:r>
        <w:rPr>
          <w:szCs w:val="22"/>
        </w:rPr>
        <w:t xml:space="preserve">12. </w:t>
      </w:r>
      <w:r w:rsidR="00902855">
        <w:rPr>
          <w:szCs w:val="22"/>
          <w:u w:val="single"/>
        </w:rPr>
        <w:t>Estimated annual hourly b</w:t>
      </w:r>
      <w:r>
        <w:rPr>
          <w:szCs w:val="22"/>
          <w:u w:val="single"/>
        </w:rPr>
        <w:t>urden.</w:t>
      </w:r>
      <w:r>
        <w:rPr>
          <w:szCs w:val="22"/>
        </w:rPr>
        <w:t xml:space="preserve"> </w:t>
      </w:r>
    </w:p>
    <w:p w:rsidR="00B24841" w:rsidP="00CE1E17" w14:paraId="47BD05ED" w14:textId="29C4C8C6">
      <w:pPr>
        <w:spacing w:after="240"/>
        <w:ind w:firstLine="720"/>
        <w:rPr>
          <w:szCs w:val="22"/>
        </w:rPr>
      </w:pPr>
      <w:r w:rsidRPr="5CA521F6">
        <w:t xml:space="preserve">FinCEN estimated </w:t>
      </w:r>
      <w:r w:rsidRPr="5CA521F6" w:rsidR="1D3916C9">
        <w:t xml:space="preserve">the </w:t>
      </w:r>
      <w:r w:rsidRPr="5CA521F6">
        <w:t xml:space="preserve">annual hourly burden for </w:t>
      </w:r>
      <w:r w:rsidRPr="5CA521F6" w:rsidR="30AF2D73">
        <w:t xml:space="preserve">two </w:t>
      </w:r>
      <w:r w:rsidRPr="5CA521F6">
        <w:t>information collections under the rule</w:t>
      </w:r>
      <w:r w:rsidR="05E167D2">
        <w:rPr>
          <w:szCs w:val="22"/>
        </w:rPr>
        <w:t xml:space="preserve">: </w:t>
      </w:r>
      <w:r w:rsidRPr="5CA521F6" w:rsidR="07527425">
        <w:t>BOI reports and FinCEN identifier</w:t>
      </w:r>
      <w:r w:rsidR="0BC3C2E9">
        <w:t xml:space="preserve"> applications</w:t>
      </w:r>
      <w:r w:rsidR="649205E2">
        <w:t xml:space="preserve"> for individuals</w:t>
      </w:r>
      <w:r>
        <w:rPr>
          <w:szCs w:val="22"/>
        </w:rPr>
        <w:t>.</w:t>
      </w:r>
      <w:r>
        <w:rPr>
          <w:rStyle w:val="FootnoteReference"/>
        </w:rPr>
        <w:footnoteReference w:id="28"/>
      </w:r>
      <w:r w:rsidRPr="5CA521F6" w:rsidR="06249327">
        <w:t xml:space="preserve">  Each information collection includes estimates for initial and updated reports or applications, as the </w:t>
      </w:r>
      <w:r w:rsidRPr="5CA521F6" w:rsidR="1A7A9160">
        <w:t>final</w:t>
      </w:r>
      <w:r w:rsidR="06249327">
        <w:rPr>
          <w:szCs w:val="22"/>
        </w:rPr>
        <w:t xml:space="preserve"> </w:t>
      </w:r>
      <w:r w:rsidRPr="5CA521F6" w:rsidR="1D3916C9">
        <w:t>rule requires update</w:t>
      </w:r>
      <w:r w:rsidRPr="5CA521F6" w:rsidR="11D1FA65">
        <w:t>d</w:t>
      </w:r>
      <w:r w:rsidRPr="5CA521F6" w:rsidR="1D3916C9">
        <w:t xml:space="preserve"> information </w:t>
      </w:r>
      <w:r w:rsidRPr="5CA521F6" w:rsidR="11D1FA65">
        <w:t xml:space="preserve">be </w:t>
      </w:r>
      <w:r w:rsidRPr="5CA521F6" w:rsidR="1D3916C9">
        <w:t xml:space="preserve">submitted to FinCEN </w:t>
      </w:r>
      <w:r w:rsidRPr="5CA521F6" w:rsidR="11D1FA65">
        <w:t>if there are</w:t>
      </w:r>
      <w:r w:rsidRPr="5CA521F6" w:rsidR="1D3916C9">
        <w:t xml:space="preserve"> changes after the submission of an initial report</w:t>
      </w:r>
      <w:r w:rsidRPr="5CA521F6" w:rsidR="06249327">
        <w:t xml:space="preserve">.  Additionally, each information collection includes estimates for Year </w:t>
      </w:r>
      <w:r w:rsidRPr="5CA521F6" w:rsidR="73466E7D">
        <w:t>1</w:t>
      </w:r>
      <w:r w:rsidRPr="5CA521F6" w:rsidR="06249327">
        <w:t xml:space="preserve"> and then annual estimate</w:t>
      </w:r>
      <w:r w:rsidRPr="5CA521F6" w:rsidR="73466E7D">
        <w:t>s</w:t>
      </w:r>
      <w:r w:rsidRPr="5CA521F6" w:rsidR="06249327">
        <w:t xml:space="preserve"> for any year after Year 1 (Year 2+).  This is because the </w:t>
      </w:r>
      <w:r w:rsidRPr="5CA521F6" w:rsidR="7C87EE53">
        <w:t xml:space="preserve">final </w:t>
      </w:r>
      <w:r w:rsidRPr="5CA521F6" w:rsidR="06249327">
        <w:t xml:space="preserve">rule </w:t>
      </w:r>
      <w:r w:rsidRPr="5CA521F6" w:rsidR="7C87EE53">
        <w:t>will</w:t>
      </w:r>
      <w:r w:rsidRPr="5CA521F6" w:rsidR="06249327">
        <w:t xml:space="preserve"> require that all currently existing entities report BOI within Year 1.</w:t>
      </w:r>
      <w:r w:rsidR="37D1DDBA">
        <w:rPr>
          <w:szCs w:val="22"/>
        </w:rPr>
        <w:t xml:space="preserve">  </w:t>
      </w:r>
    </w:p>
    <w:p w:rsidR="00B24841" w:rsidP="00CE1E17" w14:paraId="5DF44697" w14:textId="53499CC8">
      <w:pPr>
        <w:spacing w:after="240"/>
        <w:ind w:firstLine="720"/>
      </w:pPr>
      <w:r w:rsidRPr="5CA521F6">
        <w:t>FinCEN estimates that the time bur</w:t>
      </w:r>
      <w:r w:rsidRPr="5CA521F6">
        <w:t>den per BOI</w:t>
      </w:r>
      <w:r w:rsidR="00FD4A1D">
        <w:t>R</w:t>
      </w:r>
      <w:r w:rsidRPr="5CA521F6">
        <w:t xml:space="preserve"> will vary </w:t>
      </w:r>
      <w:r>
        <w:t xml:space="preserve">depending on the complexity of </w:t>
      </w:r>
      <w:r w:rsidR="7A6BAD16">
        <w:t xml:space="preserve">a </w:t>
      </w:r>
      <w:r>
        <w:t>reporting company’s structure.  FinCEN therefore estimates a range of time burden</w:t>
      </w:r>
      <w:r w:rsidR="3324B715">
        <w:t>s</w:t>
      </w:r>
      <w:r>
        <w:t xml:space="preserve"> associated with filing an initial BOI</w:t>
      </w:r>
      <w:r w:rsidR="00FD4A1D">
        <w:t>R</w:t>
      </w:r>
      <w:r>
        <w:t xml:space="preserve"> to account for the likely variance among reporting companies.  FinCEN estimate</w:t>
      </w:r>
      <w:r>
        <w:t xml:space="preserve">s the average burden of reporting BOI as 90 minutes per response for reporting companies with simple </w:t>
      </w:r>
      <w:r w:rsidR="7DB5F8AC">
        <w:t xml:space="preserve">beneficial </w:t>
      </w:r>
      <w:r>
        <w:t>ownership structures</w:t>
      </w:r>
      <w:r w:rsidR="7BD041C0">
        <w:t xml:space="preserve"> (1 beneficial owner who is also the company applicant),</w:t>
      </w:r>
      <w:r>
        <w:t xml:space="preserve"> </w:t>
      </w:r>
      <w:r w:rsidR="135EBBFC">
        <w:t xml:space="preserve">which are estimated to </w:t>
      </w:r>
      <w:r w:rsidR="7BD041C0">
        <w:t>be</w:t>
      </w:r>
      <w:r w:rsidR="135EBBFC">
        <w:t xml:space="preserve"> 59 percent of reporting companies</w:t>
      </w:r>
      <w:r>
        <w:t>.</w:t>
      </w:r>
      <w:r>
        <w:rPr>
          <w:rStyle w:val="FootnoteReference"/>
        </w:rPr>
        <w:footnoteReference w:id="29"/>
      </w:r>
      <w:r>
        <w:t xml:space="preserve">  Fin</w:t>
      </w:r>
      <w:r>
        <w:t xml:space="preserve">CEN estimates the average burden of reporting BOI as 650 minutes per response for reporting companies with complex </w:t>
      </w:r>
      <w:r w:rsidR="7DB5F8AC">
        <w:t xml:space="preserve">beneficial </w:t>
      </w:r>
      <w:r>
        <w:t>ownership structures</w:t>
      </w:r>
      <w:r w:rsidR="7BD041C0">
        <w:t xml:space="preserve"> (8 beneficial owners and 2 company applicants),</w:t>
      </w:r>
      <w:r>
        <w:t xml:space="preserve"> </w:t>
      </w:r>
      <w:r w:rsidR="032D1A66">
        <w:t xml:space="preserve">which are </w:t>
      </w:r>
      <w:r w:rsidR="7BD041C0">
        <w:t>estimated</w:t>
      </w:r>
      <w:r w:rsidR="032D1A66">
        <w:t xml:space="preserve"> to </w:t>
      </w:r>
      <w:r w:rsidR="7BD041C0">
        <w:t>be</w:t>
      </w:r>
      <w:r w:rsidR="032D1A66">
        <w:t xml:space="preserve"> </w:t>
      </w:r>
      <w:r>
        <w:t>4.9 percent of reporting companies.</w:t>
      </w:r>
      <w:r>
        <w:rPr>
          <w:rStyle w:val="FootnoteReference"/>
        </w:rPr>
        <w:footnoteReference w:id="30"/>
      </w:r>
      <w:r>
        <w:t xml:space="preserve">  FinCEN estimates the average burden of updating such reports for reporting companies with simple </w:t>
      </w:r>
      <w:r w:rsidR="7DB5F8AC">
        <w:t xml:space="preserve">beneficial </w:t>
      </w:r>
      <w:r>
        <w:t>ownership structures as 40 minutes per update.</w:t>
      </w:r>
      <w:r>
        <w:rPr>
          <w:rStyle w:val="FootnoteReference"/>
        </w:rPr>
        <w:footnoteReference w:id="31"/>
      </w:r>
      <w:r>
        <w:t xml:space="preserve">  FinCEN estimates the average burden of updating such reports for reporting companies with comp</w:t>
      </w:r>
      <w:r>
        <w:t xml:space="preserve">lex </w:t>
      </w:r>
      <w:r w:rsidR="7DB5F8AC">
        <w:t xml:space="preserve">beneficial </w:t>
      </w:r>
      <w:r>
        <w:t>ownership structures as 170 minutes per update.</w:t>
      </w:r>
      <w:r>
        <w:rPr>
          <w:rStyle w:val="FootnoteReference"/>
        </w:rPr>
        <w:footnoteReference w:id="32"/>
      </w:r>
      <w:r>
        <w:t xml:space="preserve">  </w:t>
      </w:r>
    </w:p>
    <w:p w:rsidR="00B24841" w:rsidP="00CE1E17" w14:paraId="08A16EFE" w14:textId="2E57BBE0">
      <w:pPr>
        <w:spacing w:after="240"/>
        <w:ind w:firstLine="720"/>
      </w:pPr>
      <w:r>
        <w:t xml:space="preserve">FinCEN also </w:t>
      </w:r>
      <w:r w:rsidR="5073AA5C">
        <w:t>estimated</w:t>
      </w:r>
      <w:r>
        <w:t xml:space="preserve"> </w:t>
      </w:r>
      <w:r w:rsidR="7BD041C0">
        <w:t>that</w:t>
      </w:r>
      <w:r>
        <w:t xml:space="preserve"> reporting companies with intermediate </w:t>
      </w:r>
      <w:r w:rsidR="7DB5F8AC">
        <w:t xml:space="preserve">beneficial </w:t>
      </w:r>
      <w:r>
        <w:t>ownership structures</w:t>
      </w:r>
      <w:r w:rsidR="7BD041C0">
        <w:t xml:space="preserve"> (4 beneficial owners and 1 company applicant)</w:t>
      </w:r>
      <w:r>
        <w:t xml:space="preserve"> </w:t>
      </w:r>
      <w:r w:rsidR="55DDBEE8">
        <w:t xml:space="preserve">are </w:t>
      </w:r>
      <w:r w:rsidR="1E94E00D">
        <w:t>36.1 percent of</w:t>
      </w:r>
      <w:r w:rsidR="55DDBEE8">
        <w:t xml:space="preserve"> reporting companies.</w:t>
      </w:r>
      <w:r w:rsidR="1E94E00D">
        <w:t xml:space="preserve"> Companies with intermediate</w:t>
      </w:r>
      <w:r w:rsidR="7DB5F8AC">
        <w:t xml:space="preserve"> beneficial</w:t>
      </w:r>
      <w:r w:rsidR="1E94E00D">
        <w:t xml:space="preserve"> ownership structures are </w:t>
      </w:r>
      <w:r w:rsidR="1E94E00D">
        <w:t xml:space="preserve">assumed to </w:t>
      </w:r>
      <w:r>
        <w:t>have a time burden that is the average of the time burden for</w:t>
      </w:r>
      <w:r w:rsidR="7DB5F8AC">
        <w:t xml:space="preserve"> reporting companies with</w:t>
      </w:r>
      <w:r>
        <w:t xml:space="preserve"> simple and complex </w:t>
      </w:r>
      <w:r w:rsidR="7DB5F8AC">
        <w:t xml:space="preserve">beneficial ownership </w:t>
      </w:r>
      <w:r>
        <w:t>structure</w:t>
      </w:r>
      <w:r w:rsidR="7DB5F8AC">
        <w:t>s</w:t>
      </w:r>
      <w:r>
        <w:t xml:space="preserve">. </w:t>
      </w:r>
      <w:r w:rsidR="7A6BAD16">
        <w:t xml:space="preserve"> </w:t>
      </w:r>
      <w:r>
        <w:t>This results in a t</w:t>
      </w:r>
      <w:r>
        <w:t>ime burden of 370 minutes for initial BOI reports</w:t>
      </w:r>
      <w:r>
        <w:rPr>
          <w:rStyle w:val="FootnoteReference"/>
        </w:rPr>
        <w:footnoteReference w:id="33"/>
      </w:r>
      <w:r w:rsidR="7DC4501D">
        <w:t xml:space="preserve"> </w:t>
      </w:r>
      <w:r>
        <w:t>and 105 minutes for updated BOI reports.</w:t>
      </w:r>
      <w:r w:rsidRPr="006727E0" w:rsidR="7DC4501D">
        <w:rPr>
          <w:rStyle w:val="FootnoteReference"/>
        </w:rPr>
        <w:t xml:space="preserve"> </w:t>
      </w:r>
      <w:r>
        <w:rPr>
          <w:rStyle w:val="FootnoteReference"/>
        </w:rPr>
        <w:footnoteReference w:id="34"/>
      </w:r>
      <w:r w:rsidR="7DC4501D">
        <w:t xml:space="preserve">  </w:t>
      </w:r>
      <w:r>
        <w:t xml:space="preserve"> </w:t>
      </w:r>
    </w:p>
    <w:p w:rsidR="005A7C0B" w:rsidP="00CE1E17" w14:paraId="4E98EF08" w14:textId="060AEE56">
      <w:pPr>
        <w:spacing w:after="240"/>
        <w:ind w:firstLine="720"/>
        <w:rPr>
          <w:szCs w:val="22"/>
        </w:rPr>
      </w:pPr>
      <w:r>
        <w:t>FinCEN anticipates that initial FinCEN identifier applications would require approximately 20 minutes,</w:t>
      </w:r>
      <w:r>
        <w:rPr>
          <w:rStyle w:val="FootnoteReference"/>
        </w:rPr>
        <w:footnoteReference w:id="35"/>
      </w:r>
      <w:r>
        <w:t xml:space="preserve"> given that the information to be submitted to FinCEN</w:t>
      </w:r>
      <w:r>
        <w:t xml:space="preserve"> would be readily available to the person requesting the FinCEN identifier.  FinCEN estimates that updates would require 10 minutes.</w:t>
      </w:r>
      <w:r>
        <w:rPr>
          <w:rStyle w:val="FootnoteReference"/>
        </w:rPr>
        <w:footnoteReference w:id="36"/>
      </w:r>
    </w:p>
    <w:p w:rsidR="001D69BD" w:rsidRPr="00CE1E17" w:rsidP="00CE1E17" w14:paraId="34EA8AE1" w14:textId="7215F8B8">
      <w:pPr>
        <w:pStyle w:val="ListParagraph"/>
        <w:widowControl w:val="0"/>
        <w:spacing w:after="240"/>
        <w:contextualSpacing w:val="0"/>
      </w:pPr>
      <w:r>
        <w:t xml:space="preserve">A. </w:t>
      </w:r>
      <w:r w:rsidRPr="003F3FD9">
        <w:t>BOI Reports</w:t>
      </w:r>
    </w:p>
    <w:p w:rsidR="001D69BD" w:rsidP="00CE1E17" w14:paraId="4D8197DC" w14:textId="1A8879B8">
      <w:pPr>
        <w:widowControl w:val="0"/>
        <w:spacing w:after="240"/>
      </w:pPr>
      <w:r w:rsidRPr="00F341E0">
        <w:rPr>
          <w:i/>
        </w:rPr>
        <w:t>Frequency</w:t>
      </w:r>
      <w:r w:rsidRPr="00F341E0">
        <w:t>: As required.</w:t>
      </w:r>
    </w:p>
    <w:p w:rsidR="001D69BD" w:rsidP="00CE1E17" w14:paraId="7EB42C0F" w14:textId="77777777">
      <w:pPr>
        <w:widowControl w:val="0"/>
      </w:pPr>
      <w:r w:rsidRPr="003D2288">
        <w:rPr>
          <w:i/>
        </w:rPr>
        <w:t xml:space="preserve">Estimated Number of </w:t>
      </w:r>
      <w:r>
        <w:rPr>
          <w:i/>
        </w:rPr>
        <w:t>Reports</w:t>
      </w:r>
      <w:r w:rsidRPr="00F341E0">
        <w:t xml:space="preserve">: </w:t>
      </w:r>
    </w:p>
    <w:p w:rsidR="001D69BD" w:rsidRPr="00B6242F" w:rsidP="00E2669C" w14:paraId="47575E24" w14:textId="364B19FE">
      <w:pPr>
        <w:pStyle w:val="ListParagraph"/>
        <w:widowControl w:val="0"/>
        <w:numPr>
          <w:ilvl w:val="0"/>
          <w:numId w:val="6"/>
        </w:numPr>
      </w:pPr>
      <w:r w:rsidRPr="00B6242F">
        <w:t xml:space="preserve">Initial reports, Year 1: </w:t>
      </w:r>
      <w:r w:rsidRPr="00B6242F" w:rsidR="2FCBA734">
        <w:t>32,5</w:t>
      </w:r>
      <w:r w:rsidRPr="00B6242F" w:rsidR="79F01130">
        <w:t>56,929</w:t>
      </w:r>
      <w:r w:rsidRPr="00B6242F" w:rsidR="2FCBA734">
        <w:t xml:space="preserve"> </w:t>
      </w:r>
      <w:r w:rsidRPr="00B6242F" w:rsidR="5031DCF9">
        <w:t>reports</w:t>
      </w:r>
      <w:r w:rsidRPr="00B6242F">
        <w:t>.</w:t>
      </w:r>
      <w:r>
        <w:rPr>
          <w:rStyle w:val="FootnoteReference"/>
        </w:rPr>
        <w:footnoteReference w:id="37"/>
      </w:r>
      <w:r w:rsidRPr="00B6242F">
        <w:t xml:space="preserve">  </w:t>
      </w:r>
    </w:p>
    <w:p w:rsidR="001D69BD" w:rsidRPr="00B6242F" w:rsidP="00E2669C" w14:paraId="29484D3E" w14:textId="7A30F718">
      <w:pPr>
        <w:pStyle w:val="ListParagraph"/>
        <w:widowControl w:val="0"/>
        <w:numPr>
          <w:ilvl w:val="0"/>
          <w:numId w:val="6"/>
        </w:numPr>
      </w:pPr>
      <w:r w:rsidRPr="00B6242F">
        <w:t xml:space="preserve">Initial reports, Year 2+: </w:t>
      </w:r>
      <w:r w:rsidRPr="00B6242F" w:rsidR="2FCBA734">
        <w:t>4,99</w:t>
      </w:r>
      <w:r w:rsidRPr="00B6242F" w:rsidR="79F01130">
        <w:t>8,468</w:t>
      </w:r>
      <w:r w:rsidRPr="00B6242F" w:rsidR="2FCBA734">
        <w:t xml:space="preserve"> </w:t>
      </w:r>
      <w:r w:rsidRPr="00B6242F" w:rsidR="5031DCF9">
        <w:t>reports</w:t>
      </w:r>
      <w:r w:rsidRPr="00B6242F">
        <w:t>.</w:t>
      </w:r>
      <w:r>
        <w:rPr>
          <w:rStyle w:val="FootnoteReference"/>
        </w:rPr>
        <w:footnoteReference w:id="38"/>
      </w:r>
      <w:r w:rsidRPr="00B6242F" w:rsidR="06249327">
        <w:t xml:space="preserve"> </w:t>
      </w:r>
      <w:r w:rsidRPr="00B6242F">
        <w:t xml:space="preserve">  </w:t>
      </w:r>
    </w:p>
    <w:p w:rsidR="00844F66" w:rsidRPr="00B6242F" w:rsidP="00E2669C" w14:paraId="7882EB84" w14:textId="42DA016B">
      <w:pPr>
        <w:pStyle w:val="ListParagraph"/>
        <w:widowControl w:val="0"/>
        <w:numPr>
          <w:ilvl w:val="0"/>
          <w:numId w:val="6"/>
        </w:numPr>
      </w:pPr>
      <w:r w:rsidRPr="00B6242F">
        <w:t>Initial reports, Years 1-5 average: 10,51</w:t>
      </w:r>
      <w:r w:rsidRPr="00B6242F" w:rsidR="00790599">
        <w:t>0,160</w:t>
      </w:r>
      <w:r w:rsidRPr="00B6242F" w:rsidR="006D2E90">
        <w:t xml:space="preserve"> reports</w:t>
      </w:r>
      <w:r w:rsidRPr="00B6242F">
        <w:t>.</w:t>
      </w:r>
    </w:p>
    <w:p w:rsidR="001D69BD" w:rsidRPr="00B6242F" w:rsidP="00E2669C" w14:paraId="61E62D44" w14:textId="7B55C810">
      <w:pPr>
        <w:pStyle w:val="ListParagraph"/>
        <w:widowControl w:val="0"/>
        <w:numPr>
          <w:ilvl w:val="0"/>
          <w:numId w:val="6"/>
        </w:numPr>
      </w:pPr>
      <w:r w:rsidRPr="00B6242F">
        <w:t xml:space="preserve">Updated reports, Year 1: </w:t>
      </w:r>
      <w:r w:rsidRPr="00B6242F" w:rsidR="2FCBA734">
        <w:t>6,5</w:t>
      </w:r>
      <w:r w:rsidRPr="00B6242F" w:rsidR="56933D61">
        <w:t xml:space="preserve">78,732 </w:t>
      </w:r>
      <w:r w:rsidRPr="00B6242F" w:rsidR="5031DCF9">
        <w:t>reports</w:t>
      </w:r>
      <w:r w:rsidRPr="00B6242F">
        <w:t>.</w:t>
      </w:r>
      <w:r>
        <w:rPr>
          <w:rStyle w:val="FootnoteReference"/>
        </w:rPr>
        <w:footnoteReference w:id="39"/>
      </w:r>
      <w:r w:rsidRPr="00B6242F" w:rsidR="06249327">
        <w:t xml:space="preserve"> </w:t>
      </w:r>
      <w:r w:rsidRPr="00B6242F">
        <w:t xml:space="preserve"> </w:t>
      </w:r>
    </w:p>
    <w:p w:rsidR="001D69BD" w:rsidRPr="00B6242F" w:rsidP="00E2669C" w14:paraId="4B0C7948" w14:textId="1B0809FF">
      <w:pPr>
        <w:pStyle w:val="ListParagraph"/>
        <w:widowControl w:val="0"/>
        <w:numPr>
          <w:ilvl w:val="0"/>
          <w:numId w:val="6"/>
        </w:numPr>
      </w:pPr>
      <w:r w:rsidRPr="00B6242F">
        <w:t xml:space="preserve">Updated reports, Year 2+: </w:t>
      </w:r>
      <w:r w:rsidRPr="00B6242F" w:rsidR="2FCBA734">
        <w:t>14,4</w:t>
      </w:r>
      <w:r w:rsidRPr="00B6242F" w:rsidR="56933D61">
        <w:t>56,452</w:t>
      </w:r>
      <w:r w:rsidRPr="00B6242F" w:rsidR="2FCBA734">
        <w:t xml:space="preserve"> </w:t>
      </w:r>
      <w:r w:rsidRPr="00B6242F" w:rsidR="5031DCF9">
        <w:t>reports</w:t>
      </w:r>
      <w:r w:rsidRPr="00B6242F">
        <w:t>.</w:t>
      </w:r>
      <w:r>
        <w:rPr>
          <w:rStyle w:val="FootnoteReference"/>
        </w:rPr>
        <w:footnoteReference w:id="40"/>
      </w:r>
      <w:r w:rsidRPr="00B6242F" w:rsidR="06249327">
        <w:t xml:space="preserve">  </w:t>
      </w:r>
    </w:p>
    <w:p w:rsidR="00B630CC" w:rsidRPr="00F341E0" w:rsidP="00CE1E17" w14:paraId="4944922C" w14:textId="54CFF7F0">
      <w:pPr>
        <w:pStyle w:val="ListParagraph"/>
        <w:widowControl w:val="0"/>
        <w:numPr>
          <w:ilvl w:val="0"/>
          <w:numId w:val="6"/>
        </w:numPr>
        <w:spacing w:after="240"/>
      </w:pPr>
      <w:r w:rsidRPr="00B6242F">
        <w:t>Updated reports, Years 1-5 average: 12,</w:t>
      </w:r>
      <w:r w:rsidRPr="00B6242F" w:rsidR="000E45B5">
        <w:t>8</w:t>
      </w:r>
      <w:r w:rsidRPr="00B6242F">
        <w:t>8</w:t>
      </w:r>
      <w:r w:rsidRPr="00B6242F" w:rsidR="00DC15AA">
        <w:t>0,908</w:t>
      </w:r>
      <w:r w:rsidRPr="00B6242F" w:rsidR="006D2E90">
        <w:t xml:space="preserve"> reports</w:t>
      </w:r>
      <w:r w:rsidRPr="00B6242F">
        <w:t>.</w:t>
      </w:r>
    </w:p>
    <w:p w:rsidR="001D69BD" w:rsidP="00E2669C" w14:paraId="776D133A" w14:textId="77777777">
      <w:pPr>
        <w:widowControl w:val="0"/>
      </w:pPr>
      <w:r w:rsidRPr="003D2288">
        <w:rPr>
          <w:i/>
        </w:rPr>
        <w:t>Estimated Total Reporting Bu</w:t>
      </w:r>
      <w:r w:rsidRPr="00877538">
        <w:rPr>
          <w:i/>
        </w:rPr>
        <w:t>rden Hours</w:t>
      </w:r>
      <w:r w:rsidRPr="00F341E0">
        <w:t xml:space="preserve">: </w:t>
      </w:r>
    </w:p>
    <w:p w:rsidR="001D69BD" w:rsidRPr="00B6242F" w:rsidP="00E2669C" w14:paraId="01B8F690" w14:textId="30EFDF0A">
      <w:pPr>
        <w:pStyle w:val="ListParagraph"/>
        <w:widowControl w:val="0"/>
        <w:numPr>
          <w:ilvl w:val="0"/>
          <w:numId w:val="6"/>
        </w:numPr>
      </w:pPr>
      <w:r w:rsidRPr="00B6242F">
        <w:t xml:space="preserve">Initial reports, Year 1: </w:t>
      </w:r>
      <w:r w:rsidRPr="00B6242F" w:rsidR="2FCBA734">
        <w:t>118,5</w:t>
      </w:r>
      <w:r w:rsidRPr="00B6242F" w:rsidR="1403FD0A">
        <w:t>72</w:t>
      </w:r>
      <w:r w:rsidRPr="00B6242F" w:rsidR="2FCBA734">
        <w:t>,</w:t>
      </w:r>
      <w:r w:rsidRPr="00B6242F" w:rsidR="1403FD0A">
        <w:t>335</w:t>
      </w:r>
      <w:r w:rsidRPr="00B6242F" w:rsidR="2FCBA734">
        <w:t xml:space="preserve"> </w:t>
      </w:r>
      <w:r w:rsidRPr="00B6242F" w:rsidR="5031DCF9">
        <w:t>hours</w:t>
      </w:r>
      <w:r w:rsidRPr="00B6242F">
        <w:t>.</w:t>
      </w:r>
      <w:r>
        <w:rPr>
          <w:rStyle w:val="FootnoteReference"/>
        </w:rPr>
        <w:footnoteReference w:id="41"/>
      </w:r>
      <w:r w:rsidRPr="00B6242F">
        <w:t xml:space="preserve">  </w:t>
      </w:r>
    </w:p>
    <w:p w:rsidR="003F3FD9" w:rsidRPr="00B6242F" w:rsidP="00E2669C" w14:paraId="0BB8AC6C" w14:textId="7636979C">
      <w:pPr>
        <w:pStyle w:val="ListParagraph"/>
        <w:widowControl w:val="0"/>
        <w:numPr>
          <w:ilvl w:val="0"/>
          <w:numId w:val="6"/>
        </w:numPr>
      </w:pPr>
      <w:r w:rsidRPr="00B6242F">
        <w:t xml:space="preserve">Initial reports, Year 2+: </w:t>
      </w:r>
      <w:r w:rsidRPr="00B6242F" w:rsidR="2FCBA734">
        <w:t>18,20</w:t>
      </w:r>
      <w:r w:rsidRPr="00B6242F" w:rsidR="0B4EBE2E">
        <w:t>4</w:t>
      </w:r>
      <w:r w:rsidRPr="00B6242F" w:rsidR="2FCBA734">
        <w:t>,</w:t>
      </w:r>
      <w:r w:rsidRPr="00B6242F" w:rsidR="0B4EBE2E">
        <w:t>421</w:t>
      </w:r>
      <w:r w:rsidRPr="00B6242F" w:rsidR="2FCBA734">
        <w:t xml:space="preserve"> </w:t>
      </w:r>
      <w:r w:rsidRPr="00B6242F" w:rsidR="5031DCF9">
        <w:t>hours</w:t>
      </w:r>
      <w:r w:rsidRPr="00B6242F">
        <w:t>.</w:t>
      </w:r>
      <w:r>
        <w:rPr>
          <w:rStyle w:val="FootnoteReference"/>
        </w:rPr>
        <w:footnoteReference w:id="42"/>
      </w:r>
      <w:r w:rsidRPr="00B6242F">
        <w:t xml:space="preserve">  </w:t>
      </w:r>
    </w:p>
    <w:p w:rsidR="00844F66" w:rsidRPr="00B6242F" w:rsidP="00E2669C" w14:paraId="75AAEBE6" w14:textId="14A33F38">
      <w:pPr>
        <w:pStyle w:val="ListParagraph"/>
        <w:widowControl w:val="0"/>
        <w:numPr>
          <w:ilvl w:val="0"/>
          <w:numId w:val="6"/>
        </w:numPr>
      </w:pPr>
      <w:r w:rsidRPr="00B6242F">
        <w:t>Initial reports, Years 1-5 average:</w:t>
      </w:r>
      <w:r w:rsidRPr="00B6242F" w:rsidR="00EB198A">
        <w:t xml:space="preserve"> 38,285,493 hours</w:t>
      </w:r>
      <w:r w:rsidRPr="00B6242F" w:rsidR="001A1BD9">
        <w:t>.</w:t>
      </w:r>
    </w:p>
    <w:p w:rsidR="003F3FD9" w:rsidRPr="00B6242F" w:rsidP="00E2669C" w14:paraId="0159D96F" w14:textId="211FFE9D">
      <w:pPr>
        <w:pStyle w:val="ListParagraph"/>
        <w:widowControl w:val="0"/>
        <w:numPr>
          <w:ilvl w:val="0"/>
          <w:numId w:val="6"/>
        </w:numPr>
      </w:pPr>
      <w:r w:rsidRPr="00B6242F">
        <w:t xml:space="preserve">Updated reports, Year 1: </w:t>
      </w:r>
      <w:r w:rsidRPr="00B6242F" w:rsidR="0ED7F806">
        <w:t>7,65</w:t>
      </w:r>
      <w:r w:rsidRPr="00B6242F" w:rsidR="0B4EBE2E">
        <w:t>7</w:t>
      </w:r>
      <w:r w:rsidRPr="00B6242F" w:rsidR="0ED7F806">
        <w:t>,</w:t>
      </w:r>
      <w:r w:rsidRPr="00B6242F" w:rsidR="0B4EBE2E">
        <w:t>096</w:t>
      </w:r>
      <w:r w:rsidRPr="00B6242F" w:rsidR="0ED7F806">
        <w:t xml:space="preserve"> </w:t>
      </w:r>
      <w:r w:rsidRPr="00B6242F" w:rsidR="5031DCF9">
        <w:t>hours</w:t>
      </w:r>
      <w:r w:rsidRPr="00B6242F" w:rsidR="7EDD479E">
        <w:t>.</w:t>
      </w:r>
      <w:r>
        <w:rPr>
          <w:rStyle w:val="FootnoteReference"/>
        </w:rPr>
        <w:footnoteReference w:id="43"/>
      </w:r>
      <w:r w:rsidRPr="00B6242F" w:rsidR="7EDD479E">
        <w:t xml:space="preserve">  </w:t>
      </w:r>
    </w:p>
    <w:p w:rsidR="001D69BD" w:rsidRPr="00B6242F" w:rsidP="00E2669C" w14:paraId="16DEC408" w14:textId="7B3F0B1C">
      <w:pPr>
        <w:pStyle w:val="ListParagraph"/>
        <w:widowControl w:val="0"/>
        <w:numPr>
          <w:ilvl w:val="0"/>
          <w:numId w:val="6"/>
        </w:numPr>
      </w:pPr>
      <w:r w:rsidRPr="00B6242F">
        <w:t xml:space="preserve">Updated reports, Year 2+: </w:t>
      </w:r>
      <w:r w:rsidRPr="00B6242F" w:rsidR="0ED7F806">
        <w:t>16,82</w:t>
      </w:r>
      <w:r w:rsidRPr="00B6242F" w:rsidR="2914CFF6">
        <w:t>6</w:t>
      </w:r>
      <w:r w:rsidRPr="00B6242F" w:rsidR="0ED7F806">
        <w:t>,</w:t>
      </w:r>
      <w:r w:rsidRPr="00B6242F" w:rsidR="2914CFF6">
        <w:t>105</w:t>
      </w:r>
      <w:r w:rsidRPr="00B6242F" w:rsidR="0ED7F806">
        <w:t xml:space="preserve"> </w:t>
      </w:r>
      <w:r w:rsidRPr="00B6242F" w:rsidR="5031DCF9">
        <w:t>hours</w:t>
      </w:r>
      <w:r w:rsidRPr="00B6242F" w:rsidR="7EDD479E">
        <w:t>.</w:t>
      </w:r>
      <w:r>
        <w:rPr>
          <w:rStyle w:val="FootnoteReference"/>
        </w:rPr>
        <w:footnoteReference w:id="44"/>
      </w:r>
    </w:p>
    <w:p w:rsidR="003F3FD9" w:rsidP="00CE1E17" w14:paraId="255251C5" w14:textId="4E0F29C6">
      <w:pPr>
        <w:pStyle w:val="ListParagraph"/>
        <w:widowControl w:val="0"/>
        <w:numPr>
          <w:ilvl w:val="0"/>
          <w:numId w:val="6"/>
        </w:numPr>
        <w:spacing w:after="240"/>
        <w:contextualSpacing w:val="0"/>
      </w:pPr>
      <w:r w:rsidRPr="00B6242F">
        <w:t xml:space="preserve">Updated reports, Years 1-5 average: </w:t>
      </w:r>
      <w:r w:rsidRPr="00B6242F" w:rsidR="00A90707">
        <w:t>14,995,237 hours</w:t>
      </w:r>
      <w:r w:rsidRPr="00B6242F" w:rsidR="002443C7">
        <w:t>.</w:t>
      </w:r>
    </w:p>
    <w:p w:rsidR="003F3FD9" w:rsidRPr="00CE1E17" w:rsidP="00CE1E17" w14:paraId="495976B3" w14:textId="4AFB459C">
      <w:pPr>
        <w:pStyle w:val="ListParagraph"/>
        <w:widowControl w:val="0"/>
        <w:spacing w:after="240"/>
        <w:contextualSpacing w:val="0"/>
      </w:pPr>
      <w:r>
        <w:t>B. Individual FinCEN Identifier</w:t>
      </w:r>
      <w:r w:rsidR="003249D6">
        <w:t>s</w:t>
      </w:r>
    </w:p>
    <w:p w:rsidR="003F3FD9" w:rsidP="00CE1E17" w14:paraId="0B330489" w14:textId="6D3BF666">
      <w:pPr>
        <w:widowControl w:val="0"/>
        <w:spacing w:after="240"/>
      </w:pPr>
      <w:r w:rsidRPr="00F341E0">
        <w:rPr>
          <w:i/>
        </w:rPr>
        <w:t>Frequency</w:t>
      </w:r>
      <w:r w:rsidRPr="00F341E0">
        <w:t>: As required.</w:t>
      </w:r>
    </w:p>
    <w:p w:rsidR="003F3FD9" w:rsidP="00E2669C" w14:paraId="3F41C473" w14:textId="2CBD7257">
      <w:pPr>
        <w:widowControl w:val="0"/>
      </w:pPr>
      <w:r w:rsidRPr="003D2288">
        <w:rPr>
          <w:i/>
        </w:rPr>
        <w:t xml:space="preserve">Estimated Number of </w:t>
      </w:r>
      <w:r>
        <w:rPr>
          <w:i/>
        </w:rPr>
        <w:t>Applications</w:t>
      </w:r>
      <w:r w:rsidRPr="00F341E0">
        <w:t xml:space="preserve">: </w:t>
      </w:r>
    </w:p>
    <w:p w:rsidR="003F3FD9" w:rsidP="00E2669C" w14:paraId="591A50F5" w14:textId="3C9A39D7">
      <w:pPr>
        <w:pStyle w:val="ListParagraph"/>
        <w:widowControl w:val="0"/>
        <w:numPr>
          <w:ilvl w:val="0"/>
          <w:numId w:val="6"/>
        </w:numPr>
      </w:pPr>
      <w:r>
        <w:t xml:space="preserve">Initial applications, Year 1: </w:t>
      </w:r>
      <w:r w:rsidR="0ED7F806">
        <w:t>325,</w:t>
      </w:r>
      <w:r w:rsidR="4A46FEC6">
        <w:t>569</w:t>
      </w:r>
      <w:r w:rsidR="74FB809C">
        <w:t xml:space="preserve"> </w:t>
      </w:r>
      <w:r w:rsidR="5031DCF9">
        <w:t>applications</w:t>
      </w:r>
      <w:r>
        <w:t>.</w:t>
      </w:r>
      <w:r>
        <w:rPr>
          <w:rStyle w:val="FootnoteReference"/>
        </w:rPr>
        <w:footnoteReference w:id="45"/>
      </w:r>
      <w:r>
        <w:t xml:space="preserve">  </w:t>
      </w:r>
    </w:p>
    <w:p w:rsidR="003249D6" w:rsidP="00E2669C" w14:paraId="55418AE6" w14:textId="03A9D2F0">
      <w:pPr>
        <w:pStyle w:val="ListParagraph"/>
        <w:widowControl w:val="0"/>
        <w:numPr>
          <w:ilvl w:val="0"/>
          <w:numId w:val="6"/>
        </w:numPr>
      </w:pPr>
      <w:r>
        <w:t xml:space="preserve">Initial applications, Year 2+: </w:t>
      </w:r>
      <w:r w:rsidR="0ED7F806">
        <w:t>49,9</w:t>
      </w:r>
      <w:r w:rsidR="1F008CB4">
        <w:t>85</w:t>
      </w:r>
      <w:r w:rsidR="0ED7F806">
        <w:t xml:space="preserve"> </w:t>
      </w:r>
      <w:r w:rsidR="5031DCF9">
        <w:t>applications</w:t>
      </w:r>
      <w:r w:rsidRPr="00F341E0">
        <w:t>.</w:t>
      </w:r>
      <w:r>
        <w:rPr>
          <w:rStyle w:val="FootnoteReference"/>
        </w:rPr>
        <w:footnoteReference w:id="46"/>
      </w:r>
    </w:p>
    <w:p w:rsidR="003F3FD9" w:rsidP="00E2669C" w14:paraId="61A0B765" w14:textId="250DEEE5">
      <w:pPr>
        <w:pStyle w:val="ListParagraph"/>
        <w:widowControl w:val="0"/>
        <w:numPr>
          <w:ilvl w:val="0"/>
          <w:numId w:val="6"/>
        </w:numPr>
      </w:pPr>
      <w:r>
        <w:t>Initial applications, Years 1-5 average: 105,1</w:t>
      </w:r>
      <w:r w:rsidR="00425137">
        <w:t>02</w:t>
      </w:r>
      <w:r w:rsidR="006D2E90">
        <w:t xml:space="preserve"> applications</w:t>
      </w:r>
      <w:r>
        <w:t>.</w:t>
      </w:r>
      <w:r w:rsidR="00894B17">
        <w:t xml:space="preserve">  </w:t>
      </w:r>
      <w:r w:rsidRPr="00F341E0">
        <w:t xml:space="preserve">  </w:t>
      </w:r>
    </w:p>
    <w:p w:rsidR="003F3FD9" w:rsidP="00E2669C" w14:paraId="6DA88936" w14:textId="22929964">
      <w:pPr>
        <w:pStyle w:val="ListParagraph"/>
        <w:widowControl w:val="0"/>
        <w:numPr>
          <w:ilvl w:val="0"/>
          <w:numId w:val="6"/>
        </w:numPr>
      </w:pPr>
      <w:r>
        <w:t>Updated applications, Year 1:</w:t>
      </w:r>
      <w:r w:rsidRPr="00F341E0">
        <w:t xml:space="preserve"> </w:t>
      </w:r>
      <w:r w:rsidR="0ED7F806">
        <w:t>12,18</w:t>
      </w:r>
      <w:r w:rsidR="3C121292">
        <w:t>0</w:t>
      </w:r>
      <w:r w:rsidR="0ED7F806">
        <w:t xml:space="preserve"> </w:t>
      </w:r>
      <w:r w:rsidR="5031DCF9">
        <w:t>applications</w:t>
      </w:r>
      <w:r>
        <w:t>.</w:t>
      </w:r>
      <w:r>
        <w:rPr>
          <w:rStyle w:val="FootnoteReference"/>
        </w:rPr>
        <w:footnoteReference w:id="47"/>
      </w:r>
      <w:r w:rsidR="54862DBE">
        <w:t xml:space="preserve">  </w:t>
      </w:r>
      <w:r>
        <w:t xml:space="preserve"> </w:t>
      </w:r>
    </w:p>
    <w:p w:rsidR="003F3FD9" w:rsidP="00E2669C" w14:paraId="75A4CF8E" w14:textId="6D134EC4">
      <w:pPr>
        <w:pStyle w:val="ListParagraph"/>
        <w:widowControl w:val="0"/>
        <w:numPr>
          <w:ilvl w:val="0"/>
          <w:numId w:val="6"/>
        </w:numPr>
      </w:pPr>
      <w:r>
        <w:t xml:space="preserve">Updated applications, Year 2+: </w:t>
      </w:r>
      <w:r w:rsidR="0ED7F806">
        <w:t>26,5</w:t>
      </w:r>
      <w:r w:rsidR="3C121292">
        <w:t>75</w:t>
      </w:r>
      <w:r w:rsidR="0ED7F806">
        <w:t xml:space="preserve"> </w:t>
      </w:r>
      <w:r w:rsidR="5031DCF9">
        <w:t>applications</w:t>
      </w:r>
      <w:r w:rsidRPr="00F341E0">
        <w:t>.</w:t>
      </w:r>
      <w:r>
        <w:rPr>
          <w:rStyle w:val="FootnoteReference"/>
        </w:rPr>
        <w:footnoteReference w:id="48"/>
      </w:r>
      <w:r w:rsidR="54862DBE">
        <w:t xml:space="preserve">  </w:t>
      </w:r>
    </w:p>
    <w:p w:rsidR="003F3FD9" w:rsidRPr="00F341E0" w:rsidP="00CE1E17" w14:paraId="4EBB6D00" w14:textId="67CC0944">
      <w:pPr>
        <w:pStyle w:val="ListParagraph"/>
        <w:widowControl w:val="0"/>
        <w:numPr>
          <w:ilvl w:val="0"/>
          <w:numId w:val="6"/>
        </w:numPr>
        <w:spacing w:after="240"/>
      </w:pPr>
      <w:r>
        <w:t>Updated applications, Y</w:t>
      </w:r>
      <w:r>
        <w:t>ears 1-5 average:</w:t>
      </w:r>
      <w:r w:rsidRPr="003249D6">
        <w:t xml:space="preserve"> </w:t>
      </w:r>
      <w:r>
        <w:t>23,</w:t>
      </w:r>
      <w:r w:rsidR="00425137">
        <w:t>696</w:t>
      </w:r>
      <w:r w:rsidR="006D2E90">
        <w:t xml:space="preserve"> applications</w:t>
      </w:r>
      <w:r>
        <w:t>.</w:t>
      </w:r>
    </w:p>
    <w:p w:rsidR="003F3FD9" w:rsidP="00E2669C" w14:paraId="075180EE" w14:textId="77777777">
      <w:pPr>
        <w:widowControl w:val="0"/>
      </w:pPr>
      <w:r w:rsidRPr="003D2288">
        <w:rPr>
          <w:i/>
        </w:rPr>
        <w:t>Estimated Total Reporting Bu</w:t>
      </w:r>
      <w:r w:rsidRPr="00877538">
        <w:rPr>
          <w:i/>
        </w:rPr>
        <w:t>rden Hours</w:t>
      </w:r>
      <w:r w:rsidRPr="00F341E0">
        <w:t xml:space="preserve">: </w:t>
      </w:r>
    </w:p>
    <w:p w:rsidR="003F3FD9" w:rsidP="00E2669C" w14:paraId="5CCBDB76" w14:textId="5A08AC26">
      <w:pPr>
        <w:pStyle w:val="ListParagraph"/>
        <w:widowControl w:val="0"/>
        <w:numPr>
          <w:ilvl w:val="0"/>
          <w:numId w:val="6"/>
        </w:numPr>
      </w:pPr>
      <w:r>
        <w:t xml:space="preserve">Initial applications, Year 1: </w:t>
      </w:r>
      <w:r w:rsidR="0ED7F806">
        <w:t>108,5</w:t>
      </w:r>
      <w:r w:rsidR="220D204D">
        <w:t xml:space="preserve">23 </w:t>
      </w:r>
      <w:r w:rsidR="5031DCF9">
        <w:t>hours</w:t>
      </w:r>
      <w:r w:rsidRPr="00F341E0">
        <w:t>.</w:t>
      </w:r>
      <w:r>
        <w:rPr>
          <w:rStyle w:val="FootnoteReference"/>
        </w:rPr>
        <w:footnoteReference w:id="49"/>
      </w:r>
      <w:r w:rsidRPr="00F341E0">
        <w:t xml:space="preserve">    </w:t>
      </w:r>
    </w:p>
    <w:p w:rsidR="003F3FD9" w:rsidP="00E2669C" w14:paraId="13AF3621" w14:textId="19C10E77">
      <w:pPr>
        <w:pStyle w:val="ListParagraph"/>
        <w:widowControl w:val="0"/>
        <w:numPr>
          <w:ilvl w:val="0"/>
          <w:numId w:val="6"/>
        </w:numPr>
      </w:pPr>
      <w:r>
        <w:t xml:space="preserve">Initial applications, Year 2+: </w:t>
      </w:r>
      <w:r w:rsidR="0ED7F806">
        <w:t>16,66</w:t>
      </w:r>
      <w:r w:rsidR="1F9B48B1">
        <w:t>2</w:t>
      </w:r>
      <w:r w:rsidR="0ED7F806">
        <w:t xml:space="preserve"> </w:t>
      </w:r>
      <w:r w:rsidR="5031DCF9">
        <w:t>hours</w:t>
      </w:r>
      <w:r w:rsidRPr="00F341E0">
        <w:t>.</w:t>
      </w:r>
      <w:r>
        <w:rPr>
          <w:rStyle w:val="FootnoteReference"/>
        </w:rPr>
        <w:footnoteReference w:id="50"/>
      </w:r>
      <w:r w:rsidRPr="00F341E0">
        <w:t xml:space="preserve">  </w:t>
      </w:r>
    </w:p>
    <w:p w:rsidR="00186AE9" w:rsidP="00E2669C" w14:paraId="56C0656D" w14:textId="1E54AAD9">
      <w:pPr>
        <w:pStyle w:val="ListParagraph"/>
        <w:widowControl w:val="0"/>
        <w:numPr>
          <w:ilvl w:val="0"/>
          <w:numId w:val="6"/>
        </w:numPr>
      </w:pPr>
      <w:r>
        <w:t xml:space="preserve">Initial applications, Years 1-5 average: </w:t>
      </w:r>
      <w:r w:rsidR="00D3798F">
        <w:t>35,0</w:t>
      </w:r>
      <w:r w:rsidR="005A0E0D">
        <w:t>34</w:t>
      </w:r>
      <w:r w:rsidR="00D3798F">
        <w:t xml:space="preserve"> hours</w:t>
      </w:r>
      <w:r w:rsidR="002443C7">
        <w:t>.</w:t>
      </w:r>
    </w:p>
    <w:p w:rsidR="003F3FD9" w:rsidP="00E2669C" w14:paraId="43BC57EB" w14:textId="458E5D77">
      <w:pPr>
        <w:pStyle w:val="ListParagraph"/>
        <w:widowControl w:val="0"/>
        <w:numPr>
          <w:ilvl w:val="0"/>
          <w:numId w:val="6"/>
        </w:numPr>
      </w:pPr>
      <w:r>
        <w:t xml:space="preserve">Updated applications, Year 1: </w:t>
      </w:r>
      <w:r w:rsidR="0ED7F806">
        <w:t xml:space="preserve">2,030 </w:t>
      </w:r>
      <w:r w:rsidR="5031DCF9">
        <w:t>hours</w:t>
      </w:r>
      <w:r>
        <w:t>.</w:t>
      </w:r>
      <w:r>
        <w:rPr>
          <w:rStyle w:val="FootnoteReference"/>
        </w:rPr>
        <w:footnoteReference w:id="51"/>
      </w:r>
    </w:p>
    <w:p w:rsidR="003F3FD9" w:rsidP="00E2669C" w14:paraId="2B85BA99" w14:textId="312B027A">
      <w:pPr>
        <w:pStyle w:val="ListParagraph"/>
        <w:widowControl w:val="0"/>
        <w:numPr>
          <w:ilvl w:val="0"/>
          <w:numId w:val="6"/>
        </w:numPr>
      </w:pPr>
      <w:r>
        <w:t xml:space="preserve">Updated applications, Year 2+: </w:t>
      </w:r>
      <w:r w:rsidR="0ED7F806">
        <w:t>4,4</w:t>
      </w:r>
      <w:r w:rsidR="6F1094BB">
        <w:t>29</w:t>
      </w:r>
      <w:r w:rsidR="0ED7F806">
        <w:t xml:space="preserve"> </w:t>
      </w:r>
      <w:r w:rsidR="5031DCF9">
        <w:t>hours</w:t>
      </w:r>
      <w:r w:rsidRPr="00F341E0">
        <w:t>.</w:t>
      </w:r>
      <w:r>
        <w:rPr>
          <w:rStyle w:val="FootnoteReference"/>
        </w:rPr>
        <w:footnoteReference w:id="52"/>
      </w:r>
    </w:p>
    <w:p w:rsidR="00244C85" w:rsidP="00E2669C" w14:paraId="5DDE659F" w14:textId="7B410F93">
      <w:pPr>
        <w:pStyle w:val="ListParagraph"/>
        <w:widowControl w:val="0"/>
        <w:numPr>
          <w:ilvl w:val="0"/>
          <w:numId w:val="6"/>
        </w:numPr>
        <w:spacing w:after="240"/>
      </w:pPr>
      <w:r>
        <w:t xml:space="preserve">Updated applications, Years 1-5 average: </w:t>
      </w:r>
      <w:r w:rsidR="00D3798F">
        <w:t>3,9</w:t>
      </w:r>
      <w:r w:rsidR="0000162D">
        <w:t>49</w:t>
      </w:r>
      <w:r w:rsidR="00D3798F">
        <w:t xml:space="preserve"> hours</w:t>
      </w:r>
      <w:r w:rsidR="002443C7">
        <w:t>.</w:t>
      </w:r>
    </w:p>
    <w:p w:rsidR="00244C85" w:rsidRPr="00244C85" w:rsidP="00CE1E17" w14:paraId="57BE2BF0" w14:textId="77812D16">
      <w:pPr>
        <w:widowControl w:val="0"/>
        <w:spacing w:after="240"/>
      </w:pPr>
      <w:r>
        <w:t>The burden hours for these collections are totaled in th</w:t>
      </w:r>
      <w:r>
        <w:t xml:space="preserve">e table below: </w:t>
      </w:r>
    </w:p>
    <w:tbl>
      <w:tblPr>
        <w:tblStyle w:val="TableGrid"/>
        <w:tblW w:w="10680" w:type="dxa"/>
        <w:tblInd w:w="-515" w:type="dxa"/>
        <w:tblLook w:val="04A0"/>
      </w:tblPr>
      <w:tblGrid>
        <w:gridCol w:w="5280"/>
        <w:gridCol w:w="2880"/>
        <w:gridCol w:w="2520"/>
      </w:tblGrid>
      <w:tr w14:paraId="5267BE41" w14:textId="77777777" w:rsidTr="5CA521F6">
        <w:tblPrEx>
          <w:tblW w:w="10680" w:type="dxa"/>
          <w:tblInd w:w="-515" w:type="dxa"/>
          <w:tblLook w:val="04A0"/>
        </w:tblPrEx>
        <w:trPr>
          <w:trHeight w:val="315"/>
        </w:trPr>
        <w:tc>
          <w:tcPr>
            <w:tcW w:w="10680" w:type="dxa"/>
            <w:gridSpan w:val="3"/>
            <w:shd w:val="clear" w:color="auto" w:fill="E7E6E6" w:themeFill="background2"/>
            <w:noWrap/>
          </w:tcPr>
          <w:p w:rsidR="00244C85" w:rsidRPr="006D2E90" w:rsidP="00E2669C" w14:paraId="35EFFA72" w14:textId="41C207AD">
            <w:pPr>
              <w:widowControl w:val="0"/>
              <w:rPr>
                <w:rFonts w:ascii="Times New Roman" w:hAnsi="Times New Roman"/>
                <w:b/>
                <w:bCs/>
              </w:rPr>
            </w:pPr>
            <w:r w:rsidRPr="006D2E90">
              <w:rPr>
                <w:rFonts w:ascii="Times New Roman" w:hAnsi="Times New Roman"/>
                <w:b/>
                <w:bCs/>
                <w:u w:val="single"/>
              </w:rPr>
              <w:t>Year 1</w:t>
            </w:r>
          </w:p>
        </w:tc>
      </w:tr>
      <w:tr w14:paraId="27AED4E9" w14:textId="77777777" w:rsidTr="5CA521F6">
        <w:tblPrEx>
          <w:tblW w:w="10680" w:type="dxa"/>
          <w:tblInd w:w="-515" w:type="dxa"/>
          <w:tblLook w:val="04A0"/>
        </w:tblPrEx>
        <w:trPr>
          <w:trHeight w:val="315"/>
        </w:trPr>
        <w:tc>
          <w:tcPr>
            <w:tcW w:w="5280" w:type="dxa"/>
            <w:shd w:val="clear" w:color="auto" w:fill="E2EFD9" w:themeFill="accent6" w:themeFillTint="33"/>
            <w:noWrap/>
            <w:hideMark/>
          </w:tcPr>
          <w:p w:rsidR="00244C85" w:rsidRPr="006D2E90" w:rsidP="00E2669C" w14:paraId="338B47FE" w14:textId="77777777">
            <w:pPr>
              <w:widowControl w:val="0"/>
              <w:rPr>
                <w:rFonts w:ascii="Times New Roman" w:hAnsi="Times New Roman"/>
                <w:b/>
                <w:bCs/>
                <w:u w:val="single"/>
              </w:rPr>
            </w:pPr>
            <w:r w:rsidRPr="006D2E90">
              <w:rPr>
                <w:rFonts w:ascii="Times New Roman" w:hAnsi="Times New Roman"/>
                <w:b/>
                <w:bCs/>
                <w:u w:val="single"/>
              </w:rPr>
              <w:t>Information Collection</w:t>
            </w:r>
          </w:p>
        </w:tc>
        <w:tc>
          <w:tcPr>
            <w:tcW w:w="2880" w:type="dxa"/>
            <w:shd w:val="clear" w:color="auto" w:fill="E2EFD9" w:themeFill="accent6" w:themeFillTint="33"/>
            <w:noWrap/>
            <w:hideMark/>
          </w:tcPr>
          <w:p w:rsidR="00244C85" w:rsidRPr="006D2E90" w:rsidP="00E2669C" w14:paraId="01559C17" w14:textId="77777777">
            <w:pPr>
              <w:widowControl w:val="0"/>
              <w:rPr>
                <w:rFonts w:ascii="Times New Roman" w:hAnsi="Times New Roman"/>
                <w:b/>
                <w:bCs/>
              </w:rPr>
            </w:pPr>
            <w:r w:rsidRPr="006D2E90">
              <w:rPr>
                <w:rFonts w:ascii="Times New Roman" w:hAnsi="Times New Roman"/>
                <w:b/>
                <w:bCs/>
              </w:rPr>
              <w:t>Count of Reports</w:t>
            </w:r>
          </w:p>
        </w:tc>
        <w:tc>
          <w:tcPr>
            <w:tcW w:w="2520" w:type="dxa"/>
            <w:shd w:val="clear" w:color="auto" w:fill="E2EFD9" w:themeFill="accent6" w:themeFillTint="33"/>
            <w:noWrap/>
            <w:hideMark/>
          </w:tcPr>
          <w:p w:rsidR="00244C85" w:rsidRPr="006D2E90" w:rsidP="00E2669C" w14:paraId="4C51D667" w14:textId="77777777">
            <w:pPr>
              <w:widowControl w:val="0"/>
              <w:ind w:right="286"/>
              <w:rPr>
                <w:rFonts w:ascii="Times New Roman" w:hAnsi="Times New Roman"/>
                <w:b/>
                <w:bCs/>
              </w:rPr>
            </w:pPr>
            <w:r w:rsidRPr="006D2E90">
              <w:rPr>
                <w:rFonts w:ascii="Times New Roman" w:hAnsi="Times New Roman"/>
                <w:b/>
                <w:bCs/>
              </w:rPr>
              <w:t>Burden Hours</w:t>
            </w:r>
          </w:p>
        </w:tc>
      </w:tr>
      <w:tr w14:paraId="6EF1DAF7" w14:textId="77777777" w:rsidTr="5CA521F6">
        <w:tblPrEx>
          <w:tblW w:w="10680" w:type="dxa"/>
          <w:tblInd w:w="-515" w:type="dxa"/>
          <w:tblLook w:val="04A0"/>
        </w:tblPrEx>
        <w:trPr>
          <w:trHeight w:val="300"/>
        </w:trPr>
        <w:tc>
          <w:tcPr>
            <w:tcW w:w="5280" w:type="dxa"/>
            <w:noWrap/>
            <w:hideMark/>
          </w:tcPr>
          <w:p w:rsidR="003249D6" w:rsidRPr="006D2E90" w:rsidP="00E2669C" w14:paraId="792AA56A" w14:textId="77777777">
            <w:pPr>
              <w:widowControl w:val="0"/>
              <w:rPr>
                <w:rFonts w:ascii="Times New Roman" w:hAnsi="Times New Roman"/>
              </w:rPr>
            </w:pPr>
            <w:r w:rsidRPr="006D2E90">
              <w:rPr>
                <w:rFonts w:ascii="Times New Roman" w:hAnsi="Times New Roman"/>
              </w:rPr>
              <w:t>Initial BOI reports</w:t>
            </w:r>
          </w:p>
        </w:tc>
        <w:tc>
          <w:tcPr>
            <w:tcW w:w="2880" w:type="dxa"/>
            <w:noWrap/>
            <w:hideMark/>
          </w:tcPr>
          <w:p w:rsidR="003249D6" w:rsidRPr="006D2E90" w:rsidP="00E2669C" w14:paraId="7418CB3E" w14:textId="4A2CFD3F">
            <w:pPr>
              <w:widowControl w:val="0"/>
              <w:rPr>
                <w:rFonts w:ascii="Times New Roman" w:hAnsi="Times New Roman"/>
              </w:rPr>
            </w:pPr>
            <w:r w:rsidRPr="006D2E90">
              <w:rPr>
                <w:rFonts w:ascii="Times New Roman" w:eastAsia="Times New Roman" w:hAnsi="Times New Roman"/>
                <w:color w:val="000000"/>
              </w:rPr>
              <w:t>32,5</w:t>
            </w:r>
            <w:r w:rsidR="0000162D">
              <w:rPr>
                <w:rFonts w:ascii="Times New Roman" w:eastAsia="Times New Roman" w:hAnsi="Times New Roman"/>
                <w:color w:val="000000"/>
              </w:rPr>
              <w:t>56</w:t>
            </w:r>
            <w:r w:rsidRPr="006D2E90">
              <w:rPr>
                <w:rFonts w:ascii="Times New Roman" w:eastAsia="Times New Roman" w:hAnsi="Times New Roman"/>
                <w:color w:val="000000"/>
              </w:rPr>
              <w:t>,</w:t>
            </w:r>
            <w:r w:rsidR="0000162D">
              <w:rPr>
                <w:rFonts w:ascii="Times New Roman" w:eastAsia="Times New Roman" w:hAnsi="Times New Roman"/>
                <w:color w:val="000000"/>
              </w:rPr>
              <w:t>929</w:t>
            </w:r>
          </w:p>
        </w:tc>
        <w:tc>
          <w:tcPr>
            <w:tcW w:w="2520" w:type="dxa"/>
            <w:noWrap/>
            <w:hideMark/>
          </w:tcPr>
          <w:p w:rsidR="003249D6" w:rsidRPr="006D2E90" w:rsidP="00E2669C" w14:paraId="7639ED8D" w14:textId="763710D0">
            <w:pPr>
              <w:widowControl w:val="0"/>
              <w:rPr>
                <w:rFonts w:ascii="Times New Roman" w:hAnsi="Times New Roman"/>
              </w:rPr>
            </w:pPr>
            <w:r w:rsidRPr="006D2E90">
              <w:rPr>
                <w:rFonts w:ascii="Times New Roman" w:eastAsia="Times New Roman" w:hAnsi="Times New Roman"/>
                <w:color w:val="000000"/>
              </w:rPr>
              <w:t>118,5</w:t>
            </w:r>
            <w:r w:rsidR="0000162D">
              <w:rPr>
                <w:rFonts w:ascii="Times New Roman" w:eastAsia="Times New Roman" w:hAnsi="Times New Roman"/>
                <w:color w:val="000000"/>
              </w:rPr>
              <w:t>72</w:t>
            </w:r>
            <w:r w:rsidRPr="006D2E90">
              <w:rPr>
                <w:rFonts w:ascii="Times New Roman" w:eastAsia="Times New Roman" w:hAnsi="Times New Roman"/>
                <w:color w:val="000000"/>
              </w:rPr>
              <w:t>,</w:t>
            </w:r>
            <w:r w:rsidR="0000162D">
              <w:rPr>
                <w:rFonts w:ascii="Times New Roman" w:eastAsia="Times New Roman" w:hAnsi="Times New Roman"/>
                <w:color w:val="000000"/>
              </w:rPr>
              <w:t>335</w:t>
            </w:r>
            <w:r w:rsidRPr="006D2E90">
              <w:rPr>
                <w:rFonts w:ascii="Times New Roman" w:eastAsia="Times New Roman" w:hAnsi="Times New Roman"/>
                <w:color w:val="000000"/>
              </w:rPr>
              <w:t xml:space="preserve"> </w:t>
            </w:r>
          </w:p>
        </w:tc>
      </w:tr>
      <w:tr w14:paraId="27C1081F" w14:textId="77777777" w:rsidTr="5CA521F6">
        <w:tblPrEx>
          <w:tblW w:w="10680" w:type="dxa"/>
          <w:tblInd w:w="-515" w:type="dxa"/>
          <w:tblLook w:val="04A0"/>
        </w:tblPrEx>
        <w:trPr>
          <w:trHeight w:val="300"/>
        </w:trPr>
        <w:tc>
          <w:tcPr>
            <w:tcW w:w="5280" w:type="dxa"/>
            <w:noWrap/>
            <w:hideMark/>
          </w:tcPr>
          <w:p w:rsidR="003249D6" w:rsidRPr="006D2E90" w:rsidP="00E2669C" w14:paraId="4F6A39C1" w14:textId="3A409CA0">
            <w:pPr>
              <w:widowControl w:val="0"/>
              <w:rPr>
                <w:rFonts w:ascii="Times New Roman" w:hAnsi="Times New Roman"/>
              </w:rPr>
            </w:pPr>
            <w:r w:rsidRPr="006D2E90">
              <w:rPr>
                <w:rFonts w:ascii="Times New Roman" w:hAnsi="Times New Roman"/>
              </w:rPr>
              <w:t>Updated BOI reports</w:t>
            </w:r>
          </w:p>
        </w:tc>
        <w:tc>
          <w:tcPr>
            <w:tcW w:w="2880" w:type="dxa"/>
            <w:noWrap/>
            <w:hideMark/>
          </w:tcPr>
          <w:p w:rsidR="003249D6" w:rsidRPr="006D2E90" w:rsidP="00E2669C" w14:paraId="39367D0D" w14:textId="6D2E07C8">
            <w:pPr>
              <w:widowControl w:val="0"/>
              <w:rPr>
                <w:rFonts w:ascii="Times New Roman" w:hAnsi="Times New Roman"/>
              </w:rPr>
            </w:pPr>
            <w:r w:rsidRPr="006D2E90">
              <w:rPr>
                <w:rFonts w:ascii="Times New Roman" w:eastAsia="Times New Roman" w:hAnsi="Times New Roman"/>
                <w:color w:val="000000"/>
              </w:rPr>
              <w:t>6,5</w:t>
            </w:r>
            <w:r w:rsidR="0000162D">
              <w:rPr>
                <w:rFonts w:ascii="Times New Roman" w:eastAsia="Times New Roman" w:hAnsi="Times New Roman"/>
                <w:color w:val="000000"/>
              </w:rPr>
              <w:t>78</w:t>
            </w:r>
            <w:r w:rsidRPr="006D2E90">
              <w:rPr>
                <w:rFonts w:ascii="Times New Roman" w:eastAsia="Times New Roman" w:hAnsi="Times New Roman"/>
                <w:color w:val="000000"/>
              </w:rPr>
              <w:t>,</w:t>
            </w:r>
            <w:r w:rsidR="0000162D">
              <w:rPr>
                <w:rFonts w:ascii="Times New Roman" w:eastAsia="Times New Roman" w:hAnsi="Times New Roman"/>
                <w:color w:val="000000"/>
              </w:rPr>
              <w:t>732</w:t>
            </w:r>
          </w:p>
        </w:tc>
        <w:tc>
          <w:tcPr>
            <w:tcW w:w="2520" w:type="dxa"/>
            <w:noWrap/>
            <w:hideMark/>
          </w:tcPr>
          <w:p w:rsidR="003249D6" w:rsidRPr="006D2E90" w:rsidP="00E2669C" w14:paraId="7A6830B0" w14:textId="43A13204">
            <w:pPr>
              <w:widowControl w:val="0"/>
              <w:rPr>
                <w:rFonts w:ascii="Times New Roman" w:hAnsi="Times New Roman"/>
              </w:rPr>
            </w:pPr>
            <w:r w:rsidRPr="006D2E90">
              <w:rPr>
                <w:rFonts w:ascii="Times New Roman" w:eastAsia="Times New Roman" w:hAnsi="Times New Roman"/>
                <w:color w:val="000000"/>
              </w:rPr>
              <w:t>7,65</w:t>
            </w:r>
            <w:r w:rsidR="0000162D">
              <w:rPr>
                <w:rFonts w:ascii="Times New Roman" w:eastAsia="Times New Roman" w:hAnsi="Times New Roman"/>
                <w:color w:val="000000"/>
              </w:rPr>
              <w:t>7</w:t>
            </w:r>
            <w:r w:rsidRPr="006D2E90">
              <w:rPr>
                <w:rFonts w:ascii="Times New Roman" w:eastAsia="Times New Roman" w:hAnsi="Times New Roman"/>
                <w:color w:val="000000"/>
              </w:rPr>
              <w:t>,</w:t>
            </w:r>
            <w:r w:rsidR="0000162D">
              <w:rPr>
                <w:rFonts w:ascii="Times New Roman" w:eastAsia="Times New Roman" w:hAnsi="Times New Roman"/>
                <w:color w:val="000000"/>
              </w:rPr>
              <w:t>096</w:t>
            </w:r>
            <w:r w:rsidRPr="006D2E90">
              <w:rPr>
                <w:rFonts w:ascii="Times New Roman" w:eastAsia="Times New Roman" w:hAnsi="Times New Roman"/>
                <w:color w:val="000000"/>
              </w:rPr>
              <w:t xml:space="preserve"> </w:t>
            </w:r>
          </w:p>
        </w:tc>
      </w:tr>
      <w:tr w14:paraId="1E6F5D20" w14:textId="77777777" w:rsidTr="5CA521F6">
        <w:tblPrEx>
          <w:tblW w:w="10680" w:type="dxa"/>
          <w:tblInd w:w="-515" w:type="dxa"/>
          <w:tblLook w:val="04A0"/>
        </w:tblPrEx>
        <w:trPr>
          <w:trHeight w:val="300"/>
        </w:trPr>
        <w:tc>
          <w:tcPr>
            <w:tcW w:w="5280" w:type="dxa"/>
            <w:noWrap/>
            <w:hideMark/>
          </w:tcPr>
          <w:p w:rsidR="003249D6" w:rsidRPr="006D2E90" w:rsidP="00E2669C" w14:paraId="33614A1B" w14:textId="22FC6FEC">
            <w:pPr>
              <w:widowControl w:val="0"/>
              <w:rPr>
                <w:rFonts w:ascii="Times New Roman" w:hAnsi="Times New Roman"/>
              </w:rPr>
            </w:pPr>
            <w:r w:rsidRPr="006D2E90">
              <w:rPr>
                <w:rFonts w:ascii="Times New Roman" w:eastAsia="Times New Roman" w:hAnsi="Times New Roman"/>
                <w:color w:val="000000"/>
              </w:rPr>
              <w:t>FinCEN identifier applications for individuals</w:t>
            </w:r>
          </w:p>
        </w:tc>
        <w:tc>
          <w:tcPr>
            <w:tcW w:w="2880" w:type="dxa"/>
            <w:noWrap/>
            <w:hideMark/>
          </w:tcPr>
          <w:p w:rsidR="003249D6" w:rsidRPr="006D2E90" w:rsidP="00E2669C" w14:paraId="3664B42B" w14:textId="1A08A802">
            <w:pPr>
              <w:widowControl w:val="0"/>
              <w:rPr>
                <w:rFonts w:ascii="Times New Roman" w:hAnsi="Times New Roman"/>
              </w:rPr>
            </w:pPr>
            <w:r w:rsidRPr="006D2E90">
              <w:rPr>
                <w:rFonts w:ascii="Times New Roman" w:eastAsia="Times New Roman" w:hAnsi="Times New Roman"/>
                <w:color w:val="000000"/>
              </w:rPr>
              <w:t>325,</w:t>
            </w:r>
            <w:r w:rsidR="0000162D">
              <w:rPr>
                <w:rFonts w:ascii="Times New Roman" w:eastAsia="Times New Roman" w:hAnsi="Times New Roman"/>
                <w:color w:val="000000"/>
              </w:rPr>
              <w:t>569</w:t>
            </w:r>
          </w:p>
        </w:tc>
        <w:tc>
          <w:tcPr>
            <w:tcW w:w="2520" w:type="dxa"/>
            <w:noWrap/>
            <w:hideMark/>
          </w:tcPr>
          <w:p w:rsidR="003249D6" w:rsidRPr="006D2E90" w:rsidP="00E2669C" w14:paraId="50609E9A" w14:textId="5922256C">
            <w:pPr>
              <w:widowControl w:val="0"/>
              <w:rPr>
                <w:rFonts w:ascii="Times New Roman" w:hAnsi="Times New Roman"/>
              </w:rPr>
            </w:pPr>
            <w:r w:rsidRPr="006D2E90">
              <w:rPr>
                <w:rFonts w:ascii="Times New Roman" w:eastAsia="Times New Roman" w:hAnsi="Times New Roman"/>
                <w:color w:val="000000"/>
              </w:rPr>
              <w:t>108,5</w:t>
            </w:r>
            <w:r w:rsidR="0000162D">
              <w:rPr>
                <w:rFonts w:ascii="Times New Roman" w:eastAsia="Times New Roman" w:hAnsi="Times New Roman"/>
                <w:color w:val="000000"/>
              </w:rPr>
              <w:t>23</w:t>
            </w:r>
          </w:p>
        </w:tc>
      </w:tr>
      <w:tr w14:paraId="703D0062" w14:textId="77777777" w:rsidTr="5CA521F6">
        <w:tblPrEx>
          <w:tblW w:w="10680" w:type="dxa"/>
          <w:tblInd w:w="-515" w:type="dxa"/>
          <w:tblLook w:val="04A0"/>
        </w:tblPrEx>
        <w:trPr>
          <w:trHeight w:val="300"/>
        </w:trPr>
        <w:tc>
          <w:tcPr>
            <w:tcW w:w="5280" w:type="dxa"/>
            <w:noWrap/>
            <w:hideMark/>
          </w:tcPr>
          <w:p w:rsidR="003249D6" w:rsidRPr="006D2E90" w:rsidP="00E2669C" w14:paraId="31545B49" w14:textId="33838119">
            <w:pPr>
              <w:widowControl w:val="0"/>
              <w:rPr>
                <w:rFonts w:ascii="Times New Roman" w:hAnsi="Times New Roman"/>
              </w:rPr>
            </w:pPr>
            <w:r w:rsidRPr="006D2E90">
              <w:rPr>
                <w:rFonts w:ascii="Times New Roman" w:eastAsia="Times New Roman" w:hAnsi="Times New Roman"/>
                <w:color w:val="000000"/>
              </w:rPr>
              <w:t xml:space="preserve">FinCEN </w:t>
            </w:r>
            <w:r w:rsidRPr="006D2E90">
              <w:rPr>
                <w:rFonts w:ascii="Times New Roman" w:eastAsia="Times New Roman" w:hAnsi="Times New Roman"/>
                <w:color w:val="000000"/>
              </w:rPr>
              <w:t>identifiers updates for individuals</w:t>
            </w:r>
          </w:p>
        </w:tc>
        <w:tc>
          <w:tcPr>
            <w:tcW w:w="2880" w:type="dxa"/>
            <w:noWrap/>
            <w:hideMark/>
          </w:tcPr>
          <w:p w:rsidR="003249D6" w:rsidRPr="006D2E90" w:rsidP="00E2669C" w14:paraId="0C3EBE03" w14:textId="0E029221">
            <w:pPr>
              <w:widowControl w:val="0"/>
              <w:rPr>
                <w:rFonts w:ascii="Times New Roman" w:hAnsi="Times New Roman"/>
              </w:rPr>
            </w:pPr>
            <w:r w:rsidRPr="006D2E90">
              <w:rPr>
                <w:rFonts w:ascii="Times New Roman" w:eastAsia="Times New Roman" w:hAnsi="Times New Roman"/>
                <w:color w:val="000000"/>
              </w:rPr>
              <w:t>12,18</w:t>
            </w:r>
            <w:r w:rsidR="0000162D">
              <w:rPr>
                <w:rFonts w:ascii="Times New Roman" w:eastAsia="Times New Roman" w:hAnsi="Times New Roman"/>
                <w:color w:val="000000"/>
              </w:rPr>
              <w:t>0</w:t>
            </w:r>
          </w:p>
        </w:tc>
        <w:tc>
          <w:tcPr>
            <w:tcW w:w="2520" w:type="dxa"/>
            <w:noWrap/>
            <w:hideMark/>
          </w:tcPr>
          <w:p w:rsidR="003249D6" w:rsidRPr="006D2E90" w:rsidP="00E2669C" w14:paraId="5E0C3F4C" w14:textId="2DF43407">
            <w:pPr>
              <w:widowControl w:val="0"/>
              <w:rPr>
                <w:rFonts w:ascii="Times New Roman" w:hAnsi="Times New Roman"/>
              </w:rPr>
            </w:pPr>
            <w:r w:rsidRPr="006D2E90">
              <w:rPr>
                <w:rFonts w:ascii="Times New Roman" w:eastAsia="Times New Roman" w:hAnsi="Times New Roman"/>
                <w:color w:val="000000"/>
              </w:rPr>
              <w:t xml:space="preserve">2,030 </w:t>
            </w:r>
          </w:p>
        </w:tc>
      </w:tr>
      <w:tr w14:paraId="0905E09A" w14:textId="77777777" w:rsidTr="5CA521F6">
        <w:tblPrEx>
          <w:tblW w:w="10680" w:type="dxa"/>
          <w:tblInd w:w="-515" w:type="dxa"/>
          <w:tblLook w:val="04A0"/>
        </w:tblPrEx>
        <w:trPr>
          <w:trHeight w:val="315"/>
        </w:trPr>
        <w:tc>
          <w:tcPr>
            <w:tcW w:w="5280" w:type="dxa"/>
            <w:noWrap/>
            <w:hideMark/>
          </w:tcPr>
          <w:p w:rsidR="00FE734E" w:rsidRPr="006D2E90" w:rsidP="00E2669C" w14:paraId="516969C1" w14:textId="77777777">
            <w:pPr>
              <w:widowControl w:val="0"/>
              <w:rPr>
                <w:rFonts w:ascii="Times New Roman" w:hAnsi="Times New Roman"/>
                <w:b/>
                <w:bCs/>
                <w:u w:val="single"/>
              </w:rPr>
            </w:pPr>
            <w:r w:rsidRPr="006D2E90">
              <w:rPr>
                <w:rFonts w:ascii="Times New Roman" w:hAnsi="Times New Roman"/>
                <w:b/>
                <w:bCs/>
                <w:u w:val="single"/>
              </w:rPr>
              <w:t>Totals</w:t>
            </w:r>
          </w:p>
        </w:tc>
        <w:tc>
          <w:tcPr>
            <w:tcW w:w="2880" w:type="dxa"/>
            <w:noWrap/>
            <w:hideMark/>
          </w:tcPr>
          <w:p w:rsidR="00FE734E" w:rsidRPr="006D2E90" w:rsidP="00E2669C" w14:paraId="540AFC09" w14:textId="635E33B1">
            <w:pPr>
              <w:widowControl w:val="0"/>
              <w:rPr>
                <w:rFonts w:ascii="Times New Roman" w:hAnsi="Times New Roman"/>
                <w:b/>
              </w:rPr>
            </w:pPr>
            <w:r w:rsidRPr="006D2E90">
              <w:rPr>
                <w:rFonts w:ascii="Times New Roman" w:eastAsia="Times New Roman" w:hAnsi="Times New Roman"/>
                <w:color w:val="000000"/>
              </w:rPr>
              <w:t>39,4</w:t>
            </w:r>
            <w:r w:rsidR="0000162D">
              <w:rPr>
                <w:rFonts w:ascii="Times New Roman" w:eastAsia="Times New Roman" w:hAnsi="Times New Roman"/>
                <w:color w:val="000000"/>
              </w:rPr>
              <w:t>73</w:t>
            </w:r>
            <w:r w:rsidRPr="006D2E90">
              <w:rPr>
                <w:rFonts w:ascii="Times New Roman" w:eastAsia="Times New Roman" w:hAnsi="Times New Roman"/>
                <w:color w:val="000000"/>
              </w:rPr>
              <w:t>,</w:t>
            </w:r>
            <w:r w:rsidR="0000162D">
              <w:rPr>
                <w:rFonts w:ascii="Times New Roman" w:eastAsia="Times New Roman" w:hAnsi="Times New Roman"/>
                <w:color w:val="000000"/>
              </w:rPr>
              <w:t>410</w:t>
            </w:r>
            <w:r w:rsidRPr="006D2E90">
              <w:rPr>
                <w:rFonts w:ascii="Times New Roman" w:eastAsia="Times New Roman" w:hAnsi="Times New Roman"/>
                <w:color w:val="000000"/>
              </w:rPr>
              <w:t xml:space="preserve">                                                     </w:t>
            </w:r>
          </w:p>
        </w:tc>
        <w:tc>
          <w:tcPr>
            <w:tcW w:w="2520" w:type="dxa"/>
            <w:noWrap/>
            <w:hideMark/>
          </w:tcPr>
          <w:p w:rsidR="00FE734E" w:rsidRPr="006D2E90" w:rsidP="00E2669C" w14:paraId="4473C6D4" w14:textId="7305AAA8">
            <w:pPr>
              <w:widowControl w:val="0"/>
              <w:rPr>
                <w:rFonts w:ascii="Times New Roman" w:hAnsi="Times New Roman"/>
                <w:b/>
              </w:rPr>
            </w:pPr>
            <w:r w:rsidRPr="006D2E90">
              <w:rPr>
                <w:rFonts w:ascii="Times New Roman" w:eastAsia="Times New Roman" w:hAnsi="Times New Roman"/>
                <w:color w:val="000000"/>
              </w:rPr>
              <w:t>126,3</w:t>
            </w:r>
            <w:r w:rsidR="6F1094BB">
              <w:rPr>
                <w:rFonts w:ascii="Times New Roman" w:eastAsia="Times New Roman" w:hAnsi="Times New Roman"/>
                <w:color w:val="000000"/>
              </w:rPr>
              <w:t>39</w:t>
            </w:r>
            <w:r w:rsidRPr="006D2E90">
              <w:rPr>
                <w:rFonts w:ascii="Times New Roman" w:eastAsia="Times New Roman" w:hAnsi="Times New Roman"/>
                <w:color w:val="000000"/>
              </w:rPr>
              <w:t>,</w:t>
            </w:r>
            <w:r w:rsidR="1022508E">
              <w:rPr>
                <w:rFonts w:ascii="Times New Roman" w:eastAsia="Times New Roman" w:hAnsi="Times New Roman"/>
                <w:color w:val="000000"/>
              </w:rPr>
              <w:t>9</w:t>
            </w:r>
            <w:r w:rsidR="6F1094BB">
              <w:rPr>
                <w:rFonts w:ascii="Times New Roman" w:eastAsia="Times New Roman" w:hAnsi="Times New Roman"/>
                <w:color w:val="000000"/>
              </w:rPr>
              <w:t>84</w:t>
            </w:r>
            <w:r>
              <w:rPr>
                <w:rStyle w:val="FootnoteReference"/>
                <w:rFonts w:ascii="Times New Roman" w:eastAsia="Times New Roman" w:hAnsi="Times New Roman"/>
                <w:color w:val="000000"/>
              </w:rPr>
              <w:footnoteReference w:id="53"/>
            </w:r>
            <w:r w:rsidRPr="006D2E90">
              <w:rPr>
                <w:rFonts w:ascii="Times New Roman" w:eastAsia="Times New Roman" w:hAnsi="Times New Roman"/>
                <w:color w:val="000000"/>
              </w:rPr>
              <w:t xml:space="preserve">                                             </w:t>
            </w:r>
          </w:p>
        </w:tc>
      </w:tr>
      <w:tr w14:paraId="41113FAA" w14:textId="77777777" w:rsidTr="5CA521F6">
        <w:tblPrEx>
          <w:tblW w:w="10680" w:type="dxa"/>
          <w:tblInd w:w="-515" w:type="dxa"/>
          <w:tblLook w:val="04A0"/>
        </w:tblPrEx>
        <w:trPr>
          <w:trHeight w:val="300"/>
        </w:trPr>
        <w:tc>
          <w:tcPr>
            <w:tcW w:w="10680" w:type="dxa"/>
            <w:gridSpan w:val="3"/>
            <w:shd w:val="clear" w:color="auto" w:fill="E7E6E6" w:themeFill="background2"/>
            <w:noWrap/>
          </w:tcPr>
          <w:p w:rsidR="00244C85" w:rsidRPr="006D2E90" w:rsidP="00E2669C" w14:paraId="2A9F6C7A" w14:textId="26368458">
            <w:pPr>
              <w:widowControl w:val="0"/>
              <w:rPr>
                <w:rFonts w:ascii="Times New Roman" w:hAnsi="Times New Roman"/>
                <w:b/>
                <w:bCs/>
              </w:rPr>
            </w:pPr>
            <w:r w:rsidRPr="006D2E90">
              <w:rPr>
                <w:rFonts w:ascii="Times New Roman" w:hAnsi="Times New Roman"/>
                <w:b/>
              </w:rPr>
              <w:t>Year 2+</w:t>
            </w:r>
          </w:p>
        </w:tc>
      </w:tr>
      <w:tr w14:paraId="029D11DD" w14:textId="77777777" w:rsidTr="5CA521F6">
        <w:tblPrEx>
          <w:tblW w:w="10680" w:type="dxa"/>
          <w:tblInd w:w="-515" w:type="dxa"/>
          <w:tblLook w:val="04A0"/>
        </w:tblPrEx>
        <w:trPr>
          <w:trHeight w:val="300"/>
        </w:trPr>
        <w:tc>
          <w:tcPr>
            <w:tcW w:w="5280" w:type="dxa"/>
            <w:shd w:val="clear" w:color="auto" w:fill="E2EFD9" w:themeFill="accent6" w:themeFillTint="33"/>
            <w:noWrap/>
            <w:hideMark/>
          </w:tcPr>
          <w:p w:rsidR="00244C85" w:rsidRPr="006D2E90" w:rsidP="00E2669C" w14:paraId="6CB711C8" w14:textId="77777777">
            <w:pPr>
              <w:widowControl w:val="0"/>
              <w:rPr>
                <w:rFonts w:ascii="Times New Roman" w:hAnsi="Times New Roman"/>
              </w:rPr>
            </w:pPr>
            <w:r w:rsidRPr="006D2E90">
              <w:rPr>
                <w:rFonts w:ascii="Times New Roman" w:hAnsi="Times New Roman"/>
              </w:rPr>
              <w:t> </w:t>
            </w:r>
            <w:r w:rsidRPr="006D2E90">
              <w:rPr>
                <w:rFonts w:ascii="Times New Roman" w:hAnsi="Times New Roman"/>
                <w:b/>
                <w:bCs/>
                <w:u w:val="single"/>
              </w:rPr>
              <w:t>Information Collection</w:t>
            </w:r>
          </w:p>
        </w:tc>
        <w:tc>
          <w:tcPr>
            <w:tcW w:w="2880" w:type="dxa"/>
            <w:shd w:val="clear" w:color="auto" w:fill="E2EFD9" w:themeFill="accent6" w:themeFillTint="33"/>
            <w:noWrap/>
            <w:hideMark/>
          </w:tcPr>
          <w:p w:rsidR="00244C85" w:rsidRPr="006D2E90" w:rsidP="00E2669C" w14:paraId="46320A36" w14:textId="77777777">
            <w:pPr>
              <w:widowControl w:val="0"/>
              <w:rPr>
                <w:rFonts w:ascii="Times New Roman" w:hAnsi="Times New Roman"/>
                <w:b/>
                <w:bCs/>
              </w:rPr>
            </w:pPr>
            <w:r w:rsidRPr="006D2E90">
              <w:rPr>
                <w:rFonts w:ascii="Times New Roman" w:hAnsi="Times New Roman"/>
                <w:b/>
                <w:bCs/>
              </w:rPr>
              <w:t>Count of Reports</w:t>
            </w:r>
          </w:p>
        </w:tc>
        <w:tc>
          <w:tcPr>
            <w:tcW w:w="2520" w:type="dxa"/>
            <w:shd w:val="clear" w:color="auto" w:fill="E2EFD9" w:themeFill="accent6" w:themeFillTint="33"/>
            <w:hideMark/>
          </w:tcPr>
          <w:p w:rsidR="00244C85" w:rsidRPr="006D2E90" w:rsidP="00E2669C" w14:paraId="08BE8A78" w14:textId="77777777">
            <w:pPr>
              <w:widowControl w:val="0"/>
              <w:rPr>
                <w:rFonts w:ascii="Times New Roman" w:hAnsi="Times New Roman"/>
                <w:b/>
                <w:bCs/>
              </w:rPr>
            </w:pPr>
            <w:r w:rsidRPr="006D2E90">
              <w:rPr>
                <w:rFonts w:ascii="Times New Roman" w:hAnsi="Times New Roman"/>
                <w:b/>
                <w:bCs/>
              </w:rPr>
              <w:t>Burden Hours</w:t>
            </w:r>
          </w:p>
        </w:tc>
      </w:tr>
      <w:tr w14:paraId="67AE2E89" w14:textId="77777777" w:rsidTr="5CA521F6">
        <w:tblPrEx>
          <w:tblW w:w="10680" w:type="dxa"/>
          <w:tblInd w:w="-515" w:type="dxa"/>
          <w:tblLook w:val="04A0"/>
        </w:tblPrEx>
        <w:trPr>
          <w:trHeight w:val="300"/>
        </w:trPr>
        <w:tc>
          <w:tcPr>
            <w:tcW w:w="5280" w:type="dxa"/>
            <w:noWrap/>
            <w:hideMark/>
          </w:tcPr>
          <w:p w:rsidR="006D2E90" w:rsidRPr="006D2E90" w:rsidP="00E2669C" w14:paraId="5EC2EC8D" w14:textId="77777777">
            <w:pPr>
              <w:widowControl w:val="0"/>
              <w:rPr>
                <w:rFonts w:ascii="Times New Roman" w:hAnsi="Times New Roman"/>
              </w:rPr>
            </w:pPr>
            <w:r w:rsidRPr="006D2E90">
              <w:rPr>
                <w:rFonts w:ascii="Times New Roman" w:hAnsi="Times New Roman"/>
              </w:rPr>
              <w:t>Initial BOI reports</w:t>
            </w:r>
          </w:p>
        </w:tc>
        <w:tc>
          <w:tcPr>
            <w:tcW w:w="2880" w:type="dxa"/>
            <w:noWrap/>
            <w:hideMark/>
          </w:tcPr>
          <w:p w:rsidR="006D2E90" w:rsidRPr="006D2E90" w:rsidP="00E2669C" w14:paraId="76F9CFF0" w14:textId="76FAC226">
            <w:pPr>
              <w:widowControl w:val="0"/>
              <w:rPr>
                <w:rFonts w:ascii="Times New Roman" w:hAnsi="Times New Roman"/>
              </w:rPr>
            </w:pPr>
            <w:r w:rsidRPr="006D2E90">
              <w:rPr>
                <w:rFonts w:ascii="Times New Roman" w:eastAsia="Times New Roman" w:hAnsi="Times New Roman"/>
                <w:color w:val="000000"/>
              </w:rPr>
              <w:t>4,99</w:t>
            </w:r>
            <w:r w:rsidR="00BA4AD0">
              <w:rPr>
                <w:rFonts w:ascii="Times New Roman" w:eastAsia="Times New Roman" w:hAnsi="Times New Roman"/>
                <w:color w:val="000000"/>
              </w:rPr>
              <w:t>8</w:t>
            </w:r>
            <w:r w:rsidRPr="006D2E90">
              <w:rPr>
                <w:rFonts w:ascii="Times New Roman" w:eastAsia="Times New Roman" w:hAnsi="Times New Roman"/>
                <w:color w:val="000000"/>
              </w:rPr>
              <w:t>,4</w:t>
            </w:r>
            <w:r w:rsidR="00BA4AD0">
              <w:rPr>
                <w:rFonts w:ascii="Times New Roman" w:eastAsia="Times New Roman" w:hAnsi="Times New Roman"/>
                <w:color w:val="000000"/>
              </w:rPr>
              <w:t>68</w:t>
            </w:r>
            <w:r w:rsidRPr="006D2E90">
              <w:rPr>
                <w:rFonts w:ascii="Times New Roman" w:eastAsia="Times New Roman" w:hAnsi="Times New Roman"/>
                <w:color w:val="000000"/>
              </w:rPr>
              <w:t xml:space="preserve"> </w:t>
            </w:r>
          </w:p>
        </w:tc>
        <w:tc>
          <w:tcPr>
            <w:tcW w:w="2520" w:type="dxa"/>
            <w:noWrap/>
            <w:hideMark/>
          </w:tcPr>
          <w:p w:rsidR="006D2E90" w:rsidRPr="006D2E90" w:rsidP="00E2669C" w14:paraId="68AB1E8D" w14:textId="3D70529E">
            <w:pPr>
              <w:widowControl w:val="0"/>
              <w:rPr>
                <w:rFonts w:ascii="Times New Roman" w:hAnsi="Times New Roman"/>
              </w:rPr>
            </w:pPr>
            <w:r w:rsidRPr="006D2E90">
              <w:rPr>
                <w:rFonts w:ascii="Times New Roman" w:eastAsia="Times New Roman" w:hAnsi="Times New Roman"/>
                <w:color w:val="000000"/>
              </w:rPr>
              <w:t xml:space="preserve"> </w:t>
            </w:r>
            <w:r w:rsidR="00DE0C53">
              <w:rPr>
                <w:rFonts w:ascii="Times New Roman" w:eastAsia="Times New Roman" w:hAnsi="Times New Roman"/>
                <w:color w:val="000000"/>
              </w:rPr>
              <w:t>1</w:t>
            </w:r>
            <w:r w:rsidRPr="006D2E90">
              <w:rPr>
                <w:rFonts w:ascii="Times New Roman" w:eastAsia="Times New Roman" w:hAnsi="Times New Roman"/>
                <w:color w:val="000000"/>
              </w:rPr>
              <w:t>8,20</w:t>
            </w:r>
            <w:r w:rsidR="00BA4AD0">
              <w:rPr>
                <w:rFonts w:ascii="Times New Roman" w:eastAsia="Times New Roman" w:hAnsi="Times New Roman"/>
                <w:color w:val="000000"/>
              </w:rPr>
              <w:t>4</w:t>
            </w:r>
            <w:r w:rsidRPr="006D2E90">
              <w:rPr>
                <w:rFonts w:ascii="Times New Roman" w:eastAsia="Times New Roman" w:hAnsi="Times New Roman"/>
                <w:color w:val="000000"/>
              </w:rPr>
              <w:t>,</w:t>
            </w:r>
            <w:r w:rsidR="00BA4AD0">
              <w:rPr>
                <w:rFonts w:ascii="Times New Roman" w:eastAsia="Times New Roman" w:hAnsi="Times New Roman"/>
                <w:color w:val="000000"/>
              </w:rPr>
              <w:t>421</w:t>
            </w:r>
            <w:r w:rsidRPr="006D2E90">
              <w:rPr>
                <w:rFonts w:ascii="Times New Roman" w:eastAsia="Times New Roman" w:hAnsi="Times New Roman"/>
                <w:color w:val="000000"/>
              </w:rPr>
              <w:t xml:space="preserve"> </w:t>
            </w:r>
          </w:p>
        </w:tc>
      </w:tr>
      <w:tr w14:paraId="1F7789EB" w14:textId="77777777" w:rsidTr="5CA521F6">
        <w:tblPrEx>
          <w:tblW w:w="10680" w:type="dxa"/>
          <w:tblInd w:w="-515" w:type="dxa"/>
          <w:tblLook w:val="04A0"/>
        </w:tblPrEx>
        <w:trPr>
          <w:trHeight w:val="224"/>
        </w:trPr>
        <w:tc>
          <w:tcPr>
            <w:tcW w:w="5280" w:type="dxa"/>
            <w:noWrap/>
            <w:hideMark/>
          </w:tcPr>
          <w:p w:rsidR="006D2E90" w:rsidRPr="006D2E90" w:rsidP="00E2669C" w14:paraId="203C1969" w14:textId="27A147F8">
            <w:pPr>
              <w:widowControl w:val="0"/>
              <w:rPr>
                <w:rFonts w:ascii="Times New Roman" w:hAnsi="Times New Roman"/>
              </w:rPr>
            </w:pPr>
            <w:r w:rsidRPr="006D2E90">
              <w:rPr>
                <w:rFonts w:ascii="Times New Roman" w:hAnsi="Times New Roman"/>
              </w:rPr>
              <w:t>Updated BOI reports</w:t>
            </w:r>
          </w:p>
        </w:tc>
        <w:tc>
          <w:tcPr>
            <w:tcW w:w="2880" w:type="dxa"/>
            <w:noWrap/>
            <w:hideMark/>
          </w:tcPr>
          <w:p w:rsidR="006D2E90" w:rsidRPr="006D2E90" w:rsidP="00E2669C" w14:paraId="3CA78A3E" w14:textId="0ED8955B">
            <w:pPr>
              <w:widowControl w:val="0"/>
              <w:rPr>
                <w:rFonts w:ascii="Times New Roman" w:hAnsi="Times New Roman"/>
              </w:rPr>
            </w:pPr>
            <w:r w:rsidRPr="006D2E90">
              <w:rPr>
                <w:rFonts w:ascii="Times New Roman" w:eastAsia="Times New Roman" w:hAnsi="Times New Roman"/>
                <w:color w:val="000000"/>
              </w:rPr>
              <w:t>14,45</w:t>
            </w:r>
            <w:r w:rsidR="00BA4AD0">
              <w:rPr>
                <w:rFonts w:ascii="Times New Roman" w:eastAsia="Times New Roman" w:hAnsi="Times New Roman"/>
                <w:color w:val="000000"/>
              </w:rPr>
              <w:t>6</w:t>
            </w:r>
            <w:r w:rsidRPr="006D2E90">
              <w:rPr>
                <w:rFonts w:ascii="Times New Roman" w:eastAsia="Times New Roman" w:hAnsi="Times New Roman"/>
                <w:color w:val="000000"/>
              </w:rPr>
              <w:t>,</w:t>
            </w:r>
            <w:r w:rsidR="00BA4AD0">
              <w:rPr>
                <w:rFonts w:ascii="Times New Roman" w:eastAsia="Times New Roman" w:hAnsi="Times New Roman"/>
                <w:color w:val="000000"/>
              </w:rPr>
              <w:t>452</w:t>
            </w:r>
            <w:r w:rsidRPr="006D2E90">
              <w:rPr>
                <w:rFonts w:ascii="Times New Roman" w:eastAsia="Times New Roman" w:hAnsi="Times New Roman"/>
                <w:color w:val="000000"/>
              </w:rPr>
              <w:t xml:space="preserve"> </w:t>
            </w:r>
          </w:p>
        </w:tc>
        <w:tc>
          <w:tcPr>
            <w:tcW w:w="2520" w:type="dxa"/>
            <w:noWrap/>
            <w:hideMark/>
          </w:tcPr>
          <w:p w:rsidR="006D2E90" w:rsidRPr="006D2E90" w:rsidP="00E2669C" w14:paraId="026F2FBD" w14:textId="39C5D36D">
            <w:pPr>
              <w:widowControl w:val="0"/>
              <w:rPr>
                <w:rFonts w:ascii="Times New Roman" w:hAnsi="Times New Roman"/>
              </w:rPr>
            </w:pPr>
            <w:r w:rsidRPr="006D2E90">
              <w:rPr>
                <w:rFonts w:ascii="Times New Roman" w:eastAsia="Times New Roman" w:hAnsi="Times New Roman"/>
                <w:color w:val="000000"/>
              </w:rPr>
              <w:t>16,82</w:t>
            </w:r>
            <w:r w:rsidR="00BA4AD0">
              <w:rPr>
                <w:rFonts w:ascii="Times New Roman" w:eastAsia="Times New Roman" w:hAnsi="Times New Roman"/>
                <w:color w:val="000000"/>
              </w:rPr>
              <w:t>6</w:t>
            </w:r>
            <w:r w:rsidRPr="006D2E90">
              <w:rPr>
                <w:rFonts w:ascii="Times New Roman" w:eastAsia="Times New Roman" w:hAnsi="Times New Roman"/>
                <w:color w:val="000000"/>
              </w:rPr>
              <w:t>,</w:t>
            </w:r>
            <w:r w:rsidR="00BA4AD0">
              <w:rPr>
                <w:rFonts w:ascii="Times New Roman" w:eastAsia="Times New Roman" w:hAnsi="Times New Roman"/>
                <w:color w:val="000000"/>
              </w:rPr>
              <w:t>105</w:t>
            </w:r>
            <w:r w:rsidRPr="006D2E90">
              <w:rPr>
                <w:rFonts w:ascii="Times New Roman" w:eastAsia="Times New Roman" w:hAnsi="Times New Roman"/>
                <w:color w:val="000000"/>
              </w:rPr>
              <w:t xml:space="preserve"> </w:t>
            </w:r>
          </w:p>
        </w:tc>
      </w:tr>
      <w:tr w14:paraId="5DABED8A" w14:textId="77777777" w:rsidTr="5CA521F6">
        <w:tblPrEx>
          <w:tblW w:w="10680" w:type="dxa"/>
          <w:tblInd w:w="-515" w:type="dxa"/>
          <w:tblLook w:val="04A0"/>
        </w:tblPrEx>
        <w:trPr>
          <w:trHeight w:val="300"/>
        </w:trPr>
        <w:tc>
          <w:tcPr>
            <w:tcW w:w="5280" w:type="dxa"/>
            <w:noWrap/>
            <w:hideMark/>
          </w:tcPr>
          <w:p w:rsidR="006D2E90" w:rsidRPr="006D2E90" w:rsidP="00E2669C" w14:paraId="47F2BD2F" w14:textId="1DC8157E">
            <w:pPr>
              <w:widowControl w:val="0"/>
              <w:rPr>
                <w:rFonts w:ascii="Times New Roman" w:hAnsi="Times New Roman"/>
              </w:rPr>
            </w:pPr>
            <w:r w:rsidRPr="006D2E90">
              <w:rPr>
                <w:rFonts w:ascii="Times New Roman" w:eastAsia="Times New Roman" w:hAnsi="Times New Roman"/>
                <w:color w:val="000000"/>
              </w:rPr>
              <w:t>FinCEN identifier applications for individuals</w:t>
            </w:r>
          </w:p>
        </w:tc>
        <w:tc>
          <w:tcPr>
            <w:tcW w:w="2880" w:type="dxa"/>
            <w:noWrap/>
            <w:hideMark/>
          </w:tcPr>
          <w:p w:rsidR="006D2E90" w:rsidRPr="006D2E90" w:rsidP="00E2669C" w14:paraId="4650927C" w14:textId="1D8C723A">
            <w:pPr>
              <w:widowControl w:val="0"/>
              <w:rPr>
                <w:rFonts w:ascii="Times New Roman" w:hAnsi="Times New Roman"/>
              </w:rPr>
            </w:pPr>
            <w:r w:rsidRPr="006D2E90">
              <w:rPr>
                <w:rFonts w:ascii="Times New Roman" w:eastAsia="Times New Roman" w:hAnsi="Times New Roman"/>
                <w:color w:val="000000"/>
              </w:rPr>
              <w:t>49,9</w:t>
            </w:r>
            <w:r w:rsidR="00BA4AD0">
              <w:rPr>
                <w:rFonts w:ascii="Times New Roman" w:eastAsia="Times New Roman" w:hAnsi="Times New Roman"/>
                <w:color w:val="000000"/>
              </w:rPr>
              <w:t>85</w:t>
            </w:r>
            <w:r w:rsidRPr="006D2E90">
              <w:rPr>
                <w:rFonts w:ascii="Times New Roman" w:eastAsia="Times New Roman" w:hAnsi="Times New Roman"/>
                <w:color w:val="000000"/>
              </w:rPr>
              <w:t xml:space="preserve"> </w:t>
            </w:r>
          </w:p>
        </w:tc>
        <w:tc>
          <w:tcPr>
            <w:tcW w:w="2520" w:type="dxa"/>
            <w:noWrap/>
            <w:hideMark/>
          </w:tcPr>
          <w:p w:rsidR="006D2E90" w:rsidRPr="006D2E90" w:rsidP="00E2669C" w14:paraId="1C1073CB" w14:textId="12EC02FB">
            <w:pPr>
              <w:widowControl w:val="0"/>
              <w:rPr>
                <w:rFonts w:ascii="Times New Roman" w:hAnsi="Times New Roman"/>
              </w:rPr>
            </w:pPr>
            <w:r w:rsidRPr="006D2E90">
              <w:rPr>
                <w:rFonts w:ascii="Times New Roman" w:eastAsia="Times New Roman" w:hAnsi="Times New Roman"/>
                <w:color w:val="000000"/>
              </w:rPr>
              <w:t>16,66</w:t>
            </w:r>
            <w:r w:rsidR="00BA4AD0">
              <w:rPr>
                <w:rFonts w:ascii="Times New Roman" w:eastAsia="Times New Roman" w:hAnsi="Times New Roman"/>
                <w:color w:val="000000"/>
              </w:rPr>
              <w:t>2</w:t>
            </w:r>
            <w:r w:rsidRPr="006D2E90">
              <w:rPr>
                <w:rFonts w:ascii="Times New Roman" w:eastAsia="Times New Roman" w:hAnsi="Times New Roman"/>
                <w:color w:val="000000"/>
              </w:rPr>
              <w:t xml:space="preserve"> </w:t>
            </w:r>
          </w:p>
        </w:tc>
      </w:tr>
      <w:tr w14:paraId="18EE3642" w14:textId="77777777" w:rsidTr="5CA521F6">
        <w:tblPrEx>
          <w:tblW w:w="10680" w:type="dxa"/>
          <w:tblInd w:w="-515" w:type="dxa"/>
          <w:tblLook w:val="04A0"/>
        </w:tblPrEx>
        <w:trPr>
          <w:trHeight w:val="300"/>
        </w:trPr>
        <w:tc>
          <w:tcPr>
            <w:tcW w:w="5280" w:type="dxa"/>
            <w:noWrap/>
            <w:hideMark/>
          </w:tcPr>
          <w:p w:rsidR="006D2E90" w:rsidRPr="006D2E90" w:rsidP="00E2669C" w14:paraId="27C4A23F" w14:textId="221CE3EE">
            <w:pPr>
              <w:widowControl w:val="0"/>
              <w:rPr>
                <w:rFonts w:ascii="Times New Roman" w:hAnsi="Times New Roman"/>
              </w:rPr>
            </w:pPr>
            <w:r w:rsidRPr="006D2E90">
              <w:rPr>
                <w:rFonts w:ascii="Times New Roman" w:eastAsia="Times New Roman" w:hAnsi="Times New Roman"/>
                <w:color w:val="000000"/>
              </w:rPr>
              <w:t>FinCEN identifiers updates for individuals</w:t>
            </w:r>
          </w:p>
        </w:tc>
        <w:tc>
          <w:tcPr>
            <w:tcW w:w="2880" w:type="dxa"/>
            <w:noWrap/>
            <w:hideMark/>
          </w:tcPr>
          <w:p w:rsidR="006D2E90" w:rsidRPr="006D2E90" w:rsidP="00E2669C" w14:paraId="3D911FEE" w14:textId="09CD15D0">
            <w:pPr>
              <w:widowControl w:val="0"/>
              <w:rPr>
                <w:rFonts w:ascii="Times New Roman" w:hAnsi="Times New Roman"/>
              </w:rPr>
            </w:pPr>
            <w:r w:rsidRPr="006D2E90">
              <w:rPr>
                <w:rFonts w:ascii="Times New Roman" w:eastAsia="Times New Roman" w:hAnsi="Times New Roman"/>
                <w:color w:val="000000"/>
              </w:rPr>
              <w:t>26,5</w:t>
            </w:r>
            <w:r w:rsidR="00BA4AD0">
              <w:rPr>
                <w:rFonts w:ascii="Times New Roman" w:eastAsia="Times New Roman" w:hAnsi="Times New Roman"/>
                <w:color w:val="000000"/>
              </w:rPr>
              <w:t>75</w:t>
            </w:r>
            <w:r w:rsidRPr="006D2E90">
              <w:rPr>
                <w:rFonts w:ascii="Times New Roman" w:eastAsia="Times New Roman" w:hAnsi="Times New Roman"/>
                <w:color w:val="000000"/>
              </w:rPr>
              <w:t xml:space="preserve"> </w:t>
            </w:r>
          </w:p>
        </w:tc>
        <w:tc>
          <w:tcPr>
            <w:tcW w:w="2520" w:type="dxa"/>
            <w:noWrap/>
            <w:hideMark/>
          </w:tcPr>
          <w:p w:rsidR="006D2E90" w:rsidRPr="006D2E90" w:rsidP="00E2669C" w14:paraId="0382CD86" w14:textId="43F7D8C7">
            <w:pPr>
              <w:widowControl w:val="0"/>
              <w:rPr>
                <w:rFonts w:ascii="Times New Roman" w:hAnsi="Times New Roman"/>
              </w:rPr>
            </w:pPr>
            <w:r w:rsidRPr="006D2E90">
              <w:rPr>
                <w:rFonts w:ascii="Times New Roman" w:eastAsia="Times New Roman" w:hAnsi="Times New Roman"/>
                <w:color w:val="000000"/>
              </w:rPr>
              <w:t>4,4</w:t>
            </w:r>
            <w:r w:rsidR="00BA4AD0">
              <w:rPr>
                <w:rFonts w:ascii="Times New Roman" w:eastAsia="Times New Roman" w:hAnsi="Times New Roman"/>
                <w:color w:val="000000"/>
              </w:rPr>
              <w:t>29</w:t>
            </w:r>
            <w:r w:rsidRPr="006D2E90">
              <w:rPr>
                <w:rFonts w:ascii="Times New Roman" w:eastAsia="Times New Roman" w:hAnsi="Times New Roman"/>
                <w:color w:val="000000"/>
              </w:rPr>
              <w:t xml:space="preserve"> </w:t>
            </w:r>
          </w:p>
        </w:tc>
      </w:tr>
      <w:tr w14:paraId="48EA0C08" w14:textId="77777777" w:rsidTr="5CA521F6">
        <w:tblPrEx>
          <w:tblW w:w="10680" w:type="dxa"/>
          <w:tblInd w:w="-515" w:type="dxa"/>
          <w:tblLook w:val="04A0"/>
        </w:tblPrEx>
        <w:trPr>
          <w:trHeight w:val="315"/>
        </w:trPr>
        <w:tc>
          <w:tcPr>
            <w:tcW w:w="5280" w:type="dxa"/>
            <w:noWrap/>
            <w:hideMark/>
          </w:tcPr>
          <w:p w:rsidR="006D2E90" w:rsidRPr="006D2E90" w:rsidP="00E2669C" w14:paraId="080D0938" w14:textId="77777777">
            <w:pPr>
              <w:widowControl w:val="0"/>
              <w:rPr>
                <w:rFonts w:ascii="Times New Roman" w:hAnsi="Times New Roman"/>
                <w:b/>
                <w:bCs/>
                <w:u w:val="single"/>
              </w:rPr>
            </w:pPr>
            <w:r w:rsidRPr="006D2E90">
              <w:rPr>
                <w:rFonts w:ascii="Times New Roman" w:hAnsi="Times New Roman"/>
                <w:b/>
                <w:bCs/>
                <w:u w:val="single"/>
              </w:rPr>
              <w:t>Totals</w:t>
            </w:r>
          </w:p>
        </w:tc>
        <w:tc>
          <w:tcPr>
            <w:tcW w:w="2880" w:type="dxa"/>
            <w:noWrap/>
            <w:hideMark/>
          </w:tcPr>
          <w:p w:rsidR="006D2E90" w:rsidRPr="006D2E90" w:rsidP="00E2669C" w14:paraId="7727571F" w14:textId="51D5AF58">
            <w:pPr>
              <w:widowControl w:val="0"/>
              <w:rPr>
                <w:rFonts w:ascii="Times New Roman" w:hAnsi="Times New Roman"/>
                <w:b/>
              </w:rPr>
            </w:pPr>
            <w:r w:rsidRPr="006D2E90">
              <w:rPr>
                <w:rFonts w:ascii="Times New Roman" w:eastAsia="Times New Roman" w:hAnsi="Times New Roman"/>
                <w:color w:val="000000"/>
              </w:rPr>
              <w:t>19,53</w:t>
            </w:r>
            <w:r w:rsidR="00BA4AD0">
              <w:rPr>
                <w:rFonts w:ascii="Times New Roman" w:eastAsia="Times New Roman" w:hAnsi="Times New Roman"/>
                <w:color w:val="000000"/>
              </w:rPr>
              <w:t>1</w:t>
            </w:r>
            <w:r w:rsidRPr="006D2E90">
              <w:rPr>
                <w:rFonts w:ascii="Times New Roman" w:eastAsia="Times New Roman" w:hAnsi="Times New Roman"/>
                <w:color w:val="000000"/>
              </w:rPr>
              <w:t>,</w:t>
            </w:r>
            <w:r w:rsidR="00BA4AD0">
              <w:rPr>
                <w:rFonts w:ascii="Times New Roman" w:eastAsia="Times New Roman" w:hAnsi="Times New Roman"/>
                <w:color w:val="000000"/>
              </w:rPr>
              <w:t>480</w:t>
            </w:r>
            <w:r w:rsidRPr="006D2E90">
              <w:rPr>
                <w:rFonts w:ascii="Times New Roman" w:eastAsia="Times New Roman" w:hAnsi="Times New Roman"/>
                <w:color w:val="000000"/>
              </w:rPr>
              <w:t xml:space="preserve">                                            </w:t>
            </w:r>
          </w:p>
        </w:tc>
        <w:tc>
          <w:tcPr>
            <w:tcW w:w="2520" w:type="dxa"/>
            <w:noWrap/>
            <w:hideMark/>
          </w:tcPr>
          <w:p w:rsidR="006D2E90" w:rsidRPr="006D2E90" w:rsidP="00E2669C" w14:paraId="3B463FCA" w14:textId="68321D5D">
            <w:pPr>
              <w:widowControl w:val="0"/>
              <w:rPr>
                <w:rFonts w:ascii="Times New Roman" w:hAnsi="Times New Roman"/>
                <w:b/>
              </w:rPr>
            </w:pPr>
            <w:r w:rsidRPr="006D2E90">
              <w:rPr>
                <w:rFonts w:ascii="Times New Roman" w:eastAsia="Times New Roman" w:hAnsi="Times New Roman"/>
                <w:color w:val="000000"/>
              </w:rPr>
              <w:t>35,05</w:t>
            </w:r>
            <w:r w:rsidR="1D20E8DF">
              <w:rPr>
                <w:rFonts w:ascii="Times New Roman" w:eastAsia="Times New Roman" w:hAnsi="Times New Roman"/>
                <w:color w:val="000000"/>
              </w:rPr>
              <w:t>1</w:t>
            </w:r>
            <w:r w:rsidRPr="006D2E90">
              <w:rPr>
                <w:rFonts w:ascii="Times New Roman" w:eastAsia="Times New Roman" w:hAnsi="Times New Roman"/>
                <w:color w:val="000000"/>
              </w:rPr>
              <w:t>,</w:t>
            </w:r>
            <w:r w:rsidR="1D20E8DF">
              <w:rPr>
                <w:rFonts w:ascii="Times New Roman" w:eastAsia="Times New Roman" w:hAnsi="Times New Roman"/>
                <w:color w:val="000000"/>
              </w:rPr>
              <w:t>617</w:t>
            </w:r>
            <w:r>
              <w:rPr>
                <w:rStyle w:val="FootnoteReference"/>
                <w:rFonts w:ascii="Times New Roman" w:eastAsia="Times New Roman" w:hAnsi="Times New Roman"/>
                <w:color w:val="000000"/>
              </w:rPr>
              <w:footnoteReference w:id="54"/>
            </w:r>
            <w:r w:rsidRPr="006D2E90">
              <w:rPr>
                <w:rFonts w:ascii="Times New Roman" w:eastAsia="Times New Roman" w:hAnsi="Times New Roman"/>
                <w:color w:val="000000"/>
              </w:rPr>
              <w:t xml:space="preserve">                                            </w:t>
            </w:r>
          </w:p>
        </w:tc>
      </w:tr>
    </w:tbl>
    <w:p w:rsidR="00600940" w:rsidRPr="003925FB" w:rsidP="00CE1E17" w14:paraId="29884DF8" w14:textId="0097DD90">
      <w:pPr>
        <w:widowControl w:val="0"/>
        <w:autoSpaceDE w:val="0"/>
        <w:autoSpaceDN w:val="0"/>
        <w:adjustRightInd w:val="0"/>
        <w:spacing w:before="240" w:after="240" w:line="240" w:lineRule="exact"/>
        <w:jc w:val="both"/>
        <w:rPr>
          <w:szCs w:val="22"/>
        </w:rPr>
      </w:pPr>
      <w:r>
        <w:t xml:space="preserve">13. </w:t>
      </w:r>
      <w:r>
        <w:rPr>
          <w:u w:val="single"/>
        </w:rPr>
        <w:t xml:space="preserve">Estimated </w:t>
      </w:r>
      <w:r w:rsidR="00902855">
        <w:rPr>
          <w:u w:val="single"/>
        </w:rPr>
        <w:t>annual cost to respondents for h</w:t>
      </w:r>
      <w:r>
        <w:rPr>
          <w:u w:val="single"/>
        </w:rPr>
        <w:t xml:space="preserve">our </w:t>
      </w:r>
      <w:r w:rsidR="00902855">
        <w:rPr>
          <w:u w:val="single"/>
        </w:rPr>
        <w:t>b</w:t>
      </w:r>
      <w:r>
        <w:rPr>
          <w:u w:val="single"/>
        </w:rPr>
        <w:t>urdens.</w:t>
      </w:r>
      <w:r>
        <w:t xml:space="preserve"> </w:t>
      </w:r>
    </w:p>
    <w:p w:rsidR="00244C85" w:rsidP="00CE1E17" w14:paraId="2996E101" w14:textId="4EFAC691">
      <w:pPr>
        <w:spacing w:after="240"/>
        <w:ind w:firstLine="720"/>
        <w:rPr>
          <w:szCs w:val="22"/>
        </w:rPr>
      </w:pPr>
      <w:r>
        <w:t xml:space="preserve">As noted in the prior response, </w:t>
      </w:r>
      <w:r w:rsidRPr="5CA521F6">
        <w:t xml:space="preserve">FinCEN has estimated annual cost for </w:t>
      </w:r>
      <w:r w:rsidRPr="5CA521F6" w:rsidR="11FEB489">
        <w:t xml:space="preserve">two </w:t>
      </w:r>
      <w:r w:rsidRPr="5CA521F6">
        <w:t xml:space="preserve">information collections under the </w:t>
      </w:r>
      <w:r w:rsidRPr="5CA521F6" w:rsidR="1A7A9160">
        <w:t>final</w:t>
      </w:r>
      <w:r w:rsidRPr="5CA521F6">
        <w:t xml:space="preserve"> rule.</w:t>
      </w:r>
      <w:r>
        <w:rPr>
          <w:rStyle w:val="FootnoteReference"/>
        </w:rPr>
        <w:footnoteReference w:id="55"/>
      </w:r>
      <w:r w:rsidRPr="5CA521F6">
        <w:t xml:space="preserve">  Each information collection includes estimates for costs of initial and updated reports or applications.  Additionally, each information collection includes cost esti</w:t>
      </w:r>
      <w:r w:rsidRPr="5CA521F6">
        <w:t xml:space="preserve">mates for Year 1 and then annual cost estimates for any year after Year 1 (Year 2+).  </w:t>
      </w:r>
      <w:r w:rsidRPr="5CA521F6" w:rsidR="3BEB4414">
        <w:t>FinCEN applies a</w:t>
      </w:r>
      <w:r w:rsidRPr="5CA521F6" w:rsidR="6639C09A">
        <w:t>n average</w:t>
      </w:r>
      <w:r w:rsidRPr="5CA521F6" w:rsidR="3BEB4414">
        <w:t xml:space="preserve"> wage rate of $56.76 throughout the analysis.</w:t>
      </w:r>
      <w:r>
        <w:rPr>
          <w:rStyle w:val="FootnoteReference"/>
        </w:rPr>
        <w:footnoteReference w:id="56"/>
      </w:r>
    </w:p>
    <w:p w:rsidR="00244C85" w:rsidP="00CE1E17" w14:paraId="7256B44C" w14:textId="2DF621EA">
      <w:pPr>
        <w:pStyle w:val="ListParagraph"/>
        <w:spacing w:after="240"/>
      </w:pPr>
      <w:r>
        <w:t xml:space="preserve">A. </w:t>
      </w:r>
      <w:r w:rsidRPr="00244C85">
        <w:t>BOIRs</w:t>
      </w:r>
    </w:p>
    <w:p w:rsidR="009130E6" w:rsidRPr="00244C85" w:rsidP="00CE1E17" w14:paraId="69342B27" w14:textId="7406CDA9">
      <w:pPr>
        <w:spacing w:after="240"/>
      </w:pPr>
      <w:r>
        <w:t>FinCEN estimates the average cost of filing an initial BOI</w:t>
      </w:r>
      <w:r w:rsidR="00FD4A1D">
        <w:t>R</w:t>
      </w:r>
      <w:r w:rsidR="309E4C7C">
        <w:t xml:space="preserve"> per reporting company to be</w:t>
      </w:r>
      <w:r>
        <w:t xml:space="preserve"> </w:t>
      </w:r>
      <w:r>
        <w:t xml:space="preserve">$85.14 for those with a simple </w:t>
      </w:r>
      <w:r w:rsidR="309E4C7C">
        <w:t>ownership</w:t>
      </w:r>
      <w:r>
        <w:t xml:space="preserve"> structure, </w:t>
      </w:r>
      <w:r w:rsidR="309E4C7C">
        <w:t xml:space="preserve">$1,350.00 for those with an intermediate reporting structure, and </w:t>
      </w:r>
      <w:r>
        <w:t>$2,614.87</w:t>
      </w:r>
      <w:r w:rsidR="309E4C7C">
        <w:t xml:space="preserve"> for those with a complex ownership structure</w:t>
      </w:r>
      <w:r>
        <w:t>.</w:t>
      </w:r>
      <w:r>
        <w:rPr>
          <w:rStyle w:val="FootnoteReference"/>
        </w:rPr>
        <w:footnoteReference w:id="57"/>
      </w:r>
      <w:r>
        <w:t xml:space="preserve">  FinCEN estimates the average cost of filing an updated BOI</w:t>
      </w:r>
      <w:r w:rsidR="00FD4A1D">
        <w:t>R</w:t>
      </w:r>
      <w:r>
        <w:t xml:space="preserve"> per</w:t>
      </w:r>
      <w:r w:rsidR="309E4C7C">
        <w:t xml:space="preserve"> reporting company to be $37.84 for those with a simple ownership structure, $299.33 for those with an intermediate ownership structure, and </w:t>
      </w:r>
      <w:r>
        <w:t>$560.81</w:t>
      </w:r>
      <w:r w:rsidR="309E4C7C">
        <w:t xml:space="preserve"> for those with a complex ownership structure</w:t>
      </w:r>
      <w:r>
        <w:t>.</w:t>
      </w:r>
      <w:r>
        <w:rPr>
          <w:rStyle w:val="FootnoteReference"/>
        </w:rPr>
        <w:footnoteReference w:id="58"/>
      </w:r>
    </w:p>
    <w:p w:rsidR="00D52A5D" w:rsidP="00E2669C" w14:paraId="221AACB1" w14:textId="63D25026">
      <w:pPr>
        <w:spacing w:before="254"/>
      </w:pPr>
      <w:r w:rsidRPr="00F341E0">
        <w:rPr>
          <w:i/>
        </w:rPr>
        <w:t>Estimated Total Reporting Cost:</w:t>
      </w:r>
    </w:p>
    <w:p w:rsidR="00D52A5D" w:rsidP="00E2669C" w14:paraId="0E35A900" w14:textId="7ACFA525">
      <w:pPr>
        <w:pStyle w:val="ListParagraph"/>
        <w:widowControl w:val="0"/>
        <w:numPr>
          <w:ilvl w:val="0"/>
          <w:numId w:val="6"/>
        </w:numPr>
      </w:pPr>
      <w:r>
        <w:t xml:space="preserve">Initial reports, Year 1: </w:t>
      </w:r>
      <w:r w:rsidR="3BEB4414">
        <w:t>$21,</w:t>
      </w:r>
      <w:r w:rsidR="5367CE9B">
        <w:t>673,487,885.48</w:t>
      </w:r>
      <w:r w:rsidRPr="00F341E0">
        <w:t>.</w:t>
      </w:r>
      <w:r>
        <w:rPr>
          <w:rStyle w:val="FootnoteReference"/>
        </w:rPr>
        <w:footnoteReference w:id="59"/>
      </w:r>
      <w:r w:rsidRPr="00F341E0">
        <w:t xml:space="preserve">  </w:t>
      </w:r>
    </w:p>
    <w:p w:rsidR="00D52A5D" w:rsidP="00E2669C" w14:paraId="3BA12D9B" w14:textId="6E7D8842">
      <w:pPr>
        <w:pStyle w:val="ListParagraph"/>
        <w:widowControl w:val="0"/>
        <w:numPr>
          <w:ilvl w:val="0"/>
          <w:numId w:val="6"/>
        </w:numPr>
      </w:pPr>
      <w:r>
        <w:t xml:space="preserve">Initial reports, Year 2+: </w:t>
      </w:r>
      <w:r w:rsidR="309E4C7C">
        <w:t>$3,</w:t>
      </w:r>
      <w:r w:rsidR="5367CE9B">
        <w:t>327,532,419.21</w:t>
      </w:r>
      <w:r w:rsidRPr="00F341E0">
        <w:t>.</w:t>
      </w:r>
      <w:r>
        <w:rPr>
          <w:rStyle w:val="FootnoteReference"/>
        </w:rPr>
        <w:footnoteReference w:id="60"/>
      </w:r>
      <w:r w:rsidRPr="00F341E0">
        <w:t xml:space="preserve"> </w:t>
      </w:r>
      <w:r>
        <w:t xml:space="preserve"> </w:t>
      </w:r>
    </w:p>
    <w:p w:rsidR="0012676F" w:rsidP="00E2669C" w14:paraId="72545929" w14:textId="1626F021">
      <w:pPr>
        <w:pStyle w:val="ListParagraph"/>
        <w:widowControl w:val="0"/>
        <w:numPr>
          <w:ilvl w:val="0"/>
          <w:numId w:val="6"/>
        </w:numPr>
      </w:pPr>
      <w:r>
        <w:t xml:space="preserve">Initial reports, Years 1-5 average: </w:t>
      </w:r>
      <w:r w:rsidR="00BA7072">
        <w:t>$6,</w:t>
      </w:r>
      <w:r w:rsidR="000853EF">
        <w:t xml:space="preserve">996,723,512. </w:t>
      </w:r>
    </w:p>
    <w:p w:rsidR="00D52A5D" w:rsidP="00E2669C" w14:paraId="315F6D86" w14:textId="42B6C8AE">
      <w:pPr>
        <w:pStyle w:val="ListParagraph"/>
        <w:widowControl w:val="0"/>
        <w:numPr>
          <w:ilvl w:val="0"/>
          <w:numId w:val="6"/>
        </w:numPr>
      </w:pPr>
      <w:r>
        <w:t>Updated reports, Year 1:</w:t>
      </w:r>
      <w:r w:rsidRPr="00F341E0">
        <w:t xml:space="preserve"> </w:t>
      </w:r>
      <w:r>
        <w:t xml:space="preserve"> </w:t>
      </w:r>
      <w:r w:rsidR="309E4C7C">
        <w:t>$1,038,</w:t>
      </w:r>
      <w:r w:rsidR="6768C1AC">
        <w:t>524,428.72</w:t>
      </w:r>
      <w:r w:rsidRPr="00F341E0">
        <w:t>.</w:t>
      </w:r>
      <w:r>
        <w:rPr>
          <w:rStyle w:val="FootnoteReference"/>
        </w:rPr>
        <w:footnoteReference w:id="61"/>
      </w:r>
      <w:r>
        <w:t xml:space="preserve"> </w:t>
      </w:r>
    </w:p>
    <w:p w:rsidR="00D52A5D" w:rsidP="00E2669C" w14:paraId="34F97BD5" w14:textId="486F7DB5">
      <w:pPr>
        <w:pStyle w:val="ListParagraph"/>
        <w:widowControl w:val="0"/>
        <w:numPr>
          <w:ilvl w:val="0"/>
          <w:numId w:val="6"/>
        </w:numPr>
      </w:pPr>
      <w:r>
        <w:t xml:space="preserve">Updated reports, Year 2+: </w:t>
      </w:r>
      <w:r w:rsidR="5F133553">
        <w:t>$2,282,</w:t>
      </w:r>
      <w:r w:rsidR="6768C1AC">
        <w:t>108,290.77</w:t>
      </w:r>
      <w:r w:rsidRPr="00F341E0">
        <w:t>.</w:t>
      </w:r>
      <w:r>
        <w:rPr>
          <w:rStyle w:val="FootnoteReference"/>
        </w:rPr>
        <w:footnoteReference w:id="62"/>
      </w:r>
    </w:p>
    <w:p w:rsidR="00D52A5D" w:rsidRPr="00CE1E17" w:rsidP="00CE1E17" w14:paraId="6B5EBCC3" w14:textId="232C7F37">
      <w:pPr>
        <w:pStyle w:val="ListParagraph"/>
        <w:widowControl w:val="0"/>
        <w:numPr>
          <w:ilvl w:val="0"/>
          <w:numId w:val="6"/>
        </w:numPr>
        <w:spacing w:after="240"/>
        <w:contextualSpacing w:val="0"/>
        <w:rPr>
          <w:rFonts w:eastAsia="MS Mincho"/>
          <w:szCs w:val="20"/>
        </w:rPr>
      </w:pPr>
      <w:r>
        <w:t>Updated reports, Years 1-5 average: $2,033,</w:t>
      </w:r>
      <w:r w:rsidR="00343D22">
        <w:t>391,518.</w:t>
      </w:r>
    </w:p>
    <w:p w:rsidR="00D52A5D" w:rsidRPr="00D52A5D" w:rsidP="00CE1E17" w14:paraId="1DE41808" w14:textId="171F0B1D">
      <w:pPr>
        <w:pStyle w:val="ListParagraph"/>
        <w:contextualSpacing w:val="0"/>
        <w:rPr>
          <w:i/>
        </w:rPr>
      </w:pPr>
      <w:r>
        <w:t>B. Individuals Applying for a FinCEN Identifier</w:t>
      </w:r>
    </w:p>
    <w:p w:rsidR="00D52A5D" w:rsidRPr="00D52A5D" w:rsidP="00E2669C" w14:paraId="2D39D6BA" w14:textId="329D9EB7">
      <w:pPr>
        <w:spacing w:before="254"/>
      </w:pPr>
      <w:r>
        <w:rPr>
          <w:i/>
        </w:rPr>
        <w:t>Estimated Total Re</w:t>
      </w:r>
      <w:r w:rsidRPr="00F341E0">
        <w:rPr>
          <w:i/>
        </w:rPr>
        <w:t>porting Cost:</w:t>
      </w:r>
    </w:p>
    <w:p w:rsidR="00D52A5D" w:rsidP="00E2669C" w14:paraId="0FDF4960" w14:textId="605E9325">
      <w:pPr>
        <w:pStyle w:val="ListParagraph"/>
        <w:widowControl w:val="0"/>
        <w:numPr>
          <w:ilvl w:val="0"/>
          <w:numId w:val="6"/>
        </w:numPr>
      </w:pPr>
      <w:r>
        <w:t xml:space="preserve">Initial applications, Year 1: </w:t>
      </w:r>
      <w:r w:rsidRPr="000567EA" w:rsidR="2ABA1FAD">
        <w:t>$6</w:t>
      </w:r>
      <w:r w:rsidR="42E16846">
        <w:t>,</w:t>
      </w:r>
      <w:r w:rsidRPr="000567EA" w:rsidR="2ABA1FAD">
        <w:t>1</w:t>
      </w:r>
      <w:r w:rsidRPr="00DB7905" w:rsidR="5B7E14F9">
        <w:t>59,488.81</w:t>
      </w:r>
      <w:r w:rsidRPr="00F341E0">
        <w:t>.</w:t>
      </w:r>
      <w:r>
        <w:rPr>
          <w:rStyle w:val="FootnoteReference"/>
        </w:rPr>
        <w:footnoteReference w:id="63"/>
      </w:r>
      <w:r w:rsidRPr="00F341E0">
        <w:t xml:space="preserve">  </w:t>
      </w:r>
      <w:r>
        <w:t xml:space="preserve">  </w:t>
      </w:r>
      <w:r w:rsidRPr="00F341E0">
        <w:t xml:space="preserve"> </w:t>
      </w:r>
    </w:p>
    <w:p w:rsidR="00D52A5D" w:rsidP="00E2669C" w14:paraId="040E8E8B" w14:textId="7AE481BD">
      <w:pPr>
        <w:pStyle w:val="ListParagraph"/>
        <w:widowControl w:val="0"/>
        <w:numPr>
          <w:ilvl w:val="0"/>
          <w:numId w:val="6"/>
        </w:numPr>
      </w:pPr>
      <w:r>
        <w:t>Initial applications</w:t>
      </w:r>
      <w:r w:rsidR="4F11A06A">
        <w:t xml:space="preserve">, Year 2+: </w:t>
      </w:r>
      <w:r w:rsidR="2ABA1FAD">
        <w:t>$945,</w:t>
      </w:r>
      <w:r w:rsidR="23490598">
        <w:t>666.84.</w:t>
      </w:r>
      <w:r>
        <w:rPr>
          <w:rStyle w:val="FootnoteReference"/>
        </w:rPr>
        <w:footnoteReference w:id="64"/>
      </w:r>
      <w:r w:rsidRPr="00F341E0" w:rsidR="4F11A06A">
        <w:t xml:space="preserve">  </w:t>
      </w:r>
      <w:r w:rsidRPr="00F341E0">
        <w:t xml:space="preserve"> </w:t>
      </w:r>
    </w:p>
    <w:p w:rsidR="000567EA" w:rsidP="00E2669C" w14:paraId="426F1631" w14:textId="60C32F5D">
      <w:pPr>
        <w:pStyle w:val="ListParagraph"/>
        <w:widowControl w:val="0"/>
        <w:numPr>
          <w:ilvl w:val="0"/>
          <w:numId w:val="6"/>
        </w:numPr>
      </w:pPr>
      <w:r>
        <w:t xml:space="preserve">Initial applications, Years 1-5 average: </w:t>
      </w:r>
      <w:r w:rsidR="00E72155">
        <w:t>$1,988,</w:t>
      </w:r>
      <w:r w:rsidR="000A3D3B">
        <w:t>431.</w:t>
      </w:r>
    </w:p>
    <w:p w:rsidR="00DD377D" w:rsidP="00E2669C" w14:paraId="02FBDB51" w14:textId="0CE0FB2E">
      <w:pPr>
        <w:pStyle w:val="ListParagraph"/>
        <w:widowControl w:val="0"/>
        <w:numPr>
          <w:ilvl w:val="0"/>
          <w:numId w:val="6"/>
        </w:numPr>
      </w:pPr>
      <w:r>
        <w:t xml:space="preserve">Updated applications, Year 1: </w:t>
      </w:r>
      <w:r w:rsidR="2ABA1FAD">
        <w:t>$</w:t>
      </w:r>
      <w:r w:rsidR="42E16846">
        <w:t>115,2</w:t>
      </w:r>
      <w:r w:rsidRPr="003713D1" w:rsidR="42E16846">
        <w:t>18.68</w:t>
      </w:r>
      <w:r w:rsidR="4F11A06A">
        <w:t>.</w:t>
      </w:r>
      <w:r>
        <w:rPr>
          <w:rStyle w:val="FootnoteReference"/>
        </w:rPr>
        <w:footnoteReference w:id="65"/>
      </w:r>
      <w:r w:rsidRPr="00F341E0" w:rsidR="4F11A06A">
        <w:t xml:space="preserve"> </w:t>
      </w:r>
      <w:r>
        <w:t xml:space="preserve"> </w:t>
      </w:r>
    </w:p>
    <w:p w:rsidR="00A4089F" w:rsidP="00E2669C" w14:paraId="211B9A66" w14:textId="2E10CE88">
      <w:pPr>
        <w:pStyle w:val="ListParagraph"/>
        <w:widowControl w:val="0"/>
        <w:numPr>
          <w:ilvl w:val="0"/>
          <w:numId w:val="6"/>
        </w:numPr>
      </w:pPr>
      <w:r>
        <w:t xml:space="preserve">Updated applications, Year 2+: </w:t>
      </w:r>
      <w:r w:rsidR="2ABA1FAD">
        <w:t>$251,</w:t>
      </w:r>
      <w:r w:rsidR="607D5079">
        <w:t>386.22</w:t>
      </w:r>
      <w:r w:rsidR="2ABA1FAD">
        <w:t>.</w:t>
      </w:r>
      <w:r>
        <w:rPr>
          <w:rStyle w:val="FootnoteReference"/>
        </w:rPr>
        <w:footnoteReference w:id="66"/>
      </w:r>
    </w:p>
    <w:p w:rsidR="00DD377D" w:rsidRPr="00CE1E17" w:rsidP="00E2669C" w14:paraId="2A343A6F" w14:textId="0A87C2BC">
      <w:pPr>
        <w:pStyle w:val="ListParagraph"/>
        <w:widowControl w:val="0"/>
        <w:numPr>
          <w:ilvl w:val="0"/>
          <w:numId w:val="6"/>
        </w:numPr>
        <w:spacing w:after="240"/>
        <w:contextualSpacing w:val="0"/>
      </w:pPr>
      <w:r>
        <w:t xml:space="preserve">Updated applications, Years 1-5 average: </w:t>
      </w:r>
      <w:r w:rsidR="00E72155">
        <w:t>$224,1</w:t>
      </w:r>
      <w:r w:rsidR="000A3D3B">
        <w:t>53.</w:t>
      </w:r>
    </w:p>
    <w:p w:rsidR="00DD377D" w:rsidP="00CE1E17" w14:paraId="151D7B1D" w14:textId="314727A1">
      <w:pPr>
        <w:widowControl w:val="0"/>
        <w:spacing w:after="240"/>
      </w:pPr>
      <w:r>
        <w:t>The costs for these collections are totaled in the table be</w:t>
      </w:r>
      <w:r>
        <w:t xml:space="preserve">low: </w:t>
      </w:r>
    </w:p>
    <w:tbl>
      <w:tblPr>
        <w:tblStyle w:val="TableGrid"/>
        <w:tblW w:w="7141" w:type="dxa"/>
        <w:jc w:val="center"/>
        <w:tblLook w:val="04A0"/>
      </w:tblPr>
      <w:tblGrid>
        <w:gridCol w:w="4675"/>
        <w:gridCol w:w="2466"/>
      </w:tblGrid>
      <w:tr w14:paraId="209B0E2F" w14:textId="77777777" w:rsidTr="000A4787">
        <w:tblPrEx>
          <w:tblW w:w="7141" w:type="dxa"/>
          <w:jc w:val="center"/>
          <w:tblLook w:val="04A0"/>
        </w:tblPrEx>
        <w:trPr>
          <w:trHeight w:val="315"/>
          <w:jc w:val="center"/>
        </w:trPr>
        <w:tc>
          <w:tcPr>
            <w:tcW w:w="7141" w:type="dxa"/>
            <w:gridSpan w:val="2"/>
            <w:shd w:val="clear" w:color="auto" w:fill="E7E6E6" w:themeFill="background2"/>
            <w:noWrap/>
          </w:tcPr>
          <w:p w:rsidR="00DD377D" w:rsidRPr="00DD377D" w:rsidP="00E2669C" w14:paraId="08A798BC" w14:textId="4AE15CCE">
            <w:pPr>
              <w:widowControl w:val="0"/>
              <w:rPr>
                <w:rFonts w:ascii="Times New Roman" w:hAnsi="Times New Roman"/>
                <w:b/>
                <w:bCs/>
              </w:rPr>
            </w:pPr>
            <w:r w:rsidRPr="00DD377D">
              <w:rPr>
                <w:rFonts w:ascii="Times New Roman" w:hAnsi="Times New Roman"/>
                <w:b/>
                <w:bCs/>
                <w:u w:val="single"/>
              </w:rPr>
              <w:t>Year 1</w:t>
            </w:r>
          </w:p>
        </w:tc>
      </w:tr>
      <w:tr w14:paraId="1E7CB2FA" w14:textId="77777777" w:rsidTr="000A4787">
        <w:tblPrEx>
          <w:tblW w:w="7141" w:type="dxa"/>
          <w:jc w:val="center"/>
          <w:tblLook w:val="04A0"/>
        </w:tblPrEx>
        <w:trPr>
          <w:trHeight w:val="315"/>
          <w:jc w:val="center"/>
        </w:trPr>
        <w:tc>
          <w:tcPr>
            <w:tcW w:w="4675" w:type="dxa"/>
            <w:shd w:val="clear" w:color="auto" w:fill="E2EFD9" w:themeFill="accent6" w:themeFillTint="33"/>
            <w:noWrap/>
            <w:hideMark/>
          </w:tcPr>
          <w:p w:rsidR="00DD377D" w:rsidRPr="00E03582" w:rsidP="00E2669C" w14:paraId="66BEDED2" w14:textId="77777777">
            <w:pPr>
              <w:widowControl w:val="0"/>
              <w:rPr>
                <w:rFonts w:ascii="Times New Roman" w:hAnsi="Times New Roman"/>
                <w:b/>
                <w:bCs/>
                <w:u w:val="single"/>
              </w:rPr>
            </w:pPr>
            <w:r w:rsidRPr="00E03582">
              <w:rPr>
                <w:rFonts w:ascii="Times New Roman" w:hAnsi="Times New Roman"/>
                <w:b/>
                <w:bCs/>
                <w:u w:val="single"/>
              </w:rPr>
              <w:t>Information Collection</w:t>
            </w:r>
          </w:p>
        </w:tc>
        <w:tc>
          <w:tcPr>
            <w:tcW w:w="2466" w:type="dxa"/>
            <w:shd w:val="clear" w:color="auto" w:fill="E2EFD9" w:themeFill="accent6" w:themeFillTint="33"/>
            <w:hideMark/>
          </w:tcPr>
          <w:p w:rsidR="00DD377D" w:rsidRPr="00E03582" w:rsidP="00E2669C" w14:paraId="2F95BCE7" w14:textId="77777777">
            <w:pPr>
              <w:widowControl w:val="0"/>
              <w:rPr>
                <w:rFonts w:ascii="Times New Roman" w:hAnsi="Times New Roman"/>
                <w:b/>
                <w:bCs/>
              </w:rPr>
            </w:pPr>
            <w:r w:rsidRPr="00E03582">
              <w:rPr>
                <w:rFonts w:ascii="Times New Roman" w:hAnsi="Times New Roman"/>
                <w:b/>
                <w:bCs/>
              </w:rPr>
              <w:t>Cost</w:t>
            </w:r>
          </w:p>
        </w:tc>
      </w:tr>
      <w:tr w14:paraId="2D011CA4" w14:textId="77777777" w:rsidTr="000A4787">
        <w:tblPrEx>
          <w:tblW w:w="7141" w:type="dxa"/>
          <w:jc w:val="center"/>
          <w:tblLook w:val="04A0"/>
        </w:tblPrEx>
        <w:trPr>
          <w:trHeight w:val="300"/>
          <w:jc w:val="center"/>
        </w:trPr>
        <w:tc>
          <w:tcPr>
            <w:tcW w:w="4675" w:type="dxa"/>
            <w:noWrap/>
            <w:hideMark/>
          </w:tcPr>
          <w:p w:rsidR="00E03582" w:rsidRPr="00E03582" w:rsidP="00E2669C" w14:paraId="30EAD81E" w14:textId="5D195EFC">
            <w:pPr>
              <w:widowControl w:val="0"/>
              <w:rPr>
                <w:rFonts w:ascii="Times New Roman" w:hAnsi="Times New Roman"/>
              </w:rPr>
            </w:pPr>
            <w:r w:rsidRPr="00E03582">
              <w:rPr>
                <w:rFonts w:ascii="Times New Roman" w:hAnsi="Times New Roman"/>
              </w:rPr>
              <w:t>Initial BOI reports</w:t>
            </w:r>
          </w:p>
        </w:tc>
        <w:tc>
          <w:tcPr>
            <w:tcW w:w="2466" w:type="dxa"/>
            <w:noWrap/>
            <w:hideMark/>
          </w:tcPr>
          <w:p w:rsidR="00E03582" w:rsidRPr="00E03582" w:rsidP="00E2669C" w14:paraId="7376BB6C" w14:textId="71E881CC">
            <w:pPr>
              <w:widowControl w:val="0"/>
              <w:rPr>
                <w:rFonts w:ascii="Times New Roman" w:hAnsi="Times New Roman"/>
              </w:rPr>
            </w:pPr>
            <w:r w:rsidRPr="00E03582">
              <w:rPr>
                <w:rFonts w:ascii="Times New Roman" w:eastAsia="Times New Roman" w:hAnsi="Times New Roman"/>
                <w:color w:val="000000"/>
              </w:rPr>
              <w:t>$21,</w:t>
            </w:r>
            <w:r w:rsidRPr="008E6612">
              <w:rPr>
                <w:rFonts w:ascii="Times New Roman" w:eastAsia="Times New Roman" w:hAnsi="Times New Roman"/>
                <w:color w:val="000000"/>
              </w:rPr>
              <w:t>67</w:t>
            </w:r>
            <w:r w:rsidRPr="008E6612" w:rsidR="008E6612">
              <w:rPr>
                <w:rFonts w:ascii="Times New Roman" w:hAnsi="Times New Roman"/>
                <w:color w:val="000000"/>
              </w:rPr>
              <w:t xml:space="preserve">3,487,885.48 </w:t>
            </w:r>
            <w:r w:rsidRPr="00E03582">
              <w:rPr>
                <w:rFonts w:ascii="Times New Roman" w:eastAsia="Times New Roman" w:hAnsi="Times New Roman"/>
                <w:color w:val="000000"/>
              </w:rPr>
              <w:t xml:space="preserve"> </w:t>
            </w:r>
          </w:p>
        </w:tc>
      </w:tr>
      <w:tr w14:paraId="36E9F44F" w14:textId="77777777" w:rsidTr="000A4787">
        <w:tblPrEx>
          <w:tblW w:w="7141" w:type="dxa"/>
          <w:jc w:val="center"/>
          <w:tblLook w:val="04A0"/>
        </w:tblPrEx>
        <w:trPr>
          <w:trHeight w:val="300"/>
          <w:jc w:val="center"/>
        </w:trPr>
        <w:tc>
          <w:tcPr>
            <w:tcW w:w="4675" w:type="dxa"/>
            <w:noWrap/>
            <w:hideMark/>
          </w:tcPr>
          <w:p w:rsidR="00E03582" w:rsidRPr="00E03582" w:rsidP="00E2669C" w14:paraId="1EB4838A" w14:textId="792E0FD1">
            <w:pPr>
              <w:widowControl w:val="0"/>
              <w:rPr>
                <w:rFonts w:ascii="Times New Roman" w:hAnsi="Times New Roman"/>
              </w:rPr>
            </w:pPr>
            <w:r w:rsidRPr="00E03582">
              <w:rPr>
                <w:rFonts w:ascii="Times New Roman" w:hAnsi="Times New Roman"/>
              </w:rPr>
              <w:t>Updated BOI reports</w:t>
            </w:r>
          </w:p>
        </w:tc>
        <w:tc>
          <w:tcPr>
            <w:tcW w:w="2466" w:type="dxa"/>
            <w:noWrap/>
            <w:hideMark/>
          </w:tcPr>
          <w:p w:rsidR="00E03582" w:rsidRPr="00E03582" w:rsidP="00E2669C" w14:paraId="3BB5577C" w14:textId="7FC85DB3">
            <w:pPr>
              <w:widowControl w:val="0"/>
              <w:rPr>
                <w:rFonts w:ascii="Times New Roman" w:hAnsi="Times New Roman"/>
              </w:rPr>
            </w:pPr>
            <w:r w:rsidRPr="00E03582">
              <w:rPr>
                <w:rFonts w:ascii="Times New Roman" w:eastAsia="Times New Roman" w:hAnsi="Times New Roman"/>
                <w:color w:val="000000"/>
              </w:rPr>
              <w:t>$1,038,</w:t>
            </w:r>
            <w:r w:rsidRPr="008E6612" w:rsidR="008E6612">
              <w:rPr>
                <w:rFonts w:ascii="Times New Roman" w:hAnsi="Times New Roman"/>
                <w:color w:val="000000"/>
              </w:rPr>
              <w:t xml:space="preserve">524,428.72 </w:t>
            </w:r>
            <w:r w:rsidRPr="00E03582">
              <w:rPr>
                <w:rFonts w:ascii="Times New Roman" w:eastAsia="Times New Roman" w:hAnsi="Times New Roman"/>
                <w:color w:val="000000"/>
              </w:rPr>
              <w:t xml:space="preserve"> </w:t>
            </w:r>
          </w:p>
        </w:tc>
      </w:tr>
      <w:tr w14:paraId="7B888B19" w14:textId="77777777" w:rsidTr="000A4787">
        <w:tblPrEx>
          <w:tblW w:w="7141" w:type="dxa"/>
          <w:jc w:val="center"/>
          <w:tblLook w:val="04A0"/>
        </w:tblPrEx>
        <w:trPr>
          <w:trHeight w:val="300"/>
          <w:jc w:val="center"/>
        </w:trPr>
        <w:tc>
          <w:tcPr>
            <w:tcW w:w="4675" w:type="dxa"/>
            <w:noWrap/>
            <w:hideMark/>
          </w:tcPr>
          <w:p w:rsidR="00E03582" w:rsidRPr="00E03582" w:rsidP="00E2669C" w14:paraId="484E4062" w14:textId="6629CE02">
            <w:pPr>
              <w:widowControl w:val="0"/>
              <w:rPr>
                <w:rFonts w:ascii="Times New Roman" w:hAnsi="Times New Roman"/>
              </w:rPr>
            </w:pPr>
            <w:r w:rsidRPr="00E03582">
              <w:rPr>
                <w:rFonts w:ascii="Times New Roman" w:eastAsia="Times New Roman" w:hAnsi="Times New Roman"/>
                <w:color w:val="000000"/>
              </w:rPr>
              <w:t>FinCEN identifier applications for individuals</w:t>
            </w:r>
          </w:p>
        </w:tc>
        <w:tc>
          <w:tcPr>
            <w:tcW w:w="2466" w:type="dxa"/>
            <w:noWrap/>
            <w:hideMark/>
          </w:tcPr>
          <w:p w:rsidR="00E03582" w:rsidRPr="00E03582" w:rsidP="00E2669C" w14:paraId="204E6BC1" w14:textId="066ECE76">
            <w:pPr>
              <w:widowControl w:val="0"/>
              <w:rPr>
                <w:rFonts w:ascii="Times New Roman" w:hAnsi="Times New Roman"/>
              </w:rPr>
            </w:pPr>
            <w:r w:rsidRPr="00E03582">
              <w:rPr>
                <w:rFonts w:ascii="Times New Roman" w:eastAsia="Times New Roman" w:hAnsi="Times New Roman"/>
                <w:color w:val="000000"/>
              </w:rPr>
              <w:t>$6,</w:t>
            </w:r>
            <w:r w:rsidRPr="008E6612">
              <w:rPr>
                <w:rFonts w:ascii="Times New Roman" w:eastAsia="Times New Roman" w:hAnsi="Times New Roman"/>
                <w:color w:val="000000"/>
              </w:rPr>
              <w:t>1</w:t>
            </w:r>
            <w:r w:rsidRPr="008E6612" w:rsidR="008E6612">
              <w:rPr>
                <w:rFonts w:ascii="Times New Roman" w:hAnsi="Times New Roman"/>
                <w:color w:val="000000"/>
              </w:rPr>
              <w:t xml:space="preserve">59,488.81 </w:t>
            </w:r>
          </w:p>
        </w:tc>
      </w:tr>
      <w:tr w14:paraId="17540074" w14:textId="77777777" w:rsidTr="000A4787">
        <w:tblPrEx>
          <w:tblW w:w="7141" w:type="dxa"/>
          <w:jc w:val="center"/>
          <w:tblLook w:val="04A0"/>
        </w:tblPrEx>
        <w:trPr>
          <w:trHeight w:val="300"/>
          <w:jc w:val="center"/>
        </w:trPr>
        <w:tc>
          <w:tcPr>
            <w:tcW w:w="4675" w:type="dxa"/>
            <w:noWrap/>
            <w:hideMark/>
          </w:tcPr>
          <w:p w:rsidR="00E03582" w:rsidRPr="00E03582" w:rsidP="00E2669C" w14:paraId="404D42EE" w14:textId="2BD4718D">
            <w:pPr>
              <w:widowControl w:val="0"/>
              <w:rPr>
                <w:rFonts w:ascii="Times New Roman" w:hAnsi="Times New Roman"/>
              </w:rPr>
            </w:pPr>
            <w:r w:rsidRPr="00E03582">
              <w:rPr>
                <w:rFonts w:ascii="Times New Roman" w:eastAsia="Times New Roman" w:hAnsi="Times New Roman"/>
                <w:color w:val="000000"/>
              </w:rPr>
              <w:t>FinCEN identifiers updates for individuals</w:t>
            </w:r>
          </w:p>
        </w:tc>
        <w:tc>
          <w:tcPr>
            <w:tcW w:w="2466" w:type="dxa"/>
            <w:noWrap/>
            <w:hideMark/>
          </w:tcPr>
          <w:p w:rsidR="00E03582" w:rsidRPr="00E03582" w:rsidP="00E2669C" w14:paraId="6D45517C" w14:textId="02611531">
            <w:pPr>
              <w:widowControl w:val="0"/>
              <w:rPr>
                <w:rFonts w:ascii="Times New Roman" w:hAnsi="Times New Roman"/>
              </w:rPr>
            </w:pPr>
            <w:r w:rsidRPr="00E03582">
              <w:rPr>
                <w:rFonts w:ascii="Times New Roman" w:eastAsia="Times New Roman" w:hAnsi="Times New Roman"/>
                <w:color w:val="000000"/>
              </w:rPr>
              <w:t>$115,</w:t>
            </w:r>
            <w:r w:rsidRPr="008E6612">
              <w:rPr>
                <w:rFonts w:ascii="Times New Roman" w:eastAsia="Times New Roman" w:hAnsi="Times New Roman"/>
                <w:color w:val="000000"/>
              </w:rPr>
              <w:t>2</w:t>
            </w:r>
            <w:r w:rsidRPr="008E6612" w:rsidR="008E6612">
              <w:rPr>
                <w:rFonts w:ascii="Times New Roman" w:hAnsi="Times New Roman"/>
                <w:color w:val="000000"/>
              </w:rPr>
              <w:t xml:space="preserve">18.68 </w:t>
            </w:r>
          </w:p>
        </w:tc>
      </w:tr>
      <w:tr w14:paraId="7B043D62" w14:textId="77777777" w:rsidTr="000A4787">
        <w:tblPrEx>
          <w:tblW w:w="7141" w:type="dxa"/>
          <w:jc w:val="center"/>
          <w:tblLook w:val="04A0"/>
        </w:tblPrEx>
        <w:trPr>
          <w:trHeight w:val="315"/>
          <w:jc w:val="center"/>
        </w:trPr>
        <w:tc>
          <w:tcPr>
            <w:tcW w:w="4675" w:type="dxa"/>
            <w:noWrap/>
            <w:hideMark/>
          </w:tcPr>
          <w:p w:rsidR="00DD377D" w:rsidRPr="00E03582" w:rsidP="00E2669C" w14:paraId="6105BC47" w14:textId="77777777">
            <w:pPr>
              <w:widowControl w:val="0"/>
              <w:rPr>
                <w:rFonts w:ascii="Times New Roman" w:hAnsi="Times New Roman"/>
                <w:b/>
                <w:bCs/>
                <w:u w:val="single"/>
              </w:rPr>
            </w:pPr>
            <w:r w:rsidRPr="00E03582">
              <w:rPr>
                <w:rFonts w:ascii="Times New Roman" w:hAnsi="Times New Roman"/>
                <w:b/>
                <w:bCs/>
                <w:u w:val="single"/>
              </w:rPr>
              <w:t>Totals</w:t>
            </w:r>
          </w:p>
        </w:tc>
        <w:tc>
          <w:tcPr>
            <w:tcW w:w="2466" w:type="dxa"/>
            <w:noWrap/>
            <w:hideMark/>
          </w:tcPr>
          <w:p w:rsidR="00DD377D" w:rsidRPr="00E03582" w:rsidP="00E2669C" w14:paraId="1F14C632" w14:textId="6176A741">
            <w:pPr>
              <w:widowControl w:val="0"/>
              <w:rPr>
                <w:rFonts w:ascii="Times New Roman" w:hAnsi="Times New Roman"/>
                <w:b/>
                <w:bCs/>
              </w:rPr>
            </w:pPr>
            <w:r w:rsidRPr="00E03582">
              <w:rPr>
                <w:rFonts w:ascii="Times New Roman" w:hAnsi="Times New Roman"/>
                <w:b/>
                <w:bCs/>
              </w:rPr>
              <w:t>$</w:t>
            </w:r>
            <w:r w:rsidRPr="00E03582" w:rsidR="734E771A">
              <w:rPr>
                <w:rFonts w:ascii="Times New Roman" w:hAnsi="Times New Roman"/>
                <w:color w:val="000000"/>
              </w:rPr>
              <w:t>22,</w:t>
            </w:r>
            <w:r w:rsidR="007504BB">
              <w:rPr>
                <w:rFonts w:ascii="Times New Roman" w:hAnsi="Times New Roman"/>
                <w:color w:val="000000"/>
              </w:rPr>
              <w:t>718</w:t>
            </w:r>
            <w:r w:rsidRPr="00AC1115" w:rsidR="18061FC7">
              <w:rPr>
                <w:rFonts w:ascii="Times New Roman" w:hAnsi="Times New Roman"/>
                <w:color w:val="000000"/>
              </w:rPr>
              <w:t>,287,021.69</w:t>
            </w:r>
            <w:r w:rsidRPr="008E6612" w:rsidR="18061FC7">
              <w:rPr>
                <w:rFonts w:ascii="Times New Roman" w:hAnsi="Times New Roman"/>
                <w:b/>
                <w:bCs/>
                <w:color w:val="000000"/>
              </w:rPr>
              <w:t xml:space="preserve"> </w:t>
            </w:r>
            <w:r>
              <w:rPr>
                <w:rStyle w:val="FootnoteReference"/>
                <w:rFonts w:ascii="Times New Roman" w:hAnsi="Times New Roman"/>
                <w:color w:val="000000"/>
              </w:rPr>
              <w:footnoteReference w:id="67"/>
            </w:r>
          </w:p>
        </w:tc>
      </w:tr>
      <w:tr w14:paraId="592672D1" w14:textId="77777777" w:rsidTr="000A4787">
        <w:tblPrEx>
          <w:tblW w:w="7141" w:type="dxa"/>
          <w:jc w:val="center"/>
          <w:tblLook w:val="04A0"/>
        </w:tblPrEx>
        <w:trPr>
          <w:trHeight w:val="300"/>
          <w:jc w:val="center"/>
        </w:trPr>
        <w:tc>
          <w:tcPr>
            <w:tcW w:w="7141" w:type="dxa"/>
            <w:gridSpan w:val="2"/>
            <w:shd w:val="clear" w:color="auto" w:fill="E7E6E6" w:themeFill="background2"/>
            <w:noWrap/>
          </w:tcPr>
          <w:p w:rsidR="00DD377D" w:rsidRPr="00E03582" w:rsidP="00E2669C" w14:paraId="1F6DFA42" w14:textId="6A525212">
            <w:pPr>
              <w:widowControl w:val="0"/>
              <w:rPr>
                <w:rFonts w:ascii="Times New Roman" w:hAnsi="Times New Roman"/>
                <w:b/>
                <w:bCs/>
              </w:rPr>
            </w:pPr>
            <w:r w:rsidRPr="00E03582">
              <w:rPr>
                <w:rFonts w:ascii="Times New Roman" w:hAnsi="Times New Roman"/>
                <w:b/>
              </w:rPr>
              <w:t>Year 2+</w:t>
            </w:r>
          </w:p>
        </w:tc>
      </w:tr>
      <w:tr w14:paraId="2EF7AD92" w14:textId="77777777" w:rsidTr="000A4787">
        <w:tblPrEx>
          <w:tblW w:w="7141" w:type="dxa"/>
          <w:jc w:val="center"/>
          <w:tblLook w:val="04A0"/>
        </w:tblPrEx>
        <w:trPr>
          <w:trHeight w:val="300"/>
          <w:jc w:val="center"/>
        </w:trPr>
        <w:tc>
          <w:tcPr>
            <w:tcW w:w="4675" w:type="dxa"/>
            <w:shd w:val="clear" w:color="auto" w:fill="E2EFD9" w:themeFill="accent6" w:themeFillTint="33"/>
            <w:noWrap/>
            <w:hideMark/>
          </w:tcPr>
          <w:p w:rsidR="00DD377D" w:rsidRPr="00E03582" w:rsidP="00E2669C" w14:paraId="250A2BC9" w14:textId="77777777">
            <w:pPr>
              <w:widowControl w:val="0"/>
              <w:rPr>
                <w:rFonts w:ascii="Times New Roman" w:hAnsi="Times New Roman"/>
              </w:rPr>
            </w:pPr>
            <w:r w:rsidRPr="00E03582">
              <w:rPr>
                <w:rFonts w:ascii="Times New Roman" w:hAnsi="Times New Roman"/>
              </w:rPr>
              <w:t> </w:t>
            </w:r>
            <w:r w:rsidRPr="00E03582">
              <w:rPr>
                <w:rFonts w:ascii="Times New Roman" w:hAnsi="Times New Roman"/>
                <w:b/>
                <w:bCs/>
                <w:u w:val="single"/>
              </w:rPr>
              <w:t>Information Collection</w:t>
            </w:r>
          </w:p>
        </w:tc>
        <w:tc>
          <w:tcPr>
            <w:tcW w:w="2466" w:type="dxa"/>
            <w:shd w:val="clear" w:color="auto" w:fill="E2EFD9" w:themeFill="accent6" w:themeFillTint="33"/>
            <w:hideMark/>
          </w:tcPr>
          <w:p w:rsidR="00DD377D" w:rsidRPr="00E03582" w:rsidP="00E2669C" w14:paraId="2DE46B5D" w14:textId="77777777">
            <w:pPr>
              <w:widowControl w:val="0"/>
              <w:rPr>
                <w:rFonts w:ascii="Times New Roman" w:hAnsi="Times New Roman"/>
                <w:b/>
                <w:bCs/>
              </w:rPr>
            </w:pPr>
            <w:r w:rsidRPr="00E03582">
              <w:rPr>
                <w:rFonts w:ascii="Times New Roman" w:hAnsi="Times New Roman"/>
                <w:b/>
                <w:bCs/>
              </w:rPr>
              <w:t>Cost</w:t>
            </w:r>
          </w:p>
        </w:tc>
      </w:tr>
      <w:tr w14:paraId="0DDF1AB8" w14:textId="77777777" w:rsidTr="000A4787">
        <w:tblPrEx>
          <w:tblW w:w="7141" w:type="dxa"/>
          <w:jc w:val="center"/>
          <w:tblLook w:val="04A0"/>
        </w:tblPrEx>
        <w:trPr>
          <w:trHeight w:val="300"/>
          <w:jc w:val="center"/>
        </w:trPr>
        <w:tc>
          <w:tcPr>
            <w:tcW w:w="4675" w:type="dxa"/>
            <w:noWrap/>
            <w:hideMark/>
          </w:tcPr>
          <w:p w:rsidR="00E03582" w:rsidRPr="00E03582" w:rsidP="00E2669C" w14:paraId="6ECA8B42" w14:textId="6E4D4B94">
            <w:pPr>
              <w:widowControl w:val="0"/>
              <w:rPr>
                <w:rFonts w:ascii="Times New Roman" w:hAnsi="Times New Roman"/>
              </w:rPr>
            </w:pPr>
            <w:r w:rsidRPr="00E03582">
              <w:rPr>
                <w:rFonts w:ascii="Times New Roman" w:hAnsi="Times New Roman"/>
              </w:rPr>
              <w:t>Initial BOI reports</w:t>
            </w:r>
          </w:p>
        </w:tc>
        <w:tc>
          <w:tcPr>
            <w:tcW w:w="2466" w:type="dxa"/>
            <w:noWrap/>
            <w:hideMark/>
          </w:tcPr>
          <w:p w:rsidR="00E03582" w:rsidRPr="00E03582" w:rsidP="00E2669C" w14:paraId="36D7BF9F" w14:textId="08BD9BF4">
            <w:pPr>
              <w:widowControl w:val="0"/>
              <w:rPr>
                <w:rFonts w:ascii="Times New Roman" w:hAnsi="Times New Roman"/>
              </w:rPr>
            </w:pPr>
            <w:r w:rsidRPr="00E03582">
              <w:rPr>
                <w:rFonts w:ascii="Times New Roman" w:eastAsia="Times New Roman" w:hAnsi="Times New Roman"/>
                <w:color w:val="000000"/>
              </w:rPr>
              <w:t>$3,3</w:t>
            </w:r>
            <w:r w:rsidR="007002DF">
              <w:rPr>
                <w:rFonts w:ascii="Times New Roman" w:eastAsia="Times New Roman" w:hAnsi="Times New Roman"/>
                <w:color w:val="000000"/>
              </w:rPr>
              <w:t>27,532,419.21</w:t>
            </w:r>
            <w:r w:rsidRPr="00E03582">
              <w:rPr>
                <w:rFonts w:ascii="Times New Roman" w:eastAsia="Times New Roman" w:hAnsi="Times New Roman"/>
                <w:color w:val="000000"/>
              </w:rPr>
              <w:t xml:space="preserve"> </w:t>
            </w:r>
          </w:p>
        </w:tc>
      </w:tr>
      <w:tr w14:paraId="15AB93D1" w14:textId="77777777" w:rsidTr="000A4787">
        <w:tblPrEx>
          <w:tblW w:w="7141" w:type="dxa"/>
          <w:jc w:val="center"/>
          <w:tblLook w:val="04A0"/>
        </w:tblPrEx>
        <w:trPr>
          <w:trHeight w:val="300"/>
          <w:jc w:val="center"/>
        </w:trPr>
        <w:tc>
          <w:tcPr>
            <w:tcW w:w="4675" w:type="dxa"/>
            <w:noWrap/>
            <w:hideMark/>
          </w:tcPr>
          <w:p w:rsidR="00E03582" w:rsidRPr="00E03582" w:rsidP="00E2669C" w14:paraId="4310C429" w14:textId="4DB0CF1E">
            <w:pPr>
              <w:widowControl w:val="0"/>
              <w:rPr>
                <w:rFonts w:ascii="Times New Roman" w:hAnsi="Times New Roman"/>
              </w:rPr>
            </w:pPr>
            <w:r w:rsidRPr="00E03582">
              <w:rPr>
                <w:rFonts w:ascii="Times New Roman" w:hAnsi="Times New Roman"/>
              </w:rPr>
              <w:t>Updated BOI reports</w:t>
            </w:r>
          </w:p>
        </w:tc>
        <w:tc>
          <w:tcPr>
            <w:tcW w:w="2466" w:type="dxa"/>
            <w:noWrap/>
            <w:hideMark/>
          </w:tcPr>
          <w:p w:rsidR="00E03582" w:rsidRPr="00E03582" w:rsidP="00E2669C" w14:paraId="02306551" w14:textId="48402460">
            <w:pPr>
              <w:widowControl w:val="0"/>
              <w:rPr>
                <w:rFonts w:ascii="Times New Roman" w:hAnsi="Times New Roman"/>
              </w:rPr>
            </w:pPr>
            <w:r w:rsidRPr="00E03582">
              <w:rPr>
                <w:rFonts w:ascii="Times New Roman" w:eastAsia="Times New Roman" w:hAnsi="Times New Roman"/>
                <w:color w:val="000000"/>
              </w:rPr>
              <w:t>$2,282,</w:t>
            </w:r>
            <w:r w:rsidR="007002DF">
              <w:rPr>
                <w:rFonts w:ascii="Times New Roman" w:eastAsia="Times New Roman" w:hAnsi="Times New Roman"/>
                <w:color w:val="000000"/>
              </w:rPr>
              <w:t>108,290.77</w:t>
            </w:r>
            <w:r w:rsidRPr="00E03582">
              <w:rPr>
                <w:rFonts w:ascii="Times New Roman" w:eastAsia="Times New Roman" w:hAnsi="Times New Roman"/>
                <w:color w:val="000000"/>
              </w:rPr>
              <w:t xml:space="preserve"> </w:t>
            </w:r>
          </w:p>
        </w:tc>
      </w:tr>
      <w:tr w14:paraId="45469020" w14:textId="77777777" w:rsidTr="000A4787">
        <w:tblPrEx>
          <w:tblW w:w="7141" w:type="dxa"/>
          <w:jc w:val="center"/>
          <w:tblLook w:val="04A0"/>
        </w:tblPrEx>
        <w:trPr>
          <w:trHeight w:val="300"/>
          <w:jc w:val="center"/>
        </w:trPr>
        <w:tc>
          <w:tcPr>
            <w:tcW w:w="4675" w:type="dxa"/>
            <w:noWrap/>
            <w:hideMark/>
          </w:tcPr>
          <w:p w:rsidR="00E03582" w:rsidRPr="00E03582" w:rsidP="00E2669C" w14:paraId="72528607" w14:textId="001421D7">
            <w:pPr>
              <w:widowControl w:val="0"/>
              <w:rPr>
                <w:rFonts w:ascii="Times New Roman" w:hAnsi="Times New Roman"/>
              </w:rPr>
            </w:pPr>
            <w:r w:rsidRPr="00E03582">
              <w:rPr>
                <w:rFonts w:ascii="Times New Roman" w:eastAsia="Times New Roman" w:hAnsi="Times New Roman"/>
                <w:color w:val="000000"/>
              </w:rPr>
              <w:t>FinCEN identifier applications for individuals</w:t>
            </w:r>
          </w:p>
        </w:tc>
        <w:tc>
          <w:tcPr>
            <w:tcW w:w="2466" w:type="dxa"/>
            <w:noWrap/>
            <w:hideMark/>
          </w:tcPr>
          <w:p w:rsidR="00E03582" w:rsidRPr="00E03582" w:rsidP="00E2669C" w14:paraId="49C5D343" w14:textId="5FC04254">
            <w:pPr>
              <w:widowControl w:val="0"/>
              <w:rPr>
                <w:rFonts w:ascii="Times New Roman" w:hAnsi="Times New Roman"/>
              </w:rPr>
            </w:pPr>
            <w:r w:rsidRPr="00E03582">
              <w:rPr>
                <w:rFonts w:ascii="Times New Roman" w:eastAsia="Times New Roman" w:hAnsi="Times New Roman"/>
                <w:color w:val="000000"/>
              </w:rPr>
              <w:t>$945,</w:t>
            </w:r>
            <w:r w:rsidR="007002DF">
              <w:rPr>
                <w:rFonts w:ascii="Times New Roman" w:eastAsia="Times New Roman" w:hAnsi="Times New Roman"/>
                <w:color w:val="000000"/>
              </w:rPr>
              <w:t>666.84</w:t>
            </w:r>
            <w:r w:rsidRPr="00E03582">
              <w:rPr>
                <w:rFonts w:ascii="Times New Roman" w:eastAsia="Times New Roman" w:hAnsi="Times New Roman"/>
                <w:color w:val="000000"/>
              </w:rPr>
              <w:t xml:space="preserve">                                                    </w:t>
            </w:r>
          </w:p>
        </w:tc>
      </w:tr>
      <w:tr w14:paraId="3F879628" w14:textId="77777777" w:rsidTr="000A4787">
        <w:tblPrEx>
          <w:tblW w:w="7141" w:type="dxa"/>
          <w:jc w:val="center"/>
          <w:tblLook w:val="04A0"/>
        </w:tblPrEx>
        <w:trPr>
          <w:trHeight w:val="300"/>
          <w:jc w:val="center"/>
        </w:trPr>
        <w:tc>
          <w:tcPr>
            <w:tcW w:w="4675" w:type="dxa"/>
            <w:noWrap/>
            <w:hideMark/>
          </w:tcPr>
          <w:p w:rsidR="00E03582" w:rsidRPr="00E03582" w:rsidP="00E2669C" w14:paraId="3F13ECD9" w14:textId="3175C2D0">
            <w:pPr>
              <w:widowControl w:val="0"/>
              <w:rPr>
                <w:rFonts w:ascii="Times New Roman" w:hAnsi="Times New Roman"/>
              </w:rPr>
            </w:pPr>
            <w:r w:rsidRPr="00E03582">
              <w:rPr>
                <w:rFonts w:ascii="Times New Roman" w:eastAsia="Times New Roman" w:hAnsi="Times New Roman"/>
                <w:color w:val="000000"/>
              </w:rPr>
              <w:t>FinCEN identifiers updates for individuals</w:t>
            </w:r>
          </w:p>
        </w:tc>
        <w:tc>
          <w:tcPr>
            <w:tcW w:w="2466" w:type="dxa"/>
            <w:noWrap/>
            <w:hideMark/>
          </w:tcPr>
          <w:p w:rsidR="00E03582" w:rsidRPr="00E03582" w:rsidP="00E2669C" w14:paraId="1322F7C2" w14:textId="6DBD66FB">
            <w:pPr>
              <w:widowControl w:val="0"/>
              <w:rPr>
                <w:rFonts w:ascii="Times New Roman" w:hAnsi="Times New Roman"/>
              </w:rPr>
            </w:pPr>
            <w:r w:rsidRPr="00E03582">
              <w:rPr>
                <w:rFonts w:ascii="Times New Roman" w:eastAsia="Times New Roman" w:hAnsi="Times New Roman"/>
                <w:color w:val="000000"/>
              </w:rPr>
              <w:t>$251,</w:t>
            </w:r>
            <w:r w:rsidR="007002DF">
              <w:rPr>
                <w:rFonts w:ascii="Times New Roman" w:eastAsia="Times New Roman" w:hAnsi="Times New Roman"/>
                <w:color w:val="000000"/>
              </w:rPr>
              <w:t>386.22</w:t>
            </w:r>
          </w:p>
        </w:tc>
      </w:tr>
      <w:tr w14:paraId="0F59D5F2" w14:textId="77777777" w:rsidTr="000A4787">
        <w:tblPrEx>
          <w:tblW w:w="7141" w:type="dxa"/>
          <w:jc w:val="center"/>
          <w:tblLook w:val="04A0"/>
        </w:tblPrEx>
        <w:trPr>
          <w:trHeight w:val="315"/>
          <w:jc w:val="center"/>
        </w:trPr>
        <w:tc>
          <w:tcPr>
            <w:tcW w:w="4675" w:type="dxa"/>
            <w:noWrap/>
            <w:hideMark/>
          </w:tcPr>
          <w:p w:rsidR="00DD377D" w:rsidRPr="00E03582" w:rsidP="00E2669C" w14:paraId="5277479B" w14:textId="77777777">
            <w:pPr>
              <w:widowControl w:val="0"/>
              <w:rPr>
                <w:rFonts w:ascii="Times New Roman" w:hAnsi="Times New Roman"/>
                <w:b/>
                <w:bCs/>
                <w:u w:val="single"/>
              </w:rPr>
            </w:pPr>
            <w:r w:rsidRPr="00E03582">
              <w:rPr>
                <w:rFonts w:ascii="Times New Roman" w:hAnsi="Times New Roman"/>
                <w:b/>
                <w:bCs/>
                <w:u w:val="single"/>
              </w:rPr>
              <w:t>Totals</w:t>
            </w:r>
          </w:p>
        </w:tc>
        <w:tc>
          <w:tcPr>
            <w:tcW w:w="2466" w:type="dxa"/>
            <w:noWrap/>
            <w:hideMark/>
          </w:tcPr>
          <w:p w:rsidR="00E03582" w:rsidRPr="003C2344" w:rsidP="00E2669C" w14:paraId="09B52ADB" w14:textId="32A34E47">
            <w:pPr>
              <w:widowControl w:val="0"/>
              <w:rPr>
                <w:rFonts w:ascii="Times New Roman" w:hAnsi="Times New Roman"/>
                <w:b/>
                <w:bCs/>
              </w:rPr>
            </w:pPr>
            <w:r w:rsidRPr="00E03582">
              <w:rPr>
                <w:rFonts w:ascii="Times New Roman" w:hAnsi="Times New Roman"/>
                <w:b/>
                <w:bCs/>
              </w:rPr>
              <w:t>$</w:t>
            </w:r>
            <w:r w:rsidRPr="00E03582" w:rsidR="734E771A">
              <w:rPr>
                <w:rFonts w:ascii="Times New Roman" w:hAnsi="Times New Roman"/>
                <w:color w:val="000000"/>
              </w:rPr>
              <w:t>5,6</w:t>
            </w:r>
            <w:r w:rsidR="0B7665E0">
              <w:rPr>
                <w:rFonts w:ascii="Times New Roman" w:hAnsi="Times New Roman"/>
                <w:color w:val="000000"/>
              </w:rPr>
              <w:t>10</w:t>
            </w:r>
            <w:r w:rsidR="68BD2A6E">
              <w:rPr>
                <w:rFonts w:ascii="Times New Roman" w:hAnsi="Times New Roman"/>
                <w:color w:val="000000"/>
              </w:rPr>
              <w:t>,</w:t>
            </w:r>
            <w:r w:rsidR="0B7665E0">
              <w:rPr>
                <w:rFonts w:ascii="Times New Roman" w:hAnsi="Times New Roman"/>
                <w:color w:val="000000"/>
              </w:rPr>
              <w:t>8</w:t>
            </w:r>
            <w:r w:rsidR="68BD2A6E">
              <w:rPr>
                <w:rFonts w:ascii="Times New Roman" w:hAnsi="Times New Roman"/>
                <w:color w:val="000000"/>
              </w:rPr>
              <w:t>37,763.04</w:t>
            </w:r>
            <w:r>
              <w:rPr>
                <w:rStyle w:val="FootnoteReference"/>
                <w:rFonts w:ascii="Times New Roman" w:hAnsi="Times New Roman"/>
                <w:color w:val="000000"/>
              </w:rPr>
              <w:footnoteReference w:id="68"/>
            </w:r>
            <w:r w:rsidRPr="00E03582" w:rsidR="734E771A">
              <w:rPr>
                <w:rFonts w:ascii="Times New Roman" w:hAnsi="Times New Roman"/>
                <w:color w:val="000000"/>
              </w:rPr>
              <w:t xml:space="preserve"> </w:t>
            </w:r>
          </w:p>
          <w:p w:rsidR="00DD377D" w:rsidRPr="00E03582" w:rsidP="00E2669C" w14:paraId="62FC97D6" w14:textId="0200F836">
            <w:pPr>
              <w:widowControl w:val="0"/>
              <w:rPr>
                <w:rFonts w:ascii="Times New Roman" w:hAnsi="Times New Roman"/>
                <w:b/>
                <w:bCs/>
              </w:rPr>
            </w:pPr>
          </w:p>
        </w:tc>
      </w:tr>
    </w:tbl>
    <w:p w:rsidR="00E03582" w:rsidRPr="003C2344" w:rsidP="00CE1E17" w14:paraId="0C7265B1" w14:textId="72FE6B8C">
      <w:pPr>
        <w:spacing w:before="240" w:after="240"/>
        <w:rPr>
          <w:b/>
          <w:bCs/>
          <w:color w:val="000000"/>
        </w:rPr>
      </w:pPr>
      <w:r>
        <w:t xml:space="preserve">The average total cost of Years 1-5 of these collections is </w:t>
      </w:r>
      <w:r w:rsidRPr="003C2344">
        <w:rPr>
          <w:bCs/>
          <w:color w:val="000000"/>
        </w:rPr>
        <w:t>$9,03</w:t>
      </w:r>
      <w:r w:rsidR="007002DF">
        <w:rPr>
          <w:bCs/>
          <w:color w:val="000000"/>
        </w:rPr>
        <w:t>2,327,614.77.</w:t>
      </w:r>
    </w:p>
    <w:p w:rsidR="00F424DD" w:rsidP="00CE1E17" w14:paraId="533FFA93" w14:textId="01800364">
      <w:pPr>
        <w:spacing w:after="240"/>
      </w:pPr>
      <w:r>
        <w:rPr>
          <w:szCs w:val="22"/>
        </w:rPr>
        <w:t xml:space="preserve">14. </w:t>
      </w:r>
      <w:r>
        <w:rPr>
          <w:szCs w:val="22"/>
          <w:u w:val="single"/>
        </w:rPr>
        <w:t>Estima</w:t>
      </w:r>
      <w:r w:rsidR="00902855">
        <w:rPr>
          <w:szCs w:val="22"/>
          <w:u w:val="single"/>
        </w:rPr>
        <w:t>ted annual cost to the Federal g</w:t>
      </w:r>
      <w:r>
        <w:rPr>
          <w:szCs w:val="22"/>
          <w:u w:val="single"/>
        </w:rPr>
        <w:t>overnment.</w:t>
      </w:r>
      <w:r>
        <w:rPr>
          <w:szCs w:val="22"/>
        </w:rPr>
        <w:t xml:space="preserve"> </w:t>
      </w:r>
    </w:p>
    <w:p w:rsidR="007A6B66" w:rsidP="00CE1E17" w14:paraId="16BF1FF4" w14:textId="50CB3AFB">
      <w:pPr>
        <w:pStyle w:val="FootnoteText"/>
        <w:spacing w:after="240"/>
        <w:ind w:firstLine="720"/>
        <w:rPr>
          <w:sz w:val="24"/>
          <w:szCs w:val="24"/>
        </w:rPr>
      </w:pPr>
      <w:r w:rsidRPr="39FD11F7">
        <w:rPr>
          <w:sz w:val="24"/>
          <w:szCs w:val="24"/>
        </w:rPr>
        <w:t xml:space="preserve">Administering the regulation would entail costs to FinCEN.  Such costs include </w:t>
      </w:r>
      <w:r w:rsidRPr="39FD11F7" w:rsidR="00A012DC">
        <w:rPr>
          <w:sz w:val="24"/>
          <w:szCs w:val="24"/>
        </w:rPr>
        <w:t>information technology</w:t>
      </w:r>
      <w:r w:rsidRPr="39FD11F7">
        <w:rPr>
          <w:sz w:val="24"/>
          <w:szCs w:val="24"/>
        </w:rPr>
        <w:t xml:space="preserve"> development and ongoing annual maintenance to securely collect, process, store, and make available electronic submissions of BOI data.  FinCEN’s cost esti</w:t>
      </w:r>
      <w:r w:rsidRPr="39FD11F7">
        <w:rPr>
          <w:sz w:val="24"/>
          <w:szCs w:val="24"/>
        </w:rPr>
        <w:t xml:space="preserve">mates for development and annual maintenance are $72 million and $25.6 million, respectively, to meet the minimum system capabilities required by the rule, which includes capabilities related to the collection of images.  While FinCEN expects that it will </w:t>
      </w:r>
      <w:r w:rsidRPr="39FD11F7">
        <w:rPr>
          <w:sz w:val="24"/>
          <w:szCs w:val="24"/>
        </w:rPr>
        <w:t>be able to leverage some existing BSA components, the feedback received throughout the rulemaking process has made clear that the B</w:t>
      </w:r>
      <w:r w:rsidRPr="39FD11F7" w:rsidR="00A012DC">
        <w:rPr>
          <w:sz w:val="24"/>
          <w:szCs w:val="24"/>
        </w:rPr>
        <w:t xml:space="preserve">eneficial </w:t>
      </w:r>
      <w:r w:rsidRPr="39FD11F7">
        <w:rPr>
          <w:sz w:val="24"/>
          <w:szCs w:val="24"/>
        </w:rPr>
        <w:t>O</w:t>
      </w:r>
      <w:r w:rsidRPr="39FD11F7" w:rsidR="00A012DC">
        <w:rPr>
          <w:sz w:val="24"/>
          <w:szCs w:val="24"/>
        </w:rPr>
        <w:t xml:space="preserve">wnership </w:t>
      </w:r>
      <w:r w:rsidRPr="39FD11F7">
        <w:rPr>
          <w:sz w:val="24"/>
          <w:szCs w:val="24"/>
        </w:rPr>
        <w:t>S</w:t>
      </w:r>
      <w:r w:rsidRPr="39FD11F7" w:rsidR="00A012DC">
        <w:rPr>
          <w:sz w:val="24"/>
          <w:szCs w:val="24"/>
        </w:rPr>
        <w:t xml:space="preserve">ecure </w:t>
      </w:r>
      <w:r w:rsidRPr="39FD11F7">
        <w:rPr>
          <w:sz w:val="24"/>
          <w:szCs w:val="24"/>
        </w:rPr>
        <w:t>S</w:t>
      </w:r>
      <w:r w:rsidRPr="39FD11F7" w:rsidR="00A012DC">
        <w:rPr>
          <w:sz w:val="24"/>
          <w:szCs w:val="24"/>
        </w:rPr>
        <w:t>ystem</w:t>
      </w:r>
      <w:r w:rsidRPr="39FD11F7">
        <w:rPr>
          <w:sz w:val="24"/>
          <w:szCs w:val="24"/>
        </w:rPr>
        <w:t xml:space="preserve"> architecture will be complex to design, build, and maintain.  For example, the system of re</w:t>
      </w:r>
      <w:r w:rsidRPr="39FD11F7">
        <w:rPr>
          <w:sz w:val="24"/>
          <w:szCs w:val="24"/>
        </w:rPr>
        <w:t>cord (or database) for the beneficial ownership data will need to be segregated from the existing BSA system of record, and there will need to be another system of record to store the FinCEN</w:t>
      </w:r>
      <w:r w:rsidRPr="39FD11F7" w:rsidR="004E223B">
        <w:rPr>
          <w:sz w:val="24"/>
          <w:szCs w:val="24"/>
        </w:rPr>
        <w:t xml:space="preserve"> </w:t>
      </w:r>
      <w:r w:rsidRPr="39FD11F7" w:rsidR="003F06C8">
        <w:rPr>
          <w:sz w:val="24"/>
          <w:szCs w:val="24"/>
        </w:rPr>
        <w:t xml:space="preserve">identifier information.  </w:t>
      </w:r>
      <w:r w:rsidRPr="39FD11F7">
        <w:rPr>
          <w:sz w:val="24"/>
          <w:szCs w:val="24"/>
        </w:rPr>
        <w:t>There will also need to be a separate us</w:t>
      </w:r>
      <w:r w:rsidRPr="39FD11F7">
        <w:rPr>
          <w:sz w:val="24"/>
          <w:szCs w:val="24"/>
        </w:rPr>
        <w:t xml:space="preserve">er application with individual authentication requirements to perform work </w:t>
      </w:r>
      <w:r w:rsidRPr="39FD11F7">
        <w:rPr>
          <w:sz w:val="24"/>
          <w:szCs w:val="24"/>
        </w:rPr>
        <w:t>necessary to administer the FinCEN identifier.  System engineering efforts have occurred simultaneously with the rulemaking process, which has involved significant input from variou</w:t>
      </w:r>
      <w:r w:rsidRPr="39FD11F7">
        <w:rPr>
          <w:sz w:val="24"/>
          <w:szCs w:val="24"/>
        </w:rPr>
        <w:t>s stakeholder groups with various access and disclosure requirements.  This input has made clear to FinCEN that the user access and authentication will be complicated to design and develop.</w:t>
      </w:r>
    </w:p>
    <w:p w:rsidR="007A6B66" w:rsidP="00CE1E17" w14:paraId="27FDB778" w14:textId="7B728650">
      <w:pPr>
        <w:pStyle w:val="FootnoteText"/>
        <w:spacing w:after="240"/>
        <w:ind w:firstLine="720"/>
        <w:rPr>
          <w:sz w:val="24"/>
          <w:szCs w:val="24"/>
        </w:rPr>
      </w:pPr>
      <w:r>
        <w:rPr>
          <w:sz w:val="24"/>
          <w:szCs w:val="24"/>
        </w:rPr>
        <w:t>FinCEN will incur additional costs, besides those estimated above,</w:t>
      </w:r>
      <w:r>
        <w:rPr>
          <w:sz w:val="24"/>
          <w:szCs w:val="24"/>
        </w:rPr>
        <w:t xml:space="preserve"> to ensure successful implementation of and compliance with the BOI reporting requirements.  These include personnel to support CTA implementation, draft regulations, conduct regulatory impact analyses and stakeholder outreach, conduct audits and inspectio</w:t>
      </w:r>
      <w:r>
        <w:rPr>
          <w:sz w:val="24"/>
          <w:szCs w:val="24"/>
        </w:rPr>
        <w:t>ns, adjudicate requests for BOI, provide training on the requirements, publish documents such as guidance and FAQs, and conduct outreach to and answer inquiries from the public.  FinCEN estimates that there will be personnel costs of approximately $10 mill</w:t>
      </w:r>
      <w:r>
        <w:rPr>
          <w:sz w:val="24"/>
          <w:szCs w:val="24"/>
        </w:rPr>
        <w:t>ion associated with the rule in Fiscal Year 2023, with continuing recurring costs of roughly the same magnitude for ongoing implementation, outreach</w:t>
      </w:r>
      <w:r w:rsidR="0099159B">
        <w:rPr>
          <w:sz w:val="24"/>
          <w:szCs w:val="24"/>
        </w:rPr>
        <w:t>,</w:t>
      </w:r>
      <w:r>
        <w:rPr>
          <w:sz w:val="24"/>
          <w:szCs w:val="24"/>
        </w:rPr>
        <w:t xml:space="preserve"> and enforcement each year thereafter.</w:t>
      </w:r>
    </w:p>
    <w:p w:rsidR="00F424DD" w:rsidRPr="00CE1E17" w:rsidP="00CE1E17" w14:paraId="44A16FED" w14:textId="0D082D46">
      <w:pPr>
        <w:pStyle w:val="FootnoteText"/>
        <w:spacing w:after="240"/>
        <w:ind w:firstLine="720"/>
        <w:rPr>
          <w:sz w:val="24"/>
          <w:szCs w:val="24"/>
        </w:rPr>
      </w:pPr>
      <w:r>
        <w:rPr>
          <w:sz w:val="24"/>
          <w:szCs w:val="24"/>
        </w:rPr>
        <w:t>Therefore, for purposes of total cost analysis in</w:t>
      </w:r>
      <w:r w:rsidR="005956E5">
        <w:rPr>
          <w:sz w:val="24"/>
          <w:szCs w:val="24"/>
        </w:rPr>
        <w:t xml:space="preserve"> the</w:t>
      </w:r>
      <w:r>
        <w:rPr>
          <w:sz w:val="24"/>
          <w:szCs w:val="24"/>
        </w:rPr>
        <w:t xml:space="preserve"> final rule’s r</w:t>
      </w:r>
      <w:r>
        <w:rPr>
          <w:sz w:val="24"/>
          <w:szCs w:val="24"/>
        </w:rPr>
        <w:t>egulatory impact analysis, total costs to FinCEN are $82 million in Year 1 and $35.6 million annually thereafter.</w:t>
      </w:r>
    </w:p>
    <w:p w:rsidR="00902855" w:rsidP="00CE1E17" w14:paraId="676EA54A" w14:textId="1CAEAB89">
      <w:pPr>
        <w:spacing w:after="240"/>
        <w:rPr>
          <w:szCs w:val="22"/>
        </w:rPr>
      </w:pPr>
      <w:r>
        <w:rPr>
          <w:szCs w:val="22"/>
        </w:rPr>
        <w:t xml:space="preserve">15. </w:t>
      </w:r>
      <w:r>
        <w:rPr>
          <w:szCs w:val="22"/>
          <w:u w:val="single"/>
        </w:rPr>
        <w:t>Reason for change in burden.</w:t>
      </w:r>
      <w:r>
        <w:rPr>
          <w:szCs w:val="22"/>
        </w:rPr>
        <w:t xml:space="preserve"> </w:t>
      </w:r>
    </w:p>
    <w:p w:rsidR="00600940" w:rsidRPr="00CE1E17" w:rsidP="00CE1E17" w14:paraId="23E3769B" w14:textId="45625102">
      <w:pPr>
        <w:pStyle w:val="FootnoteText"/>
        <w:spacing w:after="240"/>
        <w:ind w:firstLine="720"/>
      </w:pPr>
      <w:r>
        <w:rPr>
          <w:sz w:val="24"/>
          <w:szCs w:val="24"/>
        </w:rPr>
        <w:t>The</w:t>
      </w:r>
      <w:r w:rsidRPr="5CA521F6" w:rsidR="078C6DB7">
        <w:rPr>
          <w:sz w:val="24"/>
          <w:szCs w:val="24"/>
        </w:rPr>
        <w:t>re is no change in the</w:t>
      </w:r>
      <w:r>
        <w:rPr>
          <w:sz w:val="24"/>
          <w:szCs w:val="24"/>
        </w:rPr>
        <w:t xml:space="preserve"> burden estimate from the</w:t>
      </w:r>
      <w:r w:rsidRPr="5CA521F6" w:rsidR="634BAFFB">
        <w:rPr>
          <w:sz w:val="24"/>
          <w:szCs w:val="24"/>
        </w:rPr>
        <w:t xml:space="preserve"> final rule. </w:t>
      </w:r>
      <w:r>
        <w:rPr>
          <w:sz w:val="24"/>
          <w:szCs w:val="24"/>
        </w:rPr>
        <w:t xml:space="preserve"> </w:t>
      </w:r>
    </w:p>
    <w:p w:rsidR="00F424DD" w:rsidP="00CE1E17" w14:paraId="754EEAD5" w14:textId="185911A0">
      <w:pPr>
        <w:spacing w:after="240"/>
      </w:pPr>
      <w:r>
        <w:rPr>
          <w:szCs w:val="22"/>
        </w:rPr>
        <w:t xml:space="preserve">16. </w:t>
      </w:r>
      <w:r w:rsidR="00902855">
        <w:rPr>
          <w:szCs w:val="22"/>
          <w:u w:val="single"/>
        </w:rPr>
        <w:t>Plans for t</w:t>
      </w:r>
      <w:r>
        <w:rPr>
          <w:szCs w:val="22"/>
          <w:u w:val="single"/>
        </w:rPr>
        <w:t>abulat</w:t>
      </w:r>
      <w:r w:rsidR="00902855">
        <w:rPr>
          <w:szCs w:val="22"/>
          <w:u w:val="single"/>
        </w:rPr>
        <w:t>ion, statistical analysis, and p</w:t>
      </w:r>
      <w:r>
        <w:rPr>
          <w:szCs w:val="22"/>
          <w:u w:val="single"/>
        </w:rPr>
        <w:t>ublication.</w:t>
      </w:r>
      <w:r>
        <w:rPr>
          <w:szCs w:val="22"/>
        </w:rPr>
        <w:t xml:space="preserve"> </w:t>
      </w:r>
    </w:p>
    <w:p w:rsidR="003D413A" w:rsidRPr="005A7C0B" w:rsidP="00CE1E17" w14:paraId="15738878" w14:textId="7509864F">
      <w:pPr>
        <w:spacing w:after="240"/>
        <w:ind w:firstLine="720"/>
        <w:rPr>
          <w:szCs w:val="22"/>
        </w:rPr>
      </w:pPr>
      <w:r w:rsidRPr="005A7C0B">
        <w:t>The information will not be tabulated or compiled for publication.</w:t>
      </w:r>
    </w:p>
    <w:p w:rsidR="00F424DD" w:rsidRPr="00AB3047" w:rsidP="00CE1E17" w14:paraId="1D5B6A14" w14:textId="0BF8E5BA">
      <w:pPr>
        <w:spacing w:after="240"/>
        <w:rPr>
          <w:szCs w:val="22"/>
        </w:rPr>
      </w:pPr>
      <w:r w:rsidRPr="00AB3047">
        <w:rPr>
          <w:szCs w:val="22"/>
        </w:rPr>
        <w:t xml:space="preserve">17. </w:t>
      </w:r>
      <w:r w:rsidRPr="00AB3047">
        <w:rPr>
          <w:szCs w:val="22"/>
          <w:u w:val="single"/>
        </w:rPr>
        <w:t xml:space="preserve">Request </w:t>
      </w:r>
      <w:r w:rsidRPr="00AB3047" w:rsidR="00902855">
        <w:rPr>
          <w:szCs w:val="22"/>
          <w:u w:val="single"/>
        </w:rPr>
        <w:t>not to d</w:t>
      </w:r>
      <w:r w:rsidRPr="00AB3047">
        <w:rPr>
          <w:szCs w:val="22"/>
          <w:u w:val="single"/>
        </w:rPr>
        <w:t xml:space="preserve">isplay </w:t>
      </w:r>
      <w:r w:rsidRPr="00AB3047" w:rsidR="00902855">
        <w:rPr>
          <w:szCs w:val="22"/>
          <w:u w:val="single"/>
        </w:rPr>
        <w:t>expiration date of OMB control n</w:t>
      </w:r>
      <w:r w:rsidRPr="00AB3047">
        <w:rPr>
          <w:szCs w:val="22"/>
          <w:u w:val="single"/>
        </w:rPr>
        <w:t>umber.</w:t>
      </w:r>
      <w:r w:rsidRPr="00AB3047">
        <w:rPr>
          <w:szCs w:val="22"/>
        </w:rPr>
        <w:t xml:space="preserve"> </w:t>
      </w:r>
    </w:p>
    <w:p w:rsidR="003D413A" w:rsidP="003B39FB" w14:paraId="64626DEB" w14:textId="067190B8">
      <w:pPr>
        <w:spacing w:after="240"/>
        <w:ind w:firstLine="720"/>
        <w:rPr>
          <w:szCs w:val="22"/>
        </w:rPr>
      </w:pPr>
      <w:r w:rsidRPr="00AB3047">
        <w:rPr>
          <w:szCs w:val="22"/>
        </w:rPr>
        <w:t xml:space="preserve">FinCEN requests </w:t>
      </w:r>
      <w:r w:rsidRPr="005A7C0B">
        <w:rPr>
          <w:szCs w:val="22"/>
        </w:rPr>
        <w:t xml:space="preserve">that it not be required to display the expiration date so that the </w:t>
      </w:r>
      <w:r w:rsidRPr="005A7C0B">
        <w:rPr>
          <w:szCs w:val="22"/>
        </w:rPr>
        <w:t>regulations will not have to be amended for the new expiration date every three years.</w:t>
      </w:r>
      <w:r>
        <w:rPr>
          <w:szCs w:val="22"/>
        </w:rPr>
        <w:t xml:space="preserve">  </w:t>
      </w:r>
    </w:p>
    <w:p w:rsidR="00600940" w:rsidP="00CE1E17" w14:paraId="6ECB9486" w14:textId="044809E2">
      <w:pPr>
        <w:spacing w:after="240"/>
        <w:rPr>
          <w:szCs w:val="22"/>
        </w:rPr>
      </w:pPr>
      <w:r>
        <w:rPr>
          <w:szCs w:val="22"/>
        </w:rPr>
        <w:t xml:space="preserve">18. </w:t>
      </w:r>
      <w:r>
        <w:rPr>
          <w:szCs w:val="22"/>
          <w:u w:val="single"/>
        </w:rPr>
        <w:t>Exceptions</w:t>
      </w:r>
      <w:r w:rsidR="00A179B1">
        <w:rPr>
          <w:szCs w:val="22"/>
          <w:u w:val="single"/>
        </w:rPr>
        <w:t xml:space="preserve"> </w:t>
      </w:r>
      <w:r w:rsidR="00A179B1">
        <w:rPr>
          <w:u w:val="single"/>
        </w:rPr>
        <w:t>to the certification statement</w:t>
      </w:r>
      <w:r>
        <w:rPr>
          <w:szCs w:val="22"/>
          <w:u w:val="single"/>
        </w:rPr>
        <w:t>.</w:t>
      </w:r>
      <w:r>
        <w:rPr>
          <w:szCs w:val="22"/>
        </w:rPr>
        <w:t xml:space="preserve"> </w:t>
      </w:r>
    </w:p>
    <w:p w:rsidR="00600940" w:rsidP="003B39FB" w14:paraId="59F49A6B" w14:textId="799A8FA1">
      <w:pPr>
        <w:spacing w:after="240"/>
        <w:ind w:firstLine="720"/>
      </w:pPr>
      <w:r>
        <w:rPr>
          <w:szCs w:val="22"/>
        </w:rPr>
        <w:t>There are no exceptions to the certification statement</w:t>
      </w:r>
      <w:r w:rsidR="007B5A2F">
        <w:rPr>
          <w:szCs w:val="22"/>
        </w:rPr>
        <w:t>.</w:t>
      </w:r>
    </w:p>
    <w:sectPr>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3944456"/>
      <w:docPartObj>
        <w:docPartGallery w:val="Page Numbers (Bottom of Page)"/>
        <w:docPartUnique/>
      </w:docPartObj>
    </w:sdtPr>
    <w:sdtEndPr>
      <w:rPr>
        <w:noProof/>
      </w:rPr>
    </w:sdtEndPr>
    <w:sdtContent>
      <w:p w:rsidR="005A272A" w14:paraId="386A528D" w14:textId="7C7200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28D7" w14:paraId="253772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6889" w14:paraId="28CFFD05" w14:textId="77777777">
      <w:r>
        <w:separator/>
      </w:r>
    </w:p>
  </w:footnote>
  <w:footnote w:type="continuationSeparator" w:id="1">
    <w:p w:rsidR="007B6889" w14:paraId="4E0BCDE9" w14:textId="77777777">
      <w:r>
        <w:continuationSeparator/>
      </w:r>
    </w:p>
  </w:footnote>
  <w:footnote w:type="continuationNotice" w:id="2">
    <w:p w:rsidR="007B6889" w14:paraId="06A9A7A2" w14:textId="77777777"/>
  </w:footnote>
  <w:footnote w:id="3">
    <w:p w:rsidR="00CE28D7" w:rsidRPr="001751EC" w:rsidP="00124B61" w14:paraId="21138426" w14:textId="0566A4BE">
      <w:pPr>
        <w:pStyle w:val="FootnoteText"/>
      </w:pPr>
      <w:r w:rsidRPr="00204BED">
        <w:rPr>
          <w:rStyle w:val="FootnoteReference"/>
        </w:rPr>
        <w:footnoteRef/>
      </w:r>
      <w:r w:rsidRPr="00204BED">
        <w:t xml:space="preserve"> The CTA is Title LXIV of the </w:t>
      </w:r>
      <w:r w:rsidRPr="000E39C2">
        <w:t>William M. (Mac) Thornberry National Defense Authorization Act for Fiscal Year 2021</w:t>
      </w:r>
      <w:r w:rsidRPr="00460369">
        <w:t>,</w:t>
      </w:r>
      <w:r w:rsidRPr="00204BED">
        <w:t xml:space="preserve"> Pub. L. 116-283 (January 1, 2021)</w:t>
      </w:r>
      <w:r>
        <w:t xml:space="preserve"> (the NDAA)</w:t>
      </w:r>
      <w:r w:rsidRPr="00204BED">
        <w:t xml:space="preserve">.  </w:t>
      </w:r>
      <w:r>
        <w:t xml:space="preserve">Division F of the NDAA is the Anti-Money Laundering Act of 2020 (the AML Act), which includes </w:t>
      </w:r>
      <w:r>
        <w:t xml:space="preserve">the CTA.  </w:t>
      </w:r>
      <w:r w:rsidRPr="00204BED">
        <w:t xml:space="preserve">Section 6003(1) of the </w:t>
      </w:r>
      <w:r>
        <w:t>AML Act</w:t>
      </w:r>
      <w:r w:rsidRPr="00204BED">
        <w:t xml:space="preserve"> defines the </w:t>
      </w:r>
      <w:r>
        <w:t>BSA</w:t>
      </w:r>
      <w:r w:rsidRPr="00204BED">
        <w:t xml:space="preserve"> as comprising Section 21 of the Federal Deposit Insurance Act (12 U.S.C. 1829b), Chapter </w:t>
      </w:r>
      <w:r>
        <w:t>2</w:t>
      </w:r>
      <w:r w:rsidR="004F15F8">
        <w:t xml:space="preserve"> </w:t>
      </w:r>
      <w:r w:rsidRPr="00204BED">
        <w:t xml:space="preserve">of Title I of Public Law 91-508 (12 U.S.C. 1951 </w:t>
      </w:r>
      <w:r w:rsidRPr="00204BED">
        <w:rPr>
          <w:i/>
        </w:rPr>
        <w:t>et seq.</w:t>
      </w:r>
      <w:r w:rsidRPr="00204BED">
        <w:t xml:space="preserve">), and Subchapter II of Chapter 53 of Title 31, </w:t>
      </w:r>
      <w:r>
        <w:t>Unite</w:t>
      </w:r>
      <w:r>
        <w:t>d States Code.</w:t>
      </w:r>
      <w:r w:rsidRPr="00204BED">
        <w:t xml:space="preserve"> </w:t>
      </w:r>
      <w:r>
        <w:t xml:space="preserve"> </w:t>
      </w:r>
      <w:r w:rsidRPr="000F273F">
        <w:t xml:space="preserve">Congress has authorized the Secretary </w:t>
      </w:r>
      <w:r>
        <w:t xml:space="preserve">of the Treasury (the Secretary) </w:t>
      </w:r>
      <w:r w:rsidRPr="000F273F">
        <w:t xml:space="preserve">to administer the BSA.  The Secretary has delegated to the Director of FinCEN the authority to implement, administer, and enforce compliance with the BSA and associated </w:t>
      </w:r>
      <w:r w:rsidRPr="001751EC">
        <w:t>r</w:t>
      </w:r>
      <w:r w:rsidRPr="001751EC">
        <w:t>egulations.  Treasury Order 180–01 (Jan. 14, 2020).</w:t>
      </w:r>
    </w:p>
  </w:footnote>
  <w:footnote w:id="4">
    <w:p w:rsidR="00E35EC9" w:rsidP="000C0227" w14:paraId="3C9AFBE1" w14:textId="3899F19D">
      <w:pPr>
        <w:spacing w:line="257" w:lineRule="auto"/>
      </w:pPr>
      <w:r w:rsidRPr="001751EC">
        <w:rPr>
          <w:rStyle w:val="FootnoteReference"/>
          <w:sz w:val="20"/>
          <w:szCs w:val="20"/>
        </w:rPr>
        <w:footnoteRef/>
      </w:r>
      <w:r w:rsidRPr="001751EC" w:rsidR="5CA521F6">
        <w:rPr>
          <w:sz w:val="20"/>
          <w:szCs w:val="20"/>
        </w:rPr>
        <w:t xml:space="preserve"> FinCEN,</w:t>
      </w:r>
      <w:r w:rsidR="00D23FB6">
        <w:rPr>
          <w:sz w:val="20"/>
          <w:szCs w:val="20"/>
        </w:rPr>
        <w:t xml:space="preserve"> </w:t>
      </w:r>
      <w:r w:rsidR="00D23FB6">
        <w:rPr>
          <w:i/>
          <w:iCs/>
          <w:sz w:val="20"/>
          <w:szCs w:val="20"/>
        </w:rPr>
        <w:t>Beneficial Ownership</w:t>
      </w:r>
      <w:r w:rsidRPr="000C0227" w:rsidR="5CA521F6">
        <w:rPr>
          <w:i/>
          <w:sz w:val="20"/>
          <w:szCs w:val="20"/>
          <w:shd w:val="clear" w:color="auto" w:fill="E6E6E6"/>
        </w:rPr>
        <w:t xml:space="preserve"> </w:t>
      </w:r>
      <w:r w:rsidRPr="001751EC" w:rsidR="003B344D">
        <w:rPr>
          <w:i/>
          <w:iCs/>
          <w:sz w:val="20"/>
          <w:szCs w:val="20"/>
        </w:rPr>
        <w:t>Information</w:t>
      </w:r>
      <w:r w:rsidR="00D23FB6">
        <w:rPr>
          <w:i/>
          <w:iCs/>
          <w:sz w:val="20"/>
          <w:szCs w:val="20"/>
        </w:rPr>
        <w:t xml:space="preserve"> Reporting Requirements</w:t>
      </w:r>
      <w:r w:rsidRPr="001751EC" w:rsidR="5CA521F6">
        <w:rPr>
          <w:sz w:val="20"/>
          <w:szCs w:val="20"/>
        </w:rPr>
        <w:t xml:space="preserve">, 87 FR </w:t>
      </w:r>
      <w:r w:rsidRPr="5CA521F6" w:rsidR="5CA521F6">
        <w:rPr>
          <w:sz w:val="20"/>
          <w:szCs w:val="20"/>
        </w:rPr>
        <w:t xml:space="preserve">59498 (Sept. 30, 2022), available at </w:t>
      </w:r>
      <w:hyperlink r:id="rId1" w:history="1">
        <w:r w:rsidRPr="5CA521F6" w:rsidR="5CA521F6">
          <w:rPr>
            <w:rStyle w:val="Hyperlink"/>
            <w:sz w:val="20"/>
            <w:szCs w:val="20"/>
          </w:rPr>
          <w:t>https://www.federalregister.gov/documents/2022/09/30/2022-21020/beneficial-ownership-information-reporting-requirements</w:t>
        </w:r>
      </w:hyperlink>
      <w:r w:rsidRPr="5CA521F6" w:rsidR="5CA521F6">
        <w:rPr>
          <w:rStyle w:val="Hyperlink"/>
          <w:sz w:val="20"/>
          <w:szCs w:val="20"/>
        </w:rPr>
        <w:t>.</w:t>
      </w:r>
    </w:p>
  </w:footnote>
  <w:footnote w:id="5">
    <w:p w:rsidR="00852CEA" w:rsidP="00852CEA" w14:paraId="594F303C" w14:textId="4DCAB6AF">
      <w:pPr>
        <w:pStyle w:val="FootnoteText"/>
      </w:pPr>
      <w:r>
        <w:rPr>
          <w:rStyle w:val="FootnoteReference"/>
        </w:rPr>
        <w:footnoteRef/>
      </w:r>
      <w:r w:rsidR="5CA521F6">
        <w:t xml:space="preserve"> FinCEN, </w:t>
      </w:r>
      <w:r w:rsidRPr="5CA521F6" w:rsidR="5CA521F6">
        <w:rPr>
          <w:i/>
          <w:iCs/>
        </w:rPr>
        <w:t>Agency Information Collection Activities; Proposed Collection; Comment Request; Beneficial Ownership Information Reports,</w:t>
      </w:r>
      <w:r w:rsidR="5CA521F6">
        <w:t xml:space="preserve"> 88 FR 2760 (Jan. 17, 2023), available at </w:t>
      </w:r>
      <w:hyperlink r:id="rId2" w:history="1">
        <w:r w:rsidRPr="5CA521F6" w:rsidR="5CA521F6">
          <w:rPr>
            <w:rStyle w:val="Hyperlink"/>
          </w:rPr>
          <w:t>https://www.federalregister.gov/documents/2023/01/17/2023-00703/agency-information-collection-activities-proposed-collection-comment-request-beneficial-ownership</w:t>
        </w:r>
      </w:hyperlink>
      <w:r w:rsidR="5CA521F6">
        <w:t xml:space="preserve">.  </w:t>
      </w:r>
    </w:p>
  </w:footnote>
  <w:footnote w:id="6">
    <w:p w:rsidR="00852CEA" w:rsidRPr="00FF7741" w:rsidP="00852CEA" w14:paraId="78F95B1B" w14:textId="0AA8DCAC">
      <w:pPr>
        <w:pStyle w:val="Heading1"/>
        <w:spacing w:before="0"/>
        <w:textAlignment w:val="baseline"/>
        <w:rPr>
          <w:color w:val="333333"/>
        </w:rPr>
      </w:pPr>
      <w:r w:rsidRPr="000C0227">
        <w:rPr>
          <w:rStyle w:val="FootnoteReference"/>
          <w:rFonts w:ascii="Times New Roman" w:hAnsi="Times New Roman" w:cs="Times New Roman"/>
          <w:color w:val="auto"/>
          <w:sz w:val="20"/>
          <w:szCs w:val="20"/>
        </w:rPr>
        <w:footnoteRef/>
      </w:r>
      <w:r w:rsidRPr="000C0227" w:rsidR="5CA521F6">
        <w:rPr>
          <w:rFonts w:ascii="Times New Roman" w:hAnsi="Times New Roman" w:cs="Times New Roman"/>
          <w:color w:val="auto"/>
          <w:sz w:val="20"/>
          <w:szCs w:val="20"/>
        </w:rPr>
        <w:t xml:space="preserve"> FinCEN, </w:t>
      </w:r>
      <w:r w:rsidRPr="000C0227" w:rsidR="5CA521F6">
        <w:rPr>
          <w:rFonts w:ascii="Times New Roman" w:hAnsi="Times New Roman" w:cs="Times New Roman"/>
          <w:i/>
          <w:iCs/>
          <w:color w:val="auto"/>
          <w:sz w:val="20"/>
          <w:szCs w:val="20"/>
        </w:rPr>
        <w:t xml:space="preserve">Agency Information Collection Activities; Proposed Collection; Comment Request; Individual </w:t>
      </w:r>
      <w:r w:rsidRPr="5CA521F6" w:rsidR="5CA521F6">
        <w:rPr>
          <w:rFonts w:ascii="Times New Roman" w:hAnsi="Times New Roman" w:cs="Times New Roman"/>
          <w:i/>
          <w:iCs/>
          <w:color w:val="333333"/>
          <w:sz w:val="20"/>
          <w:szCs w:val="20"/>
        </w:rPr>
        <w:t>FinCEN Id</w:t>
      </w:r>
      <w:r w:rsidRPr="000C0227" w:rsidR="5CA521F6">
        <w:rPr>
          <w:rFonts w:ascii="Times New Roman" w:hAnsi="Times New Roman" w:cs="Times New Roman"/>
          <w:i/>
          <w:iCs/>
          <w:color w:val="auto"/>
          <w:sz w:val="20"/>
          <w:szCs w:val="20"/>
        </w:rPr>
        <w:t>entifiers,</w:t>
      </w:r>
      <w:r w:rsidRPr="000C0227" w:rsidR="5CA521F6">
        <w:rPr>
          <w:rFonts w:ascii="Times New Roman" w:hAnsi="Times New Roman" w:cs="Times New Roman"/>
          <w:color w:val="auto"/>
          <w:sz w:val="20"/>
          <w:szCs w:val="20"/>
        </w:rPr>
        <w:t xml:space="preserve"> 88 FR 2764 (Jan. 17, 2023), available at </w:t>
      </w:r>
      <w:hyperlink r:id="rId3" w:history="1">
        <w:r w:rsidRPr="5CA521F6" w:rsidR="5CA521F6">
          <w:rPr>
            <w:rStyle w:val="Hyperlink"/>
            <w:rFonts w:ascii="Times New Roman" w:hAnsi="Times New Roman" w:cs="Times New Roman"/>
            <w:sz w:val="20"/>
            <w:szCs w:val="20"/>
          </w:rPr>
          <w:t>https://www.federalregister.gov/documents/2023/01/17/2023-00708/agency-information-collection-activities-proposed-collection-comment-request-individual-fincen</w:t>
        </w:r>
      </w:hyperlink>
      <w:r w:rsidRPr="5CA521F6" w:rsidR="5CA521F6">
        <w:rPr>
          <w:rFonts w:ascii="Times New Roman" w:hAnsi="Times New Roman" w:cs="Times New Roman"/>
          <w:sz w:val="20"/>
          <w:szCs w:val="20"/>
        </w:rPr>
        <w:t xml:space="preserve">.  </w:t>
      </w:r>
    </w:p>
  </w:footnote>
  <w:footnote w:id="7">
    <w:p w:rsidR="00CE28D7" w:rsidRPr="006E505F" w14:paraId="12D9C7E2" w14:textId="17ECA917">
      <w:pPr>
        <w:pStyle w:val="FootnoteText"/>
      </w:pPr>
      <w:r>
        <w:rPr>
          <w:rStyle w:val="FootnoteReference"/>
        </w:rPr>
        <w:footnoteRef/>
      </w:r>
      <w:r>
        <w:t xml:space="preserve"> </w:t>
      </w:r>
      <w:r w:rsidRPr="001751EC" w:rsidR="00E33C88">
        <w:t>FinCEN,</w:t>
      </w:r>
      <w:r w:rsidR="00B62A7E">
        <w:t xml:space="preserve"> </w:t>
      </w:r>
      <w:r w:rsidR="00B62A7E">
        <w:rPr>
          <w:i/>
          <w:iCs/>
        </w:rPr>
        <w:t xml:space="preserve">Beneficial Ownership Information Reporting Requirements, </w:t>
      </w:r>
      <w:r w:rsidRPr="5CA521F6" w:rsidR="00E33C88">
        <w:t>FR 59</w:t>
      </w:r>
      <w:r w:rsidR="00802FD1">
        <w:t>593</w:t>
      </w:r>
      <w:r w:rsidRPr="5CA521F6" w:rsidR="00E33C88">
        <w:t xml:space="preserve"> (Sept. 30, 2022), available at </w:t>
      </w:r>
      <w:hyperlink r:id="rId1" w:history="1">
        <w:r w:rsidRPr="5CA521F6" w:rsidR="00E33C88">
          <w:rPr>
            <w:rStyle w:val="Hyperlink"/>
          </w:rPr>
          <w:t>https://www.federalregister.gov/documents/2022/09/30/2022-21020/beneficial-ownership-information-reporting-requirements</w:t>
        </w:r>
      </w:hyperlink>
      <w:r w:rsidRPr="5CA521F6" w:rsidR="00E33C88">
        <w:rPr>
          <w:rStyle w:val="Hyperlink"/>
        </w:rPr>
        <w:t>.</w:t>
      </w:r>
      <w:r w:rsidR="00DE473F">
        <w:rPr>
          <w:rStyle w:val="Hyperlink"/>
        </w:rPr>
        <w:t xml:space="preserve"> </w:t>
      </w:r>
      <w:r w:rsidR="0023697D">
        <w:rPr>
          <w:rStyle w:val="Hyperlink"/>
        </w:rPr>
        <w:t xml:space="preserve"> </w:t>
      </w:r>
      <w:r w:rsidR="00DE473F">
        <w:rPr>
          <w:i/>
        </w:rPr>
        <w:t xml:space="preserve">See also </w:t>
      </w:r>
      <w:r w:rsidR="00DE473F">
        <w:t>31 U.S.C. 5336(a)(11).</w:t>
      </w:r>
    </w:p>
  </w:footnote>
  <w:footnote w:id="8">
    <w:p w:rsidR="00CE28D7" w:rsidRPr="0016287F" w:rsidP="00176B1D" w14:paraId="3D5A13D1" w14:textId="1A52AE87">
      <w:pPr>
        <w:pStyle w:val="FootnoteText"/>
      </w:pPr>
      <w:r>
        <w:rPr>
          <w:rStyle w:val="FootnoteReference"/>
        </w:rPr>
        <w:footnoteRef/>
      </w:r>
      <w:r>
        <w:t xml:space="preserve"> </w:t>
      </w:r>
      <w:r w:rsidRPr="001751EC" w:rsidR="00B12203">
        <w:t>FinCEN,</w:t>
      </w:r>
      <w:r w:rsidR="00B62A7E">
        <w:t xml:space="preserve"> </w:t>
      </w:r>
      <w:r w:rsidR="00B62A7E">
        <w:rPr>
          <w:i/>
          <w:iCs/>
        </w:rPr>
        <w:t xml:space="preserve">Beneficial Ownership Information Reporting Requirements, </w:t>
      </w:r>
      <w:r w:rsidRPr="001751EC" w:rsidR="00B12203">
        <w:t xml:space="preserve">87 </w:t>
      </w:r>
      <w:r w:rsidRPr="5CA521F6" w:rsidR="00B12203">
        <w:t>FR 59</w:t>
      </w:r>
      <w:r w:rsidR="0092077A">
        <w:t>594-96</w:t>
      </w:r>
      <w:r w:rsidRPr="5CA521F6" w:rsidR="00B12203">
        <w:t xml:space="preserve"> (Sept. 30, 2022), available at </w:t>
      </w:r>
      <w:hyperlink r:id="rId1" w:history="1">
        <w:r w:rsidRPr="5CA521F6" w:rsidR="00B12203">
          <w:rPr>
            <w:rStyle w:val="Hyperlink"/>
          </w:rPr>
          <w:t>https://www.federalregister.gov/documents/2022/09/30/2022-21020/beneficial-ownership-information-reporting-requirements</w:t>
        </w:r>
      </w:hyperlink>
      <w:r w:rsidRPr="5CA521F6" w:rsidR="00B12203">
        <w:rPr>
          <w:rStyle w:val="Hyperlink"/>
        </w:rPr>
        <w:t>.</w:t>
      </w:r>
      <w:r>
        <w:t xml:space="preserve"> </w:t>
      </w:r>
      <w:r w:rsidR="0023697D">
        <w:t xml:space="preserve"> </w:t>
      </w:r>
      <w:r w:rsidR="00DE473F">
        <w:rPr>
          <w:i/>
        </w:rPr>
        <w:t xml:space="preserve">See also </w:t>
      </w:r>
      <w:r w:rsidR="00DE473F">
        <w:t>31 U.S.C. 5336(a)(3) (beneficial owner), (2) (applicant).</w:t>
      </w:r>
    </w:p>
  </w:footnote>
  <w:footnote w:id="9">
    <w:p w:rsidR="00CE28D7" w:rsidRPr="00D52EDF" w:rsidP="00FD39EA" w14:paraId="5C8DEDCA" w14:textId="253AC8D1">
      <w:pPr>
        <w:pStyle w:val="FootnoteText"/>
      </w:pPr>
      <w:r>
        <w:rPr>
          <w:rStyle w:val="FootnoteReference"/>
        </w:rPr>
        <w:footnoteRef/>
      </w:r>
      <w:r>
        <w:t xml:space="preserve"> </w:t>
      </w:r>
      <w:r w:rsidRPr="5CA521F6" w:rsidR="00B12203">
        <w:t>FinCEN,</w:t>
      </w:r>
      <w:r w:rsidR="00B62A7E">
        <w:t xml:space="preserve"> </w:t>
      </w:r>
      <w:r w:rsidR="00B62A7E">
        <w:rPr>
          <w:i/>
          <w:iCs/>
        </w:rPr>
        <w:t xml:space="preserve">Beneficial Ownership Information Reporting Requirements, </w:t>
      </w:r>
      <w:r w:rsidRPr="00A0099D" w:rsidR="00B12203">
        <w:t xml:space="preserve">87 </w:t>
      </w:r>
      <w:r w:rsidRPr="5CA521F6" w:rsidR="00B12203">
        <w:t>FR 59</w:t>
      </w:r>
      <w:r w:rsidR="00E01CD3">
        <w:t>591-9</w:t>
      </w:r>
      <w:r w:rsidR="006A6C21">
        <w:t>2</w:t>
      </w:r>
      <w:r w:rsidR="00E01CD3">
        <w:t xml:space="preserve"> </w:t>
      </w:r>
      <w:r w:rsidRPr="5CA521F6" w:rsidR="00B12203">
        <w:t xml:space="preserve">(Sept. 30, 2022), available at </w:t>
      </w:r>
      <w:hyperlink r:id="rId1" w:history="1">
        <w:r w:rsidRPr="5CA521F6" w:rsidR="00B12203">
          <w:rPr>
            <w:rStyle w:val="Hyperlink"/>
          </w:rPr>
          <w:t>https://www.federalregister.gov/documents/2022/09/30/2022-21020/beneficial-ownership-information-reporting-requirements</w:t>
        </w:r>
      </w:hyperlink>
      <w:r w:rsidRPr="5CA521F6" w:rsidR="00B12203">
        <w:rPr>
          <w:rStyle w:val="Hyperlink"/>
        </w:rPr>
        <w:t>.</w:t>
      </w:r>
      <w:r>
        <w:t xml:space="preserve"> </w:t>
      </w:r>
      <w:r w:rsidR="0023697D">
        <w:t xml:space="preserve"> </w:t>
      </w:r>
      <w:r w:rsidR="00DE473F">
        <w:rPr>
          <w:i/>
        </w:rPr>
        <w:t>See</w:t>
      </w:r>
      <w:r w:rsidR="00DE473F">
        <w:t xml:space="preserve"> </w:t>
      </w:r>
      <w:r w:rsidRPr="008B576E" w:rsidR="00DE473F">
        <w:rPr>
          <w:i/>
          <w:iCs/>
        </w:rPr>
        <w:t>also</w:t>
      </w:r>
      <w:r w:rsidR="00DE473F">
        <w:t xml:space="preserve"> 31 U.S.C. 5336(b)(1)(B). </w:t>
      </w:r>
      <w:r w:rsidR="00B12203">
        <w:t xml:space="preserve"> </w:t>
      </w:r>
    </w:p>
  </w:footnote>
  <w:footnote w:id="10">
    <w:p w:rsidR="00CE28D7" w:rsidRPr="00D52EDF" w:rsidP="006562A1" w14:paraId="371AD60E" w14:textId="35EC6BEB">
      <w:pPr>
        <w:pStyle w:val="FootnoteText"/>
      </w:pPr>
      <w:r>
        <w:rPr>
          <w:rStyle w:val="FootnoteReference"/>
        </w:rPr>
        <w:footnoteRef/>
      </w:r>
      <w:r>
        <w:t xml:space="preserve"> </w:t>
      </w:r>
      <w:r w:rsidRPr="5CA521F6" w:rsidR="00442D83">
        <w:t xml:space="preserve">FinCEN, </w:t>
      </w:r>
      <w:r w:rsidRPr="008B576E" w:rsidR="00442D83">
        <w:rPr>
          <w:i/>
          <w:iCs/>
        </w:rPr>
        <w:t xml:space="preserve">Beneficial Ownership </w:t>
      </w:r>
      <w:r w:rsidR="00817E1B">
        <w:rPr>
          <w:i/>
          <w:iCs/>
        </w:rPr>
        <w:t xml:space="preserve">Information </w:t>
      </w:r>
      <w:r w:rsidRPr="008B576E" w:rsidR="00442D83">
        <w:rPr>
          <w:i/>
          <w:iCs/>
        </w:rPr>
        <w:t>Reporting Requirements</w:t>
      </w:r>
      <w:r w:rsidRPr="5CA521F6" w:rsidR="00442D83">
        <w:t>, 87 FR 59</w:t>
      </w:r>
      <w:r w:rsidR="00442D83">
        <w:t xml:space="preserve">592 </w:t>
      </w:r>
      <w:r w:rsidRPr="5CA521F6" w:rsidR="00442D83">
        <w:t xml:space="preserve">(Sept. 30, 2022), available at </w:t>
      </w:r>
      <w:hyperlink r:id="rId1" w:history="1">
        <w:r w:rsidRPr="5CA521F6" w:rsidR="00442D83">
          <w:rPr>
            <w:rStyle w:val="Hyperlink"/>
          </w:rPr>
          <w:t>https://www.federalregister.gov/documents/2022/09/30/2022-21020/beneficial-ownership-information-reporting-requirements</w:t>
        </w:r>
      </w:hyperlink>
      <w:r w:rsidRPr="5CA521F6" w:rsidR="00442D83">
        <w:rPr>
          <w:rStyle w:val="Hyperlink"/>
        </w:rPr>
        <w:t>.</w:t>
      </w:r>
      <w:r w:rsidR="00442D83">
        <w:t xml:space="preserve"> </w:t>
      </w:r>
      <w:r w:rsidR="0023697D">
        <w:t xml:space="preserve"> </w:t>
      </w:r>
      <w:r w:rsidR="0007256F">
        <w:rPr>
          <w:i/>
        </w:rPr>
        <w:t>See</w:t>
      </w:r>
      <w:r w:rsidR="0007256F">
        <w:t xml:space="preserve"> </w:t>
      </w:r>
      <w:r w:rsidRPr="008B576E" w:rsidR="0007256F">
        <w:rPr>
          <w:i/>
          <w:iCs/>
        </w:rPr>
        <w:t>also</w:t>
      </w:r>
      <w:r w:rsidR="0007256F">
        <w:t xml:space="preserve"> 31 U.S.C. 5336(b)(1)(C).</w:t>
      </w:r>
    </w:p>
  </w:footnote>
  <w:footnote w:id="11">
    <w:p w:rsidR="00CE28D7" w:rsidRPr="00306A33" w14:paraId="669CC326" w14:textId="10D1F05D">
      <w:pPr>
        <w:pStyle w:val="FootnoteText"/>
      </w:pPr>
      <w:r w:rsidRPr="00D52EDF">
        <w:rPr>
          <w:rStyle w:val="FootnoteReference"/>
        </w:rPr>
        <w:footnoteRef/>
      </w:r>
      <w:r w:rsidRPr="00D52EDF">
        <w:t xml:space="preserve"> </w:t>
      </w:r>
      <w:r w:rsidRPr="5CA521F6" w:rsidR="00CB09FE">
        <w:t xml:space="preserve">FinCEN, </w:t>
      </w:r>
      <w:r w:rsidRPr="008B576E" w:rsidR="00CB09FE">
        <w:rPr>
          <w:i/>
          <w:iCs/>
        </w:rPr>
        <w:t xml:space="preserve">Beneficial Ownership </w:t>
      </w:r>
      <w:r w:rsidR="00817E1B">
        <w:rPr>
          <w:i/>
          <w:iCs/>
        </w:rPr>
        <w:t xml:space="preserve">Information </w:t>
      </w:r>
      <w:r w:rsidRPr="008B576E" w:rsidR="00CB09FE">
        <w:rPr>
          <w:i/>
          <w:iCs/>
        </w:rPr>
        <w:t>Reporting Requirements</w:t>
      </w:r>
      <w:r w:rsidRPr="5CA521F6" w:rsidR="00CB09FE">
        <w:t>, 87 FR 59</w:t>
      </w:r>
      <w:r w:rsidR="00CB09FE">
        <w:t>59</w:t>
      </w:r>
      <w:r w:rsidR="00F60C81">
        <w:t>2</w:t>
      </w:r>
      <w:r w:rsidR="00CB09FE">
        <w:t>-</w:t>
      </w:r>
      <w:r w:rsidR="00F60C81">
        <w:t>93</w:t>
      </w:r>
      <w:r w:rsidR="009B244A">
        <w:t xml:space="preserve"> </w:t>
      </w:r>
      <w:r w:rsidRPr="5CA521F6" w:rsidR="00CB09FE">
        <w:t xml:space="preserve">(Sept. 30, 2022), available at </w:t>
      </w:r>
      <w:hyperlink r:id="rId1" w:history="1">
        <w:r w:rsidRPr="5CA521F6" w:rsidR="00CB09FE">
          <w:rPr>
            <w:rStyle w:val="Hyperlink"/>
          </w:rPr>
          <w:t>https://www.federalregister.gov/documents/2022/09/30/2022-21020/beneficial-ownership-information-reporting-requirements</w:t>
        </w:r>
      </w:hyperlink>
      <w:r w:rsidRPr="5CA521F6" w:rsidR="00CB09FE">
        <w:rPr>
          <w:rStyle w:val="Hyperlink"/>
        </w:rPr>
        <w:t>.</w:t>
      </w:r>
      <w:r w:rsidR="00CB09FE">
        <w:t xml:space="preserve"> </w:t>
      </w:r>
      <w:r w:rsidR="0023697D">
        <w:t xml:space="preserve"> </w:t>
      </w:r>
      <w:r w:rsidRPr="00D52EDF" w:rsidR="0007256F">
        <w:rPr>
          <w:i/>
        </w:rPr>
        <w:t xml:space="preserve">See </w:t>
      </w:r>
      <w:r w:rsidR="0007256F">
        <w:rPr>
          <w:i/>
        </w:rPr>
        <w:t xml:space="preserve">also </w:t>
      </w:r>
      <w:r w:rsidRPr="00D52EDF" w:rsidR="0007256F">
        <w:t>31 U.S.C. 5336</w:t>
      </w:r>
      <w:r w:rsidRPr="00306A33" w:rsidR="0007256F">
        <w:t>(b)(2)(C).</w:t>
      </w:r>
      <w:r w:rsidR="0007256F">
        <w:t xml:space="preserve"> </w:t>
      </w:r>
      <w:r w:rsidR="00CB09FE">
        <w:t xml:space="preserve"> </w:t>
      </w:r>
    </w:p>
  </w:footnote>
  <w:footnote w:id="12">
    <w:p w:rsidR="00CE28D7" w:rsidRPr="00C820AA" w14:paraId="24C3CD57" w14:textId="2919EDE9">
      <w:pPr>
        <w:pStyle w:val="FootnoteText"/>
      </w:pPr>
      <w:r w:rsidRPr="00D52EDF">
        <w:rPr>
          <w:rStyle w:val="FootnoteReference"/>
        </w:rPr>
        <w:footnoteRef/>
      </w:r>
      <w:r>
        <w:t xml:space="preserve"> </w:t>
      </w:r>
      <w:r w:rsidRPr="5CA521F6" w:rsidR="00683491">
        <w:t xml:space="preserve">FinCEN, </w:t>
      </w:r>
      <w:r w:rsidRPr="008B576E" w:rsidR="00683491">
        <w:rPr>
          <w:i/>
          <w:iCs/>
        </w:rPr>
        <w:t xml:space="preserve">Beneficial Ownership </w:t>
      </w:r>
      <w:r w:rsidR="00817E1B">
        <w:rPr>
          <w:i/>
          <w:iCs/>
        </w:rPr>
        <w:t xml:space="preserve">Information </w:t>
      </w:r>
      <w:r w:rsidRPr="008B576E" w:rsidR="00683491">
        <w:rPr>
          <w:i/>
          <w:iCs/>
        </w:rPr>
        <w:t>Reporting Requirements</w:t>
      </w:r>
      <w:r w:rsidRPr="5CA521F6" w:rsidR="00683491">
        <w:t>, 87 FR 59</w:t>
      </w:r>
      <w:r w:rsidR="00683491">
        <w:t xml:space="preserve">593 </w:t>
      </w:r>
      <w:r w:rsidRPr="5CA521F6" w:rsidR="00683491">
        <w:t xml:space="preserve">(Sept. 30, 2022), available at </w:t>
      </w:r>
      <w:hyperlink r:id="rId1" w:history="1">
        <w:r w:rsidRPr="5CA521F6" w:rsidR="00683491">
          <w:rPr>
            <w:rStyle w:val="Hyperlink"/>
          </w:rPr>
          <w:t>https://www.federalregister.gov/documents/2022/09/30/2022-21020/beneficial-ownership-information-reporting-requirements</w:t>
        </w:r>
      </w:hyperlink>
      <w:r w:rsidRPr="5CA521F6" w:rsidR="00683491">
        <w:rPr>
          <w:rStyle w:val="Hyperlink"/>
        </w:rPr>
        <w:t>.</w:t>
      </w:r>
      <w:r w:rsidR="00683491">
        <w:t xml:space="preserve"> </w:t>
      </w:r>
      <w:r w:rsidR="0023697D">
        <w:t xml:space="preserve"> </w:t>
      </w:r>
      <w:r w:rsidR="002F16B1">
        <w:rPr>
          <w:i/>
        </w:rPr>
        <w:t xml:space="preserve">See also </w:t>
      </w:r>
      <w:r w:rsidR="002F16B1">
        <w:t xml:space="preserve">31 U.S.C. 5336(a)(6), (b)(3). </w:t>
      </w:r>
      <w:r w:rsidR="00683491">
        <w:t xml:space="preserve"> </w:t>
      </w:r>
    </w:p>
  </w:footnote>
  <w:footnote w:id="13">
    <w:p w:rsidR="00CE28D7" w:rsidRPr="00172FD6" w14:paraId="14DDDDF7" w14:textId="6CD78D11">
      <w:pPr>
        <w:pStyle w:val="FootnoteText"/>
      </w:pPr>
      <w:r>
        <w:rPr>
          <w:rStyle w:val="FootnoteReference"/>
        </w:rPr>
        <w:footnoteRef/>
      </w:r>
      <w:r>
        <w:t xml:space="preserve"> </w:t>
      </w:r>
      <w:r>
        <w:rPr>
          <w:i/>
        </w:rPr>
        <w:t xml:space="preserve">See generally </w:t>
      </w:r>
      <w:r>
        <w:t>CTA, Section 6403.</w:t>
      </w:r>
    </w:p>
  </w:footnote>
  <w:footnote w:id="14">
    <w:p w:rsidR="00CE28D7" w:rsidRPr="00CC622B" w14:paraId="2DD04B52" w14:textId="7A5EEEED">
      <w:pPr>
        <w:pStyle w:val="FootnoteText"/>
      </w:pPr>
      <w:r>
        <w:rPr>
          <w:rStyle w:val="FootnoteReference"/>
        </w:rPr>
        <w:footnoteRef/>
      </w:r>
      <w:r>
        <w:t xml:space="preserve"> </w:t>
      </w:r>
      <w:r>
        <w:rPr>
          <w:i/>
        </w:rPr>
        <w:t>See</w:t>
      </w:r>
      <w:r>
        <w:t xml:space="preserve"> 31 U.S.C. 5336(b</w:t>
      </w:r>
      <w:r>
        <w:t xml:space="preserve">)(4)(B)(i). </w:t>
      </w:r>
    </w:p>
  </w:footnote>
  <w:footnote w:id="15">
    <w:p w:rsidR="00CE28D7" w:rsidRPr="00F35304" w:rsidP="00E34D72" w14:paraId="4B57E23B" w14:textId="754ACAE7">
      <w:pPr>
        <w:pStyle w:val="FootnoteText"/>
      </w:pPr>
      <w:r>
        <w:rPr>
          <w:rStyle w:val="FootnoteReference"/>
        </w:rPr>
        <w:footnoteRef/>
      </w:r>
      <w:r>
        <w:t xml:space="preserve"> 31 U.S.C. 5336(c)(2)(</w:t>
      </w:r>
      <w:r>
        <w:t>B)-(</w:t>
      </w:r>
      <w:r>
        <w:t>C), and (c)(5).</w:t>
      </w:r>
    </w:p>
  </w:footnote>
  <w:footnote w:id="16">
    <w:p w:rsidR="000C1679" w14:paraId="4EF66279" w14:textId="031AAAC1">
      <w:pPr>
        <w:pStyle w:val="FootnoteText"/>
      </w:pPr>
      <w:r>
        <w:rPr>
          <w:rStyle w:val="FootnoteReference"/>
        </w:rPr>
        <w:footnoteRef/>
      </w:r>
      <w:r>
        <w:t xml:space="preserve"> FinCEN,</w:t>
      </w:r>
      <w:r w:rsidR="00A35346">
        <w:t xml:space="preserve"> </w:t>
      </w:r>
      <w:r w:rsidR="00A35346">
        <w:rPr>
          <w:i/>
          <w:iCs/>
        </w:rPr>
        <w:t>Beneficial Ownership Information Access and Safeguards, and Use of FinCEN Identifiers for Entities,</w:t>
      </w:r>
      <w:r w:rsidR="00A77F5F">
        <w:t xml:space="preserve"> 87 FR 77404</w:t>
      </w:r>
      <w:r w:rsidR="0014029F">
        <w:t xml:space="preserve"> (Dec. 16, 2022), </w:t>
      </w:r>
      <w:r>
        <w:t xml:space="preserve">available at </w:t>
      </w:r>
      <w:hyperlink r:id="rId4" w:history="1">
        <w:r>
          <w:rPr>
            <w:rStyle w:val="Hyperlink"/>
          </w:rPr>
          <w:t>https://www.govinfo.gov/content/pkg/FR-2022-12-16/pdf/2022-27031.pdf</w:t>
        </w:r>
      </w:hyperlink>
      <w:r w:rsidR="0023697D">
        <w:rPr>
          <w:rStyle w:val="Hyperlink"/>
        </w:rPr>
        <w:t>.</w:t>
      </w:r>
    </w:p>
  </w:footnote>
  <w:footnote w:id="17">
    <w:p w:rsidR="00CE28D7" w:rsidP="00BC34B9" w14:paraId="78EB33B6" w14:textId="044F5AEB">
      <w:pPr>
        <w:pStyle w:val="FootnoteText"/>
      </w:pPr>
      <w:r>
        <w:rPr>
          <w:rStyle w:val="FootnoteReference"/>
        </w:rPr>
        <w:footnoteRef/>
      </w:r>
      <w:r w:rsidR="5CA521F6">
        <w:t xml:space="preserve"> CTA, Section 6403(c)(1).</w:t>
      </w:r>
    </w:p>
  </w:footnote>
  <w:footnote w:id="18">
    <w:p w:rsidR="5CA521F6" w:rsidP="5CA521F6" w14:paraId="3E697698" w14:textId="00EFFBBF">
      <w:pPr>
        <w:spacing w:line="257" w:lineRule="auto"/>
        <w:rPr>
          <w:sz w:val="20"/>
          <w:szCs w:val="20"/>
        </w:rPr>
      </w:pPr>
      <w:r w:rsidRPr="5CA521F6">
        <w:rPr>
          <w:sz w:val="20"/>
          <w:szCs w:val="20"/>
          <w:vertAlign w:val="superscript"/>
        </w:rPr>
        <w:footnoteRef/>
      </w:r>
      <w:r w:rsidRPr="5CA521F6">
        <w:rPr>
          <w:sz w:val="20"/>
          <w:szCs w:val="20"/>
        </w:rPr>
        <w:t xml:space="preserve"> FinCEN,</w:t>
      </w:r>
      <w:r w:rsidR="00BD7281">
        <w:rPr>
          <w:sz w:val="20"/>
          <w:szCs w:val="20"/>
        </w:rPr>
        <w:t xml:space="preserve"> </w:t>
      </w:r>
      <w:r w:rsidR="00BD7281">
        <w:rPr>
          <w:i/>
          <w:iCs/>
          <w:sz w:val="20"/>
          <w:szCs w:val="20"/>
        </w:rPr>
        <w:t xml:space="preserve">Customer Due Diligence Requirements for Financial Institutions, </w:t>
      </w:r>
      <w:r w:rsidRPr="00A0099D">
        <w:rPr>
          <w:sz w:val="20"/>
          <w:szCs w:val="20"/>
        </w:rPr>
        <w:t xml:space="preserve">81 FR </w:t>
      </w:r>
      <w:r w:rsidRPr="5CA521F6">
        <w:rPr>
          <w:sz w:val="20"/>
          <w:szCs w:val="20"/>
        </w:rPr>
        <w:t xml:space="preserve">29397 (May 11, 2016), available at </w:t>
      </w:r>
      <w:hyperlink r:id="rId5" w:history="1">
        <w:r w:rsidRPr="5CA521F6">
          <w:rPr>
            <w:rStyle w:val="Hyperlink"/>
            <w:sz w:val="20"/>
            <w:szCs w:val="20"/>
          </w:rPr>
          <w:t>https://ww</w:t>
        </w:r>
        <w:r w:rsidRPr="5CA521F6">
          <w:rPr>
            <w:rStyle w:val="Hyperlink"/>
            <w:sz w:val="20"/>
            <w:szCs w:val="20"/>
          </w:rPr>
          <w:t>w.federalregister.gov/documents/2016/05/11/2016-10567/customer-due-diligence-requirements-for-financial-institutions</w:t>
        </w:r>
      </w:hyperlink>
      <w:r w:rsidRPr="5CA521F6">
        <w:rPr>
          <w:rStyle w:val="Hyperlink"/>
          <w:sz w:val="20"/>
          <w:szCs w:val="20"/>
        </w:rPr>
        <w:t>.</w:t>
      </w:r>
      <w:r w:rsidRPr="5CA521F6">
        <w:rPr>
          <w:sz w:val="20"/>
          <w:szCs w:val="20"/>
        </w:rPr>
        <w:t xml:space="preserve"> </w:t>
      </w:r>
    </w:p>
  </w:footnote>
  <w:footnote w:id="19">
    <w:p w:rsidR="00CE28D7" w:rsidRPr="00EB5833" w14:paraId="4D18241E" w14:textId="7CA645E8">
      <w:pPr>
        <w:pStyle w:val="FootnoteText"/>
      </w:pPr>
      <w:r>
        <w:rPr>
          <w:rStyle w:val="FootnoteReference"/>
        </w:rPr>
        <w:footnoteRef/>
      </w:r>
      <w:r>
        <w:t xml:space="preserve"> </w:t>
      </w:r>
      <w:r>
        <w:rPr>
          <w:i/>
        </w:rPr>
        <w:t xml:space="preserve">See </w:t>
      </w:r>
      <w:r>
        <w:t>31 C.F.R. 1020.210 (CDD Rule for banks), 1023.210 (CDD Rule for broker/dealers), 1024.210 (CDD R</w:t>
      </w:r>
      <w:r>
        <w:t xml:space="preserve">ule for mutual funds), 1026.210 (CDD Rule for futures commission merchants and introducing brokers in commodities). </w:t>
      </w:r>
    </w:p>
  </w:footnote>
  <w:footnote w:id="20">
    <w:p w:rsidR="00CE28D7" w:rsidRPr="00342399" w14:paraId="651F3897" w14:textId="0A492A3B">
      <w:pPr>
        <w:pStyle w:val="FootnoteText"/>
      </w:pPr>
      <w:r>
        <w:rPr>
          <w:rStyle w:val="FootnoteReference"/>
        </w:rPr>
        <w:footnoteRef/>
      </w:r>
      <w:r w:rsidR="5CA521F6">
        <w:t xml:space="preserve"> The Secure Federal Leases from Espionage and Suspicious Entanglements Act (Secure Federal LEASEs Act) is P.L. 116-276, 134 Stat. 3362 </w:t>
      </w:r>
      <w:r w:rsidRPr="5CA521F6" w:rsidR="5CA521F6">
        <w:rPr>
          <w:i/>
          <w:iCs/>
        </w:rPr>
        <w:t xml:space="preserve">et seq. </w:t>
      </w:r>
      <w:r w:rsidR="5CA521F6">
        <w:t>(Dec. 31, 2020).</w:t>
      </w:r>
    </w:p>
  </w:footnote>
  <w:footnote w:id="21">
    <w:p w:rsidR="00E25E26" w14:paraId="4813C83A" w14:textId="74525069">
      <w:pPr>
        <w:pStyle w:val="FootnoteText"/>
      </w:pPr>
      <w:r>
        <w:rPr>
          <w:rStyle w:val="FootnoteReference"/>
        </w:rPr>
        <w:footnoteRef/>
      </w:r>
      <w:r>
        <w:t xml:space="preserve"> </w:t>
      </w:r>
      <w:r w:rsidR="00271A9F">
        <w:t xml:space="preserve">FinCEN, </w:t>
      </w:r>
      <w:r w:rsidRPr="5CA521F6" w:rsidR="00271A9F">
        <w:rPr>
          <w:i/>
          <w:iCs/>
        </w:rPr>
        <w:t>Agency Information Collection Activities; Proposed Collection; Comment Request; Beneficial Ownership Information Reports,</w:t>
      </w:r>
      <w:r w:rsidR="00271A9F">
        <w:t xml:space="preserve"> 88 FR 2760 (Jan. 17, 2023), available at </w:t>
      </w:r>
      <w:hyperlink r:id="rId2" w:history="1">
        <w:r w:rsidRPr="5CA521F6" w:rsidR="00271A9F">
          <w:rPr>
            <w:rStyle w:val="Hyperlink"/>
          </w:rPr>
          <w:t>https://www.federalregister.gov/documents/2023/01/17/2023-00703/agency-information-collection-activities-proposed-collection-comment-request-beneficial-ownership</w:t>
        </w:r>
      </w:hyperlink>
      <w:r w:rsidR="00271A9F">
        <w:t xml:space="preserve">.  </w:t>
      </w:r>
    </w:p>
  </w:footnote>
  <w:footnote w:id="22">
    <w:p w:rsidR="00027861" w14:paraId="442678CE" w14:textId="5D61A073">
      <w:pPr>
        <w:pStyle w:val="FootnoteText"/>
      </w:pPr>
      <w:r>
        <w:rPr>
          <w:rStyle w:val="FootnoteReference"/>
        </w:rPr>
        <w:footnoteRef/>
      </w:r>
      <w:r>
        <w:t xml:space="preserve"> </w:t>
      </w:r>
      <w:r>
        <w:rPr>
          <w:rStyle w:val="normaltextrun"/>
          <w:color w:val="000000"/>
          <w:shd w:val="clear" w:color="auto" w:fill="FFFFFF"/>
        </w:rPr>
        <w:t>FinCEN, </w:t>
      </w:r>
      <w:r>
        <w:rPr>
          <w:rStyle w:val="normaltextrun"/>
          <w:i/>
          <w:iCs/>
          <w:color w:val="000000"/>
          <w:shd w:val="clear" w:color="auto" w:fill="FFFFFF"/>
        </w:rPr>
        <w:t>Beneficial Ownership Information Access and Safeguards, and Use of FinCEN Identifiers for Entities,</w:t>
      </w:r>
      <w:r>
        <w:rPr>
          <w:rStyle w:val="normaltextrun"/>
          <w:color w:val="000000"/>
          <w:shd w:val="clear" w:color="auto" w:fill="FFFFFF"/>
        </w:rPr>
        <w:t> 87 FR 77404 (Dec. 16, 2022), available at </w:t>
      </w:r>
      <w:hyperlink r:id="rId4" w:tgtFrame="_blank" w:history="1">
        <w:r>
          <w:rPr>
            <w:rStyle w:val="normaltextrun"/>
            <w:color w:val="0563C1"/>
            <w:u w:val="single"/>
            <w:shd w:val="clear" w:color="auto" w:fill="FFFFFF"/>
          </w:rPr>
          <w:t>https://www.govinfo.gov/content/pkg/FR-2022-12-16/pdf/2022-27031.pdf</w:t>
        </w:r>
      </w:hyperlink>
      <w:r>
        <w:rPr>
          <w:rStyle w:val="normaltextrun"/>
          <w:color w:val="0563C1"/>
          <w:u w:val="single"/>
          <w:shd w:val="clear" w:color="auto" w:fill="FFFFFF"/>
        </w:rPr>
        <w:t>.</w:t>
      </w:r>
    </w:p>
  </w:footnote>
  <w:footnote w:id="23">
    <w:p w:rsidR="006A69D1" w:rsidP="006A69D1" w14:paraId="1000D14B" w14:textId="77777777">
      <w:pPr>
        <w:pStyle w:val="FootnoteText"/>
      </w:pPr>
      <w:r>
        <w:rPr>
          <w:rStyle w:val="FootnoteReference"/>
        </w:rPr>
        <w:footnoteRef/>
      </w:r>
      <w:r>
        <w:t xml:space="preserve"> FinCEN expects to establish a Contact Center prior to J</w:t>
      </w:r>
      <w:r>
        <w:t>anuary 1, 2024, to field questions about the BOI reporting requirements from reporting companies and other stakeholders.</w:t>
      </w:r>
    </w:p>
  </w:footnote>
  <w:footnote w:id="24">
    <w:p w:rsidR="00D960B0" w14:paraId="2C7359F4" w14:textId="592DA99D">
      <w:pPr>
        <w:pStyle w:val="FootnoteText"/>
      </w:pPr>
      <w:r>
        <w:rPr>
          <w:rStyle w:val="FootnoteReference"/>
        </w:rPr>
        <w:footnoteRef/>
      </w:r>
      <w:r>
        <w:t xml:space="preserve"> FinCEN published initial guidance materials on March 24, 2023.</w:t>
      </w:r>
    </w:p>
  </w:footnote>
  <w:footnote w:id="25">
    <w:p w:rsidR="00993BE2" w14:paraId="2B281711" w14:textId="27A39773">
      <w:pPr>
        <w:pStyle w:val="FootnoteText"/>
      </w:pPr>
      <w:r>
        <w:rPr>
          <w:rStyle w:val="FootnoteReference"/>
        </w:rPr>
        <w:footnoteRef/>
      </w:r>
      <w:r>
        <w:t xml:space="preserve"> </w:t>
      </w:r>
      <w:r>
        <w:rPr>
          <w:rStyle w:val="Emphasis"/>
        </w:rPr>
        <w:t xml:space="preserve">See </w:t>
      </w:r>
      <w:hyperlink r:id="rId6" w:tgtFrame="_blank" w:history="1">
        <w:r w:rsidRPr="000C0227">
          <w:rPr>
            <w:rStyle w:val="Hyperlink"/>
            <w:color w:val="auto"/>
            <w:u w:val="none"/>
          </w:rPr>
          <w:t>31 U.S.C. 5336(b)(1)(F)</w:t>
        </w:r>
      </w:hyperlink>
      <w:r w:rsidRPr="00400E89">
        <w:t xml:space="preserve">, </w:t>
      </w:r>
      <w:r>
        <w:t>(b)(4)(B).</w:t>
      </w:r>
      <w:r>
        <w:rPr>
          <w:vertAlign w:val="superscript"/>
        </w:rPr>
        <w:t> </w:t>
      </w:r>
    </w:p>
  </w:footnote>
  <w:footnote w:id="26">
    <w:p w:rsidR="00CE28D7" w:rsidRPr="00F35304" w14:paraId="26F6FFFE" w14:textId="15396A2E">
      <w:pPr>
        <w:pStyle w:val="FootnoteText"/>
      </w:pPr>
      <w:r>
        <w:rPr>
          <w:rStyle w:val="FootnoteReference"/>
        </w:rPr>
        <w:footnoteRef/>
      </w:r>
      <w:r>
        <w:t xml:space="preserve"> 31 U.S.C. 5336(c)(2)(B), (C)</w:t>
      </w:r>
      <w:r w:rsidR="005B458F">
        <w:t>, and (c)(5)</w:t>
      </w:r>
      <w:r>
        <w:t>.</w:t>
      </w:r>
      <w:r w:rsidR="005B458F">
        <w:t xml:space="preserve">  </w:t>
      </w:r>
    </w:p>
  </w:footnote>
  <w:footnote w:id="27">
    <w:p w:rsidR="002D5213" w:rsidP="002D5213" w14:paraId="5380B9B6" w14:textId="77777777">
      <w:pPr>
        <w:pStyle w:val="FootnoteText"/>
      </w:pPr>
      <w:r>
        <w:rPr>
          <w:rStyle w:val="FootnoteReference"/>
        </w:rPr>
        <w:footnoteRef/>
      </w:r>
      <w:r>
        <w:t xml:space="preserve"> FinCEN, </w:t>
      </w:r>
      <w:r w:rsidRPr="00473888">
        <w:rPr>
          <w:i/>
          <w:iCs/>
        </w:rPr>
        <w:t>Beneficial Ownership Information Access and Safeguards, and Use of FinCEN Identifiers for Entities</w:t>
      </w:r>
      <w:r>
        <w:t>, 87 FR 77404 (Dec. 16,</w:t>
      </w:r>
      <w:r>
        <w:t xml:space="preserve"> 2022), available at </w:t>
      </w:r>
      <w:hyperlink r:id="rId4" w:history="1">
        <w:r>
          <w:rPr>
            <w:rStyle w:val="Hyperlink"/>
          </w:rPr>
          <w:t>https://www.govinfo.gov/content/pkg/FR-2022-12-16/pdf/2022-27031.pdf</w:t>
        </w:r>
      </w:hyperlink>
    </w:p>
  </w:footnote>
  <w:footnote w:id="28">
    <w:p w:rsidR="00CE28D7" w14:paraId="506F41E3" w14:textId="4881B6F6">
      <w:pPr>
        <w:pStyle w:val="FootnoteText"/>
      </w:pPr>
      <w:r>
        <w:rPr>
          <w:rStyle w:val="FootnoteReference"/>
        </w:rPr>
        <w:footnoteRef/>
      </w:r>
      <w:r>
        <w:t xml:space="preserve"> The estimated number of BOI reports and indivi</w:t>
      </w:r>
      <w:r>
        <w:t>duals obtaining a FinCEN identifier each year</w:t>
      </w:r>
      <w:r w:rsidRPr="00750DBD">
        <w:t xml:space="preserve"> are approximate and not precise estimates.</w:t>
      </w:r>
      <w:r>
        <w:t xml:space="preserve">  Further, any </w:t>
      </w:r>
      <w:r w:rsidRPr="00750DBD">
        <w:t xml:space="preserve">rounding produces no meaningful difference in the magnitude of FinCEN’s estimates or conclusions. </w:t>
      </w:r>
      <w:r>
        <w:t xml:space="preserve"> FinCEN does not separately calculate a burden estimate for entities requesting a FinCEN identifier because FinCEN assumes this would already be accounted for</w:t>
      </w:r>
      <w:r>
        <w:t xml:space="preserve"> in the process and cost of submitting the BOI reports.</w:t>
      </w:r>
    </w:p>
  </w:footnote>
  <w:footnote w:id="29">
    <w:p w:rsidR="00CE28D7" w14:paraId="5B87B0F4" w14:textId="02CFEA8F">
      <w:pPr>
        <w:pStyle w:val="FootnoteText"/>
      </w:pPr>
      <w:r>
        <w:rPr>
          <w:rStyle w:val="FootnoteReference"/>
        </w:rPr>
        <w:footnoteRef/>
      </w:r>
      <w:r>
        <w:t xml:space="preserve"> FinCEN estimates 40 minutes to read the form and understand the requirement, 30 minutes to identify and collect information about beneficial owners and applicants, and 20 minutes to fill out and fil</w:t>
      </w:r>
      <w:r>
        <w:t>e the report, including attaching an image of an acceptable identification document for each beneficial owner and applicant, totaling 90 minutes.</w:t>
      </w:r>
    </w:p>
  </w:footnote>
  <w:footnote w:id="30">
    <w:p w:rsidR="00CE28D7" w14:paraId="3D4593C4" w14:textId="45BA8131">
      <w:pPr>
        <w:pStyle w:val="FootnoteText"/>
      </w:pPr>
      <w:r>
        <w:rPr>
          <w:rStyle w:val="FootnoteReference"/>
        </w:rPr>
        <w:footnoteRef/>
      </w:r>
      <w:r>
        <w:t xml:space="preserve"> FinCEN estimates 300 minutes to read the form and understand the requirement, 240 minutes to identify and co</w:t>
      </w:r>
      <w:r>
        <w:t>llect information about beneficial owners and applicants, and 110 minutes to fill out and file the report, including attaching an image of an acceptable identification document for each beneficial owner and applicant, totaling 650 minutes.</w:t>
      </w:r>
    </w:p>
  </w:footnote>
  <w:footnote w:id="31">
    <w:p w:rsidR="00CE28D7" w14:paraId="6F1D6530" w14:textId="731AEAD0">
      <w:pPr>
        <w:pStyle w:val="FootnoteText"/>
      </w:pPr>
      <w:r>
        <w:rPr>
          <w:rStyle w:val="FootnoteReference"/>
        </w:rPr>
        <w:footnoteRef/>
      </w:r>
      <w:r>
        <w:t xml:space="preserve"> FinCEN estimat</w:t>
      </w:r>
      <w:r>
        <w:t>es 20 minutes to identify and collect information about beneficial owners or applicants and 20 minutes to fill out and file the update, totaling 40 minutes.</w:t>
      </w:r>
    </w:p>
  </w:footnote>
  <w:footnote w:id="32">
    <w:p w:rsidR="00CE28D7" w14:paraId="1C994E91" w14:textId="0FB7C0EE">
      <w:pPr>
        <w:pStyle w:val="FootnoteText"/>
      </w:pPr>
      <w:r>
        <w:rPr>
          <w:rStyle w:val="FootnoteReference"/>
        </w:rPr>
        <w:footnoteRef/>
      </w:r>
      <w:r>
        <w:t xml:space="preserve"> FinCEN estimates 60 minutes to identify and collect information about beneficial owners or applic</w:t>
      </w:r>
      <w:r>
        <w:t>ants and 110 minutes to fill out and file the update, totaling 170 minutes.</w:t>
      </w:r>
    </w:p>
  </w:footnote>
  <w:footnote w:id="33">
    <w:p w:rsidR="00CE28D7" w:rsidP="006727E0" w14:paraId="1F89B14F" w14:textId="409BE3F0">
      <w:pPr>
        <w:pStyle w:val="FootnoteText"/>
      </w:pPr>
      <w:r>
        <w:rPr>
          <w:rStyle w:val="FootnoteReference"/>
        </w:rPr>
        <w:footnoteRef/>
      </w:r>
      <w:r>
        <w:t xml:space="preserve"> FinCEN estimates 170 minutes to read the form and understand the requirement, 135 minutes to identify and collect information about beneficial owners and applicants, and 65 minut</w:t>
      </w:r>
      <w:r>
        <w:t>es to fill out and file the report, including attaching an image of an acceptable identification document for each beneficial owner and applicant, totaling 370 minutes.</w:t>
      </w:r>
    </w:p>
  </w:footnote>
  <w:footnote w:id="34">
    <w:p w:rsidR="00CE28D7" w:rsidP="006727E0" w14:paraId="79124640" w14:textId="5D988231">
      <w:pPr>
        <w:pStyle w:val="FootnoteText"/>
      </w:pPr>
      <w:r>
        <w:rPr>
          <w:rStyle w:val="FootnoteReference"/>
        </w:rPr>
        <w:footnoteRef/>
      </w:r>
      <w:r>
        <w:t xml:space="preserve"> FinCEN estimates 40 minutes to identify and collect information about beneficial owne</w:t>
      </w:r>
      <w:r>
        <w:t>rs or applicants and 65 minutes to fill out and file the update, totaling 105 minutes.</w:t>
      </w:r>
    </w:p>
  </w:footnote>
  <w:footnote w:id="35">
    <w:p w:rsidR="00CE28D7" w14:paraId="3D00E185" w14:textId="2E21DD07">
      <w:pPr>
        <w:pStyle w:val="FootnoteText"/>
      </w:pPr>
      <w:r>
        <w:rPr>
          <w:rStyle w:val="FootnoteReference"/>
        </w:rPr>
        <w:footnoteRef/>
      </w:r>
      <w:r>
        <w:t xml:space="preserve"> FinCEN estimates 10 minutes to read the form and understand the information required and 10 minutes to fill out and file the request, including attaching an image of a</w:t>
      </w:r>
      <w:r>
        <w:t>n acceptable identification document, totaling 20 minutes.</w:t>
      </w:r>
    </w:p>
  </w:footnote>
  <w:footnote w:id="36">
    <w:p w:rsidR="00CE28D7" w14:paraId="4E4B0AA6" w14:textId="187D3FE8">
      <w:pPr>
        <w:pStyle w:val="FootnoteText"/>
      </w:pPr>
      <w:r>
        <w:rPr>
          <w:rStyle w:val="FootnoteReference"/>
        </w:rPr>
        <w:footnoteRef/>
      </w:r>
      <w:r>
        <w:t xml:space="preserve"> FinCEN estimates 10 minutes to fill out and file the update.</w:t>
      </w:r>
    </w:p>
  </w:footnote>
  <w:footnote w:id="37">
    <w:p w:rsidR="00CE28D7" w14:paraId="68440CAD" w14:textId="28051570">
      <w:pPr>
        <w:pStyle w:val="FootnoteText"/>
      </w:pPr>
      <w:r>
        <w:rPr>
          <w:rStyle w:val="FootnoteReference"/>
        </w:rPr>
        <w:footnoteRef/>
      </w:r>
      <w:r>
        <w:t xml:space="preserve"> This estimate aligns with FinCEN’s estimate of existing reporting companies in 2024.  Please see the regulatory impact analysis in t</w:t>
      </w:r>
      <w:r>
        <w:t>he final rule.</w:t>
      </w:r>
    </w:p>
  </w:footnote>
  <w:footnote w:id="38">
    <w:p w:rsidR="00CE28D7" w:rsidP="00BC34B9" w14:paraId="5E2CEEF9" w14:textId="2DFD16EE">
      <w:pPr>
        <w:pStyle w:val="FootnoteText"/>
      </w:pPr>
      <w:r>
        <w:rPr>
          <w:rStyle w:val="FootnoteReference"/>
        </w:rPr>
        <w:footnoteRef/>
      </w:r>
      <w:r>
        <w:t xml:space="preserve"> This estimate aligns with FinCEN’s estimate of new reporting companies per year after 2024.  Please see the regulatory impact analysis in the final rule.</w:t>
      </w:r>
    </w:p>
  </w:footnote>
  <w:footnote w:id="39">
    <w:p w:rsidR="00CE28D7" w:rsidP="00BC34B9" w14:paraId="19361FCA" w14:textId="0B8CF4F2">
      <w:pPr>
        <w:pStyle w:val="FootnoteText"/>
      </w:pPr>
      <w:r>
        <w:rPr>
          <w:rStyle w:val="FootnoteReference"/>
        </w:rPr>
        <w:footnoteRef/>
      </w:r>
      <w:r>
        <w:t xml:space="preserve"> FinCEN estimated updated reports using a methodology that considered the probabilit</w:t>
      </w:r>
      <w:r>
        <w:t>y of an event resulting in a change to the reported information over a 30-day period.  Please see the regulatory impact analysis in the final rule.</w:t>
      </w:r>
    </w:p>
  </w:footnote>
  <w:footnote w:id="40">
    <w:p w:rsidR="00CE28D7" w:rsidP="00BC34B9" w14:paraId="0A6B7C95" w14:textId="3DD5EA71">
      <w:pPr>
        <w:pStyle w:val="FootnoteText"/>
      </w:pPr>
      <w:r>
        <w:rPr>
          <w:rStyle w:val="FootnoteReference"/>
        </w:rPr>
        <w:footnoteRef/>
      </w:r>
      <w:r>
        <w:t xml:space="preserve"> FinCEN estimated updated reports using a methodology that considered the probability of an event resulting</w:t>
      </w:r>
      <w:r>
        <w:t xml:space="preserve"> in a change to the reported information over a 30-day period.  Please see the Paperwork Reduction Act analysis in the NPRM.</w:t>
      </w:r>
    </w:p>
  </w:footnote>
  <w:footnote w:id="41">
    <w:p w:rsidR="00CE28D7" w:rsidP="001D69BD" w14:paraId="5B4FD13F" w14:textId="1D558CFB">
      <w:pPr>
        <w:pStyle w:val="FootnoteText"/>
      </w:pPr>
      <w:r>
        <w:rPr>
          <w:rStyle w:val="FootnoteReference"/>
        </w:rPr>
        <w:footnoteRef/>
      </w:r>
      <w:r>
        <w:t xml:space="preserve"> ((0.59 × 32,556,929) × (90 minutes /60 minutes)) + ((0.361 × 32,556,929) × (370 minutes /60 minutes)) + ((0.049 × 32,556,929) × (</w:t>
      </w:r>
      <w:r>
        <w:t>650 minutes /60</w:t>
      </w:r>
      <w:r w:rsidRPr="00844F66">
        <w:t xml:space="preserve"> </w:t>
      </w:r>
      <w:r>
        <w:t>minutes)) = 118,572,335.</w:t>
      </w:r>
    </w:p>
  </w:footnote>
  <w:footnote w:id="42">
    <w:p w:rsidR="00CE28D7" w:rsidP="001D69BD" w14:paraId="201B558D" w14:textId="1E6D17FD">
      <w:pPr>
        <w:pStyle w:val="FootnoteText"/>
      </w:pPr>
      <w:r>
        <w:rPr>
          <w:rStyle w:val="FootnoteReference"/>
        </w:rPr>
        <w:footnoteRef/>
      </w:r>
      <w:r>
        <w:t xml:space="preserve"> ((0.59 × 4,998,468) × (90</w:t>
      </w:r>
      <w:r w:rsidRPr="003249D6">
        <w:t xml:space="preserve"> </w:t>
      </w:r>
      <w:r>
        <w:t>minutes /60</w:t>
      </w:r>
      <w:r w:rsidRPr="003249D6">
        <w:t xml:space="preserve"> </w:t>
      </w:r>
      <w:r>
        <w:t>minutes)) + ((0.361 × 4,998,468) × (370</w:t>
      </w:r>
      <w:r w:rsidRPr="003249D6">
        <w:t xml:space="preserve"> </w:t>
      </w:r>
      <w:r>
        <w:t>minutes /60</w:t>
      </w:r>
      <w:r w:rsidRPr="003249D6">
        <w:t xml:space="preserve"> </w:t>
      </w:r>
      <w:r>
        <w:t>minutes)) + ((0.049 × 4,998,468) × (650</w:t>
      </w:r>
      <w:r w:rsidRPr="003249D6">
        <w:t xml:space="preserve"> </w:t>
      </w:r>
      <w:r>
        <w:t>minutes /60</w:t>
      </w:r>
      <w:r w:rsidRPr="003249D6">
        <w:t xml:space="preserve"> </w:t>
      </w:r>
      <w:r>
        <w:t>minutes)) = 18,204,421.</w:t>
      </w:r>
    </w:p>
  </w:footnote>
  <w:footnote w:id="43">
    <w:p w:rsidR="00CE28D7" w:rsidP="001D69BD" w14:paraId="53ADB8C5" w14:textId="56833441">
      <w:pPr>
        <w:pStyle w:val="FootnoteText"/>
      </w:pPr>
      <w:r>
        <w:rPr>
          <w:rStyle w:val="FootnoteReference"/>
        </w:rPr>
        <w:footnoteRef/>
      </w:r>
      <w:r>
        <w:t xml:space="preserve"> ((0.59 × 6,578,732) × (40</w:t>
      </w:r>
      <w:r w:rsidRPr="003249D6">
        <w:t xml:space="preserve"> </w:t>
      </w:r>
      <w:r>
        <w:t>minutes /60</w:t>
      </w:r>
      <w:r w:rsidRPr="003249D6">
        <w:t xml:space="preserve"> </w:t>
      </w:r>
      <w:r>
        <w:t>minutes)) + ((0.361 × 6,578,732) × (105</w:t>
      </w:r>
      <w:r w:rsidRPr="003249D6">
        <w:t xml:space="preserve"> </w:t>
      </w:r>
      <w:r>
        <w:t>minutes /60</w:t>
      </w:r>
      <w:r w:rsidRPr="003249D6">
        <w:t xml:space="preserve"> </w:t>
      </w:r>
      <w:r>
        <w:t>minutes)) + ((0.049 × 6,578,732) × (170</w:t>
      </w:r>
      <w:r w:rsidRPr="003249D6">
        <w:t xml:space="preserve"> </w:t>
      </w:r>
      <w:r>
        <w:t>minutes /60</w:t>
      </w:r>
      <w:r w:rsidRPr="003249D6">
        <w:t xml:space="preserve"> </w:t>
      </w:r>
      <w:r>
        <w:t>minutes)) = 7,657,096.</w:t>
      </w:r>
    </w:p>
  </w:footnote>
  <w:footnote w:id="44">
    <w:p w:rsidR="00CE28D7" w:rsidP="001D69BD" w14:paraId="4A964066" w14:textId="31043CA8">
      <w:pPr>
        <w:pStyle w:val="FootnoteText"/>
      </w:pPr>
      <w:r>
        <w:rPr>
          <w:rStyle w:val="FootnoteReference"/>
        </w:rPr>
        <w:footnoteRef/>
      </w:r>
      <w:r>
        <w:t xml:space="preserve"> ((0.59 × 14,456,452) × (40</w:t>
      </w:r>
      <w:r w:rsidRPr="003249D6">
        <w:t xml:space="preserve"> </w:t>
      </w:r>
      <w:r>
        <w:t>minutes /60</w:t>
      </w:r>
      <w:r w:rsidRPr="003249D6">
        <w:t xml:space="preserve"> </w:t>
      </w:r>
      <w:r>
        <w:t>minutes)) ((0.361 × 14,456,452) × (105</w:t>
      </w:r>
      <w:r w:rsidRPr="003249D6">
        <w:t xml:space="preserve"> </w:t>
      </w:r>
      <w:r>
        <w:t>minutes /6</w:t>
      </w:r>
      <w:r>
        <w:t>0</w:t>
      </w:r>
      <w:r w:rsidRPr="003249D6">
        <w:t xml:space="preserve"> </w:t>
      </w:r>
      <w:r>
        <w:t>minutes)) ((0.049 × 14,456,452) × (170</w:t>
      </w:r>
      <w:r w:rsidRPr="003249D6">
        <w:t xml:space="preserve"> </w:t>
      </w:r>
      <w:r>
        <w:t>minutes /60</w:t>
      </w:r>
      <w:r w:rsidRPr="003249D6">
        <w:t xml:space="preserve"> </w:t>
      </w:r>
      <w:r>
        <w:t>minutes)) = 16,826,105.</w:t>
      </w:r>
    </w:p>
  </w:footnote>
  <w:footnote w:id="45">
    <w:p w:rsidR="00CE28D7" w14:paraId="4EB9AA48" w14:textId="4D1DEEC3">
      <w:pPr>
        <w:pStyle w:val="FootnoteText"/>
      </w:pPr>
      <w:r>
        <w:rPr>
          <w:rStyle w:val="FootnoteReference"/>
        </w:rPr>
        <w:footnoteRef/>
      </w:r>
      <w:r>
        <w:t xml:space="preserve"> </w:t>
      </w:r>
      <w:r w:rsidRPr="00F341E0">
        <w:t xml:space="preserve">FinCEN </w:t>
      </w:r>
      <w:r>
        <w:t>estimated</w:t>
      </w:r>
      <w:r w:rsidRPr="00F341E0">
        <w:t xml:space="preserve"> </w:t>
      </w:r>
      <w:r>
        <w:t>this</w:t>
      </w:r>
      <w:r w:rsidRPr="00F341E0">
        <w:t xml:space="preserve"> to be approximately 1 percent of</w:t>
      </w:r>
      <w:r>
        <w:t xml:space="preserve"> the initial BOI reports in Year 1 estimate</w:t>
      </w:r>
      <w:r w:rsidRPr="00F341E0">
        <w:t xml:space="preserve">.  </w:t>
      </w:r>
    </w:p>
  </w:footnote>
  <w:footnote w:id="46">
    <w:p w:rsidR="00CE28D7" w:rsidP="00894B17" w14:paraId="4AFE97B9" w14:textId="09B5D427">
      <w:pPr>
        <w:pStyle w:val="FootnoteText"/>
      </w:pPr>
      <w:r>
        <w:rPr>
          <w:rStyle w:val="FootnoteReference"/>
        </w:rPr>
        <w:footnoteRef/>
      </w:r>
      <w:r>
        <w:t xml:space="preserve"> </w:t>
      </w:r>
      <w:r w:rsidRPr="00F341E0">
        <w:t xml:space="preserve">FinCEN </w:t>
      </w:r>
      <w:r>
        <w:t>estimated</w:t>
      </w:r>
      <w:r w:rsidRPr="00F341E0">
        <w:t xml:space="preserve"> </w:t>
      </w:r>
      <w:r>
        <w:t>this</w:t>
      </w:r>
      <w:r w:rsidRPr="00F341E0">
        <w:t xml:space="preserve"> to be approximately 1 percent of</w:t>
      </w:r>
      <w:r>
        <w:t xml:space="preserve"> the initial BOI reports in Year 2+ estimate</w:t>
      </w:r>
      <w:r w:rsidRPr="00F341E0">
        <w:t xml:space="preserve">.  </w:t>
      </w:r>
    </w:p>
  </w:footnote>
  <w:footnote w:id="47">
    <w:p w:rsidR="00CE28D7" w:rsidP="00894B17" w14:paraId="74CD3462" w14:textId="7624A674">
      <w:pPr>
        <w:pStyle w:val="FootnoteText"/>
      </w:pPr>
      <w:r>
        <w:rPr>
          <w:rStyle w:val="FootnoteReference"/>
        </w:rPr>
        <w:footnoteRef/>
      </w:r>
      <w:r>
        <w:t xml:space="preserve"> FinCEN estimated updated applications using a methodology that considered the probability of an event resulting in a change to the reported information over a 30-day period.</w:t>
      </w:r>
      <w:r>
        <w:t xml:space="preserve">  Please see the regulatory impact analysis in the final rule.</w:t>
      </w:r>
    </w:p>
  </w:footnote>
  <w:footnote w:id="48">
    <w:p w:rsidR="00CE28D7" w:rsidP="00894B17" w14:paraId="4AF18E22" w14:textId="22463A41">
      <w:pPr>
        <w:pStyle w:val="FootnoteText"/>
      </w:pPr>
      <w:r>
        <w:rPr>
          <w:rStyle w:val="FootnoteReference"/>
        </w:rPr>
        <w:footnoteRef/>
      </w:r>
      <w:r>
        <w:t xml:space="preserve"> FinCEN estimated updated applications using a methodology that considered the probability of an event resulting in a change to the reported information over a 30-day period.  Please see the r</w:t>
      </w:r>
      <w:r>
        <w:t>egulatory impact analysis in the final rule.</w:t>
      </w:r>
    </w:p>
  </w:footnote>
  <w:footnote w:id="49">
    <w:p w:rsidR="00CE28D7" w:rsidRPr="00675F20" w:rsidP="003F3FD9" w14:paraId="426D2740" w14:textId="795FB646">
      <w:pPr>
        <w:pStyle w:val="FootnoteText"/>
        <w:rPr>
          <w:highlight w:val="yellow"/>
        </w:rPr>
      </w:pPr>
      <w:r>
        <w:rPr>
          <w:rStyle w:val="FootnoteReference"/>
        </w:rPr>
        <w:footnoteRef/>
      </w:r>
      <w:r>
        <w:t xml:space="preserve"> 325,569 × (20 minutes /60</w:t>
      </w:r>
      <w:r w:rsidRPr="003249D6">
        <w:t xml:space="preserve"> </w:t>
      </w:r>
      <w:r>
        <w:t>minutes) = 108,523.</w:t>
      </w:r>
      <w:r w:rsidRPr="00D54E59">
        <w:t xml:space="preserve"> </w:t>
      </w:r>
    </w:p>
  </w:footnote>
  <w:footnote w:id="50">
    <w:p w:rsidR="00CE28D7" w:rsidRPr="00675F20" w:rsidP="003F3FD9" w14:paraId="71668BD8" w14:textId="2BFC476A">
      <w:pPr>
        <w:pStyle w:val="FootnoteText"/>
        <w:rPr>
          <w:highlight w:val="yellow"/>
        </w:rPr>
      </w:pPr>
      <w:r w:rsidRPr="00D54E59">
        <w:rPr>
          <w:rStyle w:val="FootnoteReference"/>
        </w:rPr>
        <w:footnoteRef/>
      </w:r>
      <w:r w:rsidRPr="00D54E59">
        <w:t xml:space="preserve"> </w:t>
      </w:r>
      <w:r>
        <w:t>49,985 × (20</w:t>
      </w:r>
      <w:r w:rsidRPr="003249D6">
        <w:t xml:space="preserve"> </w:t>
      </w:r>
      <w:r>
        <w:t>minutes /60</w:t>
      </w:r>
      <w:r w:rsidRPr="003249D6">
        <w:t xml:space="preserve"> </w:t>
      </w:r>
      <w:r>
        <w:t>minutes) = 16,662.</w:t>
      </w:r>
    </w:p>
  </w:footnote>
  <w:footnote w:id="51">
    <w:p w:rsidR="00CE28D7" w:rsidP="003F3FD9" w14:paraId="260F0891" w14:textId="084C77D7">
      <w:pPr>
        <w:pStyle w:val="FootnoteText"/>
      </w:pPr>
      <w:r>
        <w:rPr>
          <w:rStyle w:val="FootnoteReference"/>
        </w:rPr>
        <w:footnoteRef/>
      </w:r>
      <w:r>
        <w:t xml:space="preserve"> 12,180 × (10</w:t>
      </w:r>
      <w:r w:rsidRPr="003249D6">
        <w:t xml:space="preserve"> </w:t>
      </w:r>
      <w:r>
        <w:t>minutes /60</w:t>
      </w:r>
      <w:r w:rsidRPr="003249D6">
        <w:t xml:space="preserve"> </w:t>
      </w:r>
      <w:r>
        <w:t xml:space="preserve">minutes) = 2,030. </w:t>
      </w:r>
    </w:p>
  </w:footnote>
  <w:footnote w:id="52">
    <w:p w:rsidR="00CE28D7" w:rsidP="003F3FD9" w14:paraId="728658BE" w14:textId="674EE762">
      <w:pPr>
        <w:pStyle w:val="FootnoteText"/>
      </w:pPr>
      <w:r>
        <w:rPr>
          <w:rStyle w:val="FootnoteReference"/>
        </w:rPr>
        <w:footnoteRef/>
      </w:r>
      <w:r>
        <w:t xml:space="preserve"> 26,575 × (10</w:t>
      </w:r>
      <w:r w:rsidRPr="003249D6">
        <w:t xml:space="preserve"> </w:t>
      </w:r>
      <w:r>
        <w:t>minutes /60</w:t>
      </w:r>
      <w:r w:rsidRPr="003249D6">
        <w:t xml:space="preserve"> </w:t>
      </w:r>
      <w:r>
        <w:t>minutes) = 4,429.</w:t>
      </w:r>
    </w:p>
  </w:footnote>
  <w:footnote w:id="53">
    <w:p w:rsidR="00CE28D7" w:rsidP="008F25BC" w14:paraId="4F435E88" w14:textId="44DB37B8">
      <w:pPr>
        <w:pStyle w:val="FootnoteText"/>
      </w:pPr>
      <w:r>
        <w:rPr>
          <w:rStyle w:val="FootnoteReference"/>
        </w:rPr>
        <w:footnoteRef/>
      </w:r>
      <w:r>
        <w:t xml:space="preserve"> </w:t>
      </w:r>
      <w:r w:rsidR="004505F7">
        <w:t>Regarding burden hours for BOI reports, c</w:t>
      </w:r>
      <w:r>
        <w:t xml:space="preserve">ompanies with simple beneficial ownership structures account for an estimated 31,400,517 burden hours in Year 1 (((0.59 x 32,556,929) x (90 minutes / 60 minutes)) + ((0.59 x 6,578,732 x (40 minutes / 60 minutes))) = 31,400,517. Companies </w:t>
      </w:r>
      <w:r>
        <w:t xml:space="preserve">with intermediate beneficial ownership structures account for an estimated 76,633,264 burden hours in Year 1 </w:t>
      </w:r>
      <w:r w:rsidR="004505F7">
        <w:t>(((</w:t>
      </w:r>
      <w:r w:rsidR="00700284">
        <w:t>0</w:t>
      </w:r>
      <w:r w:rsidR="004505F7">
        <w:t>.</w:t>
      </w:r>
      <w:r>
        <w:t>361 x 32,556,929) x (370 minutes / 60 minutes)) + ((0.361 x 6,578,732) x (105 minutes / 60 minutes))) = 76,633,264. Companies with complex ben</w:t>
      </w:r>
      <w:r>
        <w:t>eficial ownership structures account for an estimated 18,195,650 burden hours in Year 1 (((0.049 x 32,556,929) x (650 / 60)) + ((0.049 x 6,578,732 x (170 minutes / 60 minutes))) = 18,195,650. 31,400,517 + 76,633,264 + 18,195,650 + 108,523 + 2,030 = 126,339</w:t>
      </w:r>
      <w:r>
        <w:t xml:space="preserve">,984. </w:t>
      </w:r>
    </w:p>
  </w:footnote>
  <w:footnote w:id="54">
    <w:p w:rsidR="00CE28D7" w14:paraId="2F4DED0B" w14:textId="6F109A5C">
      <w:pPr>
        <w:pStyle w:val="FootnoteText"/>
      </w:pPr>
      <w:r>
        <w:rPr>
          <w:rStyle w:val="FootnoteReference"/>
        </w:rPr>
        <w:footnoteRef/>
      </w:r>
      <w:r>
        <w:t xml:space="preserve"> </w:t>
      </w:r>
      <w:r w:rsidR="004505F7">
        <w:t>Regarding burden hours for BOI reports, companies</w:t>
      </w:r>
      <w:r>
        <w:t xml:space="preserve"> with simple beneficial ownership structures account for an estimated 10,</w:t>
      </w:r>
      <w:r w:rsidR="004505F7">
        <w:t>109,849</w:t>
      </w:r>
      <w:r>
        <w:t xml:space="preserve"> burden hours in Years 2+ (((0.59 x 4,998,468) x (90 minutes / 60 minutes)) + ((0.59 x 14,456,452) x (40 minutes / 60 </w:t>
      </w:r>
      <w:r>
        <w:t>minutes))) = 10,109,</w:t>
      </w:r>
      <w:r w:rsidR="004505F7">
        <w:t>849.</w:t>
      </w:r>
      <w:r>
        <w:t xml:space="preserve"> Companies with intermediate beneficial ownership structures account for an estimated 20,</w:t>
      </w:r>
      <w:r w:rsidR="004505F7">
        <w:t>260,286</w:t>
      </w:r>
      <w:r>
        <w:t xml:space="preserve"> burden hours in Years 2+ (((0.361 x 4,998,468) x (370 minutes / 60 minutes)) + ((0.361 x 14,456,452 x (105 / 60))) = 20,260,</w:t>
      </w:r>
      <w:r w:rsidR="004505F7">
        <w:t>286.</w:t>
      </w:r>
      <w:r>
        <w:t xml:space="preserve"> Compan</w:t>
      </w:r>
      <w:r>
        <w:t>ies with complex beneficial ownership structures account for an estimated 4,</w:t>
      </w:r>
      <w:r w:rsidR="004505F7">
        <w:t>660,391</w:t>
      </w:r>
      <w:r>
        <w:t xml:space="preserve"> burden hours in Years 2+ (((0.049 x 4,998,468) x (650 minutes / 60 minutes)) + ((0.049 x 14,456,452) x (170 / 60))) = 4,660,391. 10,109,948 + 20,260,286 + 4,660,391 + 16,66</w:t>
      </w:r>
      <w:r>
        <w:t>2 + 4,429 = 35,</w:t>
      </w:r>
      <w:r w:rsidR="004505F7">
        <w:t>051,617</w:t>
      </w:r>
      <w:r>
        <w:t>.</w:t>
      </w:r>
    </w:p>
  </w:footnote>
  <w:footnote w:id="55">
    <w:p w:rsidR="00CE28D7" w:rsidP="00BB7949" w14:paraId="19A19FA4" w14:textId="7397CE9B">
      <w:pPr>
        <w:pStyle w:val="FootnoteText"/>
      </w:pPr>
      <w:r>
        <w:rPr>
          <w:rStyle w:val="FootnoteReference"/>
        </w:rPr>
        <w:footnoteRef/>
      </w:r>
      <w:r>
        <w:t xml:space="preserve"> The aggregate costs of BOI reports and individuals obtaining a FinCEN identifier each year</w:t>
      </w:r>
      <w:r w:rsidRPr="00750DBD">
        <w:t xml:space="preserve"> are approximate and not precise estimates.</w:t>
      </w:r>
      <w:r>
        <w:t xml:space="preserve">  Further, any </w:t>
      </w:r>
      <w:r w:rsidRPr="00750DBD">
        <w:t xml:space="preserve">rounding produces no meaningful difference in the magnitude of FinCEN’s estimates </w:t>
      </w:r>
      <w:r w:rsidRPr="00750DBD">
        <w:t xml:space="preserve">or conclusions. </w:t>
      </w:r>
    </w:p>
  </w:footnote>
  <w:footnote w:id="56">
    <w:p w:rsidR="00CE28D7" w14:paraId="49C39232" w14:textId="6AFEB10F">
      <w:pPr>
        <w:pStyle w:val="FootnoteText"/>
      </w:pPr>
      <w:r>
        <w:rPr>
          <w:rStyle w:val="FootnoteReference"/>
        </w:rPr>
        <w:footnoteRef/>
      </w:r>
      <w:r>
        <w:t xml:space="preserve"> To estimate the average wage rate,</w:t>
      </w:r>
      <w:r w:rsidRPr="0012676F">
        <w:t xml:space="preserve"> FinCEN estimated </w:t>
      </w:r>
      <w:r w:rsidR="003F06C8">
        <w:t xml:space="preserve">a </w:t>
      </w:r>
      <w:r w:rsidRPr="0012676F">
        <w:t>base wage rate of $39.97 per hour</w:t>
      </w:r>
      <w:r>
        <w:t xml:space="preserve">.  </w:t>
      </w:r>
      <w:r w:rsidRPr="0012676F">
        <w:t>This updated estimate derives from the BLS May 2021 Wage Estimates</w:t>
      </w:r>
      <w:r>
        <w:t xml:space="preserve"> </w:t>
      </w:r>
      <w:r w:rsidRPr="0012676F">
        <w:t xml:space="preserve">and represents the average reported hourly wage rates of three major </w:t>
      </w:r>
      <w:r w:rsidRPr="0012676F">
        <w:t>occupational groups assessed to be most likely responsible for executing filings on behalf of reporting companies: management; business and financial operations; and office and administrative support.</w:t>
      </w:r>
      <w:r>
        <w:t xml:space="preserve"> </w:t>
      </w:r>
      <w:r w:rsidRPr="003C2344">
        <w:rPr>
          <w:i/>
        </w:rPr>
        <w:t>See</w:t>
      </w:r>
      <w:r w:rsidRPr="0012676F">
        <w:t xml:space="preserve"> U.S. Bureau of Labor Statistics, National Occupatio</w:t>
      </w:r>
      <w:r w:rsidRPr="0012676F">
        <w:t xml:space="preserve">nal Employment and Wage Estimates United States (May 2021), available at </w:t>
      </w:r>
      <w:hyperlink r:id="rId7" w:history="1">
        <w:r w:rsidRPr="00CF568B">
          <w:rPr>
            <w:rStyle w:val="Hyperlink"/>
          </w:rPr>
          <w:t>https://www.bls.gov/oes/current/oes_nat.htm</w:t>
        </w:r>
      </w:hyperlink>
      <w:r w:rsidRPr="0012676F">
        <w:t>.</w:t>
      </w:r>
      <w:r>
        <w:t xml:space="preserve"> FinCEN multiplied $39.97 by a private industr</w:t>
      </w:r>
      <w:r>
        <w:t>y benefits factor of 1.42. The ratio between benefits and wages for private industry workers is $11.42 (hourly benefits)/$27.19 (hourly wages) = 0.42, as of March 2022. The benefit factor is 1 plus the benefit/</w:t>
      </w:r>
      <w:r>
        <w:t>wages</w:t>
      </w:r>
      <w:r>
        <w:t xml:space="preserve"> ratio, or 1.42.  </w:t>
      </w:r>
      <w:r>
        <w:rPr>
          <w:i/>
        </w:rPr>
        <w:t xml:space="preserve">See </w:t>
      </w:r>
      <w:r>
        <w:t>U.S. Bureau of Labo</w:t>
      </w:r>
      <w:r>
        <w:t xml:space="preserve">r Statistics, </w:t>
      </w:r>
      <w:r>
        <w:rPr>
          <w:i/>
        </w:rPr>
        <w:t>Employer Cost for Employee Compensation: Private industry dataset</w:t>
      </w:r>
      <w:r>
        <w:t xml:space="preserve">, March 2022, available at </w:t>
      </w:r>
      <w:hyperlink r:id="rId8" w:history="1">
        <w:r>
          <w:rPr>
            <w:rStyle w:val="Hyperlink"/>
          </w:rPr>
          <w:t>https://www.bls.gov/web/ecec/ecec-private-dataset.xlsx</w:t>
        </w:r>
      </w:hyperlink>
      <w:r w:rsidRPr="00EF7756">
        <w:rPr>
          <w:rStyle w:val="Hyperlink"/>
          <w:color w:val="auto"/>
          <w:u w:val="none"/>
        </w:rPr>
        <w:t>. Therefore, the fully loaded wage rate is $56.76 per hour.</w:t>
      </w:r>
    </w:p>
  </w:footnote>
  <w:footnote w:id="57">
    <w:p w:rsidR="00CE28D7" w:rsidP="009130E6" w14:paraId="516AD322" w14:textId="54FB76D6">
      <w:pPr>
        <w:pStyle w:val="FootnoteText"/>
      </w:pPr>
      <w:r>
        <w:rPr>
          <w:rStyle w:val="FootnoteReference"/>
        </w:rPr>
        <w:footnoteRef/>
      </w:r>
      <w:r>
        <w:t xml:space="preserve"> (90 minutes/60 minutes) × $56.76 = $85.14, ((370 minutes/60 minutes) × $56.76) + $1,000 =$1,350.00, and ((650 minutes/60 minutes) × $56.76) + $2,000 = $2,614.87.</w:t>
      </w:r>
    </w:p>
  </w:footnote>
  <w:footnote w:id="58">
    <w:p w:rsidR="00CE28D7" w:rsidP="009130E6" w14:paraId="0A329A65" w14:textId="41D9CFD4">
      <w:pPr>
        <w:pStyle w:val="FootnoteText"/>
      </w:pPr>
      <w:r>
        <w:rPr>
          <w:rStyle w:val="FootnoteReference"/>
        </w:rPr>
        <w:footnoteRef/>
      </w:r>
      <w:r>
        <w:t xml:space="preserve"> (40 minutes/60 minute</w:t>
      </w:r>
      <w:r>
        <w:t>s) × $56.76 = $37.84, ((105 minutes/60 minutes) × $56.76) + $200 = $299.33 and ((170 minutes/60 minutes) × $56.76) + $400 = $560.81.</w:t>
      </w:r>
    </w:p>
  </w:footnote>
  <w:footnote w:id="59">
    <w:p w:rsidR="00CE28D7" w:rsidP="00D52A5D" w14:paraId="78A05742" w14:textId="60C26A72">
      <w:pPr>
        <w:pStyle w:val="FootnoteText"/>
      </w:pPr>
      <w:r>
        <w:rPr>
          <w:rStyle w:val="FootnoteReference"/>
        </w:rPr>
        <w:footnoteRef/>
      </w:r>
      <w:r>
        <w:t xml:space="preserve"> ((0.59 × 32,556,929) × $85.14) + ((0.361 × 32,556,929) × $1,350.00) + ((0.049 × 32,556,929) × $2,614.87) = $21,673,487,88</w:t>
      </w:r>
      <w:r>
        <w:t>5.48.</w:t>
      </w:r>
    </w:p>
  </w:footnote>
  <w:footnote w:id="60">
    <w:p w:rsidR="00CE28D7" w:rsidP="00D52A5D" w14:paraId="690BAD5A" w14:textId="03DD23E6">
      <w:pPr>
        <w:pStyle w:val="FootnoteText"/>
      </w:pPr>
      <w:r>
        <w:rPr>
          <w:rStyle w:val="FootnoteReference"/>
        </w:rPr>
        <w:footnoteRef/>
      </w:r>
      <w:r>
        <w:t xml:space="preserve"> ((0.59 × 4,998,468) × $85.14) + ((0.361 × 4,998,468) × $1,350.00) + ((0.049 × 4,998,468) × $2,614.87) = $3,327,532,419.21.</w:t>
      </w:r>
    </w:p>
  </w:footnote>
  <w:footnote w:id="61">
    <w:p w:rsidR="00CE28D7" w:rsidP="00D52A5D" w14:paraId="70D59538" w14:textId="179D892F">
      <w:pPr>
        <w:pStyle w:val="FootnoteText"/>
      </w:pPr>
      <w:r>
        <w:rPr>
          <w:rStyle w:val="FootnoteReference"/>
        </w:rPr>
        <w:footnoteRef/>
      </w:r>
      <w:r>
        <w:t xml:space="preserve"> ((0.59 × 6,578,732) × $37.84) + ((0.361 × 6,578,732) × $299.33) + ((0.049 × 6,</w:t>
      </w:r>
      <w:r w:rsidRPr="00D26DF2">
        <w:t>578,732</w:t>
      </w:r>
      <w:r>
        <w:t xml:space="preserve">) × $560.81) = $1,038,524,428.72. </w:t>
      </w:r>
    </w:p>
  </w:footnote>
  <w:footnote w:id="62">
    <w:p w:rsidR="00CE28D7" w:rsidP="00D52A5D" w14:paraId="400BED97" w14:textId="5CB387FB">
      <w:pPr>
        <w:pStyle w:val="FootnoteText"/>
      </w:pPr>
      <w:r>
        <w:rPr>
          <w:rStyle w:val="FootnoteReference"/>
        </w:rPr>
        <w:footnoteRef/>
      </w:r>
      <w:r>
        <w:t xml:space="preserve"> (</w:t>
      </w:r>
      <w:r>
        <w:t>(0.59 × 14,456,452) × $37.84) + ((0.361 × 14,456,452) × $299.33) + ((0.049 × 14,456,452) × $560.81) = $2,282,108,290.77.</w:t>
      </w:r>
    </w:p>
  </w:footnote>
  <w:footnote w:id="63">
    <w:p w:rsidR="00CE28D7" w:rsidRPr="007B32E1" w:rsidP="00D52A5D" w14:paraId="606E2C02" w14:textId="3775BCAE">
      <w:pPr>
        <w:pStyle w:val="FootnoteText"/>
      </w:pPr>
      <w:r w:rsidRPr="007B32E1">
        <w:rPr>
          <w:rStyle w:val="FootnoteReference"/>
        </w:rPr>
        <w:footnoteRef/>
      </w:r>
      <w:r w:rsidRPr="007B32E1">
        <w:t xml:space="preserve"> </w:t>
      </w:r>
      <w:r>
        <w:t>($56.76 × (20 minutes/60 minutes)) × 325,569 = $6,1</w:t>
      </w:r>
      <w:r w:rsidRPr="00DB7905">
        <w:t>59,488.81</w:t>
      </w:r>
      <w:r>
        <w:t>.</w:t>
      </w:r>
    </w:p>
  </w:footnote>
  <w:footnote w:id="64">
    <w:p w:rsidR="00CE28D7" w:rsidP="00A4089F" w14:paraId="6D01586C" w14:textId="7BDC8B09">
      <w:pPr>
        <w:pStyle w:val="FootnoteText"/>
      </w:pPr>
      <w:r w:rsidRPr="007B32E1">
        <w:rPr>
          <w:rStyle w:val="FootnoteReference"/>
        </w:rPr>
        <w:footnoteRef/>
      </w:r>
      <w:r>
        <w:t xml:space="preserve"> ($56.76 × (20 minutes/60 minutes)) × 49,985 = $945,666.84. </w:t>
      </w:r>
    </w:p>
  </w:footnote>
  <w:footnote w:id="65">
    <w:p w:rsidR="00CE28D7" w:rsidP="00A4089F" w14:paraId="2E89E3AF" w14:textId="58B2475C">
      <w:pPr>
        <w:pStyle w:val="FootnoteText"/>
      </w:pPr>
      <w:r>
        <w:rPr>
          <w:rStyle w:val="FootnoteReference"/>
        </w:rPr>
        <w:footnoteRef/>
      </w:r>
      <w:r>
        <w:t xml:space="preserve"> ($56.76</w:t>
      </w:r>
      <w:r>
        <w:t xml:space="preserve"> × (10 minutes /60 minutes)) × 12,180 = $115,</w:t>
      </w:r>
      <w:r w:rsidRPr="003713D1">
        <w:t>218.68</w:t>
      </w:r>
      <w:r>
        <w:t xml:space="preserve"> </w:t>
      </w:r>
    </w:p>
  </w:footnote>
  <w:footnote w:id="66">
    <w:p w:rsidR="00CE28D7" w:rsidP="00A4089F" w14:paraId="3AFF0FCD" w14:textId="25E754A8">
      <w:pPr>
        <w:pStyle w:val="FootnoteText"/>
      </w:pPr>
      <w:r>
        <w:rPr>
          <w:rStyle w:val="FootnoteReference"/>
        </w:rPr>
        <w:footnoteRef/>
      </w:r>
      <w:r>
        <w:t xml:space="preserve"> ($56.76 × (10 minutes/60 minutes)) × 26,575 = $251,386.22.</w:t>
      </w:r>
    </w:p>
  </w:footnote>
  <w:footnote w:id="67">
    <w:p w:rsidR="00CE28D7" w:rsidRPr="00700284" w:rsidP="00F614DF" w14:paraId="2A20F510" w14:textId="14A71228">
      <w:pPr>
        <w:rPr>
          <w:sz w:val="22"/>
          <w:szCs w:val="22"/>
        </w:rPr>
      </w:pPr>
      <w:r w:rsidRPr="003F06C8">
        <w:rPr>
          <w:rStyle w:val="FootnoteReference"/>
          <w:sz w:val="20"/>
          <w:szCs w:val="20"/>
        </w:rPr>
        <w:footnoteRef/>
      </w:r>
      <w:r w:rsidRPr="003F06C8">
        <w:rPr>
          <w:sz w:val="20"/>
          <w:szCs w:val="20"/>
        </w:rPr>
        <w:t xml:space="preserve"> </w:t>
      </w:r>
      <w:r w:rsidR="00700284">
        <w:rPr>
          <w:sz w:val="20"/>
          <w:szCs w:val="20"/>
        </w:rPr>
        <w:t>Regarding costs for BOI reports, c</w:t>
      </w:r>
      <w:r w:rsidRPr="00A90CA2">
        <w:rPr>
          <w:sz w:val="20"/>
          <w:szCs w:val="20"/>
        </w:rPr>
        <w:t xml:space="preserve">ompanies with simple beneficial ownership structures account for an estimated $1,782,211,687.09 in Year 1 ((0.59 × 32,556,929) × 85.14)) + </w:t>
      </w:r>
      <w:r w:rsidR="00827B88">
        <w:rPr>
          <w:sz w:val="20"/>
          <w:szCs w:val="20"/>
        </w:rPr>
        <w:t>((</w:t>
      </w:r>
      <w:r w:rsidR="00645C10">
        <w:rPr>
          <w:sz w:val="20"/>
          <w:szCs w:val="20"/>
        </w:rPr>
        <w:t>0</w:t>
      </w:r>
      <w:r w:rsidR="00827B88">
        <w:rPr>
          <w:sz w:val="20"/>
          <w:szCs w:val="20"/>
        </w:rPr>
        <w:t xml:space="preserve">.59 </w:t>
      </w:r>
      <w:r w:rsidRPr="00745C92" w:rsidR="00827B88">
        <w:rPr>
          <w:sz w:val="20"/>
          <w:szCs w:val="20"/>
        </w:rPr>
        <w:t>×</w:t>
      </w:r>
      <w:r w:rsidR="00645C10">
        <w:rPr>
          <w:sz w:val="20"/>
          <w:szCs w:val="20"/>
        </w:rPr>
        <w:t xml:space="preserve"> </w:t>
      </w:r>
      <w:r w:rsidR="00827B88">
        <w:rPr>
          <w:sz w:val="20"/>
          <w:szCs w:val="20"/>
        </w:rPr>
        <w:t xml:space="preserve">6,578,732) </w:t>
      </w:r>
      <w:r w:rsidRPr="00745C92" w:rsidR="00827B88">
        <w:rPr>
          <w:sz w:val="20"/>
          <w:szCs w:val="20"/>
        </w:rPr>
        <w:t>×</w:t>
      </w:r>
      <w:r w:rsidR="00827B88">
        <w:rPr>
          <w:sz w:val="20"/>
          <w:szCs w:val="20"/>
        </w:rPr>
        <w:t xml:space="preserve"> 37.84)</w:t>
      </w:r>
      <w:r w:rsidR="00700284">
        <w:rPr>
          <w:sz w:val="20"/>
          <w:szCs w:val="20"/>
        </w:rPr>
        <w:t xml:space="preserve"> = </w:t>
      </w:r>
      <w:r w:rsidRPr="00A90CA2" w:rsidR="00700284">
        <w:rPr>
          <w:sz w:val="20"/>
          <w:szCs w:val="20"/>
        </w:rPr>
        <w:t>$1,782,211,687.09</w:t>
      </w:r>
      <w:r w:rsidR="00827B88">
        <w:rPr>
          <w:sz w:val="20"/>
          <w:szCs w:val="20"/>
        </w:rPr>
        <w:t>.</w:t>
      </w:r>
      <w:r w:rsidRPr="00A90CA2" w:rsidR="004505F7">
        <w:rPr>
          <w:sz w:val="20"/>
          <w:szCs w:val="20"/>
        </w:rPr>
        <w:t xml:space="preserve"> </w:t>
      </w:r>
      <w:r w:rsidRPr="00A90CA2">
        <w:rPr>
          <w:sz w:val="20"/>
          <w:szCs w:val="20"/>
        </w:rPr>
        <w:t>Companies with intermediate beneficial ownership structures account</w:t>
      </w:r>
      <w:r w:rsidRPr="00A90CA2">
        <w:rPr>
          <w:sz w:val="20"/>
          <w:szCs w:val="20"/>
        </w:rPr>
        <w:t xml:space="preserve"> for an estimated $16,577,540,630.34 in Year 1 ((0.361 × 32,556,929) × 85.14)) + </w:t>
      </w:r>
      <w:r w:rsidRPr="00A90CA2" w:rsidR="00645C10">
        <w:rPr>
          <w:sz w:val="20"/>
          <w:szCs w:val="20"/>
        </w:rPr>
        <w:t>((0.361</w:t>
      </w:r>
      <w:r w:rsidRPr="00745C92" w:rsidR="00645C10">
        <w:rPr>
          <w:sz w:val="20"/>
          <w:szCs w:val="20"/>
        </w:rPr>
        <w:t xml:space="preserve"> ×</w:t>
      </w:r>
      <w:r w:rsidR="00645C10">
        <w:rPr>
          <w:sz w:val="20"/>
          <w:szCs w:val="20"/>
        </w:rPr>
        <w:t xml:space="preserve"> 6,578,732) </w:t>
      </w:r>
      <w:r w:rsidRPr="00745C92" w:rsidR="00645C10">
        <w:rPr>
          <w:sz w:val="20"/>
          <w:szCs w:val="20"/>
        </w:rPr>
        <w:t>×</w:t>
      </w:r>
      <w:r w:rsidR="00645C10">
        <w:rPr>
          <w:sz w:val="20"/>
          <w:szCs w:val="20"/>
        </w:rPr>
        <w:t xml:space="preserve"> 37.84)</w:t>
      </w:r>
      <w:r w:rsidR="00700284">
        <w:rPr>
          <w:sz w:val="20"/>
          <w:szCs w:val="20"/>
        </w:rPr>
        <w:t xml:space="preserve"> = </w:t>
      </w:r>
      <w:r w:rsidRPr="00A90CA2" w:rsidR="00700284">
        <w:rPr>
          <w:sz w:val="20"/>
          <w:szCs w:val="20"/>
        </w:rPr>
        <w:t>$16,577,540,630.34</w:t>
      </w:r>
      <w:r w:rsidR="00645C10">
        <w:rPr>
          <w:sz w:val="20"/>
          <w:szCs w:val="20"/>
        </w:rPr>
        <w:t>.</w:t>
      </w:r>
      <w:r w:rsidR="00700284">
        <w:rPr>
          <w:sz w:val="20"/>
          <w:szCs w:val="20"/>
        </w:rPr>
        <w:t xml:space="preserve"> </w:t>
      </w:r>
      <w:r w:rsidRPr="00A90CA2">
        <w:rPr>
          <w:sz w:val="20"/>
          <w:szCs w:val="20"/>
        </w:rPr>
        <w:t xml:space="preserve">Companies with complex beneficial ownership structures account for an estimated $4,352,259,996.78 in Year 1 </w:t>
      </w:r>
      <w:r w:rsidRPr="00A90CA2" w:rsidR="004505F7">
        <w:rPr>
          <w:sz w:val="20"/>
          <w:szCs w:val="20"/>
        </w:rPr>
        <w:t>((0.</w:t>
      </w:r>
      <w:r w:rsidR="00645C10">
        <w:rPr>
          <w:sz w:val="20"/>
          <w:szCs w:val="20"/>
        </w:rPr>
        <w:t>049</w:t>
      </w:r>
      <w:r w:rsidRPr="00A90CA2" w:rsidR="004505F7">
        <w:rPr>
          <w:sz w:val="20"/>
          <w:szCs w:val="20"/>
        </w:rPr>
        <w:t xml:space="preserve"> × 32,556,929) × 85.14)) + </w:t>
      </w:r>
      <w:r w:rsidR="00645C10">
        <w:rPr>
          <w:sz w:val="20"/>
          <w:szCs w:val="20"/>
        </w:rPr>
        <w:t xml:space="preserve">((0.049 </w:t>
      </w:r>
      <w:r w:rsidRPr="00745C92" w:rsidR="00645C10">
        <w:rPr>
          <w:sz w:val="20"/>
          <w:szCs w:val="20"/>
        </w:rPr>
        <w:t>×</w:t>
      </w:r>
      <w:r w:rsidR="00645C10">
        <w:rPr>
          <w:sz w:val="20"/>
          <w:szCs w:val="20"/>
        </w:rPr>
        <w:t xml:space="preserve"> 6,578,732) </w:t>
      </w:r>
      <w:r w:rsidRPr="00745C92" w:rsidR="00645C10">
        <w:rPr>
          <w:sz w:val="20"/>
          <w:szCs w:val="20"/>
        </w:rPr>
        <w:t>×</w:t>
      </w:r>
      <w:r w:rsidR="00645C10">
        <w:rPr>
          <w:sz w:val="20"/>
          <w:szCs w:val="20"/>
        </w:rPr>
        <w:t xml:space="preserve"> 37.84)</w:t>
      </w:r>
      <w:r w:rsidR="00700284">
        <w:rPr>
          <w:sz w:val="20"/>
          <w:szCs w:val="20"/>
        </w:rPr>
        <w:t xml:space="preserve"> = </w:t>
      </w:r>
      <w:r w:rsidRPr="00A90CA2" w:rsidR="00700284">
        <w:rPr>
          <w:sz w:val="20"/>
          <w:szCs w:val="20"/>
        </w:rPr>
        <w:t>$4,352,259,996.78</w:t>
      </w:r>
      <w:r w:rsidR="00700284">
        <w:rPr>
          <w:sz w:val="20"/>
          <w:szCs w:val="20"/>
        </w:rPr>
        <w:t>.</w:t>
      </w:r>
      <w:r w:rsidR="00CA3AF2">
        <w:rPr>
          <w:sz w:val="20"/>
          <w:szCs w:val="20"/>
        </w:rPr>
        <w:t xml:space="preserve"> (</w:t>
      </w:r>
      <w:r w:rsidRPr="00A90CA2" w:rsidR="00CA3AF2">
        <w:rPr>
          <w:sz w:val="20"/>
          <w:szCs w:val="20"/>
        </w:rPr>
        <w:t>$1,782,211,687.09</w:t>
      </w:r>
      <w:r w:rsidR="00CA3AF2">
        <w:rPr>
          <w:sz w:val="20"/>
          <w:szCs w:val="20"/>
        </w:rPr>
        <w:t xml:space="preserve"> + </w:t>
      </w:r>
      <w:r w:rsidRPr="00A90CA2" w:rsidR="00CA3AF2">
        <w:rPr>
          <w:sz w:val="20"/>
          <w:szCs w:val="20"/>
        </w:rPr>
        <w:t>$16,577,540,630.34</w:t>
      </w:r>
      <w:r w:rsidR="00CA3AF2">
        <w:rPr>
          <w:sz w:val="20"/>
          <w:szCs w:val="20"/>
        </w:rPr>
        <w:t xml:space="preserve"> + </w:t>
      </w:r>
      <w:r w:rsidRPr="00A90CA2" w:rsidR="00CA3AF2">
        <w:rPr>
          <w:sz w:val="20"/>
          <w:szCs w:val="20"/>
        </w:rPr>
        <w:t>$4,352,259,996.78</w:t>
      </w:r>
      <w:r w:rsidR="00CA3AF2">
        <w:rPr>
          <w:sz w:val="20"/>
          <w:szCs w:val="20"/>
        </w:rPr>
        <w:t xml:space="preserve"> + $</w:t>
      </w:r>
      <w:r w:rsidRPr="00CA3AF2" w:rsidR="00CA3AF2">
        <w:rPr>
          <w:sz w:val="20"/>
          <w:szCs w:val="20"/>
        </w:rPr>
        <w:t>6,159,488.81</w:t>
      </w:r>
      <w:r w:rsidR="00CA3AF2">
        <w:rPr>
          <w:sz w:val="20"/>
          <w:szCs w:val="20"/>
        </w:rPr>
        <w:t xml:space="preserve"> + $</w:t>
      </w:r>
      <w:r w:rsidRPr="00CA3AF2" w:rsidR="00CA3AF2">
        <w:rPr>
          <w:sz w:val="20"/>
          <w:szCs w:val="20"/>
        </w:rPr>
        <w:t>115,218.68</w:t>
      </w:r>
      <w:r w:rsidR="00CA3AF2">
        <w:rPr>
          <w:sz w:val="20"/>
          <w:szCs w:val="20"/>
        </w:rPr>
        <w:t xml:space="preserve"> = $</w:t>
      </w:r>
      <w:r w:rsidRPr="00CA3AF2" w:rsidR="00CA3AF2">
        <w:rPr>
          <w:sz w:val="20"/>
          <w:szCs w:val="20"/>
        </w:rPr>
        <w:t>22,718,287,021.69</w:t>
      </w:r>
      <w:r w:rsidR="00CA3AF2">
        <w:rPr>
          <w:sz w:val="20"/>
          <w:szCs w:val="20"/>
        </w:rPr>
        <w:t>)</w:t>
      </w:r>
    </w:p>
  </w:footnote>
  <w:footnote w:id="68">
    <w:p w:rsidR="00CE28D7" w:rsidP="00DB60B7" w14:paraId="1894A20D" w14:textId="33ACC20F">
      <w:pPr>
        <w:pStyle w:val="FootnoteText"/>
      </w:pPr>
      <w:r>
        <w:rPr>
          <w:rStyle w:val="FootnoteReference"/>
        </w:rPr>
        <w:footnoteRef/>
      </w:r>
      <w:r>
        <w:t xml:space="preserve"> </w:t>
      </w:r>
      <w:r w:rsidR="00CA3AF2">
        <w:t>Regarding costs for BOI reports, c</w:t>
      </w:r>
      <w:r>
        <w:t xml:space="preserve">ompanies with simple </w:t>
      </w:r>
      <w:r>
        <w:t>beneficial ownership structures account for $</w:t>
      </w:r>
      <w:r w:rsidR="004505F7">
        <w:t>573,808,725.53</w:t>
      </w:r>
      <w:r>
        <w:t xml:space="preserve"> in estimated costs in Years 2+ ((0.59 x 4,998,468 x $85.14) + (0.59 x 14,456,452 x $37.84)) = $573,808,725.53. Companies with intermediate beneficial ownership structures account for $3,</w:t>
      </w:r>
      <w:r w:rsidR="004505F7">
        <w:t>998,123,986.98</w:t>
      </w:r>
      <w:r>
        <w:t xml:space="preserve"> in estimated costs in Years 2+ ((0.361 x 4,998,468 x $1,350) + (0.361 x 14,456,452 x $299.33) = $3,998,123,986.98</w:t>
      </w:r>
      <w:r w:rsidR="004505F7">
        <w:t>.</w:t>
      </w:r>
      <w:r>
        <w:t xml:space="preserve"> Companies with complex beneficial ownership structures account for $1,037,</w:t>
      </w:r>
      <w:r w:rsidR="004505F7">
        <w:t>707,997.47</w:t>
      </w:r>
      <w:r>
        <w:t xml:space="preserve"> in estimated costs in Years 2+ ((0.049 x 4,998,468 </w:t>
      </w:r>
      <w:r>
        <w:t>x $2614.87) + (0.049 x 14,456,452 x $560.81)) = $1,037,707,997.47</w:t>
      </w:r>
      <w:r w:rsidR="004505F7">
        <w:t xml:space="preserve">. ($574,808,725.53 + $3,998,123,986.98 + $1,037,707,997.47 + $945,666.84 + $251,386.22) = $5,610,837,763.04.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816"/>
    <w:multiLevelType w:val="hybridMultilevel"/>
    <w:tmpl w:val="AA04E3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6094C"/>
    <w:multiLevelType w:val="hybridMultilevel"/>
    <w:tmpl w:val="9202D7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E24474"/>
    <w:multiLevelType w:val="hybridMultilevel"/>
    <w:tmpl w:val="92C878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A73078"/>
    <w:multiLevelType w:val="hybridMultilevel"/>
    <w:tmpl w:val="B1F0F19E"/>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CA6169"/>
    <w:multiLevelType w:val="hybridMultilevel"/>
    <w:tmpl w:val="81D2E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085236"/>
    <w:multiLevelType w:val="hybridMultilevel"/>
    <w:tmpl w:val="69CC4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923092"/>
    <w:multiLevelType w:val="hybridMultilevel"/>
    <w:tmpl w:val="EFBA70C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00190"/>
    <w:multiLevelType w:val="hybridMultilevel"/>
    <w:tmpl w:val="C9266B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9DD582A"/>
    <w:multiLevelType w:val="hybridMultilevel"/>
    <w:tmpl w:val="96ACEA6C"/>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F60BC2"/>
    <w:multiLevelType w:val="hybridMultilevel"/>
    <w:tmpl w:val="A176C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6D3B8C"/>
    <w:multiLevelType w:val="hybridMultilevel"/>
    <w:tmpl w:val="0FB88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0149C7"/>
    <w:multiLevelType w:val="hybridMultilevel"/>
    <w:tmpl w:val="406A7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657283"/>
    <w:multiLevelType w:val="hybridMultilevel"/>
    <w:tmpl w:val="6F68661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9925E0"/>
    <w:multiLevelType w:val="hybridMultilevel"/>
    <w:tmpl w:val="4D2AA7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400C77"/>
    <w:multiLevelType w:val="hybridMultilevel"/>
    <w:tmpl w:val="A104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7B5114"/>
    <w:multiLevelType w:val="hybridMultilevel"/>
    <w:tmpl w:val="14E643D6"/>
    <w:lvl w:ilvl="0">
      <w:start w:val="1"/>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CD6ADA"/>
    <w:multiLevelType w:val="hybridMultilevel"/>
    <w:tmpl w:val="0054F7B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4A31716"/>
    <w:multiLevelType w:val="hybridMultilevel"/>
    <w:tmpl w:val="AAE0E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8C1693"/>
    <w:multiLevelType w:val="hybridMultilevel"/>
    <w:tmpl w:val="72B043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F072F09"/>
    <w:multiLevelType w:val="hybridMultilevel"/>
    <w:tmpl w:val="35FA47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623F63"/>
    <w:multiLevelType w:val="hybridMultilevel"/>
    <w:tmpl w:val="3E68A1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C123AB"/>
    <w:multiLevelType w:val="hybridMultilevel"/>
    <w:tmpl w:val="446AE9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3594610"/>
    <w:multiLevelType w:val="hybridMultilevel"/>
    <w:tmpl w:val="066A61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8465E5"/>
    <w:multiLevelType w:val="hybridMultilevel"/>
    <w:tmpl w:val="99D2B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A777CA"/>
    <w:multiLevelType w:val="hybridMultilevel"/>
    <w:tmpl w:val="9F5AE49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6C4D0F"/>
    <w:multiLevelType w:val="hybridMultilevel"/>
    <w:tmpl w:val="609A7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573047"/>
    <w:multiLevelType w:val="hybridMultilevel"/>
    <w:tmpl w:val="7BC6EB6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b/>
        <w:bCs/>
      </w:rPr>
    </w:lvl>
    <w:lvl w:ilvl="2">
      <w:start w:val="1"/>
      <w:numFmt w:val="lowerRoman"/>
      <w:lvlText w:val="%3."/>
      <w:lvlJc w:val="right"/>
      <w:pPr>
        <w:ind w:left="2160" w:hanging="180"/>
      </w:pPr>
      <w:rPr>
        <w:b w:val="0"/>
        <w:bCs w:val="0"/>
        <w:i w:val="0"/>
        <w:iCs w:val="0"/>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970CAB"/>
    <w:multiLevelType w:val="hybridMultilevel"/>
    <w:tmpl w:val="CF8A9F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7C12B23"/>
    <w:multiLevelType w:val="hybridMultilevel"/>
    <w:tmpl w:val="C35640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BE73F0A"/>
    <w:multiLevelType w:val="hybridMultilevel"/>
    <w:tmpl w:val="95F0A29C"/>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8230FB"/>
    <w:multiLevelType w:val="hybridMultilevel"/>
    <w:tmpl w:val="7A50F62E"/>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2">
    <w:nsid w:val="71DC4F15"/>
    <w:multiLevelType w:val="hybridMultilevel"/>
    <w:tmpl w:val="6A36322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BB4FB3"/>
    <w:multiLevelType w:val="hybridMultilevel"/>
    <w:tmpl w:val="99C0F7E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25596D"/>
    <w:multiLevelType w:val="multilevel"/>
    <w:tmpl w:val="0218B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323FDA"/>
    <w:multiLevelType w:val="hybridMultilevel"/>
    <w:tmpl w:val="F252C18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67489D"/>
    <w:multiLevelType w:val="hybridMultilevel"/>
    <w:tmpl w:val="E38C0900"/>
    <w:lvl w:ilvl="0">
      <w:start w:val="4"/>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79134304">
    <w:abstractNumId w:val="23"/>
  </w:num>
  <w:num w:numId="2" w16cid:durableId="590773966">
    <w:abstractNumId w:val="25"/>
  </w:num>
  <w:num w:numId="3" w16cid:durableId="1737970098">
    <w:abstractNumId w:val="22"/>
  </w:num>
  <w:num w:numId="4" w16cid:durableId="19474516">
    <w:abstractNumId w:val="21"/>
  </w:num>
  <w:num w:numId="5" w16cid:durableId="1069301226">
    <w:abstractNumId w:val="1"/>
  </w:num>
  <w:num w:numId="6" w16cid:durableId="600069019">
    <w:abstractNumId w:val="8"/>
  </w:num>
  <w:num w:numId="7" w16cid:durableId="1901164466">
    <w:abstractNumId w:val="2"/>
  </w:num>
  <w:num w:numId="8" w16cid:durableId="451362191">
    <w:abstractNumId w:val="33"/>
  </w:num>
  <w:num w:numId="9" w16cid:durableId="1114328666">
    <w:abstractNumId w:val="34"/>
  </w:num>
  <w:num w:numId="10" w16cid:durableId="439222890">
    <w:abstractNumId w:val="27"/>
  </w:num>
  <w:num w:numId="11" w16cid:durableId="73205795">
    <w:abstractNumId w:val="36"/>
  </w:num>
  <w:num w:numId="12" w16cid:durableId="1182739112">
    <w:abstractNumId w:val="13"/>
  </w:num>
  <w:num w:numId="13" w16cid:durableId="1413701324">
    <w:abstractNumId w:val="10"/>
  </w:num>
  <w:num w:numId="14" w16cid:durableId="1154567347">
    <w:abstractNumId w:val="5"/>
  </w:num>
  <w:num w:numId="15" w16cid:durableId="1520048792">
    <w:abstractNumId w:val="29"/>
  </w:num>
  <w:num w:numId="16" w16cid:durableId="373968054">
    <w:abstractNumId w:val="12"/>
  </w:num>
  <w:num w:numId="17" w16cid:durableId="1769496900">
    <w:abstractNumId w:val="15"/>
  </w:num>
  <w:num w:numId="18" w16cid:durableId="908660738">
    <w:abstractNumId w:val="0"/>
  </w:num>
  <w:num w:numId="19" w16cid:durableId="1694262229">
    <w:abstractNumId w:val="26"/>
  </w:num>
  <w:num w:numId="20" w16cid:durableId="211040631">
    <w:abstractNumId w:val="6"/>
  </w:num>
  <w:num w:numId="21" w16cid:durableId="2074498117">
    <w:abstractNumId w:val="32"/>
  </w:num>
  <w:num w:numId="22" w16cid:durableId="643975437">
    <w:abstractNumId w:val="3"/>
  </w:num>
  <w:num w:numId="23" w16cid:durableId="1143277550">
    <w:abstractNumId w:val="30"/>
  </w:num>
  <w:num w:numId="24" w16cid:durableId="216358971">
    <w:abstractNumId w:val="35"/>
  </w:num>
  <w:num w:numId="25" w16cid:durableId="145123626">
    <w:abstractNumId w:val="19"/>
  </w:num>
  <w:num w:numId="26" w16cid:durableId="1278486143">
    <w:abstractNumId w:val="9"/>
  </w:num>
  <w:num w:numId="27" w16cid:durableId="62485038">
    <w:abstractNumId w:val="14"/>
  </w:num>
  <w:num w:numId="28" w16cid:durableId="2062047598">
    <w:abstractNumId w:val="20"/>
  </w:num>
  <w:num w:numId="29" w16cid:durableId="622005405">
    <w:abstractNumId w:val="7"/>
  </w:num>
  <w:num w:numId="30" w16cid:durableId="183441392">
    <w:abstractNumId w:val="28"/>
  </w:num>
  <w:num w:numId="31" w16cid:durableId="25444901">
    <w:abstractNumId w:val="18"/>
  </w:num>
  <w:num w:numId="32" w16cid:durableId="886262863">
    <w:abstractNumId w:val="16"/>
  </w:num>
  <w:num w:numId="33" w16cid:durableId="1584532920">
    <w:abstractNumId w:val="31"/>
  </w:num>
  <w:num w:numId="34" w16cid:durableId="1105538902">
    <w:abstractNumId w:val="17"/>
  </w:num>
  <w:num w:numId="35" w16cid:durableId="1371689142">
    <w:abstractNumId w:val="4"/>
  </w:num>
  <w:num w:numId="36" w16cid:durableId="658845477">
    <w:abstractNumId w:val="24"/>
  </w:num>
  <w:num w:numId="37" w16cid:durableId="1900939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3"/>
    <w:rsid w:val="00000182"/>
    <w:rsid w:val="000002D2"/>
    <w:rsid w:val="000002EE"/>
    <w:rsid w:val="00000B9A"/>
    <w:rsid w:val="0000162D"/>
    <w:rsid w:val="0000198C"/>
    <w:rsid w:val="00001F82"/>
    <w:rsid w:val="00002D82"/>
    <w:rsid w:val="000039E2"/>
    <w:rsid w:val="00004C3B"/>
    <w:rsid w:val="00005662"/>
    <w:rsid w:val="00005920"/>
    <w:rsid w:val="00005E83"/>
    <w:rsid w:val="00005F0C"/>
    <w:rsid w:val="0000638D"/>
    <w:rsid w:val="00010628"/>
    <w:rsid w:val="0001083C"/>
    <w:rsid w:val="00010926"/>
    <w:rsid w:val="00010F90"/>
    <w:rsid w:val="0001131C"/>
    <w:rsid w:val="000119C3"/>
    <w:rsid w:val="0001217F"/>
    <w:rsid w:val="00012187"/>
    <w:rsid w:val="000122EE"/>
    <w:rsid w:val="000123F1"/>
    <w:rsid w:val="0001266D"/>
    <w:rsid w:val="000128A2"/>
    <w:rsid w:val="00014408"/>
    <w:rsid w:val="00015280"/>
    <w:rsid w:val="00016509"/>
    <w:rsid w:val="00016614"/>
    <w:rsid w:val="00016CE9"/>
    <w:rsid w:val="00020039"/>
    <w:rsid w:val="00020DC4"/>
    <w:rsid w:val="00020DD0"/>
    <w:rsid w:val="00020E90"/>
    <w:rsid w:val="00021830"/>
    <w:rsid w:val="00021A69"/>
    <w:rsid w:val="000222D4"/>
    <w:rsid w:val="0002275A"/>
    <w:rsid w:val="000230BA"/>
    <w:rsid w:val="00023100"/>
    <w:rsid w:val="00023164"/>
    <w:rsid w:val="00023269"/>
    <w:rsid w:val="00023B39"/>
    <w:rsid w:val="00023B6D"/>
    <w:rsid w:val="00023DD2"/>
    <w:rsid w:val="00023FCD"/>
    <w:rsid w:val="000251BB"/>
    <w:rsid w:val="000252F9"/>
    <w:rsid w:val="0002531F"/>
    <w:rsid w:val="000268F2"/>
    <w:rsid w:val="000272F8"/>
    <w:rsid w:val="00027525"/>
    <w:rsid w:val="00027861"/>
    <w:rsid w:val="00030B3D"/>
    <w:rsid w:val="00031124"/>
    <w:rsid w:val="000313CC"/>
    <w:rsid w:val="00031596"/>
    <w:rsid w:val="00032B67"/>
    <w:rsid w:val="00032C15"/>
    <w:rsid w:val="00033248"/>
    <w:rsid w:val="000333E3"/>
    <w:rsid w:val="0003340D"/>
    <w:rsid w:val="00033F60"/>
    <w:rsid w:val="00033F9E"/>
    <w:rsid w:val="00034865"/>
    <w:rsid w:val="00034C60"/>
    <w:rsid w:val="000353A9"/>
    <w:rsid w:val="000356AD"/>
    <w:rsid w:val="00035CD2"/>
    <w:rsid w:val="00036012"/>
    <w:rsid w:val="000362FB"/>
    <w:rsid w:val="00036505"/>
    <w:rsid w:val="0003652E"/>
    <w:rsid w:val="000366F1"/>
    <w:rsid w:val="00036999"/>
    <w:rsid w:val="00036A5C"/>
    <w:rsid w:val="00036B8E"/>
    <w:rsid w:val="0003780D"/>
    <w:rsid w:val="0004061E"/>
    <w:rsid w:val="00040AAB"/>
    <w:rsid w:val="00040B18"/>
    <w:rsid w:val="00041130"/>
    <w:rsid w:val="00041E84"/>
    <w:rsid w:val="000430D8"/>
    <w:rsid w:val="00043167"/>
    <w:rsid w:val="000432D6"/>
    <w:rsid w:val="000438CD"/>
    <w:rsid w:val="000439C7"/>
    <w:rsid w:val="00044113"/>
    <w:rsid w:val="0004450F"/>
    <w:rsid w:val="00044647"/>
    <w:rsid w:val="00045C57"/>
    <w:rsid w:val="000462E1"/>
    <w:rsid w:val="000468C8"/>
    <w:rsid w:val="000470BF"/>
    <w:rsid w:val="00047734"/>
    <w:rsid w:val="00050C29"/>
    <w:rsid w:val="000518FA"/>
    <w:rsid w:val="00052A29"/>
    <w:rsid w:val="0005398E"/>
    <w:rsid w:val="000547A5"/>
    <w:rsid w:val="00054DB5"/>
    <w:rsid w:val="00055FE3"/>
    <w:rsid w:val="000562AB"/>
    <w:rsid w:val="000567EA"/>
    <w:rsid w:val="00056955"/>
    <w:rsid w:val="00056F2D"/>
    <w:rsid w:val="000572D0"/>
    <w:rsid w:val="000575B1"/>
    <w:rsid w:val="00057B30"/>
    <w:rsid w:val="0006011C"/>
    <w:rsid w:val="000602CC"/>
    <w:rsid w:val="000604D6"/>
    <w:rsid w:val="00060D2C"/>
    <w:rsid w:val="0006104B"/>
    <w:rsid w:val="00061964"/>
    <w:rsid w:val="00061EAF"/>
    <w:rsid w:val="00061F56"/>
    <w:rsid w:val="000633CE"/>
    <w:rsid w:val="000641C4"/>
    <w:rsid w:val="00064630"/>
    <w:rsid w:val="0006487C"/>
    <w:rsid w:val="00064AF0"/>
    <w:rsid w:val="00065403"/>
    <w:rsid w:val="00065636"/>
    <w:rsid w:val="00065D87"/>
    <w:rsid w:val="00065E54"/>
    <w:rsid w:val="00067044"/>
    <w:rsid w:val="00067732"/>
    <w:rsid w:val="00070134"/>
    <w:rsid w:val="0007022F"/>
    <w:rsid w:val="00070561"/>
    <w:rsid w:val="000712EC"/>
    <w:rsid w:val="00071474"/>
    <w:rsid w:val="000716E3"/>
    <w:rsid w:val="00071EE6"/>
    <w:rsid w:val="00071FDA"/>
    <w:rsid w:val="0007256F"/>
    <w:rsid w:val="00072689"/>
    <w:rsid w:val="000729DE"/>
    <w:rsid w:val="00072CC6"/>
    <w:rsid w:val="00072F37"/>
    <w:rsid w:val="00074250"/>
    <w:rsid w:val="000746FA"/>
    <w:rsid w:val="00075577"/>
    <w:rsid w:val="00075751"/>
    <w:rsid w:val="00075E3D"/>
    <w:rsid w:val="000762F3"/>
    <w:rsid w:val="00076D8B"/>
    <w:rsid w:val="00077106"/>
    <w:rsid w:val="00077713"/>
    <w:rsid w:val="00080225"/>
    <w:rsid w:val="0008024B"/>
    <w:rsid w:val="00080765"/>
    <w:rsid w:val="00080F03"/>
    <w:rsid w:val="0008122A"/>
    <w:rsid w:val="000812A7"/>
    <w:rsid w:val="00081664"/>
    <w:rsid w:val="00081B43"/>
    <w:rsid w:val="00081FEB"/>
    <w:rsid w:val="00082B18"/>
    <w:rsid w:val="00083088"/>
    <w:rsid w:val="00083F36"/>
    <w:rsid w:val="00084443"/>
    <w:rsid w:val="00084841"/>
    <w:rsid w:val="000853EF"/>
    <w:rsid w:val="00085718"/>
    <w:rsid w:val="00085765"/>
    <w:rsid w:val="00085BE8"/>
    <w:rsid w:val="000860E8"/>
    <w:rsid w:val="000867B0"/>
    <w:rsid w:val="00086E00"/>
    <w:rsid w:val="00086F58"/>
    <w:rsid w:val="00087779"/>
    <w:rsid w:val="00087AFF"/>
    <w:rsid w:val="00090894"/>
    <w:rsid w:val="0009096D"/>
    <w:rsid w:val="00090C4B"/>
    <w:rsid w:val="00090DB8"/>
    <w:rsid w:val="00091764"/>
    <w:rsid w:val="00091E4E"/>
    <w:rsid w:val="0009282F"/>
    <w:rsid w:val="00092BB8"/>
    <w:rsid w:val="0009305B"/>
    <w:rsid w:val="000933BD"/>
    <w:rsid w:val="000936A8"/>
    <w:rsid w:val="000937D0"/>
    <w:rsid w:val="00093CA8"/>
    <w:rsid w:val="00093D02"/>
    <w:rsid w:val="000944AF"/>
    <w:rsid w:val="0009536C"/>
    <w:rsid w:val="0009580D"/>
    <w:rsid w:val="00095EC6"/>
    <w:rsid w:val="00096EE1"/>
    <w:rsid w:val="00096FEE"/>
    <w:rsid w:val="000A02AE"/>
    <w:rsid w:val="000A10E6"/>
    <w:rsid w:val="000A110C"/>
    <w:rsid w:val="000A13A9"/>
    <w:rsid w:val="000A14D3"/>
    <w:rsid w:val="000A1E6E"/>
    <w:rsid w:val="000A3074"/>
    <w:rsid w:val="000A30DC"/>
    <w:rsid w:val="000A3814"/>
    <w:rsid w:val="000A3925"/>
    <w:rsid w:val="000A39F1"/>
    <w:rsid w:val="000A3D3B"/>
    <w:rsid w:val="000A3ED5"/>
    <w:rsid w:val="000A4157"/>
    <w:rsid w:val="000A423C"/>
    <w:rsid w:val="000A4390"/>
    <w:rsid w:val="000A4612"/>
    <w:rsid w:val="000A471B"/>
    <w:rsid w:val="000A4787"/>
    <w:rsid w:val="000A5882"/>
    <w:rsid w:val="000A609C"/>
    <w:rsid w:val="000A6601"/>
    <w:rsid w:val="000A6633"/>
    <w:rsid w:val="000A73F7"/>
    <w:rsid w:val="000A7488"/>
    <w:rsid w:val="000A7786"/>
    <w:rsid w:val="000A788D"/>
    <w:rsid w:val="000A7B01"/>
    <w:rsid w:val="000B07D9"/>
    <w:rsid w:val="000B187D"/>
    <w:rsid w:val="000B1B05"/>
    <w:rsid w:val="000B2C60"/>
    <w:rsid w:val="000B2C73"/>
    <w:rsid w:val="000B31BC"/>
    <w:rsid w:val="000B336B"/>
    <w:rsid w:val="000B4D22"/>
    <w:rsid w:val="000B5059"/>
    <w:rsid w:val="000B51B3"/>
    <w:rsid w:val="000B5798"/>
    <w:rsid w:val="000B63B9"/>
    <w:rsid w:val="000B6927"/>
    <w:rsid w:val="000B6EFD"/>
    <w:rsid w:val="000C0227"/>
    <w:rsid w:val="000C0E2D"/>
    <w:rsid w:val="000C1679"/>
    <w:rsid w:val="000C2487"/>
    <w:rsid w:val="000C2577"/>
    <w:rsid w:val="000C2F3C"/>
    <w:rsid w:val="000C32E6"/>
    <w:rsid w:val="000C4C12"/>
    <w:rsid w:val="000C4F11"/>
    <w:rsid w:val="000C5081"/>
    <w:rsid w:val="000C58CD"/>
    <w:rsid w:val="000C5F03"/>
    <w:rsid w:val="000C6517"/>
    <w:rsid w:val="000C6971"/>
    <w:rsid w:val="000C70B5"/>
    <w:rsid w:val="000C71F1"/>
    <w:rsid w:val="000C763A"/>
    <w:rsid w:val="000C7942"/>
    <w:rsid w:val="000D27E6"/>
    <w:rsid w:val="000D2AE1"/>
    <w:rsid w:val="000D31A6"/>
    <w:rsid w:val="000D3FFC"/>
    <w:rsid w:val="000D42AC"/>
    <w:rsid w:val="000D4587"/>
    <w:rsid w:val="000D4B22"/>
    <w:rsid w:val="000D5A1A"/>
    <w:rsid w:val="000D5CC1"/>
    <w:rsid w:val="000D6FD7"/>
    <w:rsid w:val="000D7258"/>
    <w:rsid w:val="000D72E5"/>
    <w:rsid w:val="000D79AB"/>
    <w:rsid w:val="000D7BAE"/>
    <w:rsid w:val="000D7D2D"/>
    <w:rsid w:val="000E036F"/>
    <w:rsid w:val="000E0500"/>
    <w:rsid w:val="000E0B9C"/>
    <w:rsid w:val="000E1107"/>
    <w:rsid w:val="000E2537"/>
    <w:rsid w:val="000E3831"/>
    <w:rsid w:val="000E39C2"/>
    <w:rsid w:val="000E3F5C"/>
    <w:rsid w:val="000E45B5"/>
    <w:rsid w:val="000E4749"/>
    <w:rsid w:val="000E5244"/>
    <w:rsid w:val="000E526B"/>
    <w:rsid w:val="000E56FE"/>
    <w:rsid w:val="000E5DE4"/>
    <w:rsid w:val="000E60FD"/>
    <w:rsid w:val="000E620B"/>
    <w:rsid w:val="000E6ACE"/>
    <w:rsid w:val="000E6C68"/>
    <w:rsid w:val="000F16AC"/>
    <w:rsid w:val="000F18C7"/>
    <w:rsid w:val="000F1C5B"/>
    <w:rsid w:val="000F1E2B"/>
    <w:rsid w:val="000F273F"/>
    <w:rsid w:val="000F2957"/>
    <w:rsid w:val="000F300C"/>
    <w:rsid w:val="000F337D"/>
    <w:rsid w:val="000F3524"/>
    <w:rsid w:val="000F430D"/>
    <w:rsid w:val="000F4B72"/>
    <w:rsid w:val="000F4F8D"/>
    <w:rsid w:val="000F5788"/>
    <w:rsid w:val="000F6A95"/>
    <w:rsid w:val="000F74C6"/>
    <w:rsid w:val="000F76B1"/>
    <w:rsid w:val="000F7BA8"/>
    <w:rsid w:val="00100B79"/>
    <w:rsid w:val="00100D46"/>
    <w:rsid w:val="001011E2"/>
    <w:rsid w:val="001013C2"/>
    <w:rsid w:val="001016B2"/>
    <w:rsid w:val="001021B4"/>
    <w:rsid w:val="0010293D"/>
    <w:rsid w:val="00102A36"/>
    <w:rsid w:val="00102B87"/>
    <w:rsid w:val="00102CD1"/>
    <w:rsid w:val="00102F02"/>
    <w:rsid w:val="00103A5A"/>
    <w:rsid w:val="00103AB5"/>
    <w:rsid w:val="0010579A"/>
    <w:rsid w:val="00105A4A"/>
    <w:rsid w:val="00105B8F"/>
    <w:rsid w:val="00105FAC"/>
    <w:rsid w:val="00106204"/>
    <w:rsid w:val="001062A4"/>
    <w:rsid w:val="00106827"/>
    <w:rsid w:val="001072FA"/>
    <w:rsid w:val="00107EFD"/>
    <w:rsid w:val="00110240"/>
    <w:rsid w:val="001104A2"/>
    <w:rsid w:val="001106BF"/>
    <w:rsid w:val="00111B33"/>
    <w:rsid w:val="001131F7"/>
    <w:rsid w:val="00113327"/>
    <w:rsid w:val="001136CE"/>
    <w:rsid w:val="00114056"/>
    <w:rsid w:val="00114495"/>
    <w:rsid w:val="001146E7"/>
    <w:rsid w:val="00114999"/>
    <w:rsid w:val="0011514B"/>
    <w:rsid w:val="00115945"/>
    <w:rsid w:val="00116D1C"/>
    <w:rsid w:val="0011706B"/>
    <w:rsid w:val="00120201"/>
    <w:rsid w:val="00121359"/>
    <w:rsid w:val="0012144D"/>
    <w:rsid w:val="001218BA"/>
    <w:rsid w:val="001219DE"/>
    <w:rsid w:val="00121C05"/>
    <w:rsid w:val="00121DE6"/>
    <w:rsid w:val="00121F3A"/>
    <w:rsid w:val="00121F3C"/>
    <w:rsid w:val="00121F9C"/>
    <w:rsid w:val="001220A1"/>
    <w:rsid w:val="00122828"/>
    <w:rsid w:val="001231A0"/>
    <w:rsid w:val="00123A38"/>
    <w:rsid w:val="00124338"/>
    <w:rsid w:val="0012472E"/>
    <w:rsid w:val="00124873"/>
    <w:rsid w:val="00124B61"/>
    <w:rsid w:val="001255AD"/>
    <w:rsid w:val="0012676F"/>
    <w:rsid w:val="00127219"/>
    <w:rsid w:val="00127597"/>
    <w:rsid w:val="00127623"/>
    <w:rsid w:val="0013003C"/>
    <w:rsid w:val="00130403"/>
    <w:rsid w:val="00130C5D"/>
    <w:rsid w:val="001313BA"/>
    <w:rsid w:val="001313C4"/>
    <w:rsid w:val="00131935"/>
    <w:rsid w:val="001320DC"/>
    <w:rsid w:val="00132997"/>
    <w:rsid w:val="0013338B"/>
    <w:rsid w:val="00133AB4"/>
    <w:rsid w:val="001340A3"/>
    <w:rsid w:val="00134680"/>
    <w:rsid w:val="0013568A"/>
    <w:rsid w:val="00135936"/>
    <w:rsid w:val="001359D3"/>
    <w:rsid w:val="001368D0"/>
    <w:rsid w:val="00136B02"/>
    <w:rsid w:val="00137054"/>
    <w:rsid w:val="0013769F"/>
    <w:rsid w:val="00137BCC"/>
    <w:rsid w:val="00137C1C"/>
    <w:rsid w:val="00137FED"/>
    <w:rsid w:val="0014029F"/>
    <w:rsid w:val="00140EA0"/>
    <w:rsid w:val="00140F44"/>
    <w:rsid w:val="0014156C"/>
    <w:rsid w:val="0014159B"/>
    <w:rsid w:val="00141B48"/>
    <w:rsid w:val="001423A2"/>
    <w:rsid w:val="00143313"/>
    <w:rsid w:val="001442BC"/>
    <w:rsid w:val="001453EE"/>
    <w:rsid w:val="00145D2E"/>
    <w:rsid w:val="00145F87"/>
    <w:rsid w:val="00146F57"/>
    <w:rsid w:val="001471F0"/>
    <w:rsid w:val="00150079"/>
    <w:rsid w:val="00150AB7"/>
    <w:rsid w:val="00151D4D"/>
    <w:rsid w:val="0015243B"/>
    <w:rsid w:val="0015296F"/>
    <w:rsid w:val="00152EF3"/>
    <w:rsid w:val="0015418C"/>
    <w:rsid w:val="0015477E"/>
    <w:rsid w:val="00154A7E"/>
    <w:rsid w:val="00154BAD"/>
    <w:rsid w:val="00155B76"/>
    <w:rsid w:val="00155FF6"/>
    <w:rsid w:val="001561AD"/>
    <w:rsid w:val="001562F3"/>
    <w:rsid w:val="0015656D"/>
    <w:rsid w:val="00156C07"/>
    <w:rsid w:val="0015714F"/>
    <w:rsid w:val="00157664"/>
    <w:rsid w:val="00157C42"/>
    <w:rsid w:val="00157D5A"/>
    <w:rsid w:val="0016188E"/>
    <w:rsid w:val="00161A0D"/>
    <w:rsid w:val="001623BD"/>
    <w:rsid w:val="0016287F"/>
    <w:rsid w:val="00162974"/>
    <w:rsid w:val="00162CCD"/>
    <w:rsid w:val="00163866"/>
    <w:rsid w:val="001641D2"/>
    <w:rsid w:val="001641FF"/>
    <w:rsid w:val="001642F3"/>
    <w:rsid w:val="001646E3"/>
    <w:rsid w:val="00164C40"/>
    <w:rsid w:val="00165013"/>
    <w:rsid w:val="001652EF"/>
    <w:rsid w:val="001654F0"/>
    <w:rsid w:val="00165585"/>
    <w:rsid w:val="00165A56"/>
    <w:rsid w:val="00165B39"/>
    <w:rsid w:val="00166271"/>
    <w:rsid w:val="00166DD1"/>
    <w:rsid w:val="001670A6"/>
    <w:rsid w:val="001673BA"/>
    <w:rsid w:val="00170EC9"/>
    <w:rsid w:val="00171165"/>
    <w:rsid w:val="00171291"/>
    <w:rsid w:val="00171D00"/>
    <w:rsid w:val="00171EB8"/>
    <w:rsid w:val="001721F3"/>
    <w:rsid w:val="00172735"/>
    <w:rsid w:val="00172FD6"/>
    <w:rsid w:val="00173894"/>
    <w:rsid w:val="00173F30"/>
    <w:rsid w:val="00174EF5"/>
    <w:rsid w:val="00175076"/>
    <w:rsid w:val="00175143"/>
    <w:rsid w:val="001751EC"/>
    <w:rsid w:val="001764C5"/>
    <w:rsid w:val="00176B1D"/>
    <w:rsid w:val="001770ED"/>
    <w:rsid w:val="00180086"/>
    <w:rsid w:val="00180427"/>
    <w:rsid w:val="001808CF"/>
    <w:rsid w:val="001818AD"/>
    <w:rsid w:val="00181B2E"/>
    <w:rsid w:val="001825C9"/>
    <w:rsid w:val="0018263E"/>
    <w:rsid w:val="0018264C"/>
    <w:rsid w:val="00182C11"/>
    <w:rsid w:val="00183043"/>
    <w:rsid w:val="00183414"/>
    <w:rsid w:val="00183488"/>
    <w:rsid w:val="001835BD"/>
    <w:rsid w:val="00183BED"/>
    <w:rsid w:val="00184D24"/>
    <w:rsid w:val="0018514E"/>
    <w:rsid w:val="00185B41"/>
    <w:rsid w:val="00185EAD"/>
    <w:rsid w:val="001869F7"/>
    <w:rsid w:val="00186AE9"/>
    <w:rsid w:val="00187515"/>
    <w:rsid w:val="001904AF"/>
    <w:rsid w:val="001908D9"/>
    <w:rsid w:val="001911FF"/>
    <w:rsid w:val="001915EF"/>
    <w:rsid w:val="001916EE"/>
    <w:rsid w:val="00191D0C"/>
    <w:rsid w:val="0019216D"/>
    <w:rsid w:val="00192899"/>
    <w:rsid w:val="00192977"/>
    <w:rsid w:val="00192B63"/>
    <w:rsid w:val="00193447"/>
    <w:rsid w:val="00194174"/>
    <w:rsid w:val="0019433C"/>
    <w:rsid w:val="00195601"/>
    <w:rsid w:val="00195F27"/>
    <w:rsid w:val="0019726C"/>
    <w:rsid w:val="001973D7"/>
    <w:rsid w:val="00199BFA"/>
    <w:rsid w:val="001A13F9"/>
    <w:rsid w:val="001A14D5"/>
    <w:rsid w:val="001A1747"/>
    <w:rsid w:val="001A19C5"/>
    <w:rsid w:val="001A1AE9"/>
    <w:rsid w:val="001A1BD9"/>
    <w:rsid w:val="001A1F77"/>
    <w:rsid w:val="001A2102"/>
    <w:rsid w:val="001A2841"/>
    <w:rsid w:val="001A2981"/>
    <w:rsid w:val="001A365D"/>
    <w:rsid w:val="001A40BD"/>
    <w:rsid w:val="001A4145"/>
    <w:rsid w:val="001A496E"/>
    <w:rsid w:val="001A4F24"/>
    <w:rsid w:val="001A4FC6"/>
    <w:rsid w:val="001A59B9"/>
    <w:rsid w:val="001A6090"/>
    <w:rsid w:val="001A6E15"/>
    <w:rsid w:val="001A731C"/>
    <w:rsid w:val="001A75CE"/>
    <w:rsid w:val="001A7C71"/>
    <w:rsid w:val="001B02D0"/>
    <w:rsid w:val="001B37D8"/>
    <w:rsid w:val="001B3CAE"/>
    <w:rsid w:val="001B4968"/>
    <w:rsid w:val="001B4C42"/>
    <w:rsid w:val="001B4DA9"/>
    <w:rsid w:val="001B55E1"/>
    <w:rsid w:val="001B590D"/>
    <w:rsid w:val="001B64FD"/>
    <w:rsid w:val="001B6606"/>
    <w:rsid w:val="001B66B9"/>
    <w:rsid w:val="001B6A9A"/>
    <w:rsid w:val="001B7122"/>
    <w:rsid w:val="001B72A3"/>
    <w:rsid w:val="001B76BF"/>
    <w:rsid w:val="001B781A"/>
    <w:rsid w:val="001B7CD2"/>
    <w:rsid w:val="001C0734"/>
    <w:rsid w:val="001C0D7B"/>
    <w:rsid w:val="001C1D22"/>
    <w:rsid w:val="001C1D5F"/>
    <w:rsid w:val="001C2136"/>
    <w:rsid w:val="001C226F"/>
    <w:rsid w:val="001C24D8"/>
    <w:rsid w:val="001C344B"/>
    <w:rsid w:val="001C377F"/>
    <w:rsid w:val="001C3B46"/>
    <w:rsid w:val="001C489D"/>
    <w:rsid w:val="001C4D67"/>
    <w:rsid w:val="001C4D6B"/>
    <w:rsid w:val="001C4DBA"/>
    <w:rsid w:val="001C5202"/>
    <w:rsid w:val="001C6FF8"/>
    <w:rsid w:val="001C7A68"/>
    <w:rsid w:val="001D04A4"/>
    <w:rsid w:val="001D0645"/>
    <w:rsid w:val="001D0E76"/>
    <w:rsid w:val="001D1D78"/>
    <w:rsid w:val="001D234D"/>
    <w:rsid w:val="001D2956"/>
    <w:rsid w:val="001D4226"/>
    <w:rsid w:val="001D4915"/>
    <w:rsid w:val="001D4FC2"/>
    <w:rsid w:val="001D50D4"/>
    <w:rsid w:val="001D564F"/>
    <w:rsid w:val="001D565C"/>
    <w:rsid w:val="001D5779"/>
    <w:rsid w:val="001D5FE7"/>
    <w:rsid w:val="001D67DE"/>
    <w:rsid w:val="001D69BD"/>
    <w:rsid w:val="001D6FAF"/>
    <w:rsid w:val="001D76DE"/>
    <w:rsid w:val="001D77AF"/>
    <w:rsid w:val="001E065D"/>
    <w:rsid w:val="001E0A31"/>
    <w:rsid w:val="001E11AE"/>
    <w:rsid w:val="001E1A02"/>
    <w:rsid w:val="001E1E93"/>
    <w:rsid w:val="001E24C8"/>
    <w:rsid w:val="001E264B"/>
    <w:rsid w:val="001E3A1D"/>
    <w:rsid w:val="001E4401"/>
    <w:rsid w:val="001E46F8"/>
    <w:rsid w:val="001E58C8"/>
    <w:rsid w:val="001E69A2"/>
    <w:rsid w:val="001E72ED"/>
    <w:rsid w:val="001F014B"/>
    <w:rsid w:val="001F075D"/>
    <w:rsid w:val="001F0C28"/>
    <w:rsid w:val="001F22D4"/>
    <w:rsid w:val="001F2F4B"/>
    <w:rsid w:val="001F3082"/>
    <w:rsid w:val="001F40F0"/>
    <w:rsid w:val="001F525A"/>
    <w:rsid w:val="001F568D"/>
    <w:rsid w:val="001F587C"/>
    <w:rsid w:val="001F6CAA"/>
    <w:rsid w:val="001F6E4F"/>
    <w:rsid w:val="001F772A"/>
    <w:rsid w:val="001F783E"/>
    <w:rsid w:val="002000FE"/>
    <w:rsid w:val="00200A6B"/>
    <w:rsid w:val="00200A7A"/>
    <w:rsid w:val="00200C15"/>
    <w:rsid w:val="0020276B"/>
    <w:rsid w:val="00202934"/>
    <w:rsid w:val="00202BC6"/>
    <w:rsid w:val="00203758"/>
    <w:rsid w:val="00204386"/>
    <w:rsid w:val="00204BB9"/>
    <w:rsid w:val="00204BED"/>
    <w:rsid w:val="002054FB"/>
    <w:rsid w:val="00206207"/>
    <w:rsid w:val="00206ECF"/>
    <w:rsid w:val="00207E40"/>
    <w:rsid w:val="00207F01"/>
    <w:rsid w:val="00210034"/>
    <w:rsid w:val="002111D0"/>
    <w:rsid w:val="0021166B"/>
    <w:rsid w:val="00211683"/>
    <w:rsid w:val="00211AE0"/>
    <w:rsid w:val="00212041"/>
    <w:rsid w:val="002121B6"/>
    <w:rsid w:val="00213758"/>
    <w:rsid w:val="002142FF"/>
    <w:rsid w:val="0021570E"/>
    <w:rsid w:val="00215C9D"/>
    <w:rsid w:val="00216E60"/>
    <w:rsid w:val="00216F7E"/>
    <w:rsid w:val="0022110A"/>
    <w:rsid w:val="00221135"/>
    <w:rsid w:val="0022187D"/>
    <w:rsid w:val="0022268B"/>
    <w:rsid w:val="00222832"/>
    <w:rsid w:val="0022287C"/>
    <w:rsid w:val="00222A64"/>
    <w:rsid w:val="00222C4B"/>
    <w:rsid w:val="00222E56"/>
    <w:rsid w:val="00222FE9"/>
    <w:rsid w:val="00223088"/>
    <w:rsid w:val="00223C47"/>
    <w:rsid w:val="00223F72"/>
    <w:rsid w:val="00224B4B"/>
    <w:rsid w:val="00224CA8"/>
    <w:rsid w:val="00225071"/>
    <w:rsid w:val="002252B2"/>
    <w:rsid w:val="00225A45"/>
    <w:rsid w:val="00225C03"/>
    <w:rsid w:val="00227A56"/>
    <w:rsid w:val="00227FDC"/>
    <w:rsid w:val="002309BF"/>
    <w:rsid w:val="00231068"/>
    <w:rsid w:val="002311A9"/>
    <w:rsid w:val="00231E03"/>
    <w:rsid w:val="00231F14"/>
    <w:rsid w:val="002322DF"/>
    <w:rsid w:val="00232429"/>
    <w:rsid w:val="002326EA"/>
    <w:rsid w:val="002333BE"/>
    <w:rsid w:val="00233EE7"/>
    <w:rsid w:val="002347C1"/>
    <w:rsid w:val="00235166"/>
    <w:rsid w:val="0023560E"/>
    <w:rsid w:val="00235867"/>
    <w:rsid w:val="00235DE0"/>
    <w:rsid w:val="0023697D"/>
    <w:rsid w:val="002369FD"/>
    <w:rsid w:val="00236CC2"/>
    <w:rsid w:val="00237659"/>
    <w:rsid w:val="002377C3"/>
    <w:rsid w:val="00237CF0"/>
    <w:rsid w:val="0024010D"/>
    <w:rsid w:val="00240363"/>
    <w:rsid w:val="00240429"/>
    <w:rsid w:val="00240DEC"/>
    <w:rsid w:val="00241857"/>
    <w:rsid w:val="00241904"/>
    <w:rsid w:val="00241C6B"/>
    <w:rsid w:val="0024260B"/>
    <w:rsid w:val="00242718"/>
    <w:rsid w:val="00242DA6"/>
    <w:rsid w:val="00243AB9"/>
    <w:rsid w:val="00243D77"/>
    <w:rsid w:val="002443C7"/>
    <w:rsid w:val="00244C85"/>
    <w:rsid w:val="0024575A"/>
    <w:rsid w:val="00245A13"/>
    <w:rsid w:val="00246ADD"/>
    <w:rsid w:val="00246C16"/>
    <w:rsid w:val="00246CA1"/>
    <w:rsid w:val="00246D9D"/>
    <w:rsid w:val="0024764D"/>
    <w:rsid w:val="002478CA"/>
    <w:rsid w:val="00247B44"/>
    <w:rsid w:val="00250935"/>
    <w:rsid w:val="00251C6E"/>
    <w:rsid w:val="00251F39"/>
    <w:rsid w:val="00252019"/>
    <w:rsid w:val="002522C8"/>
    <w:rsid w:val="0025265A"/>
    <w:rsid w:val="0025464C"/>
    <w:rsid w:val="00254811"/>
    <w:rsid w:val="00254B4F"/>
    <w:rsid w:val="00255617"/>
    <w:rsid w:val="00255D4B"/>
    <w:rsid w:val="00256BF8"/>
    <w:rsid w:val="00256C73"/>
    <w:rsid w:val="00256D10"/>
    <w:rsid w:val="002579A0"/>
    <w:rsid w:val="002579D3"/>
    <w:rsid w:val="002602CB"/>
    <w:rsid w:val="00260452"/>
    <w:rsid w:val="0026069B"/>
    <w:rsid w:val="00260BF8"/>
    <w:rsid w:val="0026186C"/>
    <w:rsid w:val="0026191E"/>
    <w:rsid w:val="00261FF9"/>
    <w:rsid w:val="00262324"/>
    <w:rsid w:val="0026250D"/>
    <w:rsid w:val="002625B5"/>
    <w:rsid w:val="002627F1"/>
    <w:rsid w:val="00262EB5"/>
    <w:rsid w:val="00263369"/>
    <w:rsid w:val="0026385F"/>
    <w:rsid w:val="002649E9"/>
    <w:rsid w:val="00264FBA"/>
    <w:rsid w:val="0026524F"/>
    <w:rsid w:val="00266756"/>
    <w:rsid w:val="00266876"/>
    <w:rsid w:val="00266962"/>
    <w:rsid w:val="00267090"/>
    <w:rsid w:val="0026718A"/>
    <w:rsid w:val="00267214"/>
    <w:rsid w:val="002678F2"/>
    <w:rsid w:val="00267F08"/>
    <w:rsid w:val="002707C2"/>
    <w:rsid w:val="002707EA"/>
    <w:rsid w:val="00270BBF"/>
    <w:rsid w:val="002710A8"/>
    <w:rsid w:val="002714D3"/>
    <w:rsid w:val="00271A47"/>
    <w:rsid w:val="00271A9F"/>
    <w:rsid w:val="00271EEF"/>
    <w:rsid w:val="00272491"/>
    <w:rsid w:val="00272775"/>
    <w:rsid w:val="00272C61"/>
    <w:rsid w:val="002733A8"/>
    <w:rsid w:val="00273A5F"/>
    <w:rsid w:val="00274127"/>
    <w:rsid w:val="00274528"/>
    <w:rsid w:val="0027457A"/>
    <w:rsid w:val="00274BF3"/>
    <w:rsid w:val="00274F58"/>
    <w:rsid w:val="00275647"/>
    <w:rsid w:val="00275EEF"/>
    <w:rsid w:val="0027650B"/>
    <w:rsid w:val="002769A7"/>
    <w:rsid w:val="002800CC"/>
    <w:rsid w:val="0028252D"/>
    <w:rsid w:val="002826FB"/>
    <w:rsid w:val="00282D25"/>
    <w:rsid w:val="0028395F"/>
    <w:rsid w:val="00283D2E"/>
    <w:rsid w:val="00283EA9"/>
    <w:rsid w:val="002847B6"/>
    <w:rsid w:val="00284975"/>
    <w:rsid w:val="00284A53"/>
    <w:rsid w:val="00285702"/>
    <w:rsid w:val="00285855"/>
    <w:rsid w:val="00285EA8"/>
    <w:rsid w:val="00286376"/>
    <w:rsid w:val="00286455"/>
    <w:rsid w:val="00287C8D"/>
    <w:rsid w:val="00290125"/>
    <w:rsid w:val="00290273"/>
    <w:rsid w:val="00290757"/>
    <w:rsid w:val="0029120C"/>
    <w:rsid w:val="00291292"/>
    <w:rsid w:val="00292097"/>
    <w:rsid w:val="002928B6"/>
    <w:rsid w:val="00292F51"/>
    <w:rsid w:val="0029311B"/>
    <w:rsid w:val="00293331"/>
    <w:rsid w:val="00294231"/>
    <w:rsid w:val="00294416"/>
    <w:rsid w:val="002948BE"/>
    <w:rsid w:val="00294B30"/>
    <w:rsid w:val="00294E57"/>
    <w:rsid w:val="00294FEF"/>
    <w:rsid w:val="00295457"/>
    <w:rsid w:val="00295483"/>
    <w:rsid w:val="00295853"/>
    <w:rsid w:val="00295C57"/>
    <w:rsid w:val="00295FF3"/>
    <w:rsid w:val="002961DA"/>
    <w:rsid w:val="0029708E"/>
    <w:rsid w:val="002971D4"/>
    <w:rsid w:val="002978DC"/>
    <w:rsid w:val="002A0181"/>
    <w:rsid w:val="002A01C9"/>
    <w:rsid w:val="002A0719"/>
    <w:rsid w:val="002A1105"/>
    <w:rsid w:val="002A273E"/>
    <w:rsid w:val="002A2DCD"/>
    <w:rsid w:val="002A3678"/>
    <w:rsid w:val="002A4598"/>
    <w:rsid w:val="002A48A8"/>
    <w:rsid w:val="002A5127"/>
    <w:rsid w:val="002A745A"/>
    <w:rsid w:val="002A7743"/>
    <w:rsid w:val="002A7857"/>
    <w:rsid w:val="002A7BDB"/>
    <w:rsid w:val="002B08D4"/>
    <w:rsid w:val="002B0ABD"/>
    <w:rsid w:val="002B0FFE"/>
    <w:rsid w:val="002B185E"/>
    <w:rsid w:val="002B2BFF"/>
    <w:rsid w:val="002B341E"/>
    <w:rsid w:val="002B3972"/>
    <w:rsid w:val="002B3FB2"/>
    <w:rsid w:val="002B400F"/>
    <w:rsid w:val="002B4CAD"/>
    <w:rsid w:val="002B52E7"/>
    <w:rsid w:val="002B5542"/>
    <w:rsid w:val="002B57EF"/>
    <w:rsid w:val="002B674D"/>
    <w:rsid w:val="002B6AEF"/>
    <w:rsid w:val="002B7C7C"/>
    <w:rsid w:val="002B7E9A"/>
    <w:rsid w:val="002C0613"/>
    <w:rsid w:val="002C07E0"/>
    <w:rsid w:val="002C0BF0"/>
    <w:rsid w:val="002C13DD"/>
    <w:rsid w:val="002C1807"/>
    <w:rsid w:val="002C287D"/>
    <w:rsid w:val="002C2EDF"/>
    <w:rsid w:val="002C316F"/>
    <w:rsid w:val="002C3B10"/>
    <w:rsid w:val="002C3E3E"/>
    <w:rsid w:val="002C5D2B"/>
    <w:rsid w:val="002C609F"/>
    <w:rsid w:val="002C6D44"/>
    <w:rsid w:val="002C7115"/>
    <w:rsid w:val="002D02A8"/>
    <w:rsid w:val="002D0371"/>
    <w:rsid w:val="002D1E29"/>
    <w:rsid w:val="002D21D9"/>
    <w:rsid w:val="002D2C10"/>
    <w:rsid w:val="002D2F7F"/>
    <w:rsid w:val="002D2FD0"/>
    <w:rsid w:val="002D3363"/>
    <w:rsid w:val="002D36A9"/>
    <w:rsid w:val="002D38FF"/>
    <w:rsid w:val="002D3ED0"/>
    <w:rsid w:val="002D5213"/>
    <w:rsid w:val="002D5D72"/>
    <w:rsid w:val="002D7576"/>
    <w:rsid w:val="002D7A6D"/>
    <w:rsid w:val="002D7B7A"/>
    <w:rsid w:val="002D7C5D"/>
    <w:rsid w:val="002D7E93"/>
    <w:rsid w:val="002D7F38"/>
    <w:rsid w:val="002D7FD4"/>
    <w:rsid w:val="002E03EE"/>
    <w:rsid w:val="002E04DB"/>
    <w:rsid w:val="002E0C01"/>
    <w:rsid w:val="002E0F46"/>
    <w:rsid w:val="002E1547"/>
    <w:rsid w:val="002E24A6"/>
    <w:rsid w:val="002E26A1"/>
    <w:rsid w:val="002E2E48"/>
    <w:rsid w:val="002E3361"/>
    <w:rsid w:val="002E36B3"/>
    <w:rsid w:val="002E5188"/>
    <w:rsid w:val="002E5B4F"/>
    <w:rsid w:val="002E5DE1"/>
    <w:rsid w:val="002E6D9D"/>
    <w:rsid w:val="002E7171"/>
    <w:rsid w:val="002F16B1"/>
    <w:rsid w:val="002F2A2D"/>
    <w:rsid w:val="002F2EB0"/>
    <w:rsid w:val="002F3275"/>
    <w:rsid w:val="002F3818"/>
    <w:rsid w:val="002F39EB"/>
    <w:rsid w:val="002F3AD6"/>
    <w:rsid w:val="002F3D61"/>
    <w:rsid w:val="002F4247"/>
    <w:rsid w:val="002F4306"/>
    <w:rsid w:val="002F458C"/>
    <w:rsid w:val="002F46F6"/>
    <w:rsid w:val="002F539F"/>
    <w:rsid w:val="002F66E3"/>
    <w:rsid w:val="002F6754"/>
    <w:rsid w:val="002F6B25"/>
    <w:rsid w:val="002F6B5C"/>
    <w:rsid w:val="002F7051"/>
    <w:rsid w:val="002F7909"/>
    <w:rsid w:val="00300435"/>
    <w:rsid w:val="003008C1"/>
    <w:rsid w:val="00301743"/>
    <w:rsid w:val="00301D18"/>
    <w:rsid w:val="00301E17"/>
    <w:rsid w:val="003025D5"/>
    <w:rsid w:val="003028E6"/>
    <w:rsid w:val="00302EC3"/>
    <w:rsid w:val="00302FBB"/>
    <w:rsid w:val="00303210"/>
    <w:rsid w:val="00304928"/>
    <w:rsid w:val="00304942"/>
    <w:rsid w:val="00305794"/>
    <w:rsid w:val="00305CBB"/>
    <w:rsid w:val="00306A33"/>
    <w:rsid w:val="00310E5C"/>
    <w:rsid w:val="00310F4B"/>
    <w:rsid w:val="003110C0"/>
    <w:rsid w:val="00311A4E"/>
    <w:rsid w:val="00311D84"/>
    <w:rsid w:val="00312EF1"/>
    <w:rsid w:val="00312F59"/>
    <w:rsid w:val="003130A4"/>
    <w:rsid w:val="003131A0"/>
    <w:rsid w:val="00313800"/>
    <w:rsid w:val="0031411A"/>
    <w:rsid w:val="00314632"/>
    <w:rsid w:val="00314B96"/>
    <w:rsid w:val="00314EB4"/>
    <w:rsid w:val="003156F9"/>
    <w:rsid w:val="00315B45"/>
    <w:rsid w:val="00315D13"/>
    <w:rsid w:val="0031600D"/>
    <w:rsid w:val="00316F4E"/>
    <w:rsid w:val="003175FD"/>
    <w:rsid w:val="00317AB2"/>
    <w:rsid w:val="00317E53"/>
    <w:rsid w:val="003207AD"/>
    <w:rsid w:val="00320E35"/>
    <w:rsid w:val="00321315"/>
    <w:rsid w:val="00321D29"/>
    <w:rsid w:val="00321DE8"/>
    <w:rsid w:val="00321F7C"/>
    <w:rsid w:val="00322455"/>
    <w:rsid w:val="00323908"/>
    <w:rsid w:val="003249D6"/>
    <w:rsid w:val="00324E40"/>
    <w:rsid w:val="00325090"/>
    <w:rsid w:val="00325845"/>
    <w:rsid w:val="0032591D"/>
    <w:rsid w:val="003264BB"/>
    <w:rsid w:val="00327113"/>
    <w:rsid w:val="003273C2"/>
    <w:rsid w:val="00332EB9"/>
    <w:rsid w:val="0033445E"/>
    <w:rsid w:val="0033486F"/>
    <w:rsid w:val="00334AA4"/>
    <w:rsid w:val="00335007"/>
    <w:rsid w:val="003350FC"/>
    <w:rsid w:val="00336D76"/>
    <w:rsid w:val="00336FED"/>
    <w:rsid w:val="0033789E"/>
    <w:rsid w:val="00337959"/>
    <w:rsid w:val="00337F71"/>
    <w:rsid w:val="003408EC"/>
    <w:rsid w:val="003416BA"/>
    <w:rsid w:val="00342399"/>
    <w:rsid w:val="0034320B"/>
    <w:rsid w:val="00343622"/>
    <w:rsid w:val="00343C21"/>
    <w:rsid w:val="00343D22"/>
    <w:rsid w:val="003443A7"/>
    <w:rsid w:val="003446C4"/>
    <w:rsid w:val="00344AE0"/>
    <w:rsid w:val="00344B27"/>
    <w:rsid w:val="00345278"/>
    <w:rsid w:val="0034547C"/>
    <w:rsid w:val="003468F7"/>
    <w:rsid w:val="00346DD8"/>
    <w:rsid w:val="0034729D"/>
    <w:rsid w:val="00347436"/>
    <w:rsid w:val="003477A2"/>
    <w:rsid w:val="00347912"/>
    <w:rsid w:val="00350103"/>
    <w:rsid w:val="00350855"/>
    <w:rsid w:val="00350C4A"/>
    <w:rsid w:val="00351D36"/>
    <w:rsid w:val="00352124"/>
    <w:rsid w:val="0035224F"/>
    <w:rsid w:val="00352878"/>
    <w:rsid w:val="00353129"/>
    <w:rsid w:val="003534FA"/>
    <w:rsid w:val="0035372A"/>
    <w:rsid w:val="00353E3E"/>
    <w:rsid w:val="00354548"/>
    <w:rsid w:val="0035642E"/>
    <w:rsid w:val="00357476"/>
    <w:rsid w:val="00357E3C"/>
    <w:rsid w:val="003605FC"/>
    <w:rsid w:val="0036086E"/>
    <w:rsid w:val="00360CA9"/>
    <w:rsid w:val="003611BD"/>
    <w:rsid w:val="003616FE"/>
    <w:rsid w:val="00361887"/>
    <w:rsid w:val="00361F82"/>
    <w:rsid w:val="00362353"/>
    <w:rsid w:val="00362D59"/>
    <w:rsid w:val="00363161"/>
    <w:rsid w:val="00363AB7"/>
    <w:rsid w:val="00364438"/>
    <w:rsid w:val="003645AF"/>
    <w:rsid w:val="0036460E"/>
    <w:rsid w:val="00365087"/>
    <w:rsid w:val="00365170"/>
    <w:rsid w:val="003653AC"/>
    <w:rsid w:val="00365B13"/>
    <w:rsid w:val="00365C5A"/>
    <w:rsid w:val="00365CA9"/>
    <w:rsid w:val="003705D0"/>
    <w:rsid w:val="003706D8"/>
    <w:rsid w:val="003708CA"/>
    <w:rsid w:val="003708EA"/>
    <w:rsid w:val="00370DA0"/>
    <w:rsid w:val="00371067"/>
    <w:rsid w:val="00371182"/>
    <w:rsid w:val="00371228"/>
    <w:rsid w:val="003713D1"/>
    <w:rsid w:val="00371C2C"/>
    <w:rsid w:val="00372901"/>
    <w:rsid w:val="00373095"/>
    <w:rsid w:val="003731CE"/>
    <w:rsid w:val="00373904"/>
    <w:rsid w:val="003739A3"/>
    <w:rsid w:val="00373BEC"/>
    <w:rsid w:val="00373DE0"/>
    <w:rsid w:val="003745F0"/>
    <w:rsid w:val="003747A4"/>
    <w:rsid w:val="00374C85"/>
    <w:rsid w:val="00374D20"/>
    <w:rsid w:val="00374FC8"/>
    <w:rsid w:val="00376AF9"/>
    <w:rsid w:val="00377DAB"/>
    <w:rsid w:val="00377ECC"/>
    <w:rsid w:val="00380FC9"/>
    <w:rsid w:val="0038167C"/>
    <w:rsid w:val="00382046"/>
    <w:rsid w:val="0038213E"/>
    <w:rsid w:val="00383B1E"/>
    <w:rsid w:val="00384180"/>
    <w:rsid w:val="0038445F"/>
    <w:rsid w:val="00384B9B"/>
    <w:rsid w:val="00385C3B"/>
    <w:rsid w:val="00385CDF"/>
    <w:rsid w:val="00385E78"/>
    <w:rsid w:val="003860D3"/>
    <w:rsid w:val="00386C7F"/>
    <w:rsid w:val="00386FA0"/>
    <w:rsid w:val="0038702D"/>
    <w:rsid w:val="003876BE"/>
    <w:rsid w:val="00387701"/>
    <w:rsid w:val="00387E1D"/>
    <w:rsid w:val="0039004E"/>
    <w:rsid w:val="00390E4C"/>
    <w:rsid w:val="00390EEE"/>
    <w:rsid w:val="00391011"/>
    <w:rsid w:val="00391617"/>
    <w:rsid w:val="003922A7"/>
    <w:rsid w:val="003925FB"/>
    <w:rsid w:val="00392C09"/>
    <w:rsid w:val="003931D0"/>
    <w:rsid w:val="0039447D"/>
    <w:rsid w:val="00394C6F"/>
    <w:rsid w:val="00395A1D"/>
    <w:rsid w:val="00395F33"/>
    <w:rsid w:val="003960C9"/>
    <w:rsid w:val="0039656C"/>
    <w:rsid w:val="00396AB2"/>
    <w:rsid w:val="00397363"/>
    <w:rsid w:val="00397A19"/>
    <w:rsid w:val="003A0624"/>
    <w:rsid w:val="003A0C5C"/>
    <w:rsid w:val="003A0FEC"/>
    <w:rsid w:val="003A2CC4"/>
    <w:rsid w:val="003A2F81"/>
    <w:rsid w:val="003A3159"/>
    <w:rsid w:val="003A3230"/>
    <w:rsid w:val="003A3252"/>
    <w:rsid w:val="003A39E1"/>
    <w:rsid w:val="003A3F35"/>
    <w:rsid w:val="003A4C01"/>
    <w:rsid w:val="003A53BB"/>
    <w:rsid w:val="003A54CC"/>
    <w:rsid w:val="003A623B"/>
    <w:rsid w:val="003A62DA"/>
    <w:rsid w:val="003A651F"/>
    <w:rsid w:val="003A6744"/>
    <w:rsid w:val="003A6BCA"/>
    <w:rsid w:val="003A7326"/>
    <w:rsid w:val="003A76DB"/>
    <w:rsid w:val="003A7D8E"/>
    <w:rsid w:val="003B0E31"/>
    <w:rsid w:val="003B0F19"/>
    <w:rsid w:val="003B16D2"/>
    <w:rsid w:val="003B200D"/>
    <w:rsid w:val="003B213E"/>
    <w:rsid w:val="003B22AE"/>
    <w:rsid w:val="003B2BAA"/>
    <w:rsid w:val="003B2C78"/>
    <w:rsid w:val="003B32DD"/>
    <w:rsid w:val="003B344D"/>
    <w:rsid w:val="003B39FB"/>
    <w:rsid w:val="003B4F93"/>
    <w:rsid w:val="003B539A"/>
    <w:rsid w:val="003B61BC"/>
    <w:rsid w:val="003B634F"/>
    <w:rsid w:val="003B6369"/>
    <w:rsid w:val="003B6DC0"/>
    <w:rsid w:val="003B7D1B"/>
    <w:rsid w:val="003C01B5"/>
    <w:rsid w:val="003C01D9"/>
    <w:rsid w:val="003C073B"/>
    <w:rsid w:val="003C0D50"/>
    <w:rsid w:val="003C1145"/>
    <w:rsid w:val="003C1A0F"/>
    <w:rsid w:val="003C2344"/>
    <w:rsid w:val="003C2786"/>
    <w:rsid w:val="003C29DF"/>
    <w:rsid w:val="003C2DE4"/>
    <w:rsid w:val="003C3441"/>
    <w:rsid w:val="003C3574"/>
    <w:rsid w:val="003C4907"/>
    <w:rsid w:val="003C4E69"/>
    <w:rsid w:val="003C5582"/>
    <w:rsid w:val="003C5CB9"/>
    <w:rsid w:val="003C61A1"/>
    <w:rsid w:val="003C64CC"/>
    <w:rsid w:val="003C76B8"/>
    <w:rsid w:val="003C77A4"/>
    <w:rsid w:val="003C7E21"/>
    <w:rsid w:val="003C7FD0"/>
    <w:rsid w:val="003D1703"/>
    <w:rsid w:val="003D2288"/>
    <w:rsid w:val="003D2955"/>
    <w:rsid w:val="003D2DB7"/>
    <w:rsid w:val="003D33D1"/>
    <w:rsid w:val="003D3A78"/>
    <w:rsid w:val="003D3B15"/>
    <w:rsid w:val="003D413A"/>
    <w:rsid w:val="003D5195"/>
    <w:rsid w:val="003D525C"/>
    <w:rsid w:val="003D52A5"/>
    <w:rsid w:val="003D55F9"/>
    <w:rsid w:val="003D5F2A"/>
    <w:rsid w:val="003D6815"/>
    <w:rsid w:val="003D6F67"/>
    <w:rsid w:val="003D7610"/>
    <w:rsid w:val="003D7EC5"/>
    <w:rsid w:val="003E0410"/>
    <w:rsid w:val="003E06DB"/>
    <w:rsid w:val="003E1C79"/>
    <w:rsid w:val="003E1F28"/>
    <w:rsid w:val="003E360C"/>
    <w:rsid w:val="003E3C86"/>
    <w:rsid w:val="003E3D56"/>
    <w:rsid w:val="003E4081"/>
    <w:rsid w:val="003E41E2"/>
    <w:rsid w:val="003E5667"/>
    <w:rsid w:val="003E6B86"/>
    <w:rsid w:val="003E6C24"/>
    <w:rsid w:val="003E70FD"/>
    <w:rsid w:val="003E7797"/>
    <w:rsid w:val="003E79DC"/>
    <w:rsid w:val="003F0289"/>
    <w:rsid w:val="003F06C8"/>
    <w:rsid w:val="003F0D08"/>
    <w:rsid w:val="003F11FF"/>
    <w:rsid w:val="003F1A8C"/>
    <w:rsid w:val="003F2D47"/>
    <w:rsid w:val="003F2FDF"/>
    <w:rsid w:val="003F30F7"/>
    <w:rsid w:val="003F3FD9"/>
    <w:rsid w:val="003F5C07"/>
    <w:rsid w:val="003F60B7"/>
    <w:rsid w:val="003F63F5"/>
    <w:rsid w:val="003F6A46"/>
    <w:rsid w:val="003F78CF"/>
    <w:rsid w:val="004006F8"/>
    <w:rsid w:val="00400867"/>
    <w:rsid w:val="00400991"/>
    <w:rsid w:val="00400E89"/>
    <w:rsid w:val="0040126E"/>
    <w:rsid w:val="00401B39"/>
    <w:rsid w:val="00401D5E"/>
    <w:rsid w:val="00402DA5"/>
    <w:rsid w:val="00402DED"/>
    <w:rsid w:val="00404AA6"/>
    <w:rsid w:val="00404D1F"/>
    <w:rsid w:val="00405698"/>
    <w:rsid w:val="00405D81"/>
    <w:rsid w:val="00406859"/>
    <w:rsid w:val="00406A82"/>
    <w:rsid w:val="00406C8E"/>
    <w:rsid w:val="00406D01"/>
    <w:rsid w:val="00406EAA"/>
    <w:rsid w:val="0040749A"/>
    <w:rsid w:val="004105BE"/>
    <w:rsid w:val="004106AE"/>
    <w:rsid w:val="00411140"/>
    <w:rsid w:val="00411415"/>
    <w:rsid w:val="0041188A"/>
    <w:rsid w:val="00412191"/>
    <w:rsid w:val="00414503"/>
    <w:rsid w:val="004147C0"/>
    <w:rsid w:val="00415A2C"/>
    <w:rsid w:val="00415B39"/>
    <w:rsid w:val="0041606F"/>
    <w:rsid w:val="0041629E"/>
    <w:rsid w:val="00416346"/>
    <w:rsid w:val="00417943"/>
    <w:rsid w:val="00417B0B"/>
    <w:rsid w:val="00420414"/>
    <w:rsid w:val="00420455"/>
    <w:rsid w:val="00420F6C"/>
    <w:rsid w:val="00421067"/>
    <w:rsid w:val="00421E85"/>
    <w:rsid w:val="00422CAD"/>
    <w:rsid w:val="004230CF"/>
    <w:rsid w:val="00423A1E"/>
    <w:rsid w:val="00423F4A"/>
    <w:rsid w:val="004240E9"/>
    <w:rsid w:val="00424347"/>
    <w:rsid w:val="0042452A"/>
    <w:rsid w:val="00424868"/>
    <w:rsid w:val="00424A01"/>
    <w:rsid w:val="00424BF6"/>
    <w:rsid w:val="00424C8F"/>
    <w:rsid w:val="00424EF4"/>
    <w:rsid w:val="0042509F"/>
    <w:rsid w:val="00425137"/>
    <w:rsid w:val="00425368"/>
    <w:rsid w:val="0042550F"/>
    <w:rsid w:val="0042576D"/>
    <w:rsid w:val="00425CAF"/>
    <w:rsid w:val="0042622F"/>
    <w:rsid w:val="004264E4"/>
    <w:rsid w:val="004264E6"/>
    <w:rsid w:val="00426839"/>
    <w:rsid w:val="00426F0F"/>
    <w:rsid w:val="00427910"/>
    <w:rsid w:val="004302B0"/>
    <w:rsid w:val="004302F4"/>
    <w:rsid w:val="0043083E"/>
    <w:rsid w:val="0043094B"/>
    <w:rsid w:val="00430F31"/>
    <w:rsid w:val="004314D2"/>
    <w:rsid w:val="00431E55"/>
    <w:rsid w:val="00433760"/>
    <w:rsid w:val="00433929"/>
    <w:rsid w:val="004350C2"/>
    <w:rsid w:val="004357DB"/>
    <w:rsid w:val="00435926"/>
    <w:rsid w:val="004365A9"/>
    <w:rsid w:val="00436951"/>
    <w:rsid w:val="0043735A"/>
    <w:rsid w:val="00437379"/>
    <w:rsid w:val="00437475"/>
    <w:rsid w:val="004379DD"/>
    <w:rsid w:val="00440812"/>
    <w:rsid w:val="00440B90"/>
    <w:rsid w:val="0044100B"/>
    <w:rsid w:val="00441E57"/>
    <w:rsid w:val="00442087"/>
    <w:rsid w:val="0044222B"/>
    <w:rsid w:val="004423B9"/>
    <w:rsid w:val="00442A45"/>
    <w:rsid w:val="00442BDC"/>
    <w:rsid w:val="00442D83"/>
    <w:rsid w:val="00442F09"/>
    <w:rsid w:val="004436E4"/>
    <w:rsid w:val="0044492F"/>
    <w:rsid w:val="00444ADE"/>
    <w:rsid w:val="00444DB1"/>
    <w:rsid w:val="00444E23"/>
    <w:rsid w:val="004464E9"/>
    <w:rsid w:val="00446519"/>
    <w:rsid w:val="00446734"/>
    <w:rsid w:val="004468C4"/>
    <w:rsid w:val="00447DA1"/>
    <w:rsid w:val="00447E47"/>
    <w:rsid w:val="004502EF"/>
    <w:rsid w:val="004503E5"/>
    <w:rsid w:val="004503EB"/>
    <w:rsid w:val="004505F7"/>
    <w:rsid w:val="00450964"/>
    <w:rsid w:val="00450E25"/>
    <w:rsid w:val="00450FE5"/>
    <w:rsid w:val="004512E7"/>
    <w:rsid w:val="00451EC5"/>
    <w:rsid w:val="00452463"/>
    <w:rsid w:val="00452C81"/>
    <w:rsid w:val="00452D80"/>
    <w:rsid w:val="0045405A"/>
    <w:rsid w:val="00455177"/>
    <w:rsid w:val="004556F0"/>
    <w:rsid w:val="00455BD3"/>
    <w:rsid w:val="00455E05"/>
    <w:rsid w:val="00455EA4"/>
    <w:rsid w:val="004560C4"/>
    <w:rsid w:val="00456D3A"/>
    <w:rsid w:val="00456F5E"/>
    <w:rsid w:val="0045796B"/>
    <w:rsid w:val="00457D92"/>
    <w:rsid w:val="00457E6B"/>
    <w:rsid w:val="00460369"/>
    <w:rsid w:val="004603BB"/>
    <w:rsid w:val="004606CE"/>
    <w:rsid w:val="0046073A"/>
    <w:rsid w:val="00460A94"/>
    <w:rsid w:val="00460B10"/>
    <w:rsid w:val="0046159D"/>
    <w:rsid w:val="00462995"/>
    <w:rsid w:val="0046370E"/>
    <w:rsid w:val="00463983"/>
    <w:rsid w:val="00463DA5"/>
    <w:rsid w:val="0046431C"/>
    <w:rsid w:val="0046488F"/>
    <w:rsid w:val="004656A2"/>
    <w:rsid w:val="004669FB"/>
    <w:rsid w:val="00466EA0"/>
    <w:rsid w:val="0046723B"/>
    <w:rsid w:val="00467461"/>
    <w:rsid w:val="004676E3"/>
    <w:rsid w:val="00467DD9"/>
    <w:rsid w:val="0047060E"/>
    <w:rsid w:val="0047082D"/>
    <w:rsid w:val="0047095A"/>
    <w:rsid w:val="004712B2"/>
    <w:rsid w:val="00471763"/>
    <w:rsid w:val="00472565"/>
    <w:rsid w:val="00472A82"/>
    <w:rsid w:val="00473143"/>
    <w:rsid w:val="004731BC"/>
    <w:rsid w:val="004733C2"/>
    <w:rsid w:val="00473888"/>
    <w:rsid w:val="00473A78"/>
    <w:rsid w:val="00473CD4"/>
    <w:rsid w:val="00473D20"/>
    <w:rsid w:val="00474506"/>
    <w:rsid w:val="004746A3"/>
    <w:rsid w:val="0047515F"/>
    <w:rsid w:val="00475A07"/>
    <w:rsid w:val="00476215"/>
    <w:rsid w:val="0047636E"/>
    <w:rsid w:val="00476F63"/>
    <w:rsid w:val="00477441"/>
    <w:rsid w:val="004779E2"/>
    <w:rsid w:val="00477A2E"/>
    <w:rsid w:val="00477A3D"/>
    <w:rsid w:val="00477E39"/>
    <w:rsid w:val="00481F44"/>
    <w:rsid w:val="0048223B"/>
    <w:rsid w:val="004826C4"/>
    <w:rsid w:val="004826E3"/>
    <w:rsid w:val="00482E5D"/>
    <w:rsid w:val="00483088"/>
    <w:rsid w:val="004834C5"/>
    <w:rsid w:val="004834F3"/>
    <w:rsid w:val="004838B3"/>
    <w:rsid w:val="00483B33"/>
    <w:rsid w:val="00484CFF"/>
    <w:rsid w:val="00484F40"/>
    <w:rsid w:val="00484F81"/>
    <w:rsid w:val="00485108"/>
    <w:rsid w:val="00485A83"/>
    <w:rsid w:val="004873EC"/>
    <w:rsid w:val="004877F0"/>
    <w:rsid w:val="0049005F"/>
    <w:rsid w:val="00490077"/>
    <w:rsid w:val="00490122"/>
    <w:rsid w:val="0049027A"/>
    <w:rsid w:val="004904DC"/>
    <w:rsid w:val="00490EDB"/>
    <w:rsid w:val="00491026"/>
    <w:rsid w:val="004918C5"/>
    <w:rsid w:val="0049190B"/>
    <w:rsid w:val="00491E45"/>
    <w:rsid w:val="00493335"/>
    <w:rsid w:val="00494430"/>
    <w:rsid w:val="00494D99"/>
    <w:rsid w:val="00494E98"/>
    <w:rsid w:val="00495422"/>
    <w:rsid w:val="0049653D"/>
    <w:rsid w:val="00496556"/>
    <w:rsid w:val="004965E2"/>
    <w:rsid w:val="004975ED"/>
    <w:rsid w:val="004976AE"/>
    <w:rsid w:val="00497818"/>
    <w:rsid w:val="00497DE4"/>
    <w:rsid w:val="00497FA2"/>
    <w:rsid w:val="004A0744"/>
    <w:rsid w:val="004A0B81"/>
    <w:rsid w:val="004A1903"/>
    <w:rsid w:val="004A1A85"/>
    <w:rsid w:val="004A246D"/>
    <w:rsid w:val="004A3A0E"/>
    <w:rsid w:val="004A3D30"/>
    <w:rsid w:val="004A4E77"/>
    <w:rsid w:val="004A4ED2"/>
    <w:rsid w:val="004A537E"/>
    <w:rsid w:val="004A55D4"/>
    <w:rsid w:val="004A5968"/>
    <w:rsid w:val="004A5D4F"/>
    <w:rsid w:val="004A669F"/>
    <w:rsid w:val="004A7033"/>
    <w:rsid w:val="004A7220"/>
    <w:rsid w:val="004A7930"/>
    <w:rsid w:val="004B0306"/>
    <w:rsid w:val="004B05D6"/>
    <w:rsid w:val="004B0DE0"/>
    <w:rsid w:val="004B10D6"/>
    <w:rsid w:val="004B1757"/>
    <w:rsid w:val="004B18A8"/>
    <w:rsid w:val="004B1B06"/>
    <w:rsid w:val="004B1E44"/>
    <w:rsid w:val="004B27C8"/>
    <w:rsid w:val="004B3341"/>
    <w:rsid w:val="004B33AE"/>
    <w:rsid w:val="004B3844"/>
    <w:rsid w:val="004B3D60"/>
    <w:rsid w:val="004B4FAB"/>
    <w:rsid w:val="004B51F4"/>
    <w:rsid w:val="004B5DB8"/>
    <w:rsid w:val="004B75FC"/>
    <w:rsid w:val="004C04DA"/>
    <w:rsid w:val="004C2256"/>
    <w:rsid w:val="004C250A"/>
    <w:rsid w:val="004C2E74"/>
    <w:rsid w:val="004C4391"/>
    <w:rsid w:val="004C514F"/>
    <w:rsid w:val="004C519E"/>
    <w:rsid w:val="004C5759"/>
    <w:rsid w:val="004C6242"/>
    <w:rsid w:val="004D0C9A"/>
    <w:rsid w:val="004D1325"/>
    <w:rsid w:val="004D1559"/>
    <w:rsid w:val="004D24FA"/>
    <w:rsid w:val="004D2B26"/>
    <w:rsid w:val="004D2D80"/>
    <w:rsid w:val="004D2F7D"/>
    <w:rsid w:val="004D411A"/>
    <w:rsid w:val="004D4542"/>
    <w:rsid w:val="004D46F2"/>
    <w:rsid w:val="004D4956"/>
    <w:rsid w:val="004D524F"/>
    <w:rsid w:val="004D59ED"/>
    <w:rsid w:val="004D5FE3"/>
    <w:rsid w:val="004D6634"/>
    <w:rsid w:val="004D6AE6"/>
    <w:rsid w:val="004D75D9"/>
    <w:rsid w:val="004D7963"/>
    <w:rsid w:val="004E095A"/>
    <w:rsid w:val="004E0D42"/>
    <w:rsid w:val="004E1058"/>
    <w:rsid w:val="004E1478"/>
    <w:rsid w:val="004E1C43"/>
    <w:rsid w:val="004E223B"/>
    <w:rsid w:val="004E2325"/>
    <w:rsid w:val="004E246F"/>
    <w:rsid w:val="004E2577"/>
    <w:rsid w:val="004E2DCA"/>
    <w:rsid w:val="004E3042"/>
    <w:rsid w:val="004E4877"/>
    <w:rsid w:val="004E49BE"/>
    <w:rsid w:val="004E4D79"/>
    <w:rsid w:val="004E528C"/>
    <w:rsid w:val="004E57D5"/>
    <w:rsid w:val="004E597D"/>
    <w:rsid w:val="004E59F2"/>
    <w:rsid w:val="004E5E01"/>
    <w:rsid w:val="004E605B"/>
    <w:rsid w:val="004E70F8"/>
    <w:rsid w:val="004E7114"/>
    <w:rsid w:val="004E7ED3"/>
    <w:rsid w:val="004F0F4D"/>
    <w:rsid w:val="004F15F8"/>
    <w:rsid w:val="004F1C0C"/>
    <w:rsid w:val="004F3A8D"/>
    <w:rsid w:val="004F3B8B"/>
    <w:rsid w:val="004F4B23"/>
    <w:rsid w:val="004F53D7"/>
    <w:rsid w:val="004F59E3"/>
    <w:rsid w:val="004F5F67"/>
    <w:rsid w:val="004F6F59"/>
    <w:rsid w:val="004F7588"/>
    <w:rsid w:val="004F7992"/>
    <w:rsid w:val="004F7F55"/>
    <w:rsid w:val="005002C9"/>
    <w:rsid w:val="005007D8"/>
    <w:rsid w:val="00500E6F"/>
    <w:rsid w:val="00501341"/>
    <w:rsid w:val="00501942"/>
    <w:rsid w:val="00501D07"/>
    <w:rsid w:val="00502330"/>
    <w:rsid w:val="005026BB"/>
    <w:rsid w:val="00502A4F"/>
    <w:rsid w:val="00503DA0"/>
    <w:rsid w:val="00504316"/>
    <w:rsid w:val="00504851"/>
    <w:rsid w:val="00505331"/>
    <w:rsid w:val="00505630"/>
    <w:rsid w:val="005072C5"/>
    <w:rsid w:val="005078C6"/>
    <w:rsid w:val="005079ED"/>
    <w:rsid w:val="00510549"/>
    <w:rsid w:val="0051079A"/>
    <w:rsid w:val="005107AB"/>
    <w:rsid w:val="00510B93"/>
    <w:rsid w:val="00510DE6"/>
    <w:rsid w:val="00510E7A"/>
    <w:rsid w:val="005114E7"/>
    <w:rsid w:val="00511BCB"/>
    <w:rsid w:val="00511C85"/>
    <w:rsid w:val="005124E6"/>
    <w:rsid w:val="00512A8C"/>
    <w:rsid w:val="00512ABA"/>
    <w:rsid w:val="00512FF9"/>
    <w:rsid w:val="00513232"/>
    <w:rsid w:val="00513252"/>
    <w:rsid w:val="0051379E"/>
    <w:rsid w:val="0051494D"/>
    <w:rsid w:val="00514E22"/>
    <w:rsid w:val="00515770"/>
    <w:rsid w:val="00515828"/>
    <w:rsid w:val="00515FB6"/>
    <w:rsid w:val="005168A5"/>
    <w:rsid w:val="00516D17"/>
    <w:rsid w:val="005171D0"/>
    <w:rsid w:val="005208AA"/>
    <w:rsid w:val="00520901"/>
    <w:rsid w:val="00520972"/>
    <w:rsid w:val="00520A95"/>
    <w:rsid w:val="005210BE"/>
    <w:rsid w:val="00521363"/>
    <w:rsid w:val="00523908"/>
    <w:rsid w:val="00525739"/>
    <w:rsid w:val="00525815"/>
    <w:rsid w:val="00525B27"/>
    <w:rsid w:val="00525D12"/>
    <w:rsid w:val="00525DC6"/>
    <w:rsid w:val="00526343"/>
    <w:rsid w:val="00526C30"/>
    <w:rsid w:val="00527463"/>
    <w:rsid w:val="005304CA"/>
    <w:rsid w:val="00530A6B"/>
    <w:rsid w:val="00531508"/>
    <w:rsid w:val="00531573"/>
    <w:rsid w:val="0053237A"/>
    <w:rsid w:val="0053292D"/>
    <w:rsid w:val="005331FA"/>
    <w:rsid w:val="00534009"/>
    <w:rsid w:val="005342B5"/>
    <w:rsid w:val="00534B17"/>
    <w:rsid w:val="00534B4C"/>
    <w:rsid w:val="00535444"/>
    <w:rsid w:val="005366C5"/>
    <w:rsid w:val="00536820"/>
    <w:rsid w:val="00536F86"/>
    <w:rsid w:val="00536FD9"/>
    <w:rsid w:val="0053793D"/>
    <w:rsid w:val="00537D5D"/>
    <w:rsid w:val="005416E6"/>
    <w:rsid w:val="005424DC"/>
    <w:rsid w:val="005425DC"/>
    <w:rsid w:val="00542A2F"/>
    <w:rsid w:val="0054356C"/>
    <w:rsid w:val="005443CE"/>
    <w:rsid w:val="00545F55"/>
    <w:rsid w:val="0054623A"/>
    <w:rsid w:val="005462B9"/>
    <w:rsid w:val="00546FE6"/>
    <w:rsid w:val="005470B1"/>
    <w:rsid w:val="005471F5"/>
    <w:rsid w:val="00547313"/>
    <w:rsid w:val="00547F7C"/>
    <w:rsid w:val="00550A52"/>
    <w:rsid w:val="00550E41"/>
    <w:rsid w:val="00550F3D"/>
    <w:rsid w:val="00551AD8"/>
    <w:rsid w:val="00552812"/>
    <w:rsid w:val="005538A3"/>
    <w:rsid w:val="00553B81"/>
    <w:rsid w:val="0055412E"/>
    <w:rsid w:val="005546F6"/>
    <w:rsid w:val="0055678D"/>
    <w:rsid w:val="00560443"/>
    <w:rsid w:val="00563B17"/>
    <w:rsid w:val="00563B5C"/>
    <w:rsid w:val="00563E30"/>
    <w:rsid w:val="00564596"/>
    <w:rsid w:val="005646F8"/>
    <w:rsid w:val="0056491F"/>
    <w:rsid w:val="0056493D"/>
    <w:rsid w:val="005649BB"/>
    <w:rsid w:val="00564B2C"/>
    <w:rsid w:val="00564D73"/>
    <w:rsid w:val="0056503F"/>
    <w:rsid w:val="00565535"/>
    <w:rsid w:val="00565F8F"/>
    <w:rsid w:val="00566582"/>
    <w:rsid w:val="005667D0"/>
    <w:rsid w:val="00566893"/>
    <w:rsid w:val="00566C8E"/>
    <w:rsid w:val="0056725A"/>
    <w:rsid w:val="005674E4"/>
    <w:rsid w:val="00567801"/>
    <w:rsid w:val="00567826"/>
    <w:rsid w:val="00567C3F"/>
    <w:rsid w:val="0056A2E1"/>
    <w:rsid w:val="0057013D"/>
    <w:rsid w:val="005703CC"/>
    <w:rsid w:val="00570677"/>
    <w:rsid w:val="0057070F"/>
    <w:rsid w:val="00570801"/>
    <w:rsid w:val="00570F51"/>
    <w:rsid w:val="005713B0"/>
    <w:rsid w:val="005713F6"/>
    <w:rsid w:val="00571E9D"/>
    <w:rsid w:val="00572075"/>
    <w:rsid w:val="00573BB8"/>
    <w:rsid w:val="00573EB3"/>
    <w:rsid w:val="0057484D"/>
    <w:rsid w:val="0057535A"/>
    <w:rsid w:val="00575C2E"/>
    <w:rsid w:val="0057704F"/>
    <w:rsid w:val="0057722A"/>
    <w:rsid w:val="005774C7"/>
    <w:rsid w:val="00577AF6"/>
    <w:rsid w:val="0057AAB9"/>
    <w:rsid w:val="005804B7"/>
    <w:rsid w:val="005804E4"/>
    <w:rsid w:val="00580E0A"/>
    <w:rsid w:val="00581B10"/>
    <w:rsid w:val="00581BC4"/>
    <w:rsid w:val="0058351A"/>
    <w:rsid w:val="005837A4"/>
    <w:rsid w:val="00583A15"/>
    <w:rsid w:val="00583EA3"/>
    <w:rsid w:val="00584D04"/>
    <w:rsid w:val="00585C2A"/>
    <w:rsid w:val="00585ED7"/>
    <w:rsid w:val="00585F47"/>
    <w:rsid w:val="005863F2"/>
    <w:rsid w:val="0058658A"/>
    <w:rsid w:val="00586657"/>
    <w:rsid w:val="00587149"/>
    <w:rsid w:val="0058721F"/>
    <w:rsid w:val="005873D7"/>
    <w:rsid w:val="005879A8"/>
    <w:rsid w:val="0059007D"/>
    <w:rsid w:val="00590A09"/>
    <w:rsid w:val="00590DB2"/>
    <w:rsid w:val="00591525"/>
    <w:rsid w:val="005919F7"/>
    <w:rsid w:val="00591EC0"/>
    <w:rsid w:val="005921F5"/>
    <w:rsid w:val="005925FF"/>
    <w:rsid w:val="00593665"/>
    <w:rsid w:val="0059383D"/>
    <w:rsid w:val="0059431E"/>
    <w:rsid w:val="00594A52"/>
    <w:rsid w:val="00594AEB"/>
    <w:rsid w:val="00594C56"/>
    <w:rsid w:val="00595193"/>
    <w:rsid w:val="00595436"/>
    <w:rsid w:val="005956E5"/>
    <w:rsid w:val="00595E9E"/>
    <w:rsid w:val="00597FB3"/>
    <w:rsid w:val="005A09E9"/>
    <w:rsid w:val="005A0E0D"/>
    <w:rsid w:val="005A0F40"/>
    <w:rsid w:val="005A1C93"/>
    <w:rsid w:val="005A24EC"/>
    <w:rsid w:val="005A272A"/>
    <w:rsid w:val="005A34CF"/>
    <w:rsid w:val="005A3DC7"/>
    <w:rsid w:val="005A40FA"/>
    <w:rsid w:val="005A521D"/>
    <w:rsid w:val="005A56D2"/>
    <w:rsid w:val="005A587F"/>
    <w:rsid w:val="005A64D5"/>
    <w:rsid w:val="005A6C71"/>
    <w:rsid w:val="005A7C0B"/>
    <w:rsid w:val="005B046E"/>
    <w:rsid w:val="005B047F"/>
    <w:rsid w:val="005B084C"/>
    <w:rsid w:val="005B0A21"/>
    <w:rsid w:val="005B1C73"/>
    <w:rsid w:val="005B1E8D"/>
    <w:rsid w:val="005B233E"/>
    <w:rsid w:val="005B2671"/>
    <w:rsid w:val="005B313D"/>
    <w:rsid w:val="005B345B"/>
    <w:rsid w:val="005B4368"/>
    <w:rsid w:val="005B458F"/>
    <w:rsid w:val="005B4E80"/>
    <w:rsid w:val="005B50F5"/>
    <w:rsid w:val="005B5DA9"/>
    <w:rsid w:val="005B6356"/>
    <w:rsid w:val="005B7F30"/>
    <w:rsid w:val="005C087D"/>
    <w:rsid w:val="005C1582"/>
    <w:rsid w:val="005C1E93"/>
    <w:rsid w:val="005C1F38"/>
    <w:rsid w:val="005C27A7"/>
    <w:rsid w:val="005C32C5"/>
    <w:rsid w:val="005C3EDA"/>
    <w:rsid w:val="005C4D43"/>
    <w:rsid w:val="005C5376"/>
    <w:rsid w:val="005C5C58"/>
    <w:rsid w:val="005C67E3"/>
    <w:rsid w:val="005C6E1D"/>
    <w:rsid w:val="005C756E"/>
    <w:rsid w:val="005D067F"/>
    <w:rsid w:val="005D0971"/>
    <w:rsid w:val="005D0C94"/>
    <w:rsid w:val="005D0CCA"/>
    <w:rsid w:val="005D0EC0"/>
    <w:rsid w:val="005D10E7"/>
    <w:rsid w:val="005D1F14"/>
    <w:rsid w:val="005D2497"/>
    <w:rsid w:val="005D25A3"/>
    <w:rsid w:val="005D2BA9"/>
    <w:rsid w:val="005D323B"/>
    <w:rsid w:val="005D3527"/>
    <w:rsid w:val="005D4CB2"/>
    <w:rsid w:val="005D51E5"/>
    <w:rsid w:val="005D549B"/>
    <w:rsid w:val="005D6199"/>
    <w:rsid w:val="005D6E11"/>
    <w:rsid w:val="005D721F"/>
    <w:rsid w:val="005D7E06"/>
    <w:rsid w:val="005E023A"/>
    <w:rsid w:val="005E070A"/>
    <w:rsid w:val="005E10F8"/>
    <w:rsid w:val="005E17E5"/>
    <w:rsid w:val="005E1CEC"/>
    <w:rsid w:val="005E2676"/>
    <w:rsid w:val="005E2E89"/>
    <w:rsid w:val="005E3288"/>
    <w:rsid w:val="005E374E"/>
    <w:rsid w:val="005E446A"/>
    <w:rsid w:val="005E4614"/>
    <w:rsid w:val="005E4D1D"/>
    <w:rsid w:val="005E5414"/>
    <w:rsid w:val="005E581E"/>
    <w:rsid w:val="005E63AE"/>
    <w:rsid w:val="005E63DB"/>
    <w:rsid w:val="005E686B"/>
    <w:rsid w:val="005E7F04"/>
    <w:rsid w:val="005E7FE6"/>
    <w:rsid w:val="005F05CF"/>
    <w:rsid w:val="005F07DA"/>
    <w:rsid w:val="005F0DE8"/>
    <w:rsid w:val="005F0FD0"/>
    <w:rsid w:val="005F10C7"/>
    <w:rsid w:val="005F1650"/>
    <w:rsid w:val="005F1761"/>
    <w:rsid w:val="005F1923"/>
    <w:rsid w:val="005F1935"/>
    <w:rsid w:val="005F1A0D"/>
    <w:rsid w:val="005F1BF4"/>
    <w:rsid w:val="005F2396"/>
    <w:rsid w:val="005F23C4"/>
    <w:rsid w:val="005F23D2"/>
    <w:rsid w:val="005F2E91"/>
    <w:rsid w:val="005F441E"/>
    <w:rsid w:val="005F477E"/>
    <w:rsid w:val="005F4E0C"/>
    <w:rsid w:val="005F5233"/>
    <w:rsid w:val="005F6849"/>
    <w:rsid w:val="005F6E4F"/>
    <w:rsid w:val="005F7582"/>
    <w:rsid w:val="005F7AF3"/>
    <w:rsid w:val="00600108"/>
    <w:rsid w:val="00600940"/>
    <w:rsid w:val="00601219"/>
    <w:rsid w:val="006016F4"/>
    <w:rsid w:val="00601B1B"/>
    <w:rsid w:val="00601EE9"/>
    <w:rsid w:val="00602669"/>
    <w:rsid w:val="006029A4"/>
    <w:rsid w:val="00602D0A"/>
    <w:rsid w:val="006032AE"/>
    <w:rsid w:val="00603373"/>
    <w:rsid w:val="00603CCA"/>
    <w:rsid w:val="00603D05"/>
    <w:rsid w:val="00603D8E"/>
    <w:rsid w:val="00603E8A"/>
    <w:rsid w:val="0060405D"/>
    <w:rsid w:val="0060452D"/>
    <w:rsid w:val="00604DD9"/>
    <w:rsid w:val="00604FB4"/>
    <w:rsid w:val="00605440"/>
    <w:rsid w:val="0060623B"/>
    <w:rsid w:val="006064B2"/>
    <w:rsid w:val="00606846"/>
    <w:rsid w:val="00606E29"/>
    <w:rsid w:val="00607470"/>
    <w:rsid w:val="00607EF1"/>
    <w:rsid w:val="00607F24"/>
    <w:rsid w:val="0061004F"/>
    <w:rsid w:val="00610332"/>
    <w:rsid w:val="006104D6"/>
    <w:rsid w:val="0061055A"/>
    <w:rsid w:val="006108BE"/>
    <w:rsid w:val="00610DE9"/>
    <w:rsid w:val="00611308"/>
    <w:rsid w:val="0061192C"/>
    <w:rsid w:val="00611CD5"/>
    <w:rsid w:val="006122A1"/>
    <w:rsid w:val="00612558"/>
    <w:rsid w:val="006129CB"/>
    <w:rsid w:val="00612D98"/>
    <w:rsid w:val="00614201"/>
    <w:rsid w:val="006145E0"/>
    <w:rsid w:val="00614771"/>
    <w:rsid w:val="00614793"/>
    <w:rsid w:val="00614A7F"/>
    <w:rsid w:val="00614D8E"/>
    <w:rsid w:val="00615050"/>
    <w:rsid w:val="00615324"/>
    <w:rsid w:val="0061628C"/>
    <w:rsid w:val="00616293"/>
    <w:rsid w:val="006179D0"/>
    <w:rsid w:val="00617F30"/>
    <w:rsid w:val="00620241"/>
    <w:rsid w:val="00620B99"/>
    <w:rsid w:val="00620FF4"/>
    <w:rsid w:val="006210FD"/>
    <w:rsid w:val="0062133D"/>
    <w:rsid w:val="00622F2B"/>
    <w:rsid w:val="00624F1F"/>
    <w:rsid w:val="0062519F"/>
    <w:rsid w:val="006268AF"/>
    <w:rsid w:val="006278AF"/>
    <w:rsid w:val="00630863"/>
    <w:rsid w:val="006308F9"/>
    <w:rsid w:val="00632C2C"/>
    <w:rsid w:val="006332C7"/>
    <w:rsid w:val="00633A43"/>
    <w:rsid w:val="00633F57"/>
    <w:rsid w:val="00634479"/>
    <w:rsid w:val="006347E6"/>
    <w:rsid w:val="00634C92"/>
    <w:rsid w:val="00634EB1"/>
    <w:rsid w:val="00634F50"/>
    <w:rsid w:val="0063637B"/>
    <w:rsid w:val="00636891"/>
    <w:rsid w:val="006400AA"/>
    <w:rsid w:val="006403A1"/>
    <w:rsid w:val="006405D0"/>
    <w:rsid w:val="00641949"/>
    <w:rsid w:val="00641F85"/>
    <w:rsid w:val="00642CA9"/>
    <w:rsid w:val="00643837"/>
    <w:rsid w:val="0064388C"/>
    <w:rsid w:val="00643F94"/>
    <w:rsid w:val="00644703"/>
    <w:rsid w:val="00644C13"/>
    <w:rsid w:val="006456AA"/>
    <w:rsid w:val="00645C10"/>
    <w:rsid w:val="006462F7"/>
    <w:rsid w:val="00646562"/>
    <w:rsid w:val="0064726A"/>
    <w:rsid w:val="00647539"/>
    <w:rsid w:val="0064777A"/>
    <w:rsid w:val="00647AFD"/>
    <w:rsid w:val="0065099F"/>
    <w:rsid w:val="00650EB6"/>
    <w:rsid w:val="006511C6"/>
    <w:rsid w:val="006520EF"/>
    <w:rsid w:val="00652B72"/>
    <w:rsid w:val="00652D82"/>
    <w:rsid w:val="00653D5D"/>
    <w:rsid w:val="00654FDC"/>
    <w:rsid w:val="00655E94"/>
    <w:rsid w:val="00655FDA"/>
    <w:rsid w:val="006562A1"/>
    <w:rsid w:val="00656723"/>
    <w:rsid w:val="006567F6"/>
    <w:rsid w:val="00656C50"/>
    <w:rsid w:val="00657340"/>
    <w:rsid w:val="00657542"/>
    <w:rsid w:val="0065782C"/>
    <w:rsid w:val="00660391"/>
    <w:rsid w:val="00660C24"/>
    <w:rsid w:val="00661530"/>
    <w:rsid w:val="00661E0D"/>
    <w:rsid w:val="0066225D"/>
    <w:rsid w:val="006622D2"/>
    <w:rsid w:val="006628EA"/>
    <w:rsid w:val="00662A97"/>
    <w:rsid w:val="00662DAC"/>
    <w:rsid w:val="0066332E"/>
    <w:rsid w:val="00663BD0"/>
    <w:rsid w:val="00663D8F"/>
    <w:rsid w:val="00664C85"/>
    <w:rsid w:val="00665BDA"/>
    <w:rsid w:val="00665C28"/>
    <w:rsid w:val="00666B10"/>
    <w:rsid w:val="00667826"/>
    <w:rsid w:val="006705DD"/>
    <w:rsid w:val="006716D8"/>
    <w:rsid w:val="0067210F"/>
    <w:rsid w:val="006727E0"/>
    <w:rsid w:val="00672DCF"/>
    <w:rsid w:val="0067454B"/>
    <w:rsid w:val="0067477D"/>
    <w:rsid w:val="00674802"/>
    <w:rsid w:val="00674BFB"/>
    <w:rsid w:val="00674E6A"/>
    <w:rsid w:val="00675F20"/>
    <w:rsid w:val="00676384"/>
    <w:rsid w:val="00676543"/>
    <w:rsid w:val="006768AD"/>
    <w:rsid w:val="00676955"/>
    <w:rsid w:val="006769AE"/>
    <w:rsid w:val="0067712F"/>
    <w:rsid w:val="00677630"/>
    <w:rsid w:val="00677906"/>
    <w:rsid w:val="00677EEB"/>
    <w:rsid w:val="00681127"/>
    <w:rsid w:val="006811D1"/>
    <w:rsid w:val="00681CFA"/>
    <w:rsid w:val="006823B8"/>
    <w:rsid w:val="00682C5C"/>
    <w:rsid w:val="00683057"/>
    <w:rsid w:val="00683491"/>
    <w:rsid w:val="00683543"/>
    <w:rsid w:val="00683F2F"/>
    <w:rsid w:val="0068449B"/>
    <w:rsid w:val="00684537"/>
    <w:rsid w:val="006845DC"/>
    <w:rsid w:val="00684722"/>
    <w:rsid w:val="00684B73"/>
    <w:rsid w:val="00684C7A"/>
    <w:rsid w:val="00685942"/>
    <w:rsid w:val="00685982"/>
    <w:rsid w:val="00685E3C"/>
    <w:rsid w:val="0068685A"/>
    <w:rsid w:val="00687B48"/>
    <w:rsid w:val="00687B4B"/>
    <w:rsid w:val="006902E1"/>
    <w:rsid w:val="006908E8"/>
    <w:rsid w:val="00690C15"/>
    <w:rsid w:val="00690C63"/>
    <w:rsid w:val="00691423"/>
    <w:rsid w:val="0069175F"/>
    <w:rsid w:val="0069209B"/>
    <w:rsid w:val="006926DF"/>
    <w:rsid w:val="00692E31"/>
    <w:rsid w:val="00692F5F"/>
    <w:rsid w:val="00694217"/>
    <w:rsid w:val="0069482E"/>
    <w:rsid w:val="00694ADC"/>
    <w:rsid w:val="00695407"/>
    <w:rsid w:val="006959BF"/>
    <w:rsid w:val="00697857"/>
    <w:rsid w:val="00697955"/>
    <w:rsid w:val="00697F32"/>
    <w:rsid w:val="006A01B3"/>
    <w:rsid w:val="006A0744"/>
    <w:rsid w:val="006A11F3"/>
    <w:rsid w:val="006A1512"/>
    <w:rsid w:val="006A1864"/>
    <w:rsid w:val="006A1A4A"/>
    <w:rsid w:val="006A1BD7"/>
    <w:rsid w:val="006A21F9"/>
    <w:rsid w:val="006A241E"/>
    <w:rsid w:val="006A3913"/>
    <w:rsid w:val="006A3F7B"/>
    <w:rsid w:val="006A481B"/>
    <w:rsid w:val="006A4D2F"/>
    <w:rsid w:val="006A658A"/>
    <w:rsid w:val="006A671F"/>
    <w:rsid w:val="006A67B6"/>
    <w:rsid w:val="006A69D1"/>
    <w:rsid w:val="006A6A53"/>
    <w:rsid w:val="006A6C21"/>
    <w:rsid w:val="006B1BF2"/>
    <w:rsid w:val="006B1E0D"/>
    <w:rsid w:val="006B5A1E"/>
    <w:rsid w:val="006B5C55"/>
    <w:rsid w:val="006B6008"/>
    <w:rsid w:val="006B73B0"/>
    <w:rsid w:val="006B78A0"/>
    <w:rsid w:val="006B79B3"/>
    <w:rsid w:val="006B7D51"/>
    <w:rsid w:val="006C0A0F"/>
    <w:rsid w:val="006C0D5D"/>
    <w:rsid w:val="006C119C"/>
    <w:rsid w:val="006C17A7"/>
    <w:rsid w:val="006C2AE5"/>
    <w:rsid w:val="006C2EED"/>
    <w:rsid w:val="006C31D0"/>
    <w:rsid w:val="006C3650"/>
    <w:rsid w:val="006C3D50"/>
    <w:rsid w:val="006C3E12"/>
    <w:rsid w:val="006C4032"/>
    <w:rsid w:val="006C49C2"/>
    <w:rsid w:val="006C4B79"/>
    <w:rsid w:val="006C4F65"/>
    <w:rsid w:val="006C50C7"/>
    <w:rsid w:val="006C5558"/>
    <w:rsid w:val="006C641C"/>
    <w:rsid w:val="006C69DE"/>
    <w:rsid w:val="006C76A7"/>
    <w:rsid w:val="006C7794"/>
    <w:rsid w:val="006C7FFC"/>
    <w:rsid w:val="006D0D49"/>
    <w:rsid w:val="006D0EE4"/>
    <w:rsid w:val="006D2E4D"/>
    <w:rsid w:val="006D2E90"/>
    <w:rsid w:val="006D307A"/>
    <w:rsid w:val="006D3163"/>
    <w:rsid w:val="006D3EAE"/>
    <w:rsid w:val="006D41A8"/>
    <w:rsid w:val="006D47D4"/>
    <w:rsid w:val="006D499D"/>
    <w:rsid w:val="006D4A39"/>
    <w:rsid w:val="006D55A1"/>
    <w:rsid w:val="006D5ECC"/>
    <w:rsid w:val="006D65A3"/>
    <w:rsid w:val="006D6767"/>
    <w:rsid w:val="006D6E4B"/>
    <w:rsid w:val="006D6F5D"/>
    <w:rsid w:val="006D7B57"/>
    <w:rsid w:val="006E10F3"/>
    <w:rsid w:val="006E11F7"/>
    <w:rsid w:val="006E122C"/>
    <w:rsid w:val="006E2055"/>
    <w:rsid w:val="006E2929"/>
    <w:rsid w:val="006E2B1C"/>
    <w:rsid w:val="006E3030"/>
    <w:rsid w:val="006E31BD"/>
    <w:rsid w:val="006E358D"/>
    <w:rsid w:val="006E3C65"/>
    <w:rsid w:val="006E3CD5"/>
    <w:rsid w:val="006E3EBE"/>
    <w:rsid w:val="006E4717"/>
    <w:rsid w:val="006E4961"/>
    <w:rsid w:val="006E505F"/>
    <w:rsid w:val="006E559E"/>
    <w:rsid w:val="006E5BC1"/>
    <w:rsid w:val="006E7061"/>
    <w:rsid w:val="006E7B6C"/>
    <w:rsid w:val="006E7BA4"/>
    <w:rsid w:val="006F0173"/>
    <w:rsid w:val="006F1886"/>
    <w:rsid w:val="006F2D77"/>
    <w:rsid w:val="006F2F64"/>
    <w:rsid w:val="006F30BF"/>
    <w:rsid w:val="006F3D08"/>
    <w:rsid w:val="006F433F"/>
    <w:rsid w:val="006F4426"/>
    <w:rsid w:val="006F66E9"/>
    <w:rsid w:val="006F67EB"/>
    <w:rsid w:val="006F6809"/>
    <w:rsid w:val="006F6DA1"/>
    <w:rsid w:val="006F743B"/>
    <w:rsid w:val="006F7AEB"/>
    <w:rsid w:val="00700284"/>
    <w:rsid w:val="007002DF"/>
    <w:rsid w:val="007002E5"/>
    <w:rsid w:val="00701DBF"/>
    <w:rsid w:val="00702343"/>
    <w:rsid w:val="0070249C"/>
    <w:rsid w:val="007027E4"/>
    <w:rsid w:val="0070390F"/>
    <w:rsid w:val="00704741"/>
    <w:rsid w:val="00704F53"/>
    <w:rsid w:val="007051E0"/>
    <w:rsid w:val="0070602C"/>
    <w:rsid w:val="00706F96"/>
    <w:rsid w:val="00707054"/>
    <w:rsid w:val="007075FC"/>
    <w:rsid w:val="0071061F"/>
    <w:rsid w:val="00710983"/>
    <w:rsid w:val="00710CA7"/>
    <w:rsid w:val="0071166C"/>
    <w:rsid w:val="0071224C"/>
    <w:rsid w:val="007127BD"/>
    <w:rsid w:val="0071294F"/>
    <w:rsid w:val="00712DF5"/>
    <w:rsid w:val="00713ABE"/>
    <w:rsid w:val="00713EF6"/>
    <w:rsid w:val="007140C9"/>
    <w:rsid w:val="007146AB"/>
    <w:rsid w:val="007149F7"/>
    <w:rsid w:val="00714B2D"/>
    <w:rsid w:val="00715C85"/>
    <w:rsid w:val="007161A8"/>
    <w:rsid w:val="00716A1B"/>
    <w:rsid w:val="00716A50"/>
    <w:rsid w:val="007177C8"/>
    <w:rsid w:val="00720A18"/>
    <w:rsid w:val="00721692"/>
    <w:rsid w:val="00721B3F"/>
    <w:rsid w:val="0072344D"/>
    <w:rsid w:val="007235CE"/>
    <w:rsid w:val="00723BB2"/>
    <w:rsid w:val="00723D9C"/>
    <w:rsid w:val="007246A3"/>
    <w:rsid w:val="00724C87"/>
    <w:rsid w:val="00724D17"/>
    <w:rsid w:val="00725978"/>
    <w:rsid w:val="00726760"/>
    <w:rsid w:val="00726B07"/>
    <w:rsid w:val="00726C8D"/>
    <w:rsid w:val="007275B5"/>
    <w:rsid w:val="00727827"/>
    <w:rsid w:val="00730740"/>
    <w:rsid w:val="00731FDA"/>
    <w:rsid w:val="007327A7"/>
    <w:rsid w:val="00732AF8"/>
    <w:rsid w:val="00732D43"/>
    <w:rsid w:val="00733117"/>
    <w:rsid w:val="007338C4"/>
    <w:rsid w:val="007345F0"/>
    <w:rsid w:val="007349EF"/>
    <w:rsid w:val="007367A0"/>
    <w:rsid w:val="0073691D"/>
    <w:rsid w:val="00736DA1"/>
    <w:rsid w:val="00736F62"/>
    <w:rsid w:val="007370AD"/>
    <w:rsid w:val="00737528"/>
    <w:rsid w:val="00737822"/>
    <w:rsid w:val="00737A6A"/>
    <w:rsid w:val="00737DA3"/>
    <w:rsid w:val="0074010F"/>
    <w:rsid w:val="0074029C"/>
    <w:rsid w:val="00740D1C"/>
    <w:rsid w:val="00741161"/>
    <w:rsid w:val="007414BF"/>
    <w:rsid w:val="0074166D"/>
    <w:rsid w:val="00742A1D"/>
    <w:rsid w:val="00742AFE"/>
    <w:rsid w:val="007435DE"/>
    <w:rsid w:val="00743A3B"/>
    <w:rsid w:val="00743E38"/>
    <w:rsid w:val="00743F79"/>
    <w:rsid w:val="007440F2"/>
    <w:rsid w:val="0074431E"/>
    <w:rsid w:val="00744659"/>
    <w:rsid w:val="00744B44"/>
    <w:rsid w:val="00744B87"/>
    <w:rsid w:val="00744BA4"/>
    <w:rsid w:val="00744F7C"/>
    <w:rsid w:val="00745AB4"/>
    <w:rsid w:val="00745C92"/>
    <w:rsid w:val="007464C3"/>
    <w:rsid w:val="00746523"/>
    <w:rsid w:val="0074697F"/>
    <w:rsid w:val="0074761F"/>
    <w:rsid w:val="00747A29"/>
    <w:rsid w:val="00747C1E"/>
    <w:rsid w:val="00747C2C"/>
    <w:rsid w:val="00750145"/>
    <w:rsid w:val="007504BB"/>
    <w:rsid w:val="00750DBD"/>
    <w:rsid w:val="007515BD"/>
    <w:rsid w:val="007517C2"/>
    <w:rsid w:val="007519DE"/>
    <w:rsid w:val="00751A20"/>
    <w:rsid w:val="00751A49"/>
    <w:rsid w:val="00752177"/>
    <w:rsid w:val="00753663"/>
    <w:rsid w:val="00753CBD"/>
    <w:rsid w:val="0075434E"/>
    <w:rsid w:val="007543BD"/>
    <w:rsid w:val="007544CF"/>
    <w:rsid w:val="0075501A"/>
    <w:rsid w:val="00756386"/>
    <w:rsid w:val="00756B6B"/>
    <w:rsid w:val="007570AA"/>
    <w:rsid w:val="00757790"/>
    <w:rsid w:val="00757B7A"/>
    <w:rsid w:val="00760EA0"/>
    <w:rsid w:val="00761069"/>
    <w:rsid w:val="007630C7"/>
    <w:rsid w:val="007639DD"/>
    <w:rsid w:val="00763A14"/>
    <w:rsid w:val="00763E24"/>
    <w:rsid w:val="00764C3E"/>
    <w:rsid w:val="0076574B"/>
    <w:rsid w:val="00766333"/>
    <w:rsid w:val="007667C8"/>
    <w:rsid w:val="00766920"/>
    <w:rsid w:val="00766B7A"/>
    <w:rsid w:val="00766EE2"/>
    <w:rsid w:val="00767B9D"/>
    <w:rsid w:val="00767DB0"/>
    <w:rsid w:val="007706FB"/>
    <w:rsid w:val="007718FF"/>
    <w:rsid w:val="0077227B"/>
    <w:rsid w:val="00773E57"/>
    <w:rsid w:val="007742FB"/>
    <w:rsid w:val="0077500B"/>
    <w:rsid w:val="00775024"/>
    <w:rsid w:val="00775120"/>
    <w:rsid w:val="00775672"/>
    <w:rsid w:val="007766FF"/>
    <w:rsid w:val="007769B3"/>
    <w:rsid w:val="00776F82"/>
    <w:rsid w:val="00777E75"/>
    <w:rsid w:val="00780305"/>
    <w:rsid w:val="0078035B"/>
    <w:rsid w:val="0078037F"/>
    <w:rsid w:val="0078070B"/>
    <w:rsid w:val="0078098F"/>
    <w:rsid w:val="00781031"/>
    <w:rsid w:val="00781544"/>
    <w:rsid w:val="0078156B"/>
    <w:rsid w:val="00781A32"/>
    <w:rsid w:val="00781BA1"/>
    <w:rsid w:val="00781CDF"/>
    <w:rsid w:val="00781ED2"/>
    <w:rsid w:val="00781FBE"/>
    <w:rsid w:val="00782D2F"/>
    <w:rsid w:val="00782FF6"/>
    <w:rsid w:val="0078395F"/>
    <w:rsid w:val="00783BDB"/>
    <w:rsid w:val="00784040"/>
    <w:rsid w:val="007843A7"/>
    <w:rsid w:val="00784476"/>
    <w:rsid w:val="00784595"/>
    <w:rsid w:val="0078562A"/>
    <w:rsid w:val="00785BE1"/>
    <w:rsid w:val="007863F8"/>
    <w:rsid w:val="0078663D"/>
    <w:rsid w:val="00786A44"/>
    <w:rsid w:val="007871D0"/>
    <w:rsid w:val="007879E6"/>
    <w:rsid w:val="00787A4B"/>
    <w:rsid w:val="007901FE"/>
    <w:rsid w:val="00790599"/>
    <w:rsid w:val="0079093A"/>
    <w:rsid w:val="00791428"/>
    <w:rsid w:val="00791632"/>
    <w:rsid w:val="00792049"/>
    <w:rsid w:val="00792129"/>
    <w:rsid w:val="0079232B"/>
    <w:rsid w:val="007923D2"/>
    <w:rsid w:val="00792F95"/>
    <w:rsid w:val="0079397D"/>
    <w:rsid w:val="00793DC6"/>
    <w:rsid w:val="00793DEF"/>
    <w:rsid w:val="00794264"/>
    <w:rsid w:val="00794748"/>
    <w:rsid w:val="00794C65"/>
    <w:rsid w:val="00795E65"/>
    <w:rsid w:val="007963B3"/>
    <w:rsid w:val="0079661A"/>
    <w:rsid w:val="007968C2"/>
    <w:rsid w:val="007968C9"/>
    <w:rsid w:val="0079702D"/>
    <w:rsid w:val="00797B33"/>
    <w:rsid w:val="00797C71"/>
    <w:rsid w:val="00797F04"/>
    <w:rsid w:val="007A00B2"/>
    <w:rsid w:val="007A046A"/>
    <w:rsid w:val="007A07FA"/>
    <w:rsid w:val="007A090F"/>
    <w:rsid w:val="007A0972"/>
    <w:rsid w:val="007A09A2"/>
    <w:rsid w:val="007A0AC3"/>
    <w:rsid w:val="007A0DF8"/>
    <w:rsid w:val="007A18A1"/>
    <w:rsid w:val="007A18D5"/>
    <w:rsid w:val="007A1AF8"/>
    <w:rsid w:val="007A2099"/>
    <w:rsid w:val="007A21C5"/>
    <w:rsid w:val="007A29B0"/>
    <w:rsid w:val="007A2BF2"/>
    <w:rsid w:val="007A2E47"/>
    <w:rsid w:val="007A3B6A"/>
    <w:rsid w:val="007A3FD8"/>
    <w:rsid w:val="007A474A"/>
    <w:rsid w:val="007A4853"/>
    <w:rsid w:val="007A5319"/>
    <w:rsid w:val="007A553E"/>
    <w:rsid w:val="007A571B"/>
    <w:rsid w:val="007A5B2A"/>
    <w:rsid w:val="007A6B66"/>
    <w:rsid w:val="007A6E9D"/>
    <w:rsid w:val="007A6F4F"/>
    <w:rsid w:val="007A6FF8"/>
    <w:rsid w:val="007A7622"/>
    <w:rsid w:val="007A7949"/>
    <w:rsid w:val="007B04C6"/>
    <w:rsid w:val="007B078C"/>
    <w:rsid w:val="007B0F21"/>
    <w:rsid w:val="007B231A"/>
    <w:rsid w:val="007B2588"/>
    <w:rsid w:val="007B275D"/>
    <w:rsid w:val="007B2E5F"/>
    <w:rsid w:val="007B30EC"/>
    <w:rsid w:val="007B32E1"/>
    <w:rsid w:val="007B424C"/>
    <w:rsid w:val="007B43C9"/>
    <w:rsid w:val="007B43F1"/>
    <w:rsid w:val="007B545E"/>
    <w:rsid w:val="007B5A2F"/>
    <w:rsid w:val="007B620D"/>
    <w:rsid w:val="007B6283"/>
    <w:rsid w:val="007B6889"/>
    <w:rsid w:val="007B6CF7"/>
    <w:rsid w:val="007B74D8"/>
    <w:rsid w:val="007B7692"/>
    <w:rsid w:val="007B76F2"/>
    <w:rsid w:val="007B7C94"/>
    <w:rsid w:val="007C11B0"/>
    <w:rsid w:val="007C12F1"/>
    <w:rsid w:val="007C1F77"/>
    <w:rsid w:val="007C2AC7"/>
    <w:rsid w:val="007C2D3D"/>
    <w:rsid w:val="007C34E6"/>
    <w:rsid w:val="007C35F3"/>
    <w:rsid w:val="007C3946"/>
    <w:rsid w:val="007C3A27"/>
    <w:rsid w:val="007C42FB"/>
    <w:rsid w:val="007C4B6E"/>
    <w:rsid w:val="007C56FD"/>
    <w:rsid w:val="007C5730"/>
    <w:rsid w:val="007C59D8"/>
    <w:rsid w:val="007C6115"/>
    <w:rsid w:val="007C7067"/>
    <w:rsid w:val="007C7649"/>
    <w:rsid w:val="007C7737"/>
    <w:rsid w:val="007C7CC1"/>
    <w:rsid w:val="007D05D3"/>
    <w:rsid w:val="007D0C02"/>
    <w:rsid w:val="007D10B9"/>
    <w:rsid w:val="007D28C4"/>
    <w:rsid w:val="007D3D3F"/>
    <w:rsid w:val="007D3DDB"/>
    <w:rsid w:val="007D4255"/>
    <w:rsid w:val="007D4257"/>
    <w:rsid w:val="007D43B1"/>
    <w:rsid w:val="007D4604"/>
    <w:rsid w:val="007D51A4"/>
    <w:rsid w:val="007D5DB1"/>
    <w:rsid w:val="007D72BA"/>
    <w:rsid w:val="007D73EC"/>
    <w:rsid w:val="007D76BF"/>
    <w:rsid w:val="007E06B7"/>
    <w:rsid w:val="007E0907"/>
    <w:rsid w:val="007E0F91"/>
    <w:rsid w:val="007E180A"/>
    <w:rsid w:val="007E2235"/>
    <w:rsid w:val="007E38B6"/>
    <w:rsid w:val="007E3F0F"/>
    <w:rsid w:val="007E495B"/>
    <w:rsid w:val="007E5995"/>
    <w:rsid w:val="007E5B44"/>
    <w:rsid w:val="007E5C54"/>
    <w:rsid w:val="007E5DD7"/>
    <w:rsid w:val="007E64BB"/>
    <w:rsid w:val="007E7540"/>
    <w:rsid w:val="007E7EE6"/>
    <w:rsid w:val="007F013C"/>
    <w:rsid w:val="007F04A2"/>
    <w:rsid w:val="007F0630"/>
    <w:rsid w:val="007F0E2D"/>
    <w:rsid w:val="007F13E7"/>
    <w:rsid w:val="007F1585"/>
    <w:rsid w:val="007F1FB5"/>
    <w:rsid w:val="007F25AC"/>
    <w:rsid w:val="007F271E"/>
    <w:rsid w:val="007F3090"/>
    <w:rsid w:val="007F3323"/>
    <w:rsid w:val="007F37C4"/>
    <w:rsid w:val="007F39A0"/>
    <w:rsid w:val="007F48C6"/>
    <w:rsid w:val="007F4B3F"/>
    <w:rsid w:val="007F542C"/>
    <w:rsid w:val="007F56A1"/>
    <w:rsid w:val="007F58DD"/>
    <w:rsid w:val="007F5CBF"/>
    <w:rsid w:val="007F5EAD"/>
    <w:rsid w:val="007F62D8"/>
    <w:rsid w:val="007F64FE"/>
    <w:rsid w:val="007F65E2"/>
    <w:rsid w:val="007F6E86"/>
    <w:rsid w:val="007F7326"/>
    <w:rsid w:val="0080021E"/>
    <w:rsid w:val="00800787"/>
    <w:rsid w:val="00800922"/>
    <w:rsid w:val="00800A5F"/>
    <w:rsid w:val="00801183"/>
    <w:rsid w:val="00801AD3"/>
    <w:rsid w:val="0080294D"/>
    <w:rsid w:val="00802FD1"/>
    <w:rsid w:val="00803A62"/>
    <w:rsid w:val="008047E4"/>
    <w:rsid w:val="00804D87"/>
    <w:rsid w:val="00804DD9"/>
    <w:rsid w:val="00805108"/>
    <w:rsid w:val="00805165"/>
    <w:rsid w:val="008052E9"/>
    <w:rsid w:val="008055CB"/>
    <w:rsid w:val="00805755"/>
    <w:rsid w:val="00805EA0"/>
    <w:rsid w:val="00805F14"/>
    <w:rsid w:val="00806037"/>
    <w:rsid w:val="0081052A"/>
    <w:rsid w:val="00810A0E"/>
    <w:rsid w:val="00810DAE"/>
    <w:rsid w:val="00811567"/>
    <w:rsid w:val="00811E64"/>
    <w:rsid w:val="008120C4"/>
    <w:rsid w:val="008130C9"/>
    <w:rsid w:val="00813435"/>
    <w:rsid w:val="00813549"/>
    <w:rsid w:val="00813632"/>
    <w:rsid w:val="00814655"/>
    <w:rsid w:val="00814974"/>
    <w:rsid w:val="00815044"/>
    <w:rsid w:val="00815B9D"/>
    <w:rsid w:val="008165BE"/>
    <w:rsid w:val="0081661D"/>
    <w:rsid w:val="00817899"/>
    <w:rsid w:val="00817E1B"/>
    <w:rsid w:val="008210D0"/>
    <w:rsid w:val="008211C8"/>
    <w:rsid w:val="00821DE2"/>
    <w:rsid w:val="00822302"/>
    <w:rsid w:val="008225C0"/>
    <w:rsid w:val="00822A04"/>
    <w:rsid w:val="00822C9B"/>
    <w:rsid w:val="008230AC"/>
    <w:rsid w:val="008235DB"/>
    <w:rsid w:val="00823829"/>
    <w:rsid w:val="00823D55"/>
    <w:rsid w:val="00824317"/>
    <w:rsid w:val="008248CC"/>
    <w:rsid w:val="00824CB0"/>
    <w:rsid w:val="00824CF7"/>
    <w:rsid w:val="00825DC7"/>
    <w:rsid w:val="00825F26"/>
    <w:rsid w:val="00826122"/>
    <w:rsid w:val="0082622A"/>
    <w:rsid w:val="008262D1"/>
    <w:rsid w:val="00826A38"/>
    <w:rsid w:val="00827327"/>
    <w:rsid w:val="00827592"/>
    <w:rsid w:val="00827923"/>
    <w:rsid w:val="00827B88"/>
    <w:rsid w:val="00830652"/>
    <w:rsid w:val="00830AD7"/>
    <w:rsid w:val="008310C6"/>
    <w:rsid w:val="0083128A"/>
    <w:rsid w:val="00831452"/>
    <w:rsid w:val="00831CF2"/>
    <w:rsid w:val="00833C65"/>
    <w:rsid w:val="00833ECE"/>
    <w:rsid w:val="0083421C"/>
    <w:rsid w:val="00834E7D"/>
    <w:rsid w:val="00835F44"/>
    <w:rsid w:val="008361D4"/>
    <w:rsid w:val="00836339"/>
    <w:rsid w:val="00836E9C"/>
    <w:rsid w:val="0083759B"/>
    <w:rsid w:val="00840E59"/>
    <w:rsid w:val="0084138B"/>
    <w:rsid w:val="0084138F"/>
    <w:rsid w:val="00841760"/>
    <w:rsid w:val="00841B20"/>
    <w:rsid w:val="0084224B"/>
    <w:rsid w:val="0084246D"/>
    <w:rsid w:val="00842DAD"/>
    <w:rsid w:val="00843057"/>
    <w:rsid w:val="00843566"/>
    <w:rsid w:val="00843807"/>
    <w:rsid w:val="00843A66"/>
    <w:rsid w:val="0084428C"/>
    <w:rsid w:val="008446E5"/>
    <w:rsid w:val="008447CE"/>
    <w:rsid w:val="00844F66"/>
    <w:rsid w:val="00844FF8"/>
    <w:rsid w:val="00846A9A"/>
    <w:rsid w:val="00847014"/>
    <w:rsid w:val="008471C5"/>
    <w:rsid w:val="00850D37"/>
    <w:rsid w:val="00850E20"/>
    <w:rsid w:val="00850EE0"/>
    <w:rsid w:val="0085146F"/>
    <w:rsid w:val="008517DA"/>
    <w:rsid w:val="00851BBA"/>
    <w:rsid w:val="008527AF"/>
    <w:rsid w:val="0085293F"/>
    <w:rsid w:val="00852AA7"/>
    <w:rsid w:val="00852B5C"/>
    <w:rsid w:val="00852CEA"/>
    <w:rsid w:val="00853411"/>
    <w:rsid w:val="008542FA"/>
    <w:rsid w:val="00854413"/>
    <w:rsid w:val="008551F7"/>
    <w:rsid w:val="0085545F"/>
    <w:rsid w:val="00855F15"/>
    <w:rsid w:val="00856173"/>
    <w:rsid w:val="008567ED"/>
    <w:rsid w:val="00856CBA"/>
    <w:rsid w:val="00856E9E"/>
    <w:rsid w:val="00856EDF"/>
    <w:rsid w:val="008570E3"/>
    <w:rsid w:val="00857D10"/>
    <w:rsid w:val="00857D1C"/>
    <w:rsid w:val="00860063"/>
    <w:rsid w:val="008602D3"/>
    <w:rsid w:val="00860466"/>
    <w:rsid w:val="00860850"/>
    <w:rsid w:val="00860919"/>
    <w:rsid w:val="008610F2"/>
    <w:rsid w:val="00862A27"/>
    <w:rsid w:val="00862C3E"/>
    <w:rsid w:val="00862D0D"/>
    <w:rsid w:val="008630E2"/>
    <w:rsid w:val="00864007"/>
    <w:rsid w:val="0086426E"/>
    <w:rsid w:val="008658A5"/>
    <w:rsid w:val="008661B0"/>
    <w:rsid w:val="008663E1"/>
    <w:rsid w:val="008664F6"/>
    <w:rsid w:val="0086697E"/>
    <w:rsid w:val="0086778C"/>
    <w:rsid w:val="008703B8"/>
    <w:rsid w:val="008704CA"/>
    <w:rsid w:val="0087070E"/>
    <w:rsid w:val="00870849"/>
    <w:rsid w:val="00870A29"/>
    <w:rsid w:val="008713DD"/>
    <w:rsid w:val="00871586"/>
    <w:rsid w:val="008715AB"/>
    <w:rsid w:val="0087176F"/>
    <w:rsid w:val="00871E3B"/>
    <w:rsid w:val="00872691"/>
    <w:rsid w:val="008734CE"/>
    <w:rsid w:val="0087393F"/>
    <w:rsid w:val="00873AD2"/>
    <w:rsid w:val="00873F55"/>
    <w:rsid w:val="00874729"/>
    <w:rsid w:val="00874838"/>
    <w:rsid w:val="0087539D"/>
    <w:rsid w:val="008753EC"/>
    <w:rsid w:val="00875823"/>
    <w:rsid w:val="00876357"/>
    <w:rsid w:val="008768C4"/>
    <w:rsid w:val="00876FDF"/>
    <w:rsid w:val="008773AF"/>
    <w:rsid w:val="00877538"/>
    <w:rsid w:val="00877A0B"/>
    <w:rsid w:val="00881A78"/>
    <w:rsid w:val="008828E6"/>
    <w:rsid w:val="00882FF6"/>
    <w:rsid w:val="00883916"/>
    <w:rsid w:val="008839F4"/>
    <w:rsid w:val="00883A0A"/>
    <w:rsid w:val="008850CB"/>
    <w:rsid w:val="008864C7"/>
    <w:rsid w:val="008876EC"/>
    <w:rsid w:val="008878AD"/>
    <w:rsid w:val="00887EF4"/>
    <w:rsid w:val="0089028F"/>
    <w:rsid w:val="008915ED"/>
    <w:rsid w:val="008916B9"/>
    <w:rsid w:val="00891AE5"/>
    <w:rsid w:val="008921AE"/>
    <w:rsid w:val="00893079"/>
    <w:rsid w:val="008939E5"/>
    <w:rsid w:val="008941E1"/>
    <w:rsid w:val="008949DA"/>
    <w:rsid w:val="00894B17"/>
    <w:rsid w:val="00894C03"/>
    <w:rsid w:val="0089622B"/>
    <w:rsid w:val="0089633D"/>
    <w:rsid w:val="00897D6C"/>
    <w:rsid w:val="00897DAA"/>
    <w:rsid w:val="00897FF6"/>
    <w:rsid w:val="008A001D"/>
    <w:rsid w:val="008A0225"/>
    <w:rsid w:val="008A059E"/>
    <w:rsid w:val="008A0677"/>
    <w:rsid w:val="008A1172"/>
    <w:rsid w:val="008A167A"/>
    <w:rsid w:val="008A192C"/>
    <w:rsid w:val="008A1DB6"/>
    <w:rsid w:val="008A24CF"/>
    <w:rsid w:val="008A290C"/>
    <w:rsid w:val="008A35C3"/>
    <w:rsid w:val="008A3D9E"/>
    <w:rsid w:val="008A431F"/>
    <w:rsid w:val="008A4336"/>
    <w:rsid w:val="008A46A4"/>
    <w:rsid w:val="008A4D05"/>
    <w:rsid w:val="008A51EE"/>
    <w:rsid w:val="008A6008"/>
    <w:rsid w:val="008A6AF4"/>
    <w:rsid w:val="008A6ED4"/>
    <w:rsid w:val="008A72F4"/>
    <w:rsid w:val="008A7FE1"/>
    <w:rsid w:val="008B0A4D"/>
    <w:rsid w:val="008B126B"/>
    <w:rsid w:val="008B135F"/>
    <w:rsid w:val="008B1710"/>
    <w:rsid w:val="008B1848"/>
    <w:rsid w:val="008B1D05"/>
    <w:rsid w:val="008B31AB"/>
    <w:rsid w:val="008B329F"/>
    <w:rsid w:val="008B37DF"/>
    <w:rsid w:val="008B3CBD"/>
    <w:rsid w:val="008B420D"/>
    <w:rsid w:val="008B421E"/>
    <w:rsid w:val="008B4617"/>
    <w:rsid w:val="008B4AA0"/>
    <w:rsid w:val="008B576E"/>
    <w:rsid w:val="008B578A"/>
    <w:rsid w:val="008B6281"/>
    <w:rsid w:val="008B64DB"/>
    <w:rsid w:val="008B6809"/>
    <w:rsid w:val="008B6D7C"/>
    <w:rsid w:val="008B7245"/>
    <w:rsid w:val="008B7470"/>
    <w:rsid w:val="008B79B9"/>
    <w:rsid w:val="008B7FD1"/>
    <w:rsid w:val="008C0561"/>
    <w:rsid w:val="008C07F8"/>
    <w:rsid w:val="008C09B2"/>
    <w:rsid w:val="008C0D45"/>
    <w:rsid w:val="008C1030"/>
    <w:rsid w:val="008C105D"/>
    <w:rsid w:val="008C147D"/>
    <w:rsid w:val="008C152B"/>
    <w:rsid w:val="008C229B"/>
    <w:rsid w:val="008C2461"/>
    <w:rsid w:val="008C26B5"/>
    <w:rsid w:val="008C49AC"/>
    <w:rsid w:val="008C6384"/>
    <w:rsid w:val="008C640D"/>
    <w:rsid w:val="008C66F5"/>
    <w:rsid w:val="008C68F6"/>
    <w:rsid w:val="008C72AE"/>
    <w:rsid w:val="008C7509"/>
    <w:rsid w:val="008C7964"/>
    <w:rsid w:val="008D0800"/>
    <w:rsid w:val="008D1260"/>
    <w:rsid w:val="008D1279"/>
    <w:rsid w:val="008D1A63"/>
    <w:rsid w:val="008D2DD8"/>
    <w:rsid w:val="008D2F52"/>
    <w:rsid w:val="008D3CE0"/>
    <w:rsid w:val="008D450F"/>
    <w:rsid w:val="008D55B9"/>
    <w:rsid w:val="008D575B"/>
    <w:rsid w:val="008D59B6"/>
    <w:rsid w:val="008D5D9F"/>
    <w:rsid w:val="008D5FC9"/>
    <w:rsid w:val="008D666A"/>
    <w:rsid w:val="008D672C"/>
    <w:rsid w:val="008D692E"/>
    <w:rsid w:val="008D70BF"/>
    <w:rsid w:val="008D7670"/>
    <w:rsid w:val="008D7734"/>
    <w:rsid w:val="008E0CBB"/>
    <w:rsid w:val="008E12D0"/>
    <w:rsid w:val="008E13BA"/>
    <w:rsid w:val="008E142E"/>
    <w:rsid w:val="008E21AB"/>
    <w:rsid w:val="008E2361"/>
    <w:rsid w:val="008E2989"/>
    <w:rsid w:val="008E30E2"/>
    <w:rsid w:val="008E3772"/>
    <w:rsid w:val="008E3A44"/>
    <w:rsid w:val="008E3D9B"/>
    <w:rsid w:val="008E5C57"/>
    <w:rsid w:val="008E62CD"/>
    <w:rsid w:val="008E64CA"/>
    <w:rsid w:val="008E6612"/>
    <w:rsid w:val="008E7107"/>
    <w:rsid w:val="008E7862"/>
    <w:rsid w:val="008E78FF"/>
    <w:rsid w:val="008E7FCC"/>
    <w:rsid w:val="008F0523"/>
    <w:rsid w:val="008F16EF"/>
    <w:rsid w:val="008F19BA"/>
    <w:rsid w:val="008F1C46"/>
    <w:rsid w:val="008F25BC"/>
    <w:rsid w:val="008F3CAA"/>
    <w:rsid w:val="008F509F"/>
    <w:rsid w:val="008F6060"/>
    <w:rsid w:val="008F659E"/>
    <w:rsid w:val="008F6FAB"/>
    <w:rsid w:val="008F705A"/>
    <w:rsid w:val="008F71DD"/>
    <w:rsid w:val="008F722D"/>
    <w:rsid w:val="008F7416"/>
    <w:rsid w:val="009002EE"/>
    <w:rsid w:val="0090041B"/>
    <w:rsid w:val="00901071"/>
    <w:rsid w:val="00901B22"/>
    <w:rsid w:val="00902855"/>
    <w:rsid w:val="00902A6B"/>
    <w:rsid w:val="00902AD9"/>
    <w:rsid w:val="00902D93"/>
    <w:rsid w:val="0090389E"/>
    <w:rsid w:val="009038E5"/>
    <w:rsid w:val="009039C6"/>
    <w:rsid w:val="00903F70"/>
    <w:rsid w:val="0090520E"/>
    <w:rsid w:val="00905702"/>
    <w:rsid w:val="00905862"/>
    <w:rsid w:val="00905E2D"/>
    <w:rsid w:val="00907397"/>
    <w:rsid w:val="00907FED"/>
    <w:rsid w:val="00910203"/>
    <w:rsid w:val="009102E2"/>
    <w:rsid w:val="00910E25"/>
    <w:rsid w:val="009113EC"/>
    <w:rsid w:val="0091299A"/>
    <w:rsid w:val="009130E6"/>
    <w:rsid w:val="009131CB"/>
    <w:rsid w:val="00914602"/>
    <w:rsid w:val="00914C4A"/>
    <w:rsid w:val="00914CDD"/>
    <w:rsid w:val="00915D42"/>
    <w:rsid w:val="00915DBD"/>
    <w:rsid w:val="00916164"/>
    <w:rsid w:val="00916B2E"/>
    <w:rsid w:val="00916E63"/>
    <w:rsid w:val="00917650"/>
    <w:rsid w:val="009206E6"/>
    <w:rsid w:val="0092077A"/>
    <w:rsid w:val="00920F46"/>
    <w:rsid w:val="00922A27"/>
    <w:rsid w:val="00922E4E"/>
    <w:rsid w:val="00923905"/>
    <w:rsid w:val="00923953"/>
    <w:rsid w:val="00923F68"/>
    <w:rsid w:val="0092434F"/>
    <w:rsid w:val="00924A9B"/>
    <w:rsid w:val="009250A0"/>
    <w:rsid w:val="00925582"/>
    <w:rsid w:val="00925C57"/>
    <w:rsid w:val="0092610F"/>
    <w:rsid w:val="00926233"/>
    <w:rsid w:val="00926343"/>
    <w:rsid w:val="00926E77"/>
    <w:rsid w:val="00927780"/>
    <w:rsid w:val="009300AC"/>
    <w:rsid w:val="00930142"/>
    <w:rsid w:val="0093033E"/>
    <w:rsid w:val="0093102B"/>
    <w:rsid w:val="00931131"/>
    <w:rsid w:val="009330D8"/>
    <w:rsid w:val="009333F6"/>
    <w:rsid w:val="009334DF"/>
    <w:rsid w:val="00934123"/>
    <w:rsid w:val="009349A2"/>
    <w:rsid w:val="009363C2"/>
    <w:rsid w:val="009364FA"/>
    <w:rsid w:val="009368A5"/>
    <w:rsid w:val="00936ACE"/>
    <w:rsid w:val="00936B15"/>
    <w:rsid w:val="009379A2"/>
    <w:rsid w:val="009406C3"/>
    <w:rsid w:val="0094074E"/>
    <w:rsid w:val="00940893"/>
    <w:rsid w:val="009417C6"/>
    <w:rsid w:val="00941983"/>
    <w:rsid w:val="00942837"/>
    <w:rsid w:val="00942916"/>
    <w:rsid w:val="00942F34"/>
    <w:rsid w:val="00942FB1"/>
    <w:rsid w:val="00943C09"/>
    <w:rsid w:val="0094416C"/>
    <w:rsid w:val="009441F4"/>
    <w:rsid w:val="00944639"/>
    <w:rsid w:val="00944664"/>
    <w:rsid w:val="00944F35"/>
    <w:rsid w:val="00945117"/>
    <w:rsid w:val="00946AFF"/>
    <w:rsid w:val="00946C0C"/>
    <w:rsid w:val="00946EFD"/>
    <w:rsid w:val="00947048"/>
    <w:rsid w:val="00950042"/>
    <w:rsid w:val="0095067E"/>
    <w:rsid w:val="009516B5"/>
    <w:rsid w:val="00951762"/>
    <w:rsid w:val="009519C4"/>
    <w:rsid w:val="009520C4"/>
    <w:rsid w:val="0095245A"/>
    <w:rsid w:val="00953552"/>
    <w:rsid w:val="009535F5"/>
    <w:rsid w:val="009536B9"/>
    <w:rsid w:val="009544F0"/>
    <w:rsid w:val="009558DB"/>
    <w:rsid w:val="00955F56"/>
    <w:rsid w:val="009573A1"/>
    <w:rsid w:val="0095748A"/>
    <w:rsid w:val="009575CC"/>
    <w:rsid w:val="00957FA2"/>
    <w:rsid w:val="009613FC"/>
    <w:rsid w:val="00961820"/>
    <w:rsid w:val="009630A9"/>
    <w:rsid w:val="009633E9"/>
    <w:rsid w:val="00963BB4"/>
    <w:rsid w:val="00963D27"/>
    <w:rsid w:val="0096497D"/>
    <w:rsid w:val="00965187"/>
    <w:rsid w:val="009654BC"/>
    <w:rsid w:val="00965F79"/>
    <w:rsid w:val="00967085"/>
    <w:rsid w:val="00967494"/>
    <w:rsid w:val="00967C86"/>
    <w:rsid w:val="00970582"/>
    <w:rsid w:val="00970EF9"/>
    <w:rsid w:val="009714F5"/>
    <w:rsid w:val="00972321"/>
    <w:rsid w:val="009726A9"/>
    <w:rsid w:val="00972AAE"/>
    <w:rsid w:val="00973133"/>
    <w:rsid w:val="009737A3"/>
    <w:rsid w:val="00973F8C"/>
    <w:rsid w:val="00974234"/>
    <w:rsid w:val="00974B48"/>
    <w:rsid w:val="009754F3"/>
    <w:rsid w:val="009757C8"/>
    <w:rsid w:val="00976A82"/>
    <w:rsid w:val="00977371"/>
    <w:rsid w:val="00977E65"/>
    <w:rsid w:val="00980535"/>
    <w:rsid w:val="00981144"/>
    <w:rsid w:val="00981661"/>
    <w:rsid w:val="0098188E"/>
    <w:rsid w:val="009825CC"/>
    <w:rsid w:val="00982D15"/>
    <w:rsid w:val="00982FE7"/>
    <w:rsid w:val="00983409"/>
    <w:rsid w:val="00983755"/>
    <w:rsid w:val="00983B73"/>
    <w:rsid w:val="00983FAA"/>
    <w:rsid w:val="0098424F"/>
    <w:rsid w:val="00984769"/>
    <w:rsid w:val="009847B2"/>
    <w:rsid w:val="00984952"/>
    <w:rsid w:val="009855D8"/>
    <w:rsid w:val="00985888"/>
    <w:rsid w:val="00985A10"/>
    <w:rsid w:val="00986283"/>
    <w:rsid w:val="00986725"/>
    <w:rsid w:val="0098688A"/>
    <w:rsid w:val="00986F70"/>
    <w:rsid w:val="00986FDC"/>
    <w:rsid w:val="009870C5"/>
    <w:rsid w:val="00987F50"/>
    <w:rsid w:val="009906D0"/>
    <w:rsid w:val="0099159B"/>
    <w:rsid w:val="00991652"/>
    <w:rsid w:val="00992CAC"/>
    <w:rsid w:val="009931B0"/>
    <w:rsid w:val="00993A0E"/>
    <w:rsid w:val="00993BE2"/>
    <w:rsid w:val="00993D13"/>
    <w:rsid w:val="00993EBE"/>
    <w:rsid w:val="009956C5"/>
    <w:rsid w:val="009958AC"/>
    <w:rsid w:val="00995B31"/>
    <w:rsid w:val="00996289"/>
    <w:rsid w:val="009965D1"/>
    <w:rsid w:val="0099697D"/>
    <w:rsid w:val="009971F8"/>
    <w:rsid w:val="009976DD"/>
    <w:rsid w:val="00997DD0"/>
    <w:rsid w:val="00997E05"/>
    <w:rsid w:val="009A0996"/>
    <w:rsid w:val="009A1836"/>
    <w:rsid w:val="009A1A97"/>
    <w:rsid w:val="009A1B89"/>
    <w:rsid w:val="009A1EA9"/>
    <w:rsid w:val="009A2476"/>
    <w:rsid w:val="009A2588"/>
    <w:rsid w:val="009A3A44"/>
    <w:rsid w:val="009A3C72"/>
    <w:rsid w:val="009A3F1F"/>
    <w:rsid w:val="009A3F9B"/>
    <w:rsid w:val="009A42E7"/>
    <w:rsid w:val="009A4597"/>
    <w:rsid w:val="009A4637"/>
    <w:rsid w:val="009A5313"/>
    <w:rsid w:val="009A63B9"/>
    <w:rsid w:val="009A65D8"/>
    <w:rsid w:val="009A6972"/>
    <w:rsid w:val="009A6E82"/>
    <w:rsid w:val="009A6FEE"/>
    <w:rsid w:val="009A7742"/>
    <w:rsid w:val="009A7C33"/>
    <w:rsid w:val="009A7D20"/>
    <w:rsid w:val="009B04F7"/>
    <w:rsid w:val="009B05BF"/>
    <w:rsid w:val="009B1121"/>
    <w:rsid w:val="009B1571"/>
    <w:rsid w:val="009B1830"/>
    <w:rsid w:val="009B19A0"/>
    <w:rsid w:val="009B1AAD"/>
    <w:rsid w:val="009B1CCF"/>
    <w:rsid w:val="009B244A"/>
    <w:rsid w:val="009B328F"/>
    <w:rsid w:val="009B32DE"/>
    <w:rsid w:val="009B3DC0"/>
    <w:rsid w:val="009B486B"/>
    <w:rsid w:val="009B618F"/>
    <w:rsid w:val="009B619F"/>
    <w:rsid w:val="009B6A7B"/>
    <w:rsid w:val="009B7184"/>
    <w:rsid w:val="009B7276"/>
    <w:rsid w:val="009B7EA2"/>
    <w:rsid w:val="009C0237"/>
    <w:rsid w:val="009C13F3"/>
    <w:rsid w:val="009C2566"/>
    <w:rsid w:val="009C28C0"/>
    <w:rsid w:val="009C32E0"/>
    <w:rsid w:val="009C3C30"/>
    <w:rsid w:val="009C453A"/>
    <w:rsid w:val="009C5C02"/>
    <w:rsid w:val="009C5CAF"/>
    <w:rsid w:val="009C5D55"/>
    <w:rsid w:val="009C6280"/>
    <w:rsid w:val="009C6648"/>
    <w:rsid w:val="009C6AD7"/>
    <w:rsid w:val="009C6B9F"/>
    <w:rsid w:val="009C722C"/>
    <w:rsid w:val="009C728A"/>
    <w:rsid w:val="009C73DC"/>
    <w:rsid w:val="009C79E1"/>
    <w:rsid w:val="009D0797"/>
    <w:rsid w:val="009D0E92"/>
    <w:rsid w:val="009D1A57"/>
    <w:rsid w:val="009D1BC2"/>
    <w:rsid w:val="009D1FD4"/>
    <w:rsid w:val="009D273F"/>
    <w:rsid w:val="009D27C7"/>
    <w:rsid w:val="009D2834"/>
    <w:rsid w:val="009D2F14"/>
    <w:rsid w:val="009D30C3"/>
    <w:rsid w:val="009D3A86"/>
    <w:rsid w:val="009D3D1E"/>
    <w:rsid w:val="009D3E21"/>
    <w:rsid w:val="009D4074"/>
    <w:rsid w:val="009D4247"/>
    <w:rsid w:val="009D4AAE"/>
    <w:rsid w:val="009D4C47"/>
    <w:rsid w:val="009D4FCE"/>
    <w:rsid w:val="009D52F6"/>
    <w:rsid w:val="009D632E"/>
    <w:rsid w:val="009D7046"/>
    <w:rsid w:val="009D71F5"/>
    <w:rsid w:val="009E0532"/>
    <w:rsid w:val="009E1408"/>
    <w:rsid w:val="009E145B"/>
    <w:rsid w:val="009E1FF8"/>
    <w:rsid w:val="009E2C18"/>
    <w:rsid w:val="009E3089"/>
    <w:rsid w:val="009E3350"/>
    <w:rsid w:val="009E38C8"/>
    <w:rsid w:val="009E3981"/>
    <w:rsid w:val="009E4943"/>
    <w:rsid w:val="009E51F4"/>
    <w:rsid w:val="009E5B34"/>
    <w:rsid w:val="009E6786"/>
    <w:rsid w:val="009E6E97"/>
    <w:rsid w:val="009E7682"/>
    <w:rsid w:val="009E7925"/>
    <w:rsid w:val="009E7B9D"/>
    <w:rsid w:val="009F0C6D"/>
    <w:rsid w:val="009F1AE6"/>
    <w:rsid w:val="009F24A2"/>
    <w:rsid w:val="009F2570"/>
    <w:rsid w:val="009F2AED"/>
    <w:rsid w:val="009F2C01"/>
    <w:rsid w:val="009F301A"/>
    <w:rsid w:val="009F3FA7"/>
    <w:rsid w:val="009F4670"/>
    <w:rsid w:val="009F47C1"/>
    <w:rsid w:val="009F4C43"/>
    <w:rsid w:val="009F4C90"/>
    <w:rsid w:val="009F4FF2"/>
    <w:rsid w:val="009F67FD"/>
    <w:rsid w:val="009F75B0"/>
    <w:rsid w:val="009F76E8"/>
    <w:rsid w:val="00A0099D"/>
    <w:rsid w:val="00A011B4"/>
    <w:rsid w:val="00A012DC"/>
    <w:rsid w:val="00A01478"/>
    <w:rsid w:val="00A0186F"/>
    <w:rsid w:val="00A0340B"/>
    <w:rsid w:val="00A039F4"/>
    <w:rsid w:val="00A052AB"/>
    <w:rsid w:val="00A053F8"/>
    <w:rsid w:val="00A05C70"/>
    <w:rsid w:val="00A05FA0"/>
    <w:rsid w:val="00A061A7"/>
    <w:rsid w:val="00A06E5C"/>
    <w:rsid w:val="00A10BB0"/>
    <w:rsid w:val="00A11B74"/>
    <w:rsid w:val="00A129E2"/>
    <w:rsid w:val="00A12CAA"/>
    <w:rsid w:val="00A1353F"/>
    <w:rsid w:val="00A14095"/>
    <w:rsid w:val="00A14826"/>
    <w:rsid w:val="00A16B69"/>
    <w:rsid w:val="00A17588"/>
    <w:rsid w:val="00A178EF"/>
    <w:rsid w:val="00A179B1"/>
    <w:rsid w:val="00A17A7A"/>
    <w:rsid w:val="00A17D34"/>
    <w:rsid w:val="00A17D42"/>
    <w:rsid w:val="00A20BA0"/>
    <w:rsid w:val="00A21514"/>
    <w:rsid w:val="00A225F6"/>
    <w:rsid w:val="00A22663"/>
    <w:rsid w:val="00A22FD2"/>
    <w:rsid w:val="00A23438"/>
    <w:rsid w:val="00A234CB"/>
    <w:rsid w:val="00A23AC1"/>
    <w:rsid w:val="00A245D2"/>
    <w:rsid w:val="00A2475A"/>
    <w:rsid w:val="00A24C0D"/>
    <w:rsid w:val="00A24FB0"/>
    <w:rsid w:val="00A259F6"/>
    <w:rsid w:val="00A25A11"/>
    <w:rsid w:val="00A2658F"/>
    <w:rsid w:val="00A27067"/>
    <w:rsid w:val="00A27398"/>
    <w:rsid w:val="00A27FFD"/>
    <w:rsid w:val="00A301B1"/>
    <w:rsid w:val="00A30328"/>
    <w:rsid w:val="00A30616"/>
    <w:rsid w:val="00A3142E"/>
    <w:rsid w:val="00A3151B"/>
    <w:rsid w:val="00A3172F"/>
    <w:rsid w:val="00A319EB"/>
    <w:rsid w:val="00A31BAE"/>
    <w:rsid w:val="00A32567"/>
    <w:rsid w:val="00A33053"/>
    <w:rsid w:val="00A3414B"/>
    <w:rsid w:val="00A3522F"/>
    <w:rsid w:val="00A35346"/>
    <w:rsid w:val="00A3582E"/>
    <w:rsid w:val="00A35A37"/>
    <w:rsid w:val="00A36CEC"/>
    <w:rsid w:val="00A37064"/>
    <w:rsid w:val="00A37086"/>
    <w:rsid w:val="00A375EA"/>
    <w:rsid w:val="00A40891"/>
    <w:rsid w:val="00A4089F"/>
    <w:rsid w:val="00A41619"/>
    <w:rsid w:val="00A416A2"/>
    <w:rsid w:val="00A41770"/>
    <w:rsid w:val="00A42294"/>
    <w:rsid w:val="00A42555"/>
    <w:rsid w:val="00A42A05"/>
    <w:rsid w:val="00A42F7C"/>
    <w:rsid w:val="00A4424A"/>
    <w:rsid w:val="00A45043"/>
    <w:rsid w:val="00A45460"/>
    <w:rsid w:val="00A45F33"/>
    <w:rsid w:val="00A46595"/>
    <w:rsid w:val="00A471DF"/>
    <w:rsid w:val="00A505C5"/>
    <w:rsid w:val="00A50958"/>
    <w:rsid w:val="00A50999"/>
    <w:rsid w:val="00A513D0"/>
    <w:rsid w:val="00A514D4"/>
    <w:rsid w:val="00A52B93"/>
    <w:rsid w:val="00A539B2"/>
    <w:rsid w:val="00A548BB"/>
    <w:rsid w:val="00A55FB8"/>
    <w:rsid w:val="00A56160"/>
    <w:rsid w:val="00A567B4"/>
    <w:rsid w:val="00A57107"/>
    <w:rsid w:val="00A577BC"/>
    <w:rsid w:val="00A60D1A"/>
    <w:rsid w:val="00A61D5C"/>
    <w:rsid w:val="00A624EF"/>
    <w:rsid w:val="00A6370A"/>
    <w:rsid w:val="00A644B5"/>
    <w:rsid w:val="00A6482B"/>
    <w:rsid w:val="00A64940"/>
    <w:rsid w:val="00A64B55"/>
    <w:rsid w:val="00A64E0C"/>
    <w:rsid w:val="00A65399"/>
    <w:rsid w:val="00A65B99"/>
    <w:rsid w:val="00A65ED8"/>
    <w:rsid w:val="00A660B1"/>
    <w:rsid w:val="00A663DB"/>
    <w:rsid w:val="00A6746F"/>
    <w:rsid w:val="00A70328"/>
    <w:rsid w:val="00A70525"/>
    <w:rsid w:val="00A728A6"/>
    <w:rsid w:val="00A732A8"/>
    <w:rsid w:val="00A7384B"/>
    <w:rsid w:val="00A7434A"/>
    <w:rsid w:val="00A743C3"/>
    <w:rsid w:val="00A74E82"/>
    <w:rsid w:val="00A75C2E"/>
    <w:rsid w:val="00A76766"/>
    <w:rsid w:val="00A76F01"/>
    <w:rsid w:val="00A770C7"/>
    <w:rsid w:val="00A7723B"/>
    <w:rsid w:val="00A7734A"/>
    <w:rsid w:val="00A77546"/>
    <w:rsid w:val="00A779A9"/>
    <w:rsid w:val="00A77A25"/>
    <w:rsid w:val="00A77C74"/>
    <w:rsid w:val="00A77CE4"/>
    <w:rsid w:val="00A77F5F"/>
    <w:rsid w:val="00A8136A"/>
    <w:rsid w:val="00A81963"/>
    <w:rsid w:val="00A81B7B"/>
    <w:rsid w:val="00A81F77"/>
    <w:rsid w:val="00A81FA7"/>
    <w:rsid w:val="00A824D8"/>
    <w:rsid w:val="00A82AF9"/>
    <w:rsid w:val="00A82CAA"/>
    <w:rsid w:val="00A8305E"/>
    <w:rsid w:val="00A8365D"/>
    <w:rsid w:val="00A84043"/>
    <w:rsid w:val="00A844E4"/>
    <w:rsid w:val="00A84AAD"/>
    <w:rsid w:val="00A852F3"/>
    <w:rsid w:val="00A85E27"/>
    <w:rsid w:val="00A85F34"/>
    <w:rsid w:val="00A866DC"/>
    <w:rsid w:val="00A87095"/>
    <w:rsid w:val="00A90707"/>
    <w:rsid w:val="00A90CA2"/>
    <w:rsid w:val="00A90D91"/>
    <w:rsid w:val="00A91023"/>
    <w:rsid w:val="00A910CF"/>
    <w:rsid w:val="00A91191"/>
    <w:rsid w:val="00A9202A"/>
    <w:rsid w:val="00A9233C"/>
    <w:rsid w:val="00A92577"/>
    <w:rsid w:val="00A92A0B"/>
    <w:rsid w:val="00A930E6"/>
    <w:rsid w:val="00A93384"/>
    <w:rsid w:val="00A93D3A"/>
    <w:rsid w:val="00A93D67"/>
    <w:rsid w:val="00A93E8F"/>
    <w:rsid w:val="00A93EBC"/>
    <w:rsid w:val="00A93F8A"/>
    <w:rsid w:val="00A93FF8"/>
    <w:rsid w:val="00A945AD"/>
    <w:rsid w:val="00A94ABD"/>
    <w:rsid w:val="00A9547B"/>
    <w:rsid w:val="00A957D5"/>
    <w:rsid w:val="00A95C29"/>
    <w:rsid w:val="00A961E7"/>
    <w:rsid w:val="00A9637E"/>
    <w:rsid w:val="00A9658F"/>
    <w:rsid w:val="00A97ABE"/>
    <w:rsid w:val="00AA0203"/>
    <w:rsid w:val="00AA093F"/>
    <w:rsid w:val="00AA1258"/>
    <w:rsid w:val="00AA170F"/>
    <w:rsid w:val="00AA1B39"/>
    <w:rsid w:val="00AA275C"/>
    <w:rsid w:val="00AA36D2"/>
    <w:rsid w:val="00AA3980"/>
    <w:rsid w:val="00AA41DF"/>
    <w:rsid w:val="00AA44C5"/>
    <w:rsid w:val="00AA471D"/>
    <w:rsid w:val="00AA4D3A"/>
    <w:rsid w:val="00AA5834"/>
    <w:rsid w:val="00AA6191"/>
    <w:rsid w:val="00AA6838"/>
    <w:rsid w:val="00AA68AD"/>
    <w:rsid w:val="00AA6CDA"/>
    <w:rsid w:val="00AA6D63"/>
    <w:rsid w:val="00AA7130"/>
    <w:rsid w:val="00AA7B74"/>
    <w:rsid w:val="00AB03EE"/>
    <w:rsid w:val="00AB0DED"/>
    <w:rsid w:val="00AB10EE"/>
    <w:rsid w:val="00AB1164"/>
    <w:rsid w:val="00AB1D1F"/>
    <w:rsid w:val="00AB3047"/>
    <w:rsid w:val="00AB339B"/>
    <w:rsid w:val="00AB4B4B"/>
    <w:rsid w:val="00AB5175"/>
    <w:rsid w:val="00AB57D6"/>
    <w:rsid w:val="00AB5DE8"/>
    <w:rsid w:val="00AB628B"/>
    <w:rsid w:val="00AB64F5"/>
    <w:rsid w:val="00AB73FB"/>
    <w:rsid w:val="00AB7C7A"/>
    <w:rsid w:val="00AB7D1A"/>
    <w:rsid w:val="00AC0344"/>
    <w:rsid w:val="00AC0372"/>
    <w:rsid w:val="00AC0DBF"/>
    <w:rsid w:val="00AC1115"/>
    <w:rsid w:val="00AC137C"/>
    <w:rsid w:val="00AC1B0B"/>
    <w:rsid w:val="00AC2215"/>
    <w:rsid w:val="00AC2266"/>
    <w:rsid w:val="00AC22E4"/>
    <w:rsid w:val="00AC2BFE"/>
    <w:rsid w:val="00AC2E48"/>
    <w:rsid w:val="00AC33BD"/>
    <w:rsid w:val="00AC3EEE"/>
    <w:rsid w:val="00AC482D"/>
    <w:rsid w:val="00AC504B"/>
    <w:rsid w:val="00AC5D6B"/>
    <w:rsid w:val="00AC6E9B"/>
    <w:rsid w:val="00AC76BF"/>
    <w:rsid w:val="00AC7B0A"/>
    <w:rsid w:val="00AD1D5E"/>
    <w:rsid w:val="00AD2856"/>
    <w:rsid w:val="00AD29F0"/>
    <w:rsid w:val="00AD2B86"/>
    <w:rsid w:val="00AD3145"/>
    <w:rsid w:val="00AD3620"/>
    <w:rsid w:val="00AD39AB"/>
    <w:rsid w:val="00AD3DEB"/>
    <w:rsid w:val="00AD47A1"/>
    <w:rsid w:val="00AD48C4"/>
    <w:rsid w:val="00AD4EE8"/>
    <w:rsid w:val="00AD602B"/>
    <w:rsid w:val="00AD6253"/>
    <w:rsid w:val="00AD629C"/>
    <w:rsid w:val="00AD6405"/>
    <w:rsid w:val="00AD6409"/>
    <w:rsid w:val="00AD65B4"/>
    <w:rsid w:val="00AD683B"/>
    <w:rsid w:val="00AD70ED"/>
    <w:rsid w:val="00AD7DE3"/>
    <w:rsid w:val="00AD7F42"/>
    <w:rsid w:val="00AE0BA7"/>
    <w:rsid w:val="00AE1C00"/>
    <w:rsid w:val="00AE1D8C"/>
    <w:rsid w:val="00AE28BD"/>
    <w:rsid w:val="00AE2A81"/>
    <w:rsid w:val="00AE32A2"/>
    <w:rsid w:val="00AE3505"/>
    <w:rsid w:val="00AE366D"/>
    <w:rsid w:val="00AE38E8"/>
    <w:rsid w:val="00AE3FE9"/>
    <w:rsid w:val="00AE4449"/>
    <w:rsid w:val="00AE4639"/>
    <w:rsid w:val="00AE4EBF"/>
    <w:rsid w:val="00AE551A"/>
    <w:rsid w:val="00AE5ACD"/>
    <w:rsid w:val="00AE5FD9"/>
    <w:rsid w:val="00AE6169"/>
    <w:rsid w:val="00AE62A3"/>
    <w:rsid w:val="00AE6A6A"/>
    <w:rsid w:val="00AE6AF8"/>
    <w:rsid w:val="00AF0269"/>
    <w:rsid w:val="00AF0C4B"/>
    <w:rsid w:val="00AF1B4C"/>
    <w:rsid w:val="00AF2422"/>
    <w:rsid w:val="00AF3944"/>
    <w:rsid w:val="00AF3DDC"/>
    <w:rsid w:val="00AF3EB3"/>
    <w:rsid w:val="00AF48C1"/>
    <w:rsid w:val="00AF5880"/>
    <w:rsid w:val="00AF6569"/>
    <w:rsid w:val="00B00212"/>
    <w:rsid w:val="00B002EA"/>
    <w:rsid w:val="00B003C8"/>
    <w:rsid w:val="00B008DF"/>
    <w:rsid w:val="00B01324"/>
    <w:rsid w:val="00B01526"/>
    <w:rsid w:val="00B016B4"/>
    <w:rsid w:val="00B01E94"/>
    <w:rsid w:val="00B0296B"/>
    <w:rsid w:val="00B02F0D"/>
    <w:rsid w:val="00B04563"/>
    <w:rsid w:val="00B04C0C"/>
    <w:rsid w:val="00B05819"/>
    <w:rsid w:val="00B05D55"/>
    <w:rsid w:val="00B06A67"/>
    <w:rsid w:val="00B06F4E"/>
    <w:rsid w:val="00B0707F"/>
    <w:rsid w:val="00B07C2C"/>
    <w:rsid w:val="00B10C10"/>
    <w:rsid w:val="00B10D3F"/>
    <w:rsid w:val="00B11827"/>
    <w:rsid w:val="00B11E8D"/>
    <w:rsid w:val="00B12203"/>
    <w:rsid w:val="00B1292C"/>
    <w:rsid w:val="00B12D9C"/>
    <w:rsid w:val="00B1349F"/>
    <w:rsid w:val="00B13F8A"/>
    <w:rsid w:val="00B14C5D"/>
    <w:rsid w:val="00B15108"/>
    <w:rsid w:val="00B152E5"/>
    <w:rsid w:val="00B15D92"/>
    <w:rsid w:val="00B15E08"/>
    <w:rsid w:val="00B15FDB"/>
    <w:rsid w:val="00B16292"/>
    <w:rsid w:val="00B165BB"/>
    <w:rsid w:val="00B166B8"/>
    <w:rsid w:val="00B16A17"/>
    <w:rsid w:val="00B16D7B"/>
    <w:rsid w:val="00B17083"/>
    <w:rsid w:val="00B17231"/>
    <w:rsid w:val="00B17870"/>
    <w:rsid w:val="00B20015"/>
    <w:rsid w:val="00B202AA"/>
    <w:rsid w:val="00B20337"/>
    <w:rsid w:val="00B20A64"/>
    <w:rsid w:val="00B21AFA"/>
    <w:rsid w:val="00B220EC"/>
    <w:rsid w:val="00B23238"/>
    <w:rsid w:val="00B23483"/>
    <w:rsid w:val="00B235AD"/>
    <w:rsid w:val="00B2364B"/>
    <w:rsid w:val="00B23B45"/>
    <w:rsid w:val="00B23B8D"/>
    <w:rsid w:val="00B24004"/>
    <w:rsid w:val="00B24394"/>
    <w:rsid w:val="00B2479B"/>
    <w:rsid w:val="00B24841"/>
    <w:rsid w:val="00B25085"/>
    <w:rsid w:val="00B25BFF"/>
    <w:rsid w:val="00B26F9B"/>
    <w:rsid w:val="00B27234"/>
    <w:rsid w:val="00B27312"/>
    <w:rsid w:val="00B30025"/>
    <w:rsid w:val="00B30C67"/>
    <w:rsid w:val="00B313AB"/>
    <w:rsid w:val="00B314C7"/>
    <w:rsid w:val="00B319D3"/>
    <w:rsid w:val="00B323AC"/>
    <w:rsid w:val="00B328D1"/>
    <w:rsid w:val="00B32955"/>
    <w:rsid w:val="00B332E7"/>
    <w:rsid w:val="00B343B1"/>
    <w:rsid w:val="00B34759"/>
    <w:rsid w:val="00B34EEE"/>
    <w:rsid w:val="00B35446"/>
    <w:rsid w:val="00B3638D"/>
    <w:rsid w:val="00B3682C"/>
    <w:rsid w:val="00B3725B"/>
    <w:rsid w:val="00B37515"/>
    <w:rsid w:val="00B3771A"/>
    <w:rsid w:val="00B37764"/>
    <w:rsid w:val="00B40230"/>
    <w:rsid w:val="00B402B4"/>
    <w:rsid w:val="00B40828"/>
    <w:rsid w:val="00B4110A"/>
    <w:rsid w:val="00B414B1"/>
    <w:rsid w:val="00B419E9"/>
    <w:rsid w:val="00B4226E"/>
    <w:rsid w:val="00B42FEF"/>
    <w:rsid w:val="00B432E5"/>
    <w:rsid w:val="00B43301"/>
    <w:rsid w:val="00B433C5"/>
    <w:rsid w:val="00B43C0A"/>
    <w:rsid w:val="00B43F70"/>
    <w:rsid w:val="00B4421D"/>
    <w:rsid w:val="00B44EA3"/>
    <w:rsid w:val="00B44F21"/>
    <w:rsid w:val="00B46BD8"/>
    <w:rsid w:val="00B46C47"/>
    <w:rsid w:val="00B47336"/>
    <w:rsid w:val="00B47682"/>
    <w:rsid w:val="00B478DC"/>
    <w:rsid w:val="00B508C0"/>
    <w:rsid w:val="00B50959"/>
    <w:rsid w:val="00B50BCA"/>
    <w:rsid w:val="00B51ADF"/>
    <w:rsid w:val="00B5330D"/>
    <w:rsid w:val="00B53760"/>
    <w:rsid w:val="00B53927"/>
    <w:rsid w:val="00B54EF8"/>
    <w:rsid w:val="00B553B8"/>
    <w:rsid w:val="00B55BD8"/>
    <w:rsid w:val="00B56207"/>
    <w:rsid w:val="00B570AA"/>
    <w:rsid w:val="00B578EA"/>
    <w:rsid w:val="00B607E3"/>
    <w:rsid w:val="00B60D67"/>
    <w:rsid w:val="00B61020"/>
    <w:rsid w:val="00B616F1"/>
    <w:rsid w:val="00B61A3F"/>
    <w:rsid w:val="00B61A5A"/>
    <w:rsid w:val="00B6242F"/>
    <w:rsid w:val="00B62A7E"/>
    <w:rsid w:val="00B62C97"/>
    <w:rsid w:val="00B62CE6"/>
    <w:rsid w:val="00B62F5F"/>
    <w:rsid w:val="00B630CC"/>
    <w:rsid w:val="00B63390"/>
    <w:rsid w:val="00B639E4"/>
    <w:rsid w:val="00B649D7"/>
    <w:rsid w:val="00B6508C"/>
    <w:rsid w:val="00B653C2"/>
    <w:rsid w:val="00B65A70"/>
    <w:rsid w:val="00B6613B"/>
    <w:rsid w:val="00B673FF"/>
    <w:rsid w:val="00B6756D"/>
    <w:rsid w:val="00B6757D"/>
    <w:rsid w:val="00B679D8"/>
    <w:rsid w:val="00B67E6B"/>
    <w:rsid w:val="00B67F9E"/>
    <w:rsid w:val="00B701EC"/>
    <w:rsid w:val="00B70643"/>
    <w:rsid w:val="00B707DA"/>
    <w:rsid w:val="00B709BF"/>
    <w:rsid w:val="00B719FB"/>
    <w:rsid w:val="00B722E1"/>
    <w:rsid w:val="00B729BD"/>
    <w:rsid w:val="00B72C51"/>
    <w:rsid w:val="00B72F0A"/>
    <w:rsid w:val="00B73541"/>
    <w:rsid w:val="00B73997"/>
    <w:rsid w:val="00B73B6B"/>
    <w:rsid w:val="00B749FF"/>
    <w:rsid w:val="00B74B63"/>
    <w:rsid w:val="00B74EDE"/>
    <w:rsid w:val="00B755E0"/>
    <w:rsid w:val="00B756D3"/>
    <w:rsid w:val="00B7592D"/>
    <w:rsid w:val="00B75B90"/>
    <w:rsid w:val="00B75BC0"/>
    <w:rsid w:val="00B75C8E"/>
    <w:rsid w:val="00B75CBE"/>
    <w:rsid w:val="00B7612D"/>
    <w:rsid w:val="00B761F2"/>
    <w:rsid w:val="00B76814"/>
    <w:rsid w:val="00B76890"/>
    <w:rsid w:val="00B76FDF"/>
    <w:rsid w:val="00B778B8"/>
    <w:rsid w:val="00B800E2"/>
    <w:rsid w:val="00B804A4"/>
    <w:rsid w:val="00B810A1"/>
    <w:rsid w:val="00B811E9"/>
    <w:rsid w:val="00B81612"/>
    <w:rsid w:val="00B8398D"/>
    <w:rsid w:val="00B83ECB"/>
    <w:rsid w:val="00B83F44"/>
    <w:rsid w:val="00B83F98"/>
    <w:rsid w:val="00B84576"/>
    <w:rsid w:val="00B84DAA"/>
    <w:rsid w:val="00B84E1F"/>
    <w:rsid w:val="00B85990"/>
    <w:rsid w:val="00B8669C"/>
    <w:rsid w:val="00B86987"/>
    <w:rsid w:val="00B87409"/>
    <w:rsid w:val="00B8771E"/>
    <w:rsid w:val="00B90934"/>
    <w:rsid w:val="00B90F5E"/>
    <w:rsid w:val="00B915E1"/>
    <w:rsid w:val="00B9169E"/>
    <w:rsid w:val="00B91716"/>
    <w:rsid w:val="00B91783"/>
    <w:rsid w:val="00B91E12"/>
    <w:rsid w:val="00B92193"/>
    <w:rsid w:val="00B92321"/>
    <w:rsid w:val="00B92EE2"/>
    <w:rsid w:val="00B935AA"/>
    <w:rsid w:val="00B93A79"/>
    <w:rsid w:val="00B93AF4"/>
    <w:rsid w:val="00B948D8"/>
    <w:rsid w:val="00B953F5"/>
    <w:rsid w:val="00B95AFB"/>
    <w:rsid w:val="00B9622A"/>
    <w:rsid w:val="00B96B93"/>
    <w:rsid w:val="00B971C7"/>
    <w:rsid w:val="00B979B5"/>
    <w:rsid w:val="00BA19C1"/>
    <w:rsid w:val="00BA2913"/>
    <w:rsid w:val="00BA31BE"/>
    <w:rsid w:val="00BA4445"/>
    <w:rsid w:val="00BA47F7"/>
    <w:rsid w:val="00BA4AD0"/>
    <w:rsid w:val="00BA4C19"/>
    <w:rsid w:val="00BA52C6"/>
    <w:rsid w:val="00BA5853"/>
    <w:rsid w:val="00BA5EB8"/>
    <w:rsid w:val="00BA68FE"/>
    <w:rsid w:val="00BA7072"/>
    <w:rsid w:val="00BA7682"/>
    <w:rsid w:val="00BA7AB4"/>
    <w:rsid w:val="00BB03BF"/>
    <w:rsid w:val="00BB092A"/>
    <w:rsid w:val="00BB1648"/>
    <w:rsid w:val="00BB207C"/>
    <w:rsid w:val="00BB220B"/>
    <w:rsid w:val="00BB2AAD"/>
    <w:rsid w:val="00BB2D2E"/>
    <w:rsid w:val="00BB31BE"/>
    <w:rsid w:val="00BB372D"/>
    <w:rsid w:val="00BB392F"/>
    <w:rsid w:val="00BB3C54"/>
    <w:rsid w:val="00BB4CCA"/>
    <w:rsid w:val="00BB4EE3"/>
    <w:rsid w:val="00BB5070"/>
    <w:rsid w:val="00BB54AE"/>
    <w:rsid w:val="00BB54E2"/>
    <w:rsid w:val="00BB5937"/>
    <w:rsid w:val="00BB61A1"/>
    <w:rsid w:val="00BB64BA"/>
    <w:rsid w:val="00BB6B59"/>
    <w:rsid w:val="00BB7724"/>
    <w:rsid w:val="00BB7949"/>
    <w:rsid w:val="00BB794F"/>
    <w:rsid w:val="00BC0661"/>
    <w:rsid w:val="00BC14E2"/>
    <w:rsid w:val="00BC167E"/>
    <w:rsid w:val="00BC317F"/>
    <w:rsid w:val="00BC34B9"/>
    <w:rsid w:val="00BC3A13"/>
    <w:rsid w:val="00BC3F0E"/>
    <w:rsid w:val="00BC4961"/>
    <w:rsid w:val="00BC5208"/>
    <w:rsid w:val="00BC551A"/>
    <w:rsid w:val="00BC5DB9"/>
    <w:rsid w:val="00BC619E"/>
    <w:rsid w:val="00BC61C9"/>
    <w:rsid w:val="00BC633F"/>
    <w:rsid w:val="00BC68A3"/>
    <w:rsid w:val="00BC7544"/>
    <w:rsid w:val="00BD0FF2"/>
    <w:rsid w:val="00BD14B4"/>
    <w:rsid w:val="00BD176E"/>
    <w:rsid w:val="00BD1A76"/>
    <w:rsid w:val="00BD1E6D"/>
    <w:rsid w:val="00BD3300"/>
    <w:rsid w:val="00BD3D6A"/>
    <w:rsid w:val="00BD3FD8"/>
    <w:rsid w:val="00BD443F"/>
    <w:rsid w:val="00BD46A1"/>
    <w:rsid w:val="00BD47DD"/>
    <w:rsid w:val="00BD4EE2"/>
    <w:rsid w:val="00BD584B"/>
    <w:rsid w:val="00BD7281"/>
    <w:rsid w:val="00BD7BF2"/>
    <w:rsid w:val="00BE06C4"/>
    <w:rsid w:val="00BE0A0D"/>
    <w:rsid w:val="00BE0DF0"/>
    <w:rsid w:val="00BE22B7"/>
    <w:rsid w:val="00BE2B7B"/>
    <w:rsid w:val="00BE2FFD"/>
    <w:rsid w:val="00BE3153"/>
    <w:rsid w:val="00BE3500"/>
    <w:rsid w:val="00BE364A"/>
    <w:rsid w:val="00BE41A3"/>
    <w:rsid w:val="00BE5583"/>
    <w:rsid w:val="00BE5F04"/>
    <w:rsid w:val="00BE676D"/>
    <w:rsid w:val="00BE75B4"/>
    <w:rsid w:val="00BF05CC"/>
    <w:rsid w:val="00BF0623"/>
    <w:rsid w:val="00BF0BB2"/>
    <w:rsid w:val="00BF1480"/>
    <w:rsid w:val="00BF18C4"/>
    <w:rsid w:val="00BF2E61"/>
    <w:rsid w:val="00BF3228"/>
    <w:rsid w:val="00BF437B"/>
    <w:rsid w:val="00BF4562"/>
    <w:rsid w:val="00BF458F"/>
    <w:rsid w:val="00BF4AE9"/>
    <w:rsid w:val="00BF536F"/>
    <w:rsid w:val="00BF53DE"/>
    <w:rsid w:val="00BF5574"/>
    <w:rsid w:val="00BF66B0"/>
    <w:rsid w:val="00BF6FE1"/>
    <w:rsid w:val="00BF70B6"/>
    <w:rsid w:val="00BF7124"/>
    <w:rsid w:val="00BF7296"/>
    <w:rsid w:val="00C008C4"/>
    <w:rsid w:val="00C02073"/>
    <w:rsid w:val="00C028CC"/>
    <w:rsid w:val="00C03067"/>
    <w:rsid w:val="00C03859"/>
    <w:rsid w:val="00C03A55"/>
    <w:rsid w:val="00C03AD2"/>
    <w:rsid w:val="00C047AB"/>
    <w:rsid w:val="00C04C21"/>
    <w:rsid w:val="00C059A3"/>
    <w:rsid w:val="00C06415"/>
    <w:rsid w:val="00C067FD"/>
    <w:rsid w:val="00C06897"/>
    <w:rsid w:val="00C0759E"/>
    <w:rsid w:val="00C1120F"/>
    <w:rsid w:val="00C11318"/>
    <w:rsid w:val="00C114C3"/>
    <w:rsid w:val="00C11928"/>
    <w:rsid w:val="00C11B80"/>
    <w:rsid w:val="00C11C7B"/>
    <w:rsid w:val="00C11CAA"/>
    <w:rsid w:val="00C11E5F"/>
    <w:rsid w:val="00C12618"/>
    <w:rsid w:val="00C12CAE"/>
    <w:rsid w:val="00C13838"/>
    <w:rsid w:val="00C14089"/>
    <w:rsid w:val="00C14091"/>
    <w:rsid w:val="00C15539"/>
    <w:rsid w:val="00C200EF"/>
    <w:rsid w:val="00C2023E"/>
    <w:rsid w:val="00C2035C"/>
    <w:rsid w:val="00C20B17"/>
    <w:rsid w:val="00C210DF"/>
    <w:rsid w:val="00C2144A"/>
    <w:rsid w:val="00C223D0"/>
    <w:rsid w:val="00C233D9"/>
    <w:rsid w:val="00C24E42"/>
    <w:rsid w:val="00C2533B"/>
    <w:rsid w:val="00C25A34"/>
    <w:rsid w:val="00C25CA0"/>
    <w:rsid w:val="00C2608A"/>
    <w:rsid w:val="00C26122"/>
    <w:rsid w:val="00C27A43"/>
    <w:rsid w:val="00C27AD4"/>
    <w:rsid w:val="00C27BB1"/>
    <w:rsid w:val="00C27E59"/>
    <w:rsid w:val="00C27FBD"/>
    <w:rsid w:val="00C31177"/>
    <w:rsid w:val="00C316E0"/>
    <w:rsid w:val="00C317FE"/>
    <w:rsid w:val="00C3202A"/>
    <w:rsid w:val="00C34123"/>
    <w:rsid w:val="00C34B3B"/>
    <w:rsid w:val="00C352E9"/>
    <w:rsid w:val="00C357DE"/>
    <w:rsid w:val="00C36D94"/>
    <w:rsid w:val="00C36E84"/>
    <w:rsid w:val="00C36ECA"/>
    <w:rsid w:val="00C370F1"/>
    <w:rsid w:val="00C37105"/>
    <w:rsid w:val="00C37411"/>
    <w:rsid w:val="00C3776B"/>
    <w:rsid w:val="00C378D5"/>
    <w:rsid w:val="00C4137F"/>
    <w:rsid w:val="00C422A7"/>
    <w:rsid w:val="00C42378"/>
    <w:rsid w:val="00C42CA6"/>
    <w:rsid w:val="00C4380A"/>
    <w:rsid w:val="00C440D8"/>
    <w:rsid w:val="00C44753"/>
    <w:rsid w:val="00C44A2F"/>
    <w:rsid w:val="00C45239"/>
    <w:rsid w:val="00C452F0"/>
    <w:rsid w:val="00C455AF"/>
    <w:rsid w:val="00C455D9"/>
    <w:rsid w:val="00C458E3"/>
    <w:rsid w:val="00C45EDA"/>
    <w:rsid w:val="00C45F7D"/>
    <w:rsid w:val="00C462FC"/>
    <w:rsid w:val="00C4649B"/>
    <w:rsid w:val="00C464A6"/>
    <w:rsid w:val="00C469EF"/>
    <w:rsid w:val="00C4765B"/>
    <w:rsid w:val="00C505FB"/>
    <w:rsid w:val="00C51239"/>
    <w:rsid w:val="00C51A91"/>
    <w:rsid w:val="00C51ED1"/>
    <w:rsid w:val="00C52A08"/>
    <w:rsid w:val="00C5351C"/>
    <w:rsid w:val="00C53B85"/>
    <w:rsid w:val="00C543F4"/>
    <w:rsid w:val="00C54479"/>
    <w:rsid w:val="00C54CA2"/>
    <w:rsid w:val="00C54E28"/>
    <w:rsid w:val="00C54F5A"/>
    <w:rsid w:val="00C558BA"/>
    <w:rsid w:val="00C55BFB"/>
    <w:rsid w:val="00C56298"/>
    <w:rsid w:val="00C567C7"/>
    <w:rsid w:val="00C5706D"/>
    <w:rsid w:val="00C57202"/>
    <w:rsid w:val="00C57645"/>
    <w:rsid w:val="00C57650"/>
    <w:rsid w:val="00C626BE"/>
    <w:rsid w:val="00C63754"/>
    <w:rsid w:val="00C639FF"/>
    <w:rsid w:val="00C64CB2"/>
    <w:rsid w:val="00C65F26"/>
    <w:rsid w:val="00C66B24"/>
    <w:rsid w:val="00C66B79"/>
    <w:rsid w:val="00C674C0"/>
    <w:rsid w:val="00C703A1"/>
    <w:rsid w:val="00C70920"/>
    <w:rsid w:val="00C70945"/>
    <w:rsid w:val="00C71099"/>
    <w:rsid w:val="00C7142F"/>
    <w:rsid w:val="00C7190C"/>
    <w:rsid w:val="00C7198D"/>
    <w:rsid w:val="00C71EC6"/>
    <w:rsid w:val="00C71F6A"/>
    <w:rsid w:val="00C72791"/>
    <w:rsid w:val="00C72EAB"/>
    <w:rsid w:val="00C72EDA"/>
    <w:rsid w:val="00C745AA"/>
    <w:rsid w:val="00C74615"/>
    <w:rsid w:val="00C74C31"/>
    <w:rsid w:val="00C74EF9"/>
    <w:rsid w:val="00C752E4"/>
    <w:rsid w:val="00C7678A"/>
    <w:rsid w:val="00C769E0"/>
    <w:rsid w:val="00C77DD6"/>
    <w:rsid w:val="00C803FD"/>
    <w:rsid w:val="00C804E2"/>
    <w:rsid w:val="00C804FA"/>
    <w:rsid w:val="00C811A5"/>
    <w:rsid w:val="00C820AA"/>
    <w:rsid w:val="00C82383"/>
    <w:rsid w:val="00C82B45"/>
    <w:rsid w:val="00C82F51"/>
    <w:rsid w:val="00C8301B"/>
    <w:rsid w:val="00C830A8"/>
    <w:rsid w:val="00C8322F"/>
    <w:rsid w:val="00C836A9"/>
    <w:rsid w:val="00C83C35"/>
    <w:rsid w:val="00C84098"/>
    <w:rsid w:val="00C84DC5"/>
    <w:rsid w:val="00C85690"/>
    <w:rsid w:val="00C8620C"/>
    <w:rsid w:val="00C86445"/>
    <w:rsid w:val="00C86912"/>
    <w:rsid w:val="00C86F28"/>
    <w:rsid w:val="00C87205"/>
    <w:rsid w:val="00C877CC"/>
    <w:rsid w:val="00C90018"/>
    <w:rsid w:val="00C9034E"/>
    <w:rsid w:val="00C90DBA"/>
    <w:rsid w:val="00C911FF"/>
    <w:rsid w:val="00C92150"/>
    <w:rsid w:val="00C92A8B"/>
    <w:rsid w:val="00C93076"/>
    <w:rsid w:val="00C930C7"/>
    <w:rsid w:val="00C9337C"/>
    <w:rsid w:val="00C93A12"/>
    <w:rsid w:val="00C93FEB"/>
    <w:rsid w:val="00C94059"/>
    <w:rsid w:val="00C949E0"/>
    <w:rsid w:val="00C94CE9"/>
    <w:rsid w:val="00C94DD8"/>
    <w:rsid w:val="00C96728"/>
    <w:rsid w:val="00C96BEF"/>
    <w:rsid w:val="00C96EEA"/>
    <w:rsid w:val="00C97C88"/>
    <w:rsid w:val="00C97D26"/>
    <w:rsid w:val="00CA0258"/>
    <w:rsid w:val="00CA0987"/>
    <w:rsid w:val="00CA0B38"/>
    <w:rsid w:val="00CA2113"/>
    <w:rsid w:val="00CA211C"/>
    <w:rsid w:val="00CA2AB2"/>
    <w:rsid w:val="00CA2C8D"/>
    <w:rsid w:val="00CA3AF2"/>
    <w:rsid w:val="00CA3D0E"/>
    <w:rsid w:val="00CA49D7"/>
    <w:rsid w:val="00CA5029"/>
    <w:rsid w:val="00CA55D0"/>
    <w:rsid w:val="00CA579D"/>
    <w:rsid w:val="00CA5914"/>
    <w:rsid w:val="00CA600D"/>
    <w:rsid w:val="00CA6059"/>
    <w:rsid w:val="00CA6582"/>
    <w:rsid w:val="00CA6EF3"/>
    <w:rsid w:val="00CA71E4"/>
    <w:rsid w:val="00CA77F0"/>
    <w:rsid w:val="00CB015D"/>
    <w:rsid w:val="00CB04EC"/>
    <w:rsid w:val="00CB0991"/>
    <w:rsid w:val="00CB09FE"/>
    <w:rsid w:val="00CB0BB5"/>
    <w:rsid w:val="00CB1476"/>
    <w:rsid w:val="00CB1873"/>
    <w:rsid w:val="00CB1A50"/>
    <w:rsid w:val="00CB2270"/>
    <w:rsid w:val="00CB2412"/>
    <w:rsid w:val="00CB24AD"/>
    <w:rsid w:val="00CB3362"/>
    <w:rsid w:val="00CB346A"/>
    <w:rsid w:val="00CB3917"/>
    <w:rsid w:val="00CB3CFA"/>
    <w:rsid w:val="00CB3D57"/>
    <w:rsid w:val="00CB3DF4"/>
    <w:rsid w:val="00CB42EA"/>
    <w:rsid w:val="00CB4BF2"/>
    <w:rsid w:val="00CB54C3"/>
    <w:rsid w:val="00CB6447"/>
    <w:rsid w:val="00CB6C06"/>
    <w:rsid w:val="00CB72DB"/>
    <w:rsid w:val="00CC03E7"/>
    <w:rsid w:val="00CC08AA"/>
    <w:rsid w:val="00CC0D18"/>
    <w:rsid w:val="00CC1407"/>
    <w:rsid w:val="00CC144B"/>
    <w:rsid w:val="00CC2CED"/>
    <w:rsid w:val="00CC39FC"/>
    <w:rsid w:val="00CC3F7E"/>
    <w:rsid w:val="00CC432C"/>
    <w:rsid w:val="00CC56D3"/>
    <w:rsid w:val="00CC5AC8"/>
    <w:rsid w:val="00CC5B5F"/>
    <w:rsid w:val="00CC5BB1"/>
    <w:rsid w:val="00CC5DCC"/>
    <w:rsid w:val="00CC61BB"/>
    <w:rsid w:val="00CC622B"/>
    <w:rsid w:val="00CC66AE"/>
    <w:rsid w:val="00CC67E3"/>
    <w:rsid w:val="00CC6F90"/>
    <w:rsid w:val="00CC74AF"/>
    <w:rsid w:val="00CC7ABA"/>
    <w:rsid w:val="00CD07D7"/>
    <w:rsid w:val="00CD086A"/>
    <w:rsid w:val="00CD328D"/>
    <w:rsid w:val="00CD3434"/>
    <w:rsid w:val="00CD3800"/>
    <w:rsid w:val="00CD4BAC"/>
    <w:rsid w:val="00CD55D0"/>
    <w:rsid w:val="00CD5CF2"/>
    <w:rsid w:val="00CD613F"/>
    <w:rsid w:val="00CD73AC"/>
    <w:rsid w:val="00CE049B"/>
    <w:rsid w:val="00CE12E6"/>
    <w:rsid w:val="00CE1667"/>
    <w:rsid w:val="00CE1E17"/>
    <w:rsid w:val="00CE28D7"/>
    <w:rsid w:val="00CE3356"/>
    <w:rsid w:val="00CE3748"/>
    <w:rsid w:val="00CE44C9"/>
    <w:rsid w:val="00CE48EB"/>
    <w:rsid w:val="00CE5D1B"/>
    <w:rsid w:val="00CE6A2B"/>
    <w:rsid w:val="00CE6A37"/>
    <w:rsid w:val="00CE6B3F"/>
    <w:rsid w:val="00CE7AAB"/>
    <w:rsid w:val="00CE7CF4"/>
    <w:rsid w:val="00CF094F"/>
    <w:rsid w:val="00CF17D2"/>
    <w:rsid w:val="00CF1A1E"/>
    <w:rsid w:val="00CF3AB3"/>
    <w:rsid w:val="00CF3E59"/>
    <w:rsid w:val="00CF5024"/>
    <w:rsid w:val="00CF568B"/>
    <w:rsid w:val="00CF5D36"/>
    <w:rsid w:val="00CF5FB7"/>
    <w:rsid w:val="00CF6232"/>
    <w:rsid w:val="00CF6973"/>
    <w:rsid w:val="00CF7A4E"/>
    <w:rsid w:val="00D02209"/>
    <w:rsid w:val="00D03E2F"/>
    <w:rsid w:val="00D04BA7"/>
    <w:rsid w:val="00D053BF"/>
    <w:rsid w:val="00D05DD8"/>
    <w:rsid w:val="00D06067"/>
    <w:rsid w:val="00D065A0"/>
    <w:rsid w:val="00D0696A"/>
    <w:rsid w:val="00D07447"/>
    <w:rsid w:val="00D07B1E"/>
    <w:rsid w:val="00D07C29"/>
    <w:rsid w:val="00D07F01"/>
    <w:rsid w:val="00D104C4"/>
    <w:rsid w:val="00D106D7"/>
    <w:rsid w:val="00D10834"/>
    <w:rsid w:val="00D10EEB"/>
    <w:rsid w:val="00D11925"/>
    <w:rsid w:val="00D12100"/>
    <w:rsid w:val="00D12D48"/>
    <w:rsid w:val="00D12FE6"/>
    <w:rsid w:val="00D13FE0"/>
    <w:rsid w:val="00D14B1A"/>
    <w:rsid w:val="00D15598"/>
    <w:rsid w:val="00D15730"/>
    <w:rsid w:val="00D168C4"/>
    <w:rsid w:val="00D17353"/>
    <w:rsid w:val="00D17575"/>
    <w:rsid w:val="00D17D89"/>
    <w:rsid w:val="00D20C93"/>
    <w:rsid w:val="00D21574"/>
    <w:rsid w:val="00D21AE4"/>
    <w:rsid w:val="00D21BC3"/>
    <w:rsid w:val="00D22A5C"/>
    <w:rsid w:val="00D22D02"/>
    <w:rsid w:val="00D23386"/>
    <w:rsid w:val="00D235E5"/>
    <w:rsid w:val="00D23C86"/>
    <w:rsid w:val="00D23FB6"/>
    <w:rsid w:val="00D24E47"/>
    <w:rsid w:val="00D25049"/>
    <w:rsid w:val="00D258AA"/>
    <w:rsid w:val="00D25E54"/>
    <w:rsid w:val="00D266F3"/>
    <w:rsid w:val="00D2689E"/>
    <w:rsid w:val="00D26DF2"/>
    <w:rsid w:val="00D278A1"/>
    <w:rsid w:val="00D27C29"/>
    <w:rsid w:val="00D27E71"/>
    <w:rsid w:val="00D30258"/>
    <w:rsid w:val="00D30327"/>
    <w:rsid w:val="00D30401"/>
    <w:rsid w:val="00D30462"/>
    <w:rsid w:val="00D3055B"/>
    <w:rsid w:val="00D308C1"/>
    <w:rsid w:val="00D30C12"/>
    <w:rsid w:val="00D30E5F"/>
    <w:rsid w:val="00D315B2"/>
    <w:rsid w:val="00D318A4"/>
    <w:rsid w:val="00D31E57"/>
    <w:rsid w:val="00D32312"/>
    <w:rsid w:val="00D330F6"/>
    <w:rsid w:val="00D339EF"/>
    <w:rsid w:val="00D347F8"/>
    <w:rsid w:val="00D3588B"/>
    <w:rsid w:val="00D35B53"/>
    <w:rsid w:val="00D37286"/>
    <w:rsid w:val="00D3798F"/>
    <w:rsid w:val="00D37C1B"/>
    <w:rsid w:val="00D37C5B"/>
    <w:rsid w:val="00D37CC1"/>
    <w:rsid w:val="00D401AE"/>
    <w:rsid w:val="00D404D9"/>
    <w:rsid w:val="00D40700"/>
    <w:rsid w:val="00D40827"/>
    <w:rsid w:val="00D410D4"/>
    <w:rsid w:val="00D41513"/>
    <w:rsid w:val="00D41B33"/>
    <w:rsid w:val="00D423B6"/>
    <w:rsid w:val="00D42C1F"/>
    <w:rsid w:val="00D43A2E"/>
    <w:rsid w:val="00D444CB"/>
    <w:rsid w:val="00D454F1"/>
    <w:rsid w:val="00D458ED"/>
    <w:rsid w:val="00D45ABC"/>
    <w:rsid w:val="00D45BC6"/>
    <w:rsid w:val="00D460FD"/>
    <w:rsid w:val="00D46255"/>
    <w:rsid w:val="00D4665F"/>
    <w:rsid w:val="00D46797"/>
    <w:rsid w:val="00D46A37"/>
    <w:rsid w:val="00D46E68"/>
    <w:rsid w:val="00D4753D"/>
    <w:rsid w:val="00D47C0B"/>
    <w:rsid w:val="00D50329"/>
    <w:rsid w:val="00D5243F"/>
    <w:rsid w:val="00D52746"/>
    <w:rsid w:val="00D52918"/>
    <w:rsid w:val="00D52A5D"/>
    <w:rsid w:val="00D52EDF"/>
    <w:rsid w:val="00D532F8"/>
    <w:rsid w:val="00D5389D"/>
    <w:rsid w:val="00D539A7"/>
    <w:rsid w:val="00D53A7A"/>
    <w:rsid w:val="00D53D67"/>
    <w:rsid w:val="00D54842"/>
    <w:rsid w:val="00D548BB"/>
    <w:rsid w:val="00D54C50"/>
    <w:rsid w:val="00D54E59"/>
    <w:rsid w:val="00D56217"/>
    <w:rsid w:val="00D57292"/>
    <w:rsid w:val="00D57F3E"/>
    <w:rsid w:val="00D6010F"/>
    <w:rsid w:val="00D6055F"/>
    <w:rsid w:val="00D60D9A"/>
    <w:rsid w:val="00D624D0"/>
    <w:rsid w:val="00D625B8"/>
    <w:rsid w:val="00D62973"/>
    <w:rsid w:val="00D631BE"/>
    <w:rsid w:val="00D636BE"/>
    <w:rsid w:val="00D64585"/>
    <w:rsid w:val="00D64C8E"/>
    <w:rsid w:val="00D64E52"/>
    <w:rsid w:val="00D65C4A"/>
    <w:rsid w:val="00D65CE5"/>
    <w:rsid w:val="00D65ECE"/>
    <w:rsid w:val="00D65F0E"/>
    <w:rsid w:val="00D6658B"/>
    <w:rsid w:val="00D66788"/>
    <w:rsid w:val="00D71272"/>
    <w:rsid w:val="00D7137A"/>
    <w:rsid w:val="00D717CE"/>
    <w:rsid w:val="00D71B1A"/>
    <w:rsid w:val="00D71DF8"/>
    <w:rsid w:val="00D72064"/>
    <w:rsid w:val="00D72972"/>
    <w:rsid w:val="00D72FDA"/>
    <w:rsid w:val="00D74BE6"/>
    <w:rsid w:val="00D74C45"/>
    <w:rsid w:val="00D75979"/>
    <w:rsid w:val="00D76348"/>
    <w:rsid w:val="00D76B72"/>
    <w:rsid w:val="00D773B7"/>
    <w:rsid w:val="00D77535"/>
    <w:rsid w:val="00D77CEC"/>
    <w:rsid w:val="00D77D23"/>
    <w:rsid w:val="00D801CF"/>
    <w:rsid w:val="00D808F4"/>
    <w:rsid w:val="00D80ADD"/>
    <w:rsid w:val="00D811E1"/>
    <w:rsid w:val="00D81CA0"/>
    <w:rsid w:val="00D83FC4"/>
    <w:rsid w:val="00D84661"/>
    <w:rsid w:val="00D84A72"/>
    <w:rsid w:val="00D84B06"/>
    <w:rsid w:val="00D85B30"/>
    <w:rsid w:val="00D85EB7"/>
    <w:rsid w:val="00D8636D"/>
    <w:rsid w:val="00D86948"/>
    <w:rsid w:val="00D909EF"/>
    <w:rsid w:val="00D911B2"/>
    <w:rsid w:val="00D91219"/>
    <w:rsid w:val="00D91A3E"/>
    <w:rsid w:val="00D93249"/>
    <w:rsid w:val="00D93564"/>
    <w:rsid w:val="00D93C14"/>
    <w:rsid w:val="00D93DF2"/>
    <w:rsid w:val="00D93FA2"/>
    <w:rsid w:val="00D94CD2"/>
    <w:rsid w:val="00D94DC1"/>
    <w:rsid w:val="00D95BC5"/>
    <w:rsid w:val="00D95C6E"/>
    <w:rsid w:val="00D95DAD"/>
    <w:rsid w:val="00D960B0"/>
    <w:rsid w:val="00D9642D"/>
    <w:rsid w:val="00D96F4F"/>
    <w:rsid w:val="00D970DF"/>
    <w:rsid w:val="00D972A5"/>
    <w:rsid w:val="00D979F7"/>
    <w:rsid w:val="00D97E19"/>
    <w:rsid w:val="00DA08DF"/>
    <w:rsid w:val="00DA1D3F"/>
    <w:rsid w:val="00DA2173"/>
    <w:rsid w:val="00DA29A4"/>
    <w:rsid w:val="00DA3653"/>
    <w:rsid w:val="00DA4057"/>
    <w:rsid w:val="00DA430E"/>
    <w:rsid w:val="00DA449F"/>
    <w:rsid w:val="00DA4CED"/>
    <w:rsid w:val="00DA4D97"/>
    <w:rsid w:val="00DA509C"/>
    <w:rsid w:val="00DA532D"/>
    <w:rsid w:val="00DA595B"/>
    <w:rsid w:val="00DA5D20"/>
    <w:rsid w:val="00DA6303"/>
    <w:rsid w:val="00DA650A"/>
    <w:rsid w:val="00DA71A7"/>
    <w:rsid w:val="00DA734A"/>
    <w:rsid w:val="00DA7603"/>
    <w:rsid w:val="00DA7B7C"/>
    <w:rsid w:val="00DB037C"/>
    <w:rsid w:val="00DB0FA2"/>
    <w:rsid w:val="00DB1328"/>
    <w:rsid w:val="00DB1962"/>
    <w:rsid w:val="00DB1CBC"/>
    <w:rsid w:val="00DB2593"/>
    <w:rsid w:val="00DB277C"/>
    <w:rsid w:val="00DB2B39"/>
    <w:rsid w:val="00DB2FBC"/>
    <w:rsid w:val="00DB31D2"/>
    <w:rsid w:val="00DB31EE"/>
    <w:rsid w:val="00DB3AD2"/>
    <w:rsid w:val="00DB402A"/>
    <w:rsid w:val="00DB5092"/>
    <w:rsid w:val="00DB53B7"/>
    <w:rsid w:val="00DB5B3E"/>
    <w:rsid w:val="00DB60B7"/>
    <w:rsid w:val="00DB63CE"/>
    <w:rsid w:val="00DB6D88"/>
    <w:rsid w:val="00DB70A6"/>
    <w:rsid w:val="00DB73E0"/>
    <w:rsid w:val="00DB7905"/>
    <w:rsid w:val="00DB7B8D"/>
    <w:rsid w:val="00DB7BD0"/>
    <w:rsid w:val="00DC03EA"/>
    <w:rsid w:val="00DC145F"/>
    <w:rsid w:val="00DC1575"/>
    <w:rsid w:val="00DC15AA"/>
    <w:rsid w:val="00DC1709"/>
    <w:rsid w:val="00DC1AC5"/>
    <w:rsid w:val="00DC2A69"/>
    <w:rsid w:val="00DC3403"/>
    <w:rsid w:val="00DC4D16"/>
    <w:rsid w:val="00DC4DB4"/>
    <w:rsid w:val="00DC4DEC"/>
    <w:rsid w:val="00DC507F"/>
    <w:rsid w:val="00DC62C4"/>
    <w:rsid w:val="00DC6DEA"/>
    <w:rsid w:val="00DC6EAA"/>
    <w:rsid w:val="00DC7A01"/>
    <w:rsid w:val="00DD1B95"/>
    <w:rsid w:val="00DD2063"/>
    <w:rsid w:val="00DD2B0A"/>
    <w:rsid w:val="00DD377D"/>
    <w:rsid w:val="00DD3D15"/>
    <w:rsid w:val="00DD3DC7"/>
    <w:rsid w:val="00DD43BC"/>
    <w:rsid w:val="00DD4818"/>
    <w:rsid w:val="00DD519E"/>
    <w:rsid w:val="00DD5264"/>
    <w:rsid w:val="00DD5867"/>
    <w:rsid w:val="00DD58E0"/>
    <w:rsid w:val="00DD59F9"/>
    <w:rsid w:val="00DD5B90"/>
    <w:rsid w:val="00DD5B9A"/>
    <w:rsid w:val="00DD5D5A"/>
    <w:rsid w:val="00DD623A"/>
    <w:rsid w:val="00DD6873"/>
    <w:rsid w:val="00DD6A10"/>
    <w:rsid w:val="00DD6CF9"/>
    <w:rsid w:val="00DD6EEE"/>
    <w:rsid w:val="00DE0975"/>
    <w:rsid w:val="00DE0C53"/>
    <w:rsid w:val="00DE1D17"/>
    <w:rsid w:val="00DE265D"/>
    <w:rsid w:val="00DE2B30"/>
    <w:rsid w:val="00DE3684"/>
    <w:rsid w:val="00DE36C2"/>
    <w:rsid w:val="00DE401F"/>
    <w:rsid w:val="00DE41EE"/>
    <w:rsid w:val="00DE43CF"/>
    <w:rsid w:val="00DE473F"/>
    <w:rsid w:val="00DE4B07"/>
    <w:rsid w:val="00DE4B21"/>
    <w:rsid w:val="00DE569F"/>
    <w:rsid w:val="00DE5BA9"/>
    <w:rsid w:val="00DE5BB4"/>
    <w:rsid w:val="00DE5F2A"/>
    <w:rsid w:val="00DE67BF"/>
    <w:rsid w:val="00DE6AF0"/>
    <w:rsid w:val="00DE6F42"/>
    <w:rsid w:val="00DE6FEE"/>
    <w:rsid w:val="00DF0C58"/>
    <w:rsid w:val="00DF0EDD"/>
    <w:rsid w:val="00DF14D2"/>
    <w:rsid w:val="00DF15FC"/>
    <w:rsid w:val="00DF16AF"/>
    <w:rsid w:val="00DF1A8A"/>
    <w:rsid w:val="00DF205C"/>
    <w:rsid w:val="00DF2AAD"/>
    <w:rsid w:val="00DF2DBC"/>
    <w:rsid w:val="00DF326E"/>
    <w:rsid w:val="00DF351F"/>
    <w:rsid w:val="00DF36FE"/>
    <w:rsid w:val="00DF3706"/>
    <w:rsid w:val="00DF37E1"/>
    <w:rsid w:val="00DF3AA2"/>
    <w:rsid w:val="00DF45B2"/>
    <w:rsid w:val="00DF540C"/>
    <w:rsid w:val="00DF5761"/>
    <w:rsid w:val="00DF598F"/>
    <w:rsid w:val="00DF5C73"/>
    <w:rsid w:val="00DF6A8F"/>
    <w:rsid w:val="00DF71AB"/>
    <w:rsid w:val="00DF7B8F"/>
    <w:rsid w:val="00DF7BAA"/>
    <w:rsid w:val="00DF7BCC"/>
    <w:rsid w:val="00DF7F7F"/>
    <w:rsid w:val="00E00879"/>
    <w:rsid w:val="00E00ADF"/>
    <w:rsid w:val="00E01CD3"/>
    <w:rsid w:val="00E01E88"/>
    <w:rsid w:val="00E022B3"/>
    <w:rsid w:val="00E02D5D"/>
    <w:rsid w:val="00E03148"/>
    <w:rsid w:val="00E03582"/>
    <w:rsid w:val="00E04EB1"/>
    <w:rsid w:val="00E054C8"/>
    <w:rsid w:val="00E061DE"/>
    <w:rsid w:val="00E06D7B"/>
    <w:rsid w:val="00E104EB"/>
    <w:rsid w:val="00E10E27"/>
    <w:rsid w:val="00E10E51"/>
    <w:rsid w:val="00E116F6"/>
    <w:rsid w:val="00E1186A"/>
    <w:rsid w:val="00E122E8"/>
    <w:rsid w:val="00E126D2"/>
    <w:rsid w:val="00E12724"/>
    <w:rsid w:val="00E12BDD"/>
    <w:rsid w:val="00E12CE4"/>
    <w:rsid w:val="00E1309B"/>
    <w:rsid w:val="00E13258"/>
    <w:rsid w:val="00E1478C"/>
    <w:rsid w:val="00E14C5F"/>
    <w:rsid w:val="00E15228"/>
    <w:rsid w:val="00E15358"/>
    <w:rsid w:val="00E1565A"/>
    <w:rsid w:val="00E1580C"/>
    <w:rsid w:val="00E15F57"/>
    <w:rsid w:val="00E16022"/>
    <w:rsid w:val="00E165AD"/>
    <w:rsid w:val="00E16DB6"/>
    <w:rsid w:val="00E20657"/>
    <w:rsid w:val="00E2087A"/>
    <w:rsid w:val="00E212C5"/>
    <w:rsid w:val="00E213CD"/>
    <w:rsid w:val="00E21671"/>
    <w:rsid w:val="00E21764"/>
    <w:rsid w:val="00E21EF2"/>
    <w:rsid w:val="00E225CF"/>
    <w:rsid w:val="00E22D5C"/>
    <w:rsid w:val="00E237BE"/>
    <w:rsid w:val="00E24338"/>
    <w:rsid w:val="00E244BA"/>
    <w:rsid w:val="00E24E3A"/>
    <w:rsid w:val="00E25320"/>
    <w:rsid w:val="00E25E26"/>
    <w:rsid w:val="00E2669C"/>
    <w:rsid w:val="00E27DCA"/>
    <w:rsid w:val="00E300FE"/>
    <w:rsid w:val="00E30507"/>
    <w:rsid w:val="00E306A1"/>
    <w:rsid w:val="00E30CD9"/>
    <w:rsid w:val="00E3239D"/>
    <w:rsid w:val="00E32672"/>
    <w:rsid w:val="00E33147"/>
    <w:rsid w:val="00E336F8"/>
    <w:rsid w:val="00E339C0"/>
    <w:rsid w:val="00E33AAB"/>
    <w:rsid w:val="00E33C88"/>
    <w:rsid w:val="00E33FBD"/>
    <w:rsid w:val="00E34B93"/>
    <w:rsid w:val="00E34D72"/>
    <w:rsid w:val="00E34FAC"/>
    <w:rsid w:val="00E359D5"/>
    <w:rsid w:val="00E35A1F"/>
    <w:rsid w:val="00E35C07"/>
    <w:rsid w:val="00E35EC9"/>
    <w:rsid w:val="00E37000"/>
    <w:rsid w:val="00E37335"/>
    <w:rsid w:val="00E373D9"/>
    <w:rsid w:val="00E37AA4"/>
    <w:rsid w:val="00E404A0"/>
    <w:rsid w:val="00E40E5A"/>
    <w:rsid w:val="00E40E80"/>
    <w:rsid w:val="00E40EA2"/>
    <w:rsid w:val="00E40F39"/>
    <w:rsid w:val="00E4174F"/>
    <w:rsid w:val="00E41F7A"/>
    <w:rsid w:val="00E424EC"/>
    <w:rsid w:val="00E426B9"/>
    <w:rsid w:val="00E428C7"/>
    <w:rsid w:val="00E43041"/>
    <w:rsid w:val="00E43265"/>
    <w:rsid w:val="00E4335E"/>
    <w:rsid w:val="00E435BF"/>
    <w:rsid w:val="00E43847"/>
    <w:rsid w:val="00E43DFB"/>
    <w:rsid w:val="00E4402B"/>
    <w:rsid w:val="00E447CE"/>
    <w:rsid w:val="00E4485D"/>
    <w:rsid w:val="00E44877"/>
    <w:rsid w:val="00E44B2A"/>
    <w:rsid w:val="00E45731"/>
    <w:rsid w:val="00E45753"/>
    <w:rsid w:val="00E4581F"/>
    <w:rsid w:val="00E4584A"/>
    <w:rsid w:val="00E458E5"/>
    <w:rsid w:val="00E45921"/>
    <w:rsid w:val="00E465A4"/>
    <w:rsid w:val="00E47828"/>
    <w:rsid w:val="00E50CC9"/>
    <w:rsid w:val="00E5113E"/>
    <w:rsid w:val="00E51879"/>
    <w:rsid w:val="00E526EE"/>
    <w:rsid w:val="00E52857"/>
    <w:rsid w:val="00E53B73"/>
    <w:rsid w:val="00E53BB6"/>
    <w:rsid w:val="00E54717"/>
    <w:rsid w:val="00E54926"/>
    <w:rsid w:val="00E54F40"/>
    <w:rsid w:val="00E55249"/>
    <w:rsid w:val="00E554B0"/>
    <w:rsid w:val="00E554C2"/>
    <w:rsid w:val="00E55B19"/>
    <w:rsid w:val="00E56403"/>
    <w:rsid w:val="00E5641D"/>
    <w:rsid w:val="00E56E8B"/>
    <w:rsid w:val="00E57752"/>
    <w:rsid w:val="00E60890"/>
    <w:rsid w:val="00E60976"/>
    <w:rsid w:val="00E625C1"/>
    <w:rsid w:val="00E627BA"/>
    <w:rsid w:val="00E62AAA"/>
    <w:rsid w:val="00E62ADA"/>
    <w:rsid w:val="00E62B54"/>
    <w:rsid w:val="00E62EBD"/>
    <w:rsid w:val="00E6311C"/>
    <w:rsid w:val="00E63404"/>
    <w:rsid w:val="00E63937"/>
    <w:rsid w:val="00E63F3B"/>
    <w:rsid w:val="00E6459E"/>
    <w:rsid w:val="00E65354"/>
    <w:rsid w:val="00E657D4"/>
    <w:rsid w:val="00E66065"/>
    <w:rsid w:val="00E66072"/>
    <w:rsid w:val="00E66228"/>
    <w:rsid w:val="00E66564"/>
    <w:rsid w:val="00E666DC"/>
    <w:rsid w:val="00E672EF"/>
    <w:rsid w:val="00E70327"/>
    <w:rsid w:val="00E71523"/>
    <w:rsid w:val="00E71E18"/>
    <w:rsid w:val="00E72155"/>
    <w:rsid w:val="00E72965"/>
    <w:rsid w:val="00E735A4"/>
    <w:rsid w:val="00E73F1E"/>
    <w:rsid w:val="00E74123"/>
    <w:rsid w:val="00E75125"/>
    <w:rsid w:val="00E757A3"/>
    <w:rsid w:val="00E75C1F"/>
    <w:rsid w:val="00E76AE4"/>
    <w:rsid w:val="00E76C63"/>
    <w:rsid w:val="00E76CD2"/>
    <w:rsid w:val="00E76F86"/>
    <w:rsid w:val="00E77D11"/>
    <w:rsid w:val="00E810AC"/>
    <w:rsid w:val="00E8116B"/>
    <w:rsid w:val="00E81360"/>
    <w:rsid w:val="00E81496"/>
    <w:rsid w:val="00E82026"/>
    <w:rsid w:val="00E820C8"/>
    <w:rsid w:val="00E827FE"/>
    <w:rsid w:val="00E83AC3"/>
    <w:rsid w:val="00E83BF6"/>
    <w:rsid w:val="00E83E75"/>
    <w:rsid w:val="00E85CA8"/>
    <w:rsid w:val="00E86AD1"/>
    <w:rsid w:val="00E86DDC"/>
    <w:rsid w:val="00E86E50"/>
    <w:rsid w:val="00E8705C"/>
    <w:rsid w:val="00E90127"/>
    <w:rsid w:val="00E90A4C"/>
    <w:rsid w:val="00E91018"/>
    <w:rsid w:val="00E912E7"/>
    <w:rsid w:val="00E912F3"/>
    <w:rsid w:val="00E91372"/>
    <w:rsid w:val="00E9161B"/>
    <w:rsid w:val="00E92084"/>
    <w:rsid w:val="00E9217A"/>
    <w:rsid w:val="00E92540"/>
    <w:rsid w:val="00E927E5"/>
    <w:rsid w:val="00E928E5"/>
    <w:rsid w:val="00E92C74"/>
    <w:rsid w:val="00E92DD3"/>
    <w:rsid w:val="00E9394A"/>
    <w:rsid w:val="00E93F6E"/>
    <w:rsid w:val="00E9410A"/>
    <w:rsid w:val="00E952AC"/>
    <w:rsid w:val="00E9628D"/>
    <w:rsid w:val="00E97267"/>
    <w:rsid w:val="00E97CCE"/>
    <w:rsid w:val="00EA045B"/>
    <w:rsid w:val="00EA0495"/>
    <w:rsid w:val="00EA0785"/>
    <w:rsid w:val="00EA139A"/>
    <w:rsid w:val="00EA1E54"/>
    <w:rsid w:val="00EA2324"/>
    <w:rsid w:val="00EA2560"/>
    <w:rsid w:val="00EA3364"/>
    <w:rsid w:val="00EA3F14"/>
    <w:rsid w:val="00EA4055"/>
    <w:rsid w:val="00EA4158"/>
    <w:rsid w:val="00EA4319"/>
    <w:rsid w:val="00EA4372"/>
    <w:rsid w:val="00EA44C0"/>
    <w:rsid w:val="00EA45B6"/>
    <w:rsid w:val="00EA6264"/>
    <w:rsid w:val="00EA6BD8"/>
    <w:rsid w:val="00EA6C14"/>
    <w:rsid w:val="00EA7B21"/>
    <w:rsid w:val="00EA7FC9"/>
    <w:rsid w:val="00EB0496"/>
    <w:rsid w:val="00EB0EB1"/>
    <w:rsid w:val="00EB198A"/>
    <w:rsid w:val="00EB19CB"/>
    <w:rsid w:val="00EB2568"/>
    <w:rsid w:val="00EB2F9B"/>
    <w:rsid w:val="00EB3093"/>
    <w:rsid w:val="00EB39D2"/>
    <w:rsid w:val="00EB48C5"/>
    <w:rsid w:val="00EB52E1"/>
    <w:rsid w:val="00EB5833"/>
    <w:rsid w:val="00EB58CC"/>
    <w:rsid w:val="00EB5978"/>
    <w:rsid w:val="00EB5C41"/>
    <w:rsid w:val="00EB6311"/>
    <w:rsid w:val="00EB6CCA"/>
    <w:rsid w:val="00EB7248"/>
    <w:rsid w:val="00EB7450"/>
    <w:rsid w:val="00EB777C"/>
    <w:rsid w:val="00EB7C67"/>
    <w:rsid w:val="00EC19BE"/>
    <w:rsid w:val="00EC1C18"/>
    <w:rsid w:val="00EC1D18"/>
    <w:rsid w:val="00EC233D"/>
    <w:rsid w:val="00EC2AFE"/>
    <w:rsid w:val="00EC2DF3"/>
    <w:rsid w:val="00EC31C3"/>
    <w:rsid w:val="00EC320A"/>
    <w:rsid w:val="00EC32EA"/>
    <w:rsid w:val="00EC33D9"/>
    <w:rsid w:val="00EC36D4"/>
    <w:rsid w:val="00EC3A52"/>
    <w:rsid w:val="00EC3EB2"/>
    <w:rsid w:val="00EC4120"/>
    <w:rsid w:val="00EC4ACF"/>
    <w:rsid w:val="00EC4F94"/>
    <w:rsid w:val="00EC5650"/>
    <w:rsid w:val="00EC67FC"/>
    <w:rsid w:val="00EC7638"/>
    <w:rsid w:val="00ED082B"/>
    <w:rsid w:val="00ED083B"/>
    <w:rsid w:val="00ED0E55"/>
    <w:rsid w:val="00ED126F"/>
    <w:rsid w:val="00ED14D9"/>
    <w:rsid w:val="00ED1DD9"/>
    <w:rsid w:val="00ED252F"/>
    <w:rsid w:val="00ED3531"/>
    <w:rsid w:val="00ED3D08"/>
    <w:rsid w:val="00ED4DC2"/>
    <w:rsid w:val="00ED5C17"/>
    <w:rsid w:val="00ED5E87"/>
    <w:rsid w:val="00ED6650"/>
    <w:rsid w:val="00ED69CB"/>
    <w:rsid w:val="00ED71F6"/>
    <w:rsid w:val="00ED7287"/>
    <w:rsid w:val="00ED7D65"/>
    <w:rsid w:val="00EE033B"/>
    <w:rsid w:val="00EE0473"/>
    <w:rsid w:val="00EE0AFC"/>
    <w:rsid w:val="00EE103D"/>
    <w:rsid w:val="00EE13A7"/>
    <w:rsid w:val="00EE1BC4"/>
    <w:rsid w:val="00EE2947"/>
    <w:rsid w:val="00EE2BDE"/>
    <w:rsid w:val="00EE3236"/>
    <w:rsid w:val="00EE3553"/>
    <w:rsid w:val="00EE391A"/>
    <w:rsid w:val="00EE3CC5"/>
    <w:rsid w:val="00EE458F"/>
    <w:rsid w:val="00EE46F4"/>
    <w:rsid w:val="00EE4F3A"/>
    <w:rsid w:val="00EE5009"/>
    <w:rsid w:val="00EE5323"/>
    <w:rsid w:val="00EE5590"/>
    <w:rsid w:val="00EE61CD"/>
    <w:rsid w:val="00EE69C8"/>
    <w:rsid w:val="00EE69D7"/>
    <w:rsid w:val="00EE77CE"/>
    <w:rsid w:val="00EE7A6F"/>
    <w:rsid w:val="00EE8FAA"/>
    <w:rsid w:val="00EF036E"/>
    <w:rsid w:val="00EF08C8"/>
    <w:rsid w:val="00EF1D08"/>
    <w:rsid w:val="00EF1DBB"/>
    <w:rsid w:val="00EF2313"/>
    <w:rsid w:val="00EF2ECB"/>
    <w:rsid w:val="00EF303F"/>
    <w:rsid w:val="00EF33D5"/>
    <w:rsid w:val="00EF3FAC"/>
    <w:rsid w:val="00EF410D"/>
    <w:rsid w:val="00EF488D"/>
    <w:rsid w:val="00EF4CF9"/>
    <w:rsid w:val="00EF4E6F"/>
    <w:rsid w:val="00EF557E"/>
    <w:rsid w:val="00EF5A79"/>
    <w:rsid w:val="00EF5CE9"/>
    <w:rsid w:val="00EF608F"/>
    <w:rsid w:val="00EF690D"/>
    <w:rsid w:val="00EF6EC7"/>
    <w:rsid w:val="00EF71D5"/>
    <w:rsid w:val="00EF7756"/>
    <w:rsid w:val="00EF7E3D"/>
    <w:rsid w:val="00F0076F"/>
    <w:rsid w:val="00F00CA6"/>
    <w:rsid w:val="00F01362"/>
    <w:rsid w:val="00F01921"/>
    <w:rsid w:val="00F01B36"/>
    <w:rsid w:val="00F028AC"/>
    <w:rsid w:val="00F0343B"/>
    <w:rsid w:val="00F0436A"/>
    <w:rsid w:val="00F04D1B"/>
    <w:rsid w:val="00F04D94"/>
    <w:rsid w:val="00F05203"/>
    <w:rsid w:val="00F05DDC"/>
    <w:rsid w:val="00F06080"/>
    <w:rsid w:val="00F064FF"/>
    <w:rsid w:val="00F06551"/>
    <w:rsid w:val="00F06945"/>
    <w:rsid w:val="00F06E2B"/>
    <w:rsid w:val="00F07164"/>
    <w:rsid w:val="00F078E8"/>
    <w:rsid w:val="00F101AF"/>
    <w:rsid w:val="00F11533"/>
    <w:rsid w:val="00F117B0"/>
    <w:rsid w:val="00F1238C"/>
    <w:rsid w:val="00F128B9"/>
    <w:rsid w:val="00F130EC"/>
    <w:rsid w:val="00F14203"/>
    <w:rsid w:val="00F14997"/>
    <w:rsid w:val="00F14B30"/>
    <w:rsid w:val="00F1510F"/>
    <w:rsid w:val="00F156FA"/>
    <w:rsid w:val="00F164AA"/>
    <w:rsid w:val="00F171BB"/>
    <w:rsid w:val="00F17A36"/>
    <w:rsid w:val="00F2005B"/>
    <w:rsid w:val="00F204B1"/>
    <w:rsid w:val="00F20820"/>
    <w:rsid w:val="00F213E1"/>
    <w:rsid w:val="00F2157B"/>
    <w:rsid w:val="00F21A31"/>
    <w:rsid w:val="00F222DC"/>
    <w:rsid w:val="00F22413"/>
    <w:rsid w:val="00F22786"/>
    <w:rsid w:val="00F22BC3"/>
    <w:rsid w:val="00F22C5A"/>
    <w:rsid w:val="00F236D7"/>
    <w:rsid w:val="00F23C3C"/>
    <w:rsid w:val="00F23F8D"/>
    <w:rsid w:val="00F24149"/>
    <w:rsid w:val="00F2441B"/>
    <w:rsid w:val="00F246A2"/>
    <w:rsid w:val="00F24810"/>
    <w:rsid w:val="00F24FB1"/>
    <w:rsid w:val="00F25221"/>
    <w:rsid w:val="00F25800"/>
    <w:rsid w:val="00F25C47"/>
    <w:rsid w:val="00F26DD3"/>
    <w:rsid w:val="00F273C2"/>
    <w:rsid w:val="00F27567"/>
    <w:rsid w:val="00F27928"/>
    <w:rsid w:val="00F30A13"/>
    <w:rsid w:val="00F31553"/>
    <w:rsid w:val="00F31671"/>
    <w:rsid w:val="00F31E78"/>
    <w:rsid w:val="00F31F49"/>
    <w:rsid w:val="00F32072"/>
    <w:rsid w:val="00F32143"/>
    <w:rsid w:val="00F328C0"/>
    <w:rsid w:val="00F33286"/>
    <w:rsid w:val="00F33FD7"/>
    <w:rsid w:val="00F340A2"/>
    <w:rsid w:val="00F341E0"/>
    <w:rsid w:val="00F346CD"/>
    <w:rsid w:val="00F34BF5"/>
    <w:rsid w:val="00F34C91"/>
    <w:rsid w:val="00F352EC"/>
    <w:rsid w:val="00F35304"/>
    <w:rsid w:val="00F35DB6"/>
    <w:rsid w:val="00F3612C"/>
    <w:rsid w:val="00F3661E"/>
    <w:rsid w:val="00F367FC"/>
    <w:rsid w:val="00F36919"/>
    <w:rsid w:val="00F36E3E"/>
    <w:rsid w:val="00F375B2"/>
    <w:rsid w:val="00F37E2A"/>
    <w:rsid w:val="00F40FDF"/>
    <w:rsid w:val="00F4143E"/>
    <w:rsid w:val="00F419FD"/>
    <w:rsid w:val="00F41FBA"/>
    <w:rsid w:val="00F422B1"/>
    <w:rsid w:val="00F424DD"/>
    <w:rsid w:val="00F433FA"/>
    <w:rsid w:val="00F4342F"/>
    <w:rsid w:val="00F45009"/>
    <w:rsid w:val="00F45261"/>
    <w:rsid w:val="00F457A5"/>
    <w:rsid w:val="00F45803"/>
    <w:rsid w:val="00F4589B"/>
    <w:rsid w:val="00F45906"/>
    <w:rsid w:val="00F45A12"/>
    <w:rsid w:val="00F45C0A"/>
    <w:rsid w:val="00F46145"/>
    <w:rsid w:val="00F469E7"/>
    <w:rsid w:val="00F473A5"/>
    <w:rsid w:val="00F47777"/>
    <w:rsid w:val="00F479AB"/>
    <w:rsid w:val="00F5000A"/>
    <w:rsid w:val="00F50477"/>
    <w:rsid w:val="00F53543"/>
    <w:rsid w:val="00F53716"/>
    <w:rsid w:val="00F53AFD"/>
    <w:rsid w:val="00F53C8F"/>
    <w:rsid w:val="00F54DE4"/>
    <w:rsid w:val="00F5597D"/>
    <w:rsid w:val="00F55B4F"/>
    <w:rsid w:val="00F56251"/>
    <w:rsid w:val="00F562A1"/>
    <w:rsid w:val="00F5638B"/>
    <w:rsid w:val="00F564BD"/>
    <w:rsid w:val="00F56D6C"/>
    <w:rsid w:val="00F5705E"/>
    <w:rsid w:val="00F571B3"/>
    <w:rsid w:val="00F574C0"/>
    <w:rsid w:val="00F6003C"/>
    <w:rsid w:val="00F60202"/>
    <w:rsid w:val="00F60C81"/>
    <w:rsid w:val="00F614DF"/>
    <w:rsid w:val="00F6171C"/>
    <w:rsid w:val="00F62532"/>
    <w:rsid w:val="00F62581"/>
    <w:rsid w:val="00F63178"/>
    <w:rsid w:val="00F637E9"/>
    <w:rsid w:val="00F6383E"/>
    <w:rsid w:val="00F63CC6"/>
    <w:rsid w:val="00F65416"/>
    <w:rsid w:val="00F65990"/>
    <w:rsid w:val="00F66546"/>
    <w:rsid w:val="00F6674C"/>
    <w:rsid w:val="00F67776"/>
    <w:rsid w:val="00F67B3C"/>
    <w:rsid w:val="00F704AA"/>
    <w:rsid w:val="00F709AA"/>
    <w:rsid w:val="00F71D5F"/>
    <w:rsid w:val="00F725DB"/>
    <w:rsid w:val="00F72793"/>
    <w:rsid w:val="00F72E16"/>
    <w:rsid w:val="00F72E53"/>
    <w:rsid w:val="00F73E27"/>
    <w:rsid w:val="00F73F18"/>
    <w:rsid w:val="00F74500"/>
    <w:rsid w:val="00F745A7"/>
    <w:rsid w:val="00F75298"/>
    <w:rsid w:val="00F76397"/>
    <w:rsid w:val="00F77D46"/>
    <w:rsid w:val="00F77F9C"/>
    <w:rsid w:val="00F80C62"/>
    <w:rsid w:val="00F81772"/>
    <w:rsid w:val="00F81C1C"/>
    <w:rsid w:val="00F81E6A"/>
    <w:rsid w:val="00F82300"/>
    <w:rsid w:val="00F8298E"/>
    <w:rsid w:val="00F82E97"/>
    <w:rsid w:val="00F83579"/>
    <w:rsid w:val="00F83CBC"/>
    <w:rsid w:val="00F84208"/>
    <w:rsid w:val="00F8502D"/>
    <w:rsid w:val="00F850C5"/>
    <w:rsid w:val="00F8572E"/>
    <w:rsid w:val="00F8590E"/>
    <w:rsid w:val="00F86479"/>
    <w:rsid w:val="00F870E1"/>
    <w:rsid w:val="00F87108"/>
    <w:rsid w:val="00F8774D"/>
    <w:rsid w:val="00F8934D"/>
    <w:rsid w:val="00F90495"/>
    <w:rsid w:val="00F90692"/>
    <w:rsid w:val="00F907D5"/>
    <w:rsid w:val="00F91D7B"/>
    <w:rsid w:val="00F922E9"/>
    <w:rsid w:val="00F92570"/>
    <w:rsid w:val="00F92781"/>
    <w:rsid w:val="00F93B22"/>
    <w:rsid w:val="00F94036"/>
    <w:rsid w:val="00F94159"/>
    <w:rsid w:val="00F9444D"/>
    <w:rsid w:val="00F946D7"/>
    <w:rsid w:val="00F947BC"/>
    <w:rsid w:val="00F94B89"/>
    <w:rsid w:val="00F9577A"/>
    <w:rsid w:val="00F9646D"/>
    <w:rsid w:val="00F967C8"/>
    <w:rsid w:val="00F9680C"/>
    <w:rsid w:val="00F9708C"/>
    <w:rsid w:val="00F97205"/>
    <w:rsid w:val="00F97DD0"/>
    <w:rsid w:val="00FA02D3"/>
    <w:rsid w:val="00FA06D8"/>
    <w:rsid w:val="00FA0D90"/>
    <w:rsid w:val="00FA122D"/>
    <w:rsid w:val="00FA1361"/>
    <w:rsid w:val="00FA191D"/>
    <w:rsid w:val="00FA1FF4"/>
    <w:rsid w:val="00FA206D"/>
    <w:rsid w:val="00FA2580"/>
    <w:rsid w:val="00FA2D89"/>
    <w:rsid w:val="00FA2DE7"/>
    <w:rsid w:val="00FA33F6"/>
    <w:rsid w:val="00FA34B0"/>
    <w:rsid w:val="00FA36FE"/>
    <w:rsid w:val="00FA3E1E"/>
    <w:rsid w:val="00FA414C"/>
    <w:rsid w:val="00FA5890"/>
    <w:rsid w:val="00FA5B7E"/>
    <w:rsid w:val="00FA5C89"/>
    <w:rsid w:val="00FA6098"/>
    <w:rsid w:val="00FA65A0"/>
    <w:rsid w:val="00FA7499"/>
    <w:rsid w:val="00FA792B"/>
    <w:rsid w:val="00FB0655"/>
    <w:rsid w:val="00FB109B"/>
    <w:rsid w:val="00FB11FD"/>
    <w:rsid w:val="00FB1BDD"/>
    <w:rsid w:val="00FB2EF5"/>
    <w:rsid w:val="00FB3465"/>
    <w:rsid w:val="00FB3A2B"/>
    <w:rsid w:val="00FB3FFA"/>
    <w:rsid w:val="00FB4D62"/>
    <w:rsid w:val="00FB50F1"/>
    <w:rsid w:val="00FB50F7"/>
    <w:rsid w:val="00FB572C"/>
    <w:rsid w:val="00FB5F88"/>
    <w:rsid w:val="00FB65D3"/>
    <w:rsid w:val="00FB6686"/>
    <w:rsid w:val="00FB7020"/>
    <w:rsid w:val="00FB7101"/>
    <w:rsid w:val="00FC0116"/>
    <w:rsid w:val="00FC0D56"/>
    <w:rsid w:val="00FC1404"/>
    <w:rsid w:val="00FC19C0"/>
    <w:rsid w:val="00FC1FAF"/>
    <w:rsid w:val="00FC25F2"/>
    <w:rsid w:val="00FC2C18"/>
    <w:rsid w:val="00FC33CE"/>
    <w:rsid w:val="00FC34CA"/>
    <w:rsid w:val="00FC37C7"/>
    <w:rsid w:val="00FC42F7"/>
    <w:rsid w:val="00FC4369"/>
    <w:rsid w:val="00FC4785"/>
    <w:rsid w:val="00FC67CD"/>
    <w:rsid w:val="00FC6A75"/>
    <w:rsid w:val="00FD0359"/>
    <w:rsid w:val="00FD161E"/>
    <w:rsid w:val="00FD176B"/>
    <w:rsid w:val="00FD28E1"/>
    <w:rsid w:val="00FD2A96"/>
    <w:rsid w:val="00FD3567"/>
    <w:rsid w:val="00FD39D9"/>
    <w:rsid w:val="00FD39EA"/>
    <w:rsid w:val="00FD48E5"/>
    <w:rsid w:val="00FD4A1D"/>
    <w:rsid w:val="00FD4C9C"/>
    <w:rsid w:val="00FD60D6"/>
    <w:rsid w:val="00FD6CBC"/>
    <w:rsid w:val="00FD71B5"/>
    <w:rsid w:val="00FD74E3"/>
    <w:rsid w:val="00FD75B5"/>
    <w:rsid w:val="00FD79C2"/>
    <w:rsid w:val="00FE0760"/>
    <w:rsid w:val="00FE0856"/>
    <w:rsid w:val="00FE0F3B"/>
    <w:rsid w:val="00FE0FCE"/>
    <w:rsid w:val="00FE1079"/>
    <w:rsid w:val="00FE112F"/>
    <w:rsid w:val="00FE1D8E"/>
    <w:rsid w:val="00FE2676"/>
    <w:rsid w:val="00FE3189"/>
    <w:rsid w:val="00FE3788"/>
    <w:rsid w:val="00FE38D3"/>
    <w:rsid w:val="00FE482F"/>
    <w:rsid w:val="00FE4B7B"/>
    <w:rsid w:val="00FE4D97"/>
    <w:rsid w:val="00FE5275"/>
    <w:rsid w:val="00FE5585"/>
    <w:rsid w:val="00FE58FC"/>
    <w:rsid w:val="00FE5958"/>
    <w:rsid w:val="00FE624E"/>
    <w:rsid w:val="00FE65BA"/>
    <w:rsid w:val="00FE734E"/>
    <w:rsid w:val="00FE75E7"/>
    <w:rsid w:val="00FE78B4"/>
    <w:rsid w:val="00FE7906"/>
    <w:rsid w:val="00FE7E4F"/>
    <w:rsid w:val="00FF02AE"/>
    <w:rsid w:val="00FF0A33"/>
    <w:rsid w:val="00FF0C08"/>
    <w:rsid w:val="00FF0E1E"/>
    <w:rsid w:val="00FF1047"/>
    <w:rsid w:val="00FF14AD"/>
    <w:rsid w:val="00FF17C8"/>
    <w:rsid w:val="00FF1D46"/>
    <w:rsid w:val="00FF285B"/>
    <w:rsid w:val="00FF28B1"/>
    <w:rsid w:val="00FF3BB5"/>
    <w:rsid w:val="00FF3E2F"/>
    <w:rsid w:val="00FF40A1"/>
    <w:rsid w:val="00FF4E82"/>
    <w:rsid w:val="00FF5155"/>
    <w:rsid w:val="00FF5315"/>
    <w:rsid w:val="00FF69BA"/>
    <w:rsid w:val="00FF71E5"/>
    <w:rsid w:val="00FF7741"/>
    <w:rsid w:val="00FF776B"/>
    <w:rsid w:val="01123A19"/>
    <w:rsid w:val="011B6A9B"/>
    <w:rsid w:val="01599E96"/>
    <w:rsid w:val="019E682A"/>
    <w:rsid w:val="01AED37F"/>
    <w:rsid w:val="01D8235D"/>
    <w:rsid w:val="0212E838"/>
    <w:rsid w:val="021EC42D"/>
    <w:rsid w:val="02200B72"/>
    <w:rsid w:val="024269FB"/>
    <w:rsid w:val="024A2338"/>
    <w:rsid w:val="0276CBBF"/>
    <w:rsid w:val="029C9674"/>
    <w:rsid w:val="02BAB3D5"/>
    <w:rsid w:val="02CA04F2"/>
    <w:rsid w:val="032D1A66"/>
    <w:rsid w:val="033167E1"/>
    <w:rsid w:val="034B5FE1"/>
    <w:rsid w:val="03637AF8"/>
    <w:rsid w:val="03982BCD"/>
    <w:rsid w:val="03C4E559"/>
    <w:rsid w:val="03C7FDF2"/>
    <w:rsid w:val="03C9F33F"/>
    <w:rsid w:val="0414C3CA"/>
    <w:rsid w:val="042947F8"/>
    <w:rsid w:val="043D3715"/>
    <w:rsid w:val="04559901"/>
    <w:rsid w:val="046A6F6C"/>
    <w:rsid w:val="047794D1"/>
    <w:rsid w:val="04899A52"/>
    <w:rsid w:val="04908F12"/>
    <w:rsid w:val="04A45164"/>
    <w:rsid w:val="04E63C02"/>
    <w:rsid w:val="050CE351"/>
    <w:rsid w:val="05112B1C"/>
    <w:rsid w:val="0512A918"/>
    <w:rsid w:val="052D83EA"/>
    <w:rsid w:val="054D9E4B"/>
    <w:rsid w:val="0558058F"/>
    <w:rsid w:val="057F8F0A"/>
    <w:rsid w:val="0586E84C"/>
    <w:rsid w:val="058E89B1"/>
    <w:rsid w:val="059B5811"/>
    <w:rsid w:val="05D92352"/>
    <w:rsid w:val="05E167D2"/>
    <w:rsid w:val="05EE2EE9"/>
    <w:rsid w:val="06000185"/>
    <w:rsid w:val="06249327"/>
    <w:rsid w:val="064DDA4B"/>
    <w:rsid w:val="0672BE30"/>
    <w:rsid w:val="068CD656"/>
    <w:rsid w:val="069840B1"/>
    <w:rsid w:val="06A8107A"/>
    <w:rsid w:val="06AAAD8C"/>
    <w:rsid w:val="06E30F4B"/>
    <w:rsid w:val="06FFD667"/>
    <w:rsid w:val="07527425"/>
    <w:rsid w:val="075DB31C"/>
    <w:rsid w:val="0762FD1B"/>
    <w:rsid w:val="0768780E"/>
    <w:rsid w:val="0788B04E"/>
    <w:rsid w:val="078C6DB7"/>
    <w:rsid w:val="079537AB"/>
    <w:rsid w:val="07AD576D"/>
    <w:rsid w:val="07FDE04F"/>
    <w:rsid w:val="08007D00"/>
    <w:rsid w:val="08008E13"/>
    <w:rsid w:val="0806F78E"/>
    <w:rsid w:val="080977B8"/>
    <w:rsid w:val="0827DE67"/>
    <w:rsid w:val="084C8CC9"/>
    <w:rsid w:val="08576F3B"/>
    <w:rsid w:val="088B58D1"/>
    <w:rsid w:val="08A32E99"/>
    <w:rsid w:val="08B6302B"/>
    <w:rsid w:val="08C3D7E3"/>
    <w:rsid w:val="08C3DE3B"/>
    <w:rsid w:val="08D06B20"/>
    <w:rsid w:val="08DE338D"/>
    <w:rsid w:val="08F95987"/>
    <w:rsid w:val="0900A8E2"/>
    <w:rsid w:val="09148A92"/>
    <w:rsid w:val="091F3B02"/>
    <w:rsid w:val="09329A2F"/>
    <w:rsid w:val="094F7C8C"/>
    <w:rsid w:val="0974EB99"/>
    <w:rsid w:val="09869D91"/>
    <w:rsid w:val="099202F6"/>
    <w:rsid w:val="099A670E"/>
    <w:rsid w:val="09B25563"/>
    <w:rsid w:val="09B4F6BC"/>
    <w:rsid w:val="0A0E020B"/>
    <w:rsid w:val="0A274EB9"/>
    <w:rsid w:val="0A574277"/>
    <w:rsid w:val="0A584920"/>
    <w:rsid w:val="0A7E128B"/>
    <w:rsid w:val="0A926D39"/>
    <w:rsid w:val="0AA2599E"/>
    <w:rsid w:val="0AC27126"/>
    <w:rsid w:val="0AD11C47"/>
    <w:rsid w:val="0B4ADD06"/>
    <w:rsid w:val="0B4EBE2E"/>
    <w:rsid w:val="0B7665E0"/>
    <w:rsid w:val="0BA3B709"/>
    <w:rsid w:val="0BAE0329"/>
    <w:rsid w:val="0BB68614"/>
    <w:rsid w:val="0BC3C2E9"/>
    <w:rsid w:val="0BCAAE0A"/>
    <w:rsid w:val="0BCB53D5"/>
    <w:rsid w:val="0BF719B8"/>
    <w:rsid w:val="0BF82ADC"/>
    <w:rsid w:val="0BF932CA"/>
    <w:rsid w:val="0C433E10"/>
    <w:rsid w:val="0C5160A4"/>
    <w:rsid w:val="0C552BFA"/>
    <w:rsid w:val="0C56261F"/>
    <w:rsid w:val="0C58128F"/>
    <w:rsid w:val="0C6B6023"/>
    <w:rsid w:val="0C7C969F"/>
    <w:rsid w:val="0C99BC20"/>
    <w:rsid w:val="0CA4E0FB"/>
    <w:rsid w:val="0CDA9EBA"/>
    <w:rsid w:val="0CDECA47"/>
    <w:rsid w:val="0CDFE238"/>
    <w:rsid w:val="0D0817A2"/>
    <w:rsid w:val="0D166768"/>
    <w:rsid w:val="0D80E7AA"/>
    <w:rsid w:val="0D94126F"/>
    <w:rsid w:val="0DAF5C13"/>
    <w:rsid w:val="0DD397DB"/>
    <w:rsid w:val="0DFD7EF3"/>
    <w:rsid w:val="0E2A0DDB"/>
    <w:rsid w:val="0E6F2487"/>
    <w:rsid w:val="0E9D639E"/>
    <w:rsid w:val="0EBCFDAF"/>
    <w:rsid w:val="0ED7F806"/>
    <w:rsid w:val="0EFA288E"/>
    <w:rsid w:val="0F1E17E8"/>
    <w:rsid w:val="0F219510"/>
    <w:rsid w:val="0F2955F9"/>
    <w:rsid w:val="0F65DE5C"/>
    <w:rsid w:val="0F795A94"/>
    <w:rsid w:val="0F8C4444"/>
    <w:rsid w:val="1022508E"/>
    <w:rsid w:val="104546F9"/>
    <w:rsid w:val="104FD3DA"/>
    <w:rsid w:val="107FB39B"/>
    <w:rsid w:val="108FE453"/>
    <w:rsid w:val="10E956B6"/>
    <w:rsid w:val="10EA1912"/>
    <w:rsid w:val="1124CAE6"/>
    <w:rsid w:val="113B8538"/>
    <w:rsid w:val="1162D41C"/>
    <w:rsid w:val="117DE6AF"/>
    <w:rsid w:val="11BF8351"/>
    <w:rsid w:val="11D1FA65"/>
    <w:rsid w:val="11EA52B8"/>
    <w:rsid w:val="11ED3012"/>
    <w:rsid w:val="11FEB489"/>
    <w:rsid w:val="1200AEAE"/>
    <w:rsid w:val="12871817"/>
    <w:rsid w:val="12B7FA5D"/>
    <w:rsid w:val="12ED251F"/>
    <w:rsid w:val="13425780"/>
    <w:rsid w:val="13428F4D"/>
    <w:rsid w:val="135EBBFC"/>
    <w:rsid w:val="13967CA4"/>
    <w:rsid w:val="13A5121A"/>
    <w:rsid w:val="13B7AB25"/>
    <w:rsid w:val="13BCF4BA"/>
    <w:rsid w:val="13DBD9DD"/>
    <w:rsid w:val="1403FD0A"/>
    <w:rsid w:val="1418AB24"/>
    <w:rsid w:val="143AF6C7"/>
    <w:rsid w:val="144387EF"/>
    <w:rsid w:val="1469D69E"/>
    <w:rsid w:val="1480355E"/>
    <w:rsid w:val="14C6D8EF"/>
    <w:rsid w:val="14E6109E"/>
    <w:rsid w:val="14F230BF"/>
    <w:rsid w:val="14FFA36F"/>
    <w:rsid w:val="1508026D"/>
    <w:rsid w:val="151F490D"/>
    <w:rsid w:val="15241CCE"/>
    <w:rsid w:val="152BE623"/>
    <w:rsid w:val="15989E46"/>
    <w:rsid w:val="15A4019A"/>
    <w:rsid w:val="15A712C1"/>
    <w:rsid w:val="15AA3310"/>
    <w:rsid w:val="15B03DD4"/>
    <w:rsid w:val="15CBC806"/>
    <w:rsid w:val="15CD838B"/>
    <w:rsid w:val="15E544FC"/>
    <w:rsid w:val="15FA3795"/>
    <w:rsid w:val="1603F0D9"/>
    <w:rsid w:val="161828C2"/>
    <w:rsid w:val="1627C0A3"/>
    <w:rsid w:val="1637D3D3"/>
    <w:rsid w:val="163A8E77"/>
    <w:rsid w:val="164BD9C7"/>
    <w:rsid w:val="166013F3"/>
    <w:rsid w:val="166457F4"/>
    <w:rsid w:val="168607C9"/>
    <w:rsid w:val="16866C10"/>
    <w:rsid w:val="168AA651"/>
    <w:rsid w:val="16BDE8A6"/>
    <w:rsid w:val="16E98522"/>
    <w:rsid w:val="170F0494"/>
    <w:rsid w:val="17103449"/>
    <w:rsid w:val="17609C55"/>
    <w:rsid w:val="17697A6B"/>
    <w:rsid w:val="178682A8"/>
    <w:rsid w:val="17C21665"/>
    <w:rsid w:val="17CAC67E"/>
    <w:rsid w:val="17E2B2DC"/>
    <w:rsid w:val="18061FC7"/>
    <w:rsid w:val="184E944C"/>
    <w:rsid w:val="188B2C49"/>
    <w:rsid w:val="18C0A782"/>
    <w:rsid w:val="18C411F0"/>
    <w:rsid w:val="18EA6AA3"/>
    <w:rsid w:val="18FFE420"/>
    <w:rsid w:val="19100380"/>
    <w:rsid w:val="19613252"/>
    <w:rsid w:val="1971FB8F"/>
    <w:rsid w:val="19795D31"/>
    <w:rsid w:val="199D606E"/>
    <w:rsid w:val="19A434C0"/>
    <w:rsid w:val="19DBFEDF"/>
    <w:rsid w:val="19F0229B"/>
    <w:rsid w:val="19FA1869"/>
    <w:rsid w:val="1A4E5DE6"/>
    <w:rsid w:val="1A5817AA"/>
    <w:rsid w:val="1A6A58AA"/>
    <w:rsid w:val="1A7A9160"/>
    <w:rsid w:val="1A8BE22D"/>
    <w:rsid w:val="1A9CA60B"/>
    <w:rsid w:val="1AA49FA5"/>
    <w:rsid w:val="1ACCDF29"/>
    <w:rsid w:val="1AEB769B"/>
    <w:rsid w:val="1AF50FD3"/>
    <w:rsid w:val="1B078FC8"/>
    <w:rsid w:val="1B68C8B0"/>
    <w:rsid w:val="1B6B1BB0"/>
    <w:rsid w:val="1B71A6AC"/>
    <w:rsid w:val="1BB19656"/>
    <w:rsid w:val="1BCB19E8"/>
    <w:rsid w:val="1BDD0ADA"/>
    <w:rsid w:val="1BE61377"/>
    <w:rsid w:val="1BF92428"/>
    <w:rsid w:val="1BFB2115"/>
    <w:rsid w:val="1C047332"/>
    <w:rsid w:val="1C15E07F"/>
    <w:rsid w:val="1C2ABE79"/>
    <w:rsid w:val="1C3EA49F"/>
    <w:rsid w:val="1C81D8AE"/>
    <w:rsid w:val="1C8567D7"/>
    <w:rsid w:val="1CA8F07F"/>
    <w:rsid w:val="1CBDC927"/>
    <w:rsid w:val="1CDF5952"/>
    <w:rsid w:val="1CFC91DF"/>
    <w:rsid w:val="1D20E8DF"/>
    <w:rsid w:val="1D34BBF2"/>
    <w:rsid w:val="1D3916C9"/>
    <w:rsid w:val="1D4256BF"/>
    <w:rsid w:val="1D8CBE4A"/>
    <w:rsid w:val="1DAD0961"/>
    <w:rsid w:val="1DB88BDA"/>
    <w:rsid w:val="1DE3F2F6"/>
    <w:rsid w:val="1E22423D"/>
    <w:rsid w:val="1E2E2789"/>
    <w:rsid w:val="1E3F4002"/>
    <w:rsid w:val="1E7D64A9"/>
    <w:rsid w:val="1E882907"/>
    <w:rsid w:val="1E94E00D"/>
    <w:rsid w:val="1EC14F8B"/>
    <w:rsid w:val="1EE732E8"/>
    <w:rsid w:val="1EF467C9"/>
    <w:rsid w:val="1F008CB4"/>
    <w:rsid w:val="1F2B2E53"/>
    <w:rsid w:val="1F3F9671"/>
    <w:rsid w:val="1F442521"/>
    <w:rsid w:val="1F45BAF6"/>
    <w:rsid w:val="1F588522"/>
    <w:rsid w:val="1F617903"/>
    <w:rsid w:val="1F8C0972"/>
    <w:rsid w:val="1F9B48B1"/>
    <w:rsid w:val="1FA10871"/>
    <w:rsid w:val="1FA10AD4"/>
    <w:rsid w:val="1FAF2688"/>
    <w:rsid w:val="1FAF8242"/>
    <w:rsid w:val="1FD8F1E3"/>
    <w:rsid w:val="200A3A75"/>
    <w:rsid w:val="2019C9E3"/>
    <w:rsid w:val="2024C47E"/>
    <w:rsid w:val="20302422"/>
    <w:rsid w:val="2041A0B4"/>
    <w:rsid w:val="20623425"/>
    <w:rsid w:val="20C53E28"/>
    <w:rsid w:val="20CE6FAB"/>
    <w:rsid w:val="20E80275"/>
    <w:rsid w:val="20ED3C56"/>
    <w:rsid w:val="20FDE93F"/>
    <w:rsid w:val="213ADA46"/>
    <w:rsid w:val="216EAD34"/>
    <w:rsid w:val="218E40AA"/>
    <w:rsid w:val="218EB35A"/>
    <w:rsid w:val="219CB20C"/>
    <w:rsid w:val="21A1FB00"/>
    <w:rsid w:val="21B619A9"/>
    <w:rsid w:val="21C5ADDD"/>
    <w:rsid w:val="21EF8A2F"/>
    <w:rsid w:val="21FF5FDE"/>
    <w:rsid w:val="220B4CDA"/>
    <w:rsid w:val="220D204D"/>
    <w:rsid w:val="221E58B1"/>
    <w:rsid w:val="2224F90B"/>
    <w:rsid w:val="2255D298"/>
    <w:rsid w:val="2264618E"/>
    <w:rsid w:val="226A9B1E"/>
    <w:rsid w:val="226D9ACD"/>
    <w:rsid w:val="22799053"/>
    <w:rsid w:val="228F55E8"/>
    <w:rsid w:val="22CD8C12"/>
    <w:rsid w:val="2300CFC9"/>
    <w:rsid w:val="2313D976"/>
    <w:rsid w:val="233C7FAD"/>
    <w:rsid w:val="23490598"/>
    <w:rsid w:val="234F1E0F"/>
    <w:rsid w:val="235FC290"/>
    <w:rsid w:val="2386E8E0"/>
    <w:rsid w:val="2393DDB3"/>
    <w:rsid w:val="23A10743"/>
    <w:rsid w:val="23A5CB41"/>
    <w:rsid w:val="23B8B6DD"/>
    <w:rsid w:val="23D02B6C"/>
    <w:rsid w:val="2410ADE6"/>
    <w:rsid w:val="2449EF36"/>
    <w:rsid w:val="245C262C"/>
    <w:rsid w:val="24682972"/>
    <w:rsid w:val="246846CD"/>
    <w:rsid w:val="2488C4CC"/>
    <w:rsid w:val="24C8AF56"/>
    <w:rsid w:val="24DB2AF4"/>
    <w:rsid w:val="24DCCEC4"/>
    <w:rsid w:val="2541B980"/>
    <w:rsid w:val="256E4B83"/>
    <w:rsid w:val="258837C3"/>
    <w:rsid w:val="25A836CA"/>
    <w:rsid w:val="25C8E1C6"/>
    <w:rsid w:val="25D3D9B6"/>
    <w:rsid w:val="264DE583"/>
    <w:rsid w:val="266C9E8D"/>
    <w:rsid w:val="26705101"/>
    <w:rsid w:val="267D7B8F"/>
    <w:rsid w:val="26918E0A"/>
    <w:rsid w:val="269D035B"/>
    <w:rsid w:val="26A358CC"/>
    <w:rsid w:val="26B6319B"/>
    <w:rsid w:val="26EE77B7"/>
    <w:rsid w:val="271BE983"/>
    <w:rsid w:val="2750EA28"/>
    <w:rsid w:val="277E841D"/>
    <w:rsid w:val="2789241F"/>
    <w:rsid w:val="27A90C2D"/>
    <w:rsid w:val="27BCE563"/>
    <w:rsid w:val="27DAE8EC"/>
    <w:rsid w:val="27E2D904"/>
    <w:rsid w:val="28503EED"/>
    <w:rsid w:val="285BD1F2"/>
    <w:rsid w:val="28B9B9FC"/>
    <w:rsid w:val="28E02C23"/>
    <w:rsid w:val="28FF6FB7"/>
    <w:rsid w:val="2901CE9C"/>
    <w:rsid w:val="2914CFF6"/>
    <w:rsid w:val="295943BE"/>
    <w:rsid w:val="295C9C23"/>
    <w:rsid w:val="29667A95"/>
    <w:rsid w:val="296CC426"/>
    <w:rsid w:val="298D9E5B"/>
    <w:rsid w:val="298EA5F9"/>
    <w:rsid w:val="29954254"/>
    <w:rsid w:val="29A7AE99"/>
    <w:rsid w:val="29B98DC4"/>
    <w:rsid w:val="29C7E766"/>
    <w:rsid w:val="29CA7BD7"/>
    <w:rsid w:val="29DD1A2E"/>
    <w:rsid w:val="29FF82D3"/>
    <w:rsid w:val="2A04B1CE"/>
    <w:rsid w:val="2A0C798C"/>
    <w:rsid w:val="2A148011"/>
    <w:rsid w:val="2A6FBB96"/>
    <w:rsid w:val="2AABD1CC"/>
    <w:rsid w:val="2ABA1FAD"/>
    <w:rsid w:val="2ACE05FF"/>
    <w:rsid w:val="2B338802"/>
    <w:rsid w:val="2B446CEF"/>
    <w:rsid w:val="2B684401"/>
    <w:rsid w:val="2B7B9555"/>
    <w:rsid w:val="2BB13710"/>
    <w:rsid w:val="2BB55615"/>
    <w:rsid w:val="2BD7001E"/>
    <w:rsid w:val="2BE63FEC"/>
    <w:rsid w:val="2BFA7937"/>
    <w:rsid w:val="2C08515D"/>
    <w:rsid w:val="2C2028A3"/>
    <w:rsid w:val="2C4D126F"/>
    <w:rsid w:val="2C5935C8"/>
    <w:rsid w:val="2C5F18B5"/>
    <w:rsid w:val="2C6824C5"/>
    <w:rsid w:val="2C6E8E3D"/>
    <w:rsid w:val="2C85B14F"/>
    <w:rsid w:val="2C938C8D"/>
    <w:rsid w:val="2CA53231"/>
    <w:rsid w:val="2D120BD8"/>
    <w:rsid w:val="2D210F77"/>
    <w:rsid w:val="2D2510E9"/>
    <w:rsid w:val="2D67BE52"/>
    <w:rsid w:val="2DA07DCF"/>
    <w:rsid w:val="2DADBC18"/>
    <w:rsid w:val="2DC7F980"/>
    <w:rsid w:val="2DDD9D6C"/>
    <w:rsid w:val="2DEAEE42"/>
    <w:rsid w:val="2DF6A4FA"/>
    <w:rsid w:val="2E030872"/>
    <w:rsid w:val="2E3D46D8"/>
    <w:rsid w:val="2E4BF4C8"/>
    <w:rsid w:val="2E5DDCBF"/>
    <w:rsid w:val="2E836AFE"/>
    <w:rsid w:val="2EF2E344"/>
    <w:rsid w:val="2EFE90FF"/>
    <w:rsid w:val="2F0534D4"/>
    <w:rsid w:val="2F0C573D"/>
    <w:rsid w:val="2F101074"/>
    <w:rsid w:val="2F367017"/>
    <w:rsid w:val="2F4D4B6B"/>
    <w:rsid w:val="2F4E2A70"/>
    <w:rsid w:val="2F59994E"/>
    <w:rsid w:val="2F64DAA2"/>
    <w:rsid w:val="2F8E9A1B"/>
    <w:rsid w:val="2FCBA734"/>
    <w:rsid w:val="2FFD78CD"/>
    <w:rsid w:val="3013547E"/>
    <w:rsid w:val="30368153"/>
    <w:rsid w:val="304F75D7"/>
    <w:rsid w:val="305670DB"/>
    <w:rsid w:val="30684AB0"/>
    <w:rsid w:val="3079F20B"/>
    <w:rsid w:val="309E4C7C"/>
    <w:rsid w:val="30AF2D73"/>
    <w:rsid w:val="30F66177"/>
    <w:rsid w:val="311CF65B"/>
    <w:rsid w:val="31735DA8"/>
    <w:rsid w:val="31766413"/>
    <w:rsid w:val="3197E868"/>
    <w:rsid w:val="31A05720"/>
    <w:rsid w:val="31B533B6"/>
    <w:rsid w:val="320F6E4C"/>
    <w:rsid w:val="3238893E"/>
    <w:rsid w:val="3261A236"/>
    <w:rsid w:val="326C8219"/>
    <w:rsid w:val="3278BCBF"/>
    <w:rsid w:val="327B2D9E"/>
    <w:rsid w:val="32C4E496"/>
    <w:rsid w:val="32C62634"/>
    <w:rsid w:val="32C9A4C9"/>
    <w:rsid w:val="3324B715"/>
    <w:rsid w:val="33392809"/>
    <w:rsid w:val="335C9F55"/>
    <w:rsid w:val="33651FDA"/>
    <w:rsid w:val="336539DF"/>
    <w:rsid w:val="337B557E"/>
    <w:rsid w:val="339DD548"/>
    <w:rsid w:val="339DE1A6"/>
    <w:rsid w:val="33C6366A"/>
    <w:rsid w:val="33D735A6"/>
    <w:rsid w:val="33E11FD5"/>
    <w:rsid w:val="340DCC8A"/>
    <w:rsid w:val="3440BD03"/>
    <w:rsid w:val="3466C521"/>
    <w:rsid w:val="3474B214"/>
    <w:rsid w:val="347CAB3C"/>
    <w:rsid w:val="3492C169"/>
    <w:rsid w:val="34AB6A87"/>
    <w:rsid w:val="34B002D8"/>
    <w:rsid w:val="34B92A43"/>
    <w:rsid w:val="34C32AFB"/>
    <w:rsid w:val="34EB29AA"/>
    <w:rsid w:val="34F0F43C"/>
    <w:rsid w:val="350BFC97"/>
    <w:rsid w:val="353F0517"/>
    <w:rsid w:val="3560994A"/>
    <w:rsid w:val="3564CEC0"/>
    <w:rsid w:val="3571B494"/>
    <w:rsid w:val="357A07E9"/>
    <w:rsid w:val="357BEF11"/>
    <w:rsid w:val="3583E377"/>
    <w:rsid w:val="3587E288"/>
    <w:rsid w:val="35965BE7"/>
    <w:rsid w:val="35A2D6F5"/>
    <w:rsid w:val="35B5150B"/>
    <w:rsid w:val="35BDC0B7"/>
    <w:rsid w:val="363D54A5"/>
    <w:rsid w:val="36484AD3"/>
    <w:rsid w:val="3652AC44"/>
    <w:rsid w:val="366200EA"/>
    <w:rsid w:val="367227CD"/>
    <w:rsid w:val="369358BD"/>
    <w:rsid w:val="369FB475"/>
    <w:rsid w:val="36A58EFE"/>
    <w:rsid w:val="36BF9BF2"/>
    <w:rsid w:val="36CF95B3"/>
    <w:rsid w:val="36F943EA"/>
    <w:rsid w:val="37064C81"/>
    <w:rsid w:val="372A424A"/>
    <w:rsid w:val="373E3D80"/>
    <w:rsid w:val="3747D366"/>
    <w:rsid w:val="374AF149"/>
    <w:rsid w:val="375E5235"/>
    <w:rsid w:val="37BD4C6B"/>
    <w:rsid w:val="37C4C2B3"/>
    <w:rsid w:val="37D1DDBA"/>
    <w:rsid w:val="37DAEEE1"/>
    <w:rsid w:val="37DC6C09"/>
    <w:rsid w:val="37FE61A9"/>
    <w:rsid w:val="38256A64"/>
    <w:rsid w:val="382B1224"/>
    <w:rsid w:val="382FA6E0"/>
    <w:rsid w:val="386269AF"/>
    <w:rsid w:val="38C6C62E"/>
    <w:rsid w:val="38D3C6A8"/>
    <w:rsid w:val="38D6D130"/>
    <w:rsid w:val="38E88AAC"/>
    <w:rsid w:val="39097683"/>
    <w:rsid w:val="390CED04"/>
    <w:rsid w:val="39377B80"/>
    <w:rsid w:val="393E152E"/>
    <w:rsid w:val="39499947"/>
    <w:rsid w:val="399B716E"/>
    <w:rsid w:val="39CF028D"/>
    <w:rsid w:val="39E9C85C"/>
    <w:rsid w:val="39FD11F7"/>
    <w:rsid w:val="3A59A2E4"/>
    <w:rsid w:val="3A7AF384"/>
    <w:rsid w:val="3A8840F2"/>
    <w:rsid w:val="3AB35F08"/>
    <w:rsid w:val="3AC495BD"/>
    <w:rsid w:val="3AD26EAB"/>
    <w:rsid w:val="3ADDF20A"/>
    <w:rsid w:val="3AE95244"/>
    <w:rsid w:val="3AEF5A31"/>
    <w:rsid w:val="3B1C3B84"/>
    <w:rsid w:val="3B1D5AF5"/>
    <w:rsid w:val="3B3F96C7"/>
    <w:rsid w:val="3B46A905"/>
    <w:rsid w:val="3B60D40F"/>
    <w:rsid w:val="3B62FD46"/>
    <w:rsid w:val="3BA80359"/>
    <w:rsid w:val="3BAC28A8"/>
    <w:rsid w:val="3BCA05C0"/>
    <w:rsid w:val="3BE01630"/>
    <w:rsid w:val="3BE05DFC"/>
    <w:rsid w:val="3BEB4414"/>
    <w:rsid w:val="3C03480E"/>
    <w:rsid w:val="3C121292"/>
    <w:rsid w:val="3C93AAAC"/>
    <w:rsid w:val="3CF7759C"/>
    <w:rsid w:val="3CFF2A5D"/>
    <w:rsid w:val="3D21A8D5"/>
    <w:rsid w:val="3D25E41B"/>
    <w:rsid w:val="3D5CEF1C"/>
    <w:rsid w:val="3DA21C32"/>
    <w:rsid w:val="3DD32896"/>
    <w:rsid w:val="3DEACDF6"/>
    <w:rsid w:val="3DED7303"/>
    <w:rsid w:val="3E4A8057"/>
    <w:rsid w:val="3E88B549"/>
    <w:rsid w:val="3E9A453D"/>
    <w:rsid w:val="3E9FCAB3"/>
    <w:rsid w:val="3EBF6EFB"/>
    <w:rsid w:val="3EC960B5"/>
    <w:rsid w:val="3ED1C55F"/>
    <w:rsid w:val="3F093B25"/>
    <w:rsid w:val="3F24202E"/>
    <w:rsid w:val="3F463716"/>
    <w:rsid w:val="3F55938A"/>
    <w:rsid w:val="3F763213"/>
    <w:rsid w:val="3FBE2F2E"/>
    <w:rsid w:val="3FBFD7FB"/>
    <w:rsid w:val="3FC0A7EC"/>
    <w:rsid w:val="3FF86A8D"/>
    <w:rsid w:val="404A9F0A"/>
    <w:rsid w:val="407231F5"/>
    <w:rsid w:val="409E45A2"/>
    <w:rsid w:val="40A5B864"/>
    <w:rsid w:val="40B138D2"/>
    <w:rsid w:val="40B45E52"/>
    <w:rsid w:val="40BAE5AC"/>
    <w:rsid w:val="40DFD2BF"/>
    <w:rsid w:val="40EAD8A8"/>
    <w:rsid w:val="40EC3222"/>
    <w:rsid w:val="40F9918B"/>
    <w:rsid w:val="4123623A"/>
    <w:rsid w:val="412F8708"/>
    <w:rsid w:val="4132898B"/>
    <w:rsid w:val="416E2781"/>
    <w:rsid w:val="41C92CCA"/>
    <w:rsid w:val="41D802ED"/>
    <w:rsid w:val="41D9AA64"/>
    <w:rsid w:val="41E908CA"/>
    <w:rsid w:val="41EE0638"/>
    <w:rsid w:val="42147396"/>
    <w:rsid w:val="42244442"/>
    <w:rsid w:val="42AC2D01"/>
    <w:rsid w:val="42E16846"/>
    <w:rsid w:val="42F27368"/>
    <w:rsid w:val="4329A186"/>
    <w:rsid w:val="43512FCB"/>
    <w:rsid w:val="4352EFFF"/>
    <w:rsid w:val="435736F4"/>
    <w:rsid w:val="4364F678"/>
    <w:rsid w:val="43810F54"/>
    <w:rsid w:val="4389ED21"/>
    <w:rsid w:val="43BBAC0B"/>
    <w:rsid w:val="43CB1CBF"/>
    <w:rsid w:val="43D290AB"/>
    <w:rsid w:val="43DCF95D"/>
    <w:rsid w:val="43E34BC1"/>
    <w:rsid w:val="44491EFD"/>
    <w:rsid w:val="4451CF89"/>
    <w:rsid w:val="44539917"/>
    <w:rsid w:val="445C2C96"/>
    <w:rsid w:val="447B8BE1"/>
    <w:rsid w:val="4484C5BC"/>
    <w:rsid w:val="44A9D61B"/>
    <w:rsid w:val="44B4B95F"/>
    <w:rsid w:val="44C97ECB"/>
    <w:rsid w:val="44CF912A"/>
    <w:rsid w:val="44D8D694"/>
    <w:rsid w:val="44E4489E"/>
    <w:rsid w:val="450039D8"/>
    <w:rsid w:val="450A08A6"/>
    <w:rsid w:val="4523C390"/>
    <w:rsid w:val="4528F21C"/>
    <w:rsid w:val="452E234A"/>
    <w:rsid w:val="45335B35"/>
    <w:rsid w:val="45579A8E"/>
    <w:rsid w:val="4565A6EA"/>
    <w:rsid w:val="4574AB44"/>
    <w:rsid w:val="457597A0"/>
    <w:rsid w:val="45773F04"/>
    <w:rsid w:val="458B5611"/>
    <w:rsid w:val="4591921E"/>
    <w:rsid w:val="459AE5B4"/>
    <w:rsid w:val="45BAD9D7"/>
    <w:rsid w:val="45BDA951"/>
    <w:rsid w:val="45D130C2"/>
    <w:rsid w:val="45F7E2AF"/>
    <w:rsid w:val="4624AE5B"/>
    <w:rsid w:val="46551074"/>
    <w:rsid w:val="465B3D8B"/>
    <w:rsid w:val="4689B4FB"/>
    <w:rsid w:val="46AF7E5E"/>
    <w:rsid w:val="46B930F1"/>
    <w:rsid w:val="46EF85D3"/>
    <w:rsid w:val="4707BB68"/>
    <w:rsid w:val="4715B8C3"/>
    <w:rsid w:val="4733E0E3"/>
    <w:rsid w:val="474467E5"/>
    <w:rsid w:val="474CE777"/>
    <w:rsid w:val="475F7AAA"/>
    <w:rsid w:val="47896EA0"/>
    <w:rsid w:val="478A6C69"/>
    <w:rsid w:val="47910AEB"/>
    <w:rsid w:val="47A3FACB"/>
    <w:rsid w:val="47D749EC"/>
    <w:rsid w:val="47EEA1C7"/>
    <w:rsid w:val="4810212C"/>
    <w:rsid w:val="4853481B"/>
    <w:rsid w:val="487C405F"/>
    <w:rsid w:val="487C4AA4"/>
    <w:rsid w:val="487FC5E6"/>
    <w:rsid w:val="4899103F"/>
    <w:rsid w:val="48CC4432"/>
    <w:rsid w:val="48EEB447"/>
    <w:rsid w:val="4909EF54"/>
    <w:rsid w:val="493FEB4C"/>
    <w:rsid w:val="494EFFBA"/>
    <w:rsid w:val="4952DE7C"/>
    <w:rsid w:val="49672FD1"/>
    <w:rsid w:val="4970BAC8"/>
    <w:rsid w:val="49902B0B"/>
    <w:rsid w:val="49AA90A8"/>
    <w:rsid w:val="49C6F739"/>
    <w:rsid w:val="49F0DF92"/>
    <w:rsid w:val="49F4F1E7"/>
    <w:rsid w:val="49F68DAA"/>
    <w:rsid w:val="4A0AD8D5"/>
    <w:rsid w:val="4A0C3CC7"/>
    <w:rsid w:val="4A1CC58C"/>
    <w:rsid w:val="4A2EA7B3"/>
    <w:rsid w:val="4A46FEC6"/>
    <w:rsid w:val="4A505F30"/>
    <w:rsid w:val="4A5324AC"/>
    <w:rsid w:val="4A662EFB"/>
    <w:rsid w:val="4A7C8FF5"/>
    <w:rsid w:val="4A95274A"/>
    <w:rsid w:val="4AA93194"/>
    <w:rsid w:val="4AC6C7A7"/>
    <w:rsid w:val="4ADA1A1C"/>
    <w:rsid w:val="4AE89AB1"/>
    <w:rsid w:val="4B047C6D"/>
    <w:rsid w:val="4B21FC77"/>
    <w:rsid w:val="4B6925A9"/>
    <w:rsid w:val="4B7E08A8"/>
    <w:rsid w:val="4B8EDA33"/>
    <w:rsid w:val="4B95E70B"/>
    <w:rsid w:val="4B99DE49"/>
    <w:rsid w:val="4BA7613C"/>
    <w:rsid w:val="4BAC3CC4"/>
    <w:rsid w:val="4C0CDE9C"/>
    <w:rsid w:val="4C1E3156"/>
    <w:rsid w:val="4C49CDF1"/>
    <w:rsid w:val="4C57EDC3"/>
    <w:rsid w:val="4C70E1AE"/>
    <w:rsid w:val="4C7AC782"/>
    <w:rsid w:val="4C8BE61B"/>
    <w:rsid w:val="4CA04F9B"/>
    <w:rsid w:val="4CCECE39"/>
    <w:rsid w:val="4CF74A42"/>
    <w:rsid w:val="4CFA3302"/>
    <w:rsid w:val="4CFDC3DD"/>
    <w:rsid w:val="4D533709"/>
    <w:rsid w:val="4D8345EB"/>
    <w:rsid w:val="4D99B6F7"/>
    <w:rsid w:val="4D9A990B"/>
    <w:rsid w:val="4DCFAF8D"/>
    <w:rsid w:val="4DF421FB"/>
    <w:rsid w:val="4E66A84E"/>
    <w:rsid w:val="4E693DD4"/>
    <w:rsid w:val="4E80CD75"/>
    <w:rsid w:val="4EB2C33D"/>
    <w:rsid w:val="4EB3635C"/>
    <w:rsid w:val="4EDFB816"/>
    <w:rsid w:val="4EE2C76B"/>
    <w:rsid w:val="4F015AFD"/>
    <w:rsid w:val="4F11A06A"/>
    <w:rsid w:val="4F264FAB"/>
    <w:rsid w:val="4F68BCEB"/>
    <w:rsid w:val="4FB27C15"/>
    <w:rsid w:val="4FB35F50"/>
    <w:rsid w:val="4FB402D6"/>
    <w:rsid w:val="4FFCF971"/>
    <w:rsid w:val="502BA730"/>
    <w:rsid w:val="5031C702"/>
    <w:rsid w:val="5031DCF9"/>
    <w:rsid w:val="504A7624"/>
    <w:rsid w:val="504C6A0D"/>
    <w:rsid w:val="5067B5EE"/>
    <w:rsid w:val="5073AA5C"/>
    <w:rsid w:val="50F17B1A"/>
    <w:rsid w:val="5100D82E"/>
    <w:rsid w:val="5141C9F6"/>
    <w:rsid w:val="5155CC1C"/>
    <w:rsid w:val="516C358C"/>
    <w:rsid w:val="51840598"/>
    <w:rsid w:val="51953B40"/>
    <w:rsid w:val="519EA80D"/>
    <w:rsid w:val="51B68823"/>
    <w:rsid w:val="51C91D83"/>
    <w:rsid w:val="51DBEBA4"/>
    <w:rsid w:val="51EB92E4"/>
    <w:rsid w:val="52010D64"/>
    <w:rsid w:val="520B1ECD"/>
    <w:rsid w:val="52164023"/>
    <w:rsid w:val="52309888"/>
    <w:rsid w:val="524DE3A7"/>
    <w:rsid w:val="52A4F312"/>
    <w:rsid w:val="52CF28EB"/>
    <w:rsid w:val="52DB44E0"/>
    <w:rsid w:val="52E04436"/>
    <w:rsid w:val="52EC554C"/>
    <w:rsid w:val="53112E04"/>
    <w:rsid w:val="5356E120"/>
    <w:rsid w:val="5364CC0C"/>
    <w:rsid w:val="5367CE9B"/>
    <w:rsid w:val="5377908A"/>
    <w:rsid w:val="53A5C125"/>
    <w:rsid w:val="53E6740A"/>
    <w:rsid w:val="53E6F644"/>
    <w:rsid w:val="53EFF7B8"/>
    <w:rsid w:val="540D1005"/>
    <w:rsid w:val="5425148E"/>
    <w:rsid w:val="543ABB9B"/>
    <w:rsid w:val="544B05A5"/>
    <w:rsid w:val="545328E9"/>
    <w:rsid w:val="546A71A3"/>
    <w:rsid w:val="547D17FB"/>
    <w:rsid w:val="54862DBE"/>
    <w:rsid w:val="549DEB33"/>
    <w:rsid w:val="54A204F1"/>
    <w:rsid w:val="54A63EF5"/>
    <w:rsid w:val="54AA43AE"/>
    <w:rsid w:val="54AEBF99"/>
    <w:rsid w:val="54C57381"/>
    <w:rsid w:val="54DCE213"/>
    <w:rsid w:val="54FC7AF4"/>
    <w:rsid w:val="550F9B1B"/>
    <w:rsid w:val="55291FBC"/>
    <w:rsid w:val="553EDB05"/>
    <w:rsid w:val="5548258A"/>
    <w:rsid w:val="55625C7A"/>
    <w:rsid w:val="556F564B"/>
    <w:rsid w:val="5573B549"/>
    <w:rsid w:val="55752EC2"/>
    <w:rsid w:val="5579D97A"/>
    <w:rsid w:val="55CD0101"/>
    <w:rsid w:val="55D174E0"/>
    <w:rsid w:val="55D47959"/>
    <w:rsid w:val="55DDBEE8"/>
    <w:rsid w:val="55F26E31"/>
    <w:rsid w:val="5618D245"/>
    <w:rsid w:val="5623C434"/>
    <w:rsid w:val="566AF08D"/>
    <w:rsid w:val="5677BEE9"/>
    <w:rsid w:val="5688364D"/>
    <w:rsid w:val="56933D61"/>
    <w:rsid w:val="5694E901"/>
    <w:rsid w:val="56D5DFA8"/>
    <w:rsid w:val="56E61654"/>
    <w:rsid w:val="56F9567C"/>
    <w:rsid w:val="57137F15"/>
    <w:rsid w:val="57185A91"/>
    <w:rsid w:val="57252782"/>
    <w:rsid w:val="572D2052"/>
    <w:rsid w:val="574AA9F6"/>
    <w:rsid w:val="574E9DE9"/>
    <w:rsid w:val="577F60C4"/>
    <w:rsid w:val="5787EFCF"/>
    <w:rsid w:val="57A1F4E7"/>
    <w:rsid w:val="57C67DCA"/>
    <w:rsid w:val="57F6F09D"/>
    <w:rsid w:val="57FB1083"/>
    <w:rsid w:val="57FF2E0D"/>
    <w:rsid w:val="58193B95"/>
    <w:rsid w:val="58613675"/>
    <w:rsid w:val="5874788F"/>
    <w:rsid w:val="58A0022C"/>
    <w:rsid w:val="58E90E90"/>
    <w:rsid w:val="58EBA940"/>
    <w:rsid w:val="5960A098"/>
    <w:rsid w:val="59E90627"/>
    <w:rsid w:val="59EABB89"/>
    <w:rsid w:val="5A4BDE8D"/>
    <w:rsid w:val="5A5474E4"/>
    <w:rsid w:val="5A5870EB"/>
    <w:rsid w:val="5A667E1F"/>
    <w:rsid w:val="5A6EC45C"/>
    <w:rsid w:val="5A70E850"/>
    <w:rsid w:val="5A7268D7"/>
    <w:rsid w:val="5A810682"/>
    <w:rsid w:val="5AC9F7DB"/>
    <w:rsid w:val="5AECB320"/>
    <w:rsid w:val="5AF03D23"/>
    <w:rsid w:val="5B08A6B7"/>
    <w:rsid w:val="5B252BAF"/>
    <w:rsid w:val="5B28C647"/>
    <w:rsid w:val="5B484798"/>
    <w:rsid w:val="5B778FC9"/>
    <w:rsid w:val="5B7E14F9"/>
    <w:rsid w:val="5B825685"/>
    <w:rsid w:val="5BC1AC46"/>
    <w:rsid w:val="5BF4F9DA"/>
    <w:rsid w:val="5C13074A"/>
    <w:rsid w:val="5C1B9BEC"/>
    <w:rsid w:val="5C69E595"/>
    <w:rsid w:val="5C6C7D8A"/>
    <w:rsid w:val="5C75660A"/>
    <w:rsid w:val="5C83F291"/>
    <w:rsid w:val="5C9D24D7"/>
    <w:rsid w:val="5CA521F6"/>
    <w:rsid w:val="5CD004D9"/>
    <w:rsid w:val="5D2F6690"/>
    <w:rsid w:val="5D4440F1"/>
    <w:rsid w:val="5D5D51D2"/>
    <w:rsid w:val="5D64C3A1"/>
    <w:rsid w:val="5D697135"/>
    <w:rsid w:val="5D6BDBB7"/>
    <w:rsid w:val="5D71DC6C"/>
    <w:rsid w:val="5D9BD217"/>
    <w:rsid w:val="5DAE9EDB"/>
    <w:rsid w:val="5DBB493C"/>
    <w:rsid w:val="5DF39BFB"/>
    <w:rsid w:val="5E334EF3"/>
    <w:rsid w:val="5E51F3E2"/>
    <w:rsid w:val="5E702096"/>
    <w:rsid w:val="5EB56BF8"/>
    <w:rsid w:val="5EBE8A78"/>
    <w:rsid w:val="5ED95D0A"/>
    <w:rsid w:val="5F133553"/>
    <w:rsid w:val="5F39D8D3"/>
    <w:rsid w:val="5F54DCC8"/>
    <w:rsid w:val="5F624E48"/>
    <w:rsid w:val="5F6722CB"/>
    <w:rsid w:val="5F9F9C0A"/>
    <w:rsid w:val="5FC208DE"/>
    <w:rsid w:val="5FD21A48"/>
    <w:rsid w:val="5FDB452A"/>
    <w:rsid w:val="6024A260"/>
    <w:rsid w:val="606927F3"/>
    <w:rsid w:val="607C360B"/>
    <w:rsid w:val="607D5079"/>
    <w:rsid w:val="609C1D67"/>
    <w:rsid w:val="609F176B"/>
    <w:rsid w:val="60CDBA9E"/>
    <w:rsid w:val="60F13BFF"/>
    <w:rsid w:val="611BF757"/>
    <w:rsid w:val="612F521F"/>
    <w:rsid w:val="613C9313"/>
    <w:rsid w:val="61675DDB"/>
    <w:rsid w:val="618D0C6E"/>
    <w:rsid w:val="6196F6BE"/>
    <w:rsid w:val="6239063B"/>
    <w:rsid w:val="623BDA29"/>
    <w:rsid w:val="623DFDC2"/>
    <w:rsid w:val="623F6653"/>
    <w:rsid w:val="625717B0"/>
    <w:rsid w:val="6268FC1F"/>
    <w:rsid w:val="626ABFBB"/>
    <w:rsid w:val="6277453A"/>
    <w:rsid w:val="629E7E67"/>
    <w:rsid w:val="62CF579E"/>
    <w:rsid w:val="632AA961"/>
    <w:rsid w:val="632E2A2F"/>
    <w:rsid w:val="634BAFFB"/>
    <w:rsid w:val="63741F7C"/>
    <w:rsid w:val="638283BF"/>
    <w:rsid w:val="63846C01"/>
    <w:rsid w:val="63A9F60E"/>
    <w:rsid w:val="63B2BDAE"/>
    <w:rsid w:val="63D3FB7E"/>
    <w:rsid w:val="63DB4CEB"/>
    <w:rsid w:val="63EFB947"/>
    <w:rsid w:val="644BE2F8"/>
    <w:rsid w:val="646695AD"/>
    <w:rsid w:val="64848861"/>
    <w:rsid w:val="649205E2"/>
    <w:rsid w:val="64931487"/>
    <w:rsid w:val="649AA0EF"/>
    <w:rsid w:val="64BC258E"/>
    <w:rsid w:val="64C5494C"/>
    <w:rsid w:val="65062341"/>
    <w:rsid w:val="650C24C3"/>
    <w:rsid w:val="65338784"/>
    <w:rsid w:val="656CE107"/>
    <w:rsid w:val="6591DC92"/>
    <w:rsid w:val="65B89D63"/>
    <w:rsid w:val="65E535EF"/>
    <w:rsid w:val="65EDBE0E"/>
    <w:rsid w:val="6618B6F1"/>
    <w:rsid w:val="6639C09A"/>
    <w:rsid w:val="666828FC"/>
    <w:rsid w:val="66A49A36"/>
    <w:rsid w:val="66F1B3F8"/>
    <w:rsid w:val="673610B4"/>
    <w:rsid w:val="67519E10"/>
    <w:rsid w:val="6764474B"/>
    <w:rsid w:val="6768C1AC"/>
    <w:rsid w:val="67873CB0"/>
    <w:rsid w:val="67981A30"/>
    <w:rsid w:val="67AE423A"/>
    <w:rsid w:val="67D620B3"/>
    <w:rsid w:val="67D73D28"/>
    <w:rsid w:val="68140CEE"/>
    <w:rsid w:val="6825C308"/>
    <w:rsid w:val="6871263F"/>
    <w:rsid w:val="68785956"/>
    <w:rsid w:val="688B98B7"/>
    <w:rsid w:val="688F5C9E"/>
    <w:rsid w:val="689AE02C"/>
    <w:rsid w:val="68BD2A6E"/>
    <w:rsid w:val="68BFB7A0"/>
    <w:rsid w:val="68CF6CF5"/>
    <w:rsid w:val="68DDA245"/>
    <w:rsid w:val="690B00E3"/>
    <w:rsid w:val="6921E2EB"/>
    <w:rsid w:val="6953EFBD"/>
    <w:rsid w:val="695A4C8D"/>
    <w:rsid w:val="695EF9E8"/>
    <w:rsid w:val="697922CB"/>
    <w:rsid w:val="69A30342"/>
    <w:rsid w:val="69C92D5D"/>
    <w:rsid w:val="69EC065D"/>
    <w:rsid w:val="6A0512DD"/>
    <w:rsid w:val="6A145576"/>
    <w:rsid w:val="6A1E1CF8"/>
    <w:rsid w:val="6A4966DA"/>
    <w:rsid w:val="6A67FFD6"/>
    <w:rsid w:val="6AC8869F"/>
    <w:rsid w:val="6AF4ACA4"/>
    <w:rsid w:val="6B2803D5"/>
    <w:rsid w:val="6B55CEBF"/>
    <w:rsid w:val="6B80D8AA"/>
    <w:rsid w:val="6BE278A9"/>
    <w:rsid w:val="6BE57881"/>
    <w:rsid w:val="6C641BB1"/>
    <w:rsid w:val="6C730BC3"/>
    <w:rsid w:val="6CA28F78"/>
    <w:rsid w:val="6CF16E6D"/>
    <w:rsid w:val="6CFB0A6B"/>
    <w:rsid w:val="6D04DC8A"/>
    <w:rsid w:val="6D32E268"/>
    <w:rsid w:val="6D3ED75F"/>
    <w:rsid w:val="6D44703B"/>
    <w:rsid w:val="6D7EFC58"/>
    <w:rsid w:val="6D88B55B"/>
    <w:rsid w:val="6DD00181"/>
    <w:rsid w:val="6E5BF9E3"/>
    <w:rsid w:val="6E69EF27"/>
    <w:rsid w:val="6ED7687C"/>
    <w:rsid w:val="6F032A2C"/>
    <w:rsid w:val="6F1094BB"/>
    <w:rsid w:val="6F112CCC"/>
    <w:rsid w:val="6F1CD7FD"/>
    <w:rsid w:val="6F45A79A"/>
    <w:rsid w:val="6F49B84E"/>
    <w:rsid w:val="6F4C2828"/>
    <w:rsid w:val="6F5D4EA9"/>
    <w:rsid w:val="6F905587"/>
    <w:rsid w:val="6F9DF357"/>
    <w:rsid w:val="6FA55EF1"/>
    <w:rsid w:val="6FC80162"/>
    <w:rsid w:val="6FE07095"/>
    <w:rsid w:val="70062728"/>
    <w:rsid w:val="7013FEBF"/>
    <w:rsid w:val="701C1275"/>
    <w:rsid w:val="7034855A"/>
    <w:rsid w:val="708BB27F"/>
    <w:rsid w:val="70A1A5FF"/>
    <w:rsid w:val="70A39F40"/>
    <w:rsid w:val="70BDB7DD"/>
    <w:rsid w:val="70BF54C5"/>
    <w:rsid w:val="70D431E7"/>
    <w:rsid w:val="70E28A45"/>
    <w:rsid w:val="718B5FC0"/>
    <w:rsid w:val="71CA5363"/>
    <w:rsid w:val="720D4B16"/>
    <w:rsid w:val="725FDAC6"/>
    <w:rsid w:val="727E6180"/>
    <w:rsid w:val="72C33664"/>
    <w:rsid w:val="72D8E322"/>
    <w:rsid w:val="72E020A4"/>
    <w:rsid w:val="7310C3F1"/>
    <w:rsid w:val="7320F618"/>
    <w:rsid w:val="733C9842"/>
    <w:rsid w:val="7343FC7E"/>
    <w:rsid w:val="73466E7D"/>
    <w:rsid w:val="734E771A"/>
    <w:rsid w:val="736D9997"/>
    <w:rsid w:val="7386A471"/>
    <w:rsid w:val="73ACC922"/>
    <w:rsid w:val="73BD21CE"/>
    <w:rsid w:val="73E76B0E"/>
    <w:rsid w:val="73F6E05F"/>
    <w:rsid w:val="73F9DEEA"/>
    <w:rsid w:val="740726E5"/>
    <w:rsid w:val="742CFFDF"/>
    <w:rsid w:val="74708D82"/>
    <w:rsid w:val="74725FA3"/>
    <w:rsid w:val="74796ECE"/>
    <w:rsid w:val="74900FF4"/>
    <w:rsid w:val="74A8C817"/>
    <w:rsid w:val="74F1FC8D"/>
    <w:rsid w:val="74FB809C"/>
    <w:rsid w:val="7502C591"/>
    <w:rsid w:val="7510D146"/>
    <w:rsid w:val="754201C0"/>
    <w:rsid w:val="75694B40"/>
    <w:rsid w:val="757EC759"/>
    <w:rsid w:val="75A8A789"/>
    <w:rsid w:val="75B7AC63"/>
    <w:rsid w:val="75C47A33"/>
    <w:rsid w:val="7633A6FA"/>
    <w:rsid w:val="76402F01"/>
    <w:rsid w:val="764D4DF9"/>
    <w:rsid w:val="764D4EAB"/>
    <w:rsid w:val="764F97C8"/>
    <w:rsid w:val="769D6AB5"/>
    <w:rsid w:val="76CF296F"/>
    <w:rsid w:val="76ED5165"/>
    <w:rsid w:val="77052840"/>
    <w:rsid w:val="772EB9CA"/>
    <w:rsid w:val="77386C7E"/>
    <w:rsid w:val="777D53EE"/>
    <w:rsid w:val="778CAA23"/>
    <w:rsid w:val="778DC225"/>
    <w:rsid w:val="7790C2D8"/>
    <w:rsid w:val="77B45C1D"/>
    <w:rsid w:val="77DBE648"/>
    <w:rsid w:val="77E3902D"/>
    <w:rsid w:val="77F282E5"/>
    <w:rsid w:val="77F3B651"/>
    <w:rsid w:val="785F23F7"/>
    <w:rsid w:val="787A3BBA"/>
    <w:rsid w:val="788281C1"/>
    <w:rsid w:val="78892A65"/>
    <w:rsid w:val="78925D83"/>
    <w:rsid w:val="78C3F88E"/>
    <w:rsid w:val="78E75A8D"/>
    <w:rsid w:val="791EF4CC"/>
    <w:rsid w:val="7936E140"/>
    <w:rsid w:val="796B95DB"/>
    <w:rsid w:val="797A3BBA"/>
    <w:rsid w:val="799674DD"/>
    <w:rsid w:val="79A3D905"/>
    <w:rsid w:val="79D8FBDB"/>
    <w:rsid w:val="79DA57E7"/>
    <w:rsid w:val="79F01130"/>
    <w:rsid w:val="7A05F447"/>
    <w:rsid w:val="7A43DE24"/>
    <w:rsid w:val="7A526368"/>
    <w:rsid w:val="7A6BAD16"/>
    <w:rsid w:val="7A74ACB2"/>
    <w:rsid w:val="7A7CAC1C"/>
    <w:rsid w:val="7A95343B"/>
    <w:rsid w:val="7A9B6CE1"/>
    <w:rsid w:val="7AB6E96A"/>
    <w:rsid w:val="7ABA0648"/>
    <w:rsid w:val="7ADFFB69"/>
    <w:rsid w:val="7AE48BA4"/>
    <w:rsid w:val="7AFA732F"/>
    <w:rsid w:val="7B114F39"/>
    <w:rsid w:val="7B25084D"/>
    <w:rsid w:val="7B284520"/>
    <w:rsid w:val="7B29FA4C"/>
    <w:rsid w:val="7B3BC215"/>
    <w:rsid w:val="7B9743DB"/>
    <w:rsid w:val="7BBB35D3"/>
    <w:rsid w:val="7BD041C0"/>
    <w:rsid w:val="7C1682E6"/>
    <w:rsid w:val="7C1EB7A2"/>
    <w:rsid w:val="7C298948"/>
    <w:rsid w:val="7C348600"/>
    <w:rsid w:val="7C3C6C10"/>
    <w:rsid w:val="7C438876"/>
    <w:rsid w:val="7C48F29D"/>
    <w:rsid w:val="7C664ED4"/>
    <w:rsid w:val="7C7B56DC"/>
    <w:rsid w:val="7C8182EA"/>
    <w:rsid w:val="7C87EE53"/>
    <w:rsid w:val="7CF81E9E"/>
    <w:rsid w:val="7D1F6434"/>
    <w:rsid w:val="7D284328"/>
    <w:rsid w:val="7D4212F3"/>
    <w:rsid w:val="7D5025A2"/>
    <w:rsid w:val="7D510D87"/>
    <w:rsid w:val="7D58C591"/>
    <w:rsid w:val="7D71F2AB"/>
    <w:rsid w:val="7D7916D8"/>
    <w:rsid w:val="7D9DB0F4"/>
    <w:rsid w:val="7DB1861D"/>
    <w:rsid w:val="7DB5F8AC"/>
    <w:rsid w:val="7DC4501D"/>
    <w:rsid w:val="7DD587B2"/>
    <w:rsid w:val="7DE01EF3"/>
    <w:rsid w:val="7DE2B8B2"/>
    <w:rsid w:val="7DF6315D"/>
    <w:rsid w:val="7DFC12E5"/>
    <w:rsid w:val="7E548049"/>
    <w:rsid w:val="7E5F8F06"/>
    <w:rsid w:val="7E82CDEC"/>
    <w:rsid w:val="7E885EA3"/>
    <w:rsid w:val="7E8AB859"/>
    <w:rsid w:val="7E928860"/>
    <w:rsid w:val="7EA06BA4"/>
    <w:rsid w:val="7EDD479E"/>
    <w:rsid w:val="7F37F302"/>
    <w:rsid w:val="7F3AF991"/>
    <w:rsid w:val="7F462A76"/>
    <w:rsid w:val="7F862C0C"/>
    <w:rsid w:val="7FB60A2B"/>
    <w:rsid w:val="7FBB3EED"/>
    <w:rsid w:val="7FC3A0FE"/>
    <w:rsid w:val="7FCC5E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42C0C8"/>
  <w15:chartTrackingRefBased/>
  <w15:docId w15:val="{8F302148-FFAE-4135-B56D-99D2C0FF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D5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142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Footnote Reference-BSA-AML,Footnote symbol,Ref. de nota al pie,Rimando notaOreste,Rimando notaOreste1,Rimando notaOreste2,SUPERS,Style 16,Style 19,callout,fr,ftref,nota a piè di pagina,Знак сноски-FN"/>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rsid w:val="003925FB"/>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1,Footnote Text Char1 Char Char1,Footnote Text Char1 Char1,Style 15 Char,fn Char"/>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uiPriority w:val="99"/>
    <w:rsid w:val="003925FB"/>
    <w:rPr>
      <w:sz w:val="16"/>
      <w:szCs w:val="16"/>
    </w:rPr>
  </w:style>
  <w:style w:type="paragraph" w:styleId="CommentText">
    <w:name w:val="annotation text"/>
    <w:basedOn w:val="Normal"/>
    <w:link w:val="CommentTextChar"/>
    <w:uiPriority w:val="99"/>
    <w:rsid w:val="003925FB"/>
    <w:rPr>
      <w:sz w:val="20"/>
      <w:szCs w:val="20"/>
    </w:rPr>
  </w:style>
  <w:style w:type="character" w:customStyle="1" w:styleId="CommentTextChar">
    <w:name w:val="Comment Text Char"/>
    <w:basedOn w:val="DefaultParagraphFont"/>
    <w:link w:val="CommentText"/>
    <w:uiPriority w:val="99"/>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uiPriority w:val="99"/>
    <w:rsid w:val="00473CD4"/>
    <w:pPr>
      <w:tabs>
        <w:tab w:val="center" w:pos="4680"/>
        <w:tab w:val="right" w:pos="9360"/>
      </w:tabs>
    </w:pPr>
  </w:style>
  <w:style w:type="character" w:customStyle="1" w:styleId="HeaderChar">
    <w:name w:val="Header Char"/>
    <w:link w:val="Header"/>
    <w:uiPriority w:val="99"/>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paragraph" w:styleId="ListParagraph">
    <w:name w:val="List Paragraph"/>
    <w:aliases w:val="3,Bullet,Bullet 1,Bullet List,Bullet Points,Dot pt,F5 List Paragraph,Indicator Text,Issue Action POC,List Paragraph Char Char Char,List Paragraph1,List Paragraph2,MAIN CONTENT,No Spacing1,Normal numbered,Numbered Para 1,POCG Table Text"/>
    <w:basedOn w:val="Normal"/>
    <w:link w:val="ListParagraphChar"/>
    <w:uiPriority w:val="34"/>
    <w:qFormat/>
    <w:rsid w:val="00D17D89"/>
    <w:pPr>
      <w:ind w:left="720"/>
      <w:contextualSpacing/>
    </w:pPr>
  </w:style>
  <w:style w:type="character" w:customStyle="1" w:styleId="ListParagraphChar">
    <w:name w:val="List Paragraph Char"/>
    <w:aliases w:val="3 Char,Bullet 1 Char,Bullet Char,Bullet List Char,Bullet Points Char,Dot pt Char,F5 List Paragraph Char,Indicator Text Char,Issue Action POC Char,List Paragraph Char Char Char Char,List Paragraph1 Char,List Paragraph2 Char"/>
    <w:link w:val="ListParagraph"/>
    <w:uiPriority w:val="34"/>
    <w:qFormat/>
    <w:locked/>
    <w:rsid w:val="00D17D89"/>
    <w:rPr>
      <w:sz w:val="24"/>
      <w:szCs w:val="24"/>
    </w:rPr>
  </w:style>
  <w:style w:type="character" w:customStyle="1" w:styleId="Heading3Char">
    <w:name w:val="Heading 3 Char"/>
    <w:basedOn w:val="DefaultParagraphFont"/>
    <w:link w:val="Heading3"/>
    <w:uiPriority w:val="9"/>
    <w:rsid w:val="00614201"/>
    <w:rPr>
      <w:b/>
      <w:bCs/>
      <w:sz w:val="27"/>
      <w:szCs w:val="27"/>
    </w:rPr>
  </w:style>
  <w:style w:type="table" w:styleId="TableGrid">
    <w:name w:val="Table Grid"/>
    <w:basedOn w:val="TableNormal"/>
    <w:rsid w:val="00244C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A8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82AF9"/>
    <w:rPr>
      <w:rFonts w:ascii="Courier New" w:hAnsi="Courier New" w:cs="Courier New"/>
    </w:rPr>
  </w:style>
  <w:style w:type="paragraph" w:customStyle="1" w:styleId="Bulletlistmultiple">
    <w:name w:val="Bullet list multiple"/>
    <w:rsid w:val="00E4174F"/>
    <w:pPr>
      <w:tabs>
        <w:tab w:val="num" w:pos="720"/>
      </w:tabs>
      <w:spacing w:before="80" w:after="80"/>
      <w:ind w:left="720" w:hanging="360"/>
    </w:pPr>
    <w:rPr>
      <w:rFonts w:eastAsia="Calibri"/>
      <w:sz w:val="24"/>
      <w:szCs w:val="24"/>
    </w:rPr>
  </w:style>
  <w:style w:type="character" w:customStyle="1" w:styleId="Heading1Char">
    <w:name w:val="Heading 1 Char"/>
    <w:basedOn w:val="DefaultParagraphFont"/>
    <w:link w:val="Heading1"/>
    <w:uiPriority w:val="9"/>
    <w:rsid w:val="002D5D72"/>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2689"/>
    <w:rPr>
      <w:i/>
      <w:iCs/>
    </w:rPr>
  </w:style>
  <w:style w:type="character" w:styleId="UnresolvedMention">
    <w:name w:val="Unresolved Mention"/>
    <w:basedOn w:val="DefaultParagraphFont"/>
    <w:uiPriority w:val="99"/>
    <w:semiHidden/>
    <w:unhideWhenUsed/>
    <w:rsid w:val="00344B27"/>
    <w:rPr>
      <w:color w:val="605E5C"/>
      <w:shd w:val="clear" w:color="auto" w:fill="E1DFDD"/>
    </w:rPr>
  </w:style>
  <w:style w:type="character" w:customStyle="1" w:styleId="cf01">
    <w:name w:val="cf01"/>
    <w:basedOn w:val="DefaultParagraphFont"/>
    <w:rsid w:val="00F4342F"/>
    <w:rPr>
      <w:rFonts w:ascii="Segoe UI" w:hAnsi="Segoe UI" w:cs="Segoe UI" w:hint="default"/>
      <w:sz w:val="18"/>
      <w:szCs w:val="18"/>
      <w:shd w:val="clear" w:color="auto" w:fill="FFFF00"/>
    </w:rPr>
  </w:style>
  <w:style w:type="character" w:customStyle="1" w:styleId="cf11">
    <w:name w:val="cf11"/>
    <w:basedOn w:val="DefaultParagraphFont"/>
    <w:rsid w:val="00F4342F"/>
    <w:rPr>
      <w:rFonts w:ascii="Segoe UI" w:hAnsi="Segoe UI" w:cs="Segoe UI" w:hint="default"/>
      <w:color w:val="202020"/>
      <w:sz w:val="18"/>
      <w:szCs w:val="18"/>
      <w:shd w:val="clear" w:color="auto" w:fill="FFFF00"/>
    </w:rPr>
  </w:style>
  <w:style w:type="paragraph" w:styleId="EndnoteText">
    <w:name w:val="endnote text"/>
    <w:basedOn w:val="Normal"/>
    <w:link w:val="EndnoteTextChar"/>
    <w:rsid w:val="00F31553"/>
    <w:rPr>
      <w:sz w:val="20"/>
      <w:szCs w:val="20"/>
    </w:rPr>
  </w:style>
  <w:style w:type="character" w:customStyle="1" w:styleId="EndnoteTextChar">
    <w:name w:val="Endnote Text Char"/>
    <w:basedOn w:val="DefaultParagraphFont"/>
    <w:link w:val="EndnoteText"/>
    <w:rsid w:val="00F31553"/>
  </w:style>
  <w:style w:type="character" w:styleId="EndnoteReference">
    <w:name w:val="endnote reference"/>
    <w:basedOn w:val="DefaultParagraphFont"/>
    <w:rsid w:val="00F31553"/>
    <w:rPr>
      <w:vertAlign w:val="superscript"/>
    </w:rPr>
  </w:style>
  <w:style w:type="paragraph" w:customStyle="1" w:styleId="pf0">
    <w:name w:val="pf0"/>
    <w:basedOn w:val="Normal"/>
    <w:rsid w:val="00C03A55"/>
    <w:pPr>
      <w:spacing w:before="100" w:beforeAutospacing="1" w:after="100" w:afterAutospacing="1"/>
    </w:pPr>
  </w:style>
  <w:style w:type="character" w:styleId="Mention">
    <w:name w:val="Mention"/>
    <w:basedOn w:val="DefaultParagraphFont"/>
    <w:uiPriority w:val="99"/>
    <w:unhideWhenUsed/>
    <w:rsid w:val="00371067"/>
    <w:rPr>
      <w:color w:val="2B579A"/>
      <w:shd w:val="clear" w:color="auto" w:fill="E6E6E6"/>
    </w:rPr>
  </w:style>
  <w:style w:type="character" w:customStyle="1" w:styleId="normaltextrun">
    <w:name w:val="normaltextrun"/>
    <w:basedOn w:val="DefaultParagraphFont"/>
    <w:rsid w:val="0002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2/09/30/2022-21020/beneficial-ownership-information-reporting-requirements" TargetMode="External" /><Relationship Id="rId2" Type="http://schemas.openxmlformats.org/officeDocument/2006/relationships/hyperlink" Target="https://www.federalregister.gov/documents/2023/01/17/2023-00703/agency-information-collection-activities-proposed-collection-comment-request-beneficial-ownership" TargetMode="External" /><Relationship Id="rId3" Type="http://schemas.openxmlformats.org/officeDocument/2006/relationships/hyperlink" Target="https://www.federalregister.gov/documents/2023/01/17/2023-00708/agency-information-collection-activities-proposed-collection-comment-request-individual-fincen" TargetMode="External" /><Relationship Id="rId4" Type="http://schemas.openxmlformats.org/officeDocument/2006/relationships/hyperlink" Target="https://www.govinfo.gov/content/pkg/FR-2022-12-16/pdf/2022-27031.pdf" TargetMode="External" /><Relationship Id="rId5" Type="http://schemas.openxmlformats.org/officeDocument/2006/relationships/hyperlink" Target="https://www.federalregister.gov/documents/2016/05/11/2016-10567/customer-due-diligence-requirements-for-financial-institutions" TargetMode="External" /><Relationship Id="rId6" Type="http://schemas.openxmlformats.org/officeDocument/2006/relationships/hyperlink" Target="https://www.govinfo.gov/link/uscode/31/5336"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bls.gov/web/ecec/ecec-private-dataset.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D7DD43B4CCE428C95FE013EE83338" ma:contentTypeVersion="4" ma:contentTypeDescription="Create a new document." ma:contentTypeScope="" ma:versionID="aa6d2bcc1ff02a4c37e2b734e8540a4c">
  <xsd:schema xmlns:xsd="http://www.w3.org/2001/XMLSchema" xmlns:xs="http://www.w3.org/2001/XMLSchema" xmlns:p="http://schemas.microsoft.com/office/2006/metadata/properties" xmlns:ns2="7a7e1078-de89-4cec-9f20-2870e94b3297" xmlns:ns3="91882c98-ad7c-457b-bb99-16138be0c2aa" targetNamespace="http://schemas.microsoft.com/office/2006/metadata/properties" ma:root="true" ma:fieldsID="2d9eb390d9ec2d554b38ce5a2fed155d" ns2:_="" ns3:_="">
    <xsd:import namespace="7a7e1078-de89-4cec-9f20-2870e94b3297"/>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e1078-de89-4cec-9f20-2870e94b329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ID xmlns="7a7e1078-de89-4cec-9f20-2870e94b3297">583da642-014f-462d-ab49-7f7d3834ea2a</DocID>
    <CaseID xmlns="7a7e1078-de89-4cec-9f20-2870e94b3297">20238-TFI-7322</CaseID>
    <Category xmlns="7a7e1078-de89-4cec-9f20-2870e94b3297">Final</Category>
  </documentManagement>
</p:properties>
</file>

<file path=customXml/itemProps1.xml><?xml version="1.0" encoding="utf-8"?>
<ds:datastoreItem xmlns:ds="http://schemas.openxmlformats.org/officeDocument/2006/customXml" ds:itemID="{BDB8E8C1-B880-4C07-9BFB-DD0A506E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e1078-de89-4cec-9f20-2870e94b3297"/>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C1CBB-613C-4F12-AC1A-FCF48E0F0017}">
  <ds:schemaRefs>
    <ds:schemaRef ds:uri="http://schemas.microsoft.com/sharepoint/v3/contenttype/forms"/>
  </ds:schemaRefs>
</ds:datastoreItem>
</file>

<file path=customXml/itemProps3.xml><?xml version="1.0" encoding="utf-8"?>
<ds:datastoreItem xmlns:ds="http://schemas.openxmlformats.org/officeDocument/2006/customXml" ds:itemID="{293CCF34-653A-46E9-B518-A81B72447383}">
  <ds:schemaRefs>
    <ds:schemaRef ds:uri="http://schemas.openxmlformats.org/officeDocument/2006/bibliography"/>
  </ds:schemaRefs>
</ds:datastoreItem>
</file>

<file path=customXml/itemProps4.xml><?xml version="1.0" encoding="utf-8"?>
<ds:datastoreItem xmlns:ds="http://schemas.openxmlformats.org/officeDocument/2006/customXml" ds:itemID="{A00BCD2F-FAAA-4899-835D-9C38C6EFC537}">
  <ds:schemaRefs>
    <ds:schemaRef ds:uri="http://www.w3.org/XML/1998/namespace"/>
    <ds:schemaRef ds:uri="http://schemas.microsoft.com/office/2006/metadata/properties"/>
    <ds:schemaRef ds:uri="http://schemas.microsoft.com/office/2006/documentManagement/types"/>
    <ds:schemaRef ds:uri="http://purl.org/dc/dcmitype/"/>
    <ds:schemaRef ds:uri="91882c98-ad7c-457b-bb99-16138be0c2aa"/>
    <ds:schemaRef ds:uri="http://purl.org/dc/elements/1.1/"/>
    <ds:schemaRef ds:uri="http://schemas.microsoft.com/office/infopath/2007/PartnerControls"/>
    <ds:schemaRef ds:uri="http://schemas.openxmlformats.org/package/2006/metadata/core-properties"/>
    <ds:schemaRef ds:uri="7a7e1078-de89-4cec-9f20-2870e94b329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7277</Words>
  <Characters>43388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Molly</dc:creator>
  <cp:lastModifiedBy>Spencer Clark</cp:lastModifiedBy>
  <cp:revision>2</cp:revision>
  <cp:lastPrinted>2023-06-28T22:45:00Z</cp:lastPrinted>
  <dcterms:created xsi:type="dcterms:W3CDTF">2023-09-29T16:06:00Z</dcterms:created>
  <dcterms:modified xsi:type="dcterms:W3CDTF">2023-09-29T16:06:00Z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0x010100815D7DD43B4CCE428C95FE013EE83338</vt:lpwstr>
  </property>
</Properties>
</file>