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E9" w:rsidRPr="00481BEF" w:rsidP="00953580" w14:paraId="6908DFCA" w14:textId="77777777">
      <w:pPr>
        <w:pStyle w:val="Title"/>
      </w:pPr>
      <w:r w:rsidRPr="00481BEF">
        <w:rPr>
          <w:caps/>
        </w:rPr>
        <w:t>S</w:t>
      </w:r>
      <w:r w:rsidRPr="00481BEF">
        <w:rPr>
          <w:caps/>
        </w:rPr>
        <w:t>upporting Statement</w:t>
      </w:r>
      <w:r w:rsidRPr="00481BEF" w:rsidR="00953580">
        <w:t xml:space="preserve"> </w:t>
      </w:r>
      <w:r w:rsidRPr="00481BEF">
        <w:t>FOR</w:t>
      </w:r>
    </w:p>
    <w:p w:rsidR="00FD0BBF" w:rsidRPr="00481BEF" w:rsidP="00953580" w14:paraId="147E3E2C" w14:textId="77777777">
      <w:pPr>
        <w:pStyle w:val="Title"/>
        <w:rPr>
          <w:caps/>
        </w:rPr>
      </w:pPr>
      <w:r w:rsidRPr="00481BEF">
        <w:rPr>
          <w:caps/>
        </w:rPr>
        <w:t>Paperwork Reduction Act SubmissionS</w:t>
      </w:r>
    </w:p>
    <w:p w:rsidR="00DB6F72" w:rsidRPr="00481BEF" w:rsidP="00DB6F72" w14:paraId="4A23E624" w14:textId="77777777">
      <w:pPr>
        <w:pStyle w:val="Title"/>
      </w:pPr>
      <w:r>
        <w:t>OMB No. 153</w:t>
      </w:r>
      <w:r w:rsidRPr="00481BEF" w:rsidR="00953580">
        <w:t>0-</w:t>
      </w:r>
      <w:r>
        <w:t>0015</w:t>
      </w:r>
    </w:p>
    <w:p w:rsidR="00366578" w:rsidRPr="00481BEF" w:rsidP="00DB6F72" w14:paraId="5E40C9D8" w14:textId="77777777">
      <w:pPr>
        <w:pStyle w:val="Title"/>
      </w:pPr>
      <w:r w:rsidRPr="00481BEF">
        <w:t>“</w:t>
      </w:r>
      <w:r w:rsidRPr="00481BEF" w:rsidR="0051545E">
        <w:t>Authorization Agreement for Preauthorized Payments</w:t>
      </w:r>
      <w:r w:rsidRPr="00481BEF" w:rsidR="00DB6F72">
        <w:t>”</w:t>
      </w:r>
    </w:p>
    <w:p w:rsidR="00366578" w:rsidRPr="00481BEF" w14:paraId="768C4A58" w14:textId="77777777">
      <w:pPr>
        <w:rPr>
          <w:b/>
        </w:rPr>
      </w:pPr>
    </w:p>
    <w:p w:rsidR="00366578" w:rsidRPr="00481BEF" w14:paraId="7F0CFADD" w14:textId="77777777">
      <w:pPr>
        <w:numPr>
          <w:ilvl w:val="0"/>
          <w:numId w:val="1"/>
        </w:numPr>
        <w:rPr>
          <w:b/>
          <w:u w:val="single"/>
        </w:rPr>
      </w:pPr>
      <w:r w:rsidRPr="00481BEF">
        <w:rPr>
          <w:b/>
          <w:u w:val="single"/>
        </w:rPr>
        <w:t>Justifications.</w:t>
      </w:r>
    </w:p>
    <w:p w:rsidR="00366578" w:rsidRPr="00481BEF" w14:paraId="3000FBE1" w14:textId="77777777">
      <w:pPr>
        <w:rPr>
          <w:b/>
          <w:u w:val="single"/>
        </w:rPr>
      </w:pPr>
    </w:p>
    <w:p w:rsidR="00C10CAA" w:rsidRPr="00481BEF" w:rsidP="00C10CAA" w14:paraId="30CBA980" w14:textId="77777777">
      <w:r w:rsidRPr="00481BEF">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81BEF">
        <w:t xml:space="preserve"> </w:t>
      </w:r>
    </w:p>
    <w:p w:rsidR="00C10CAA" w:rsidRPr="00481BEF" w14:paraId="10326746" w14:textId="77777777">
      <w:pPr>
        <w:rPr>
          <w:b/>
          <w:u w:val="single"/>
        </w:rPr>
      </w:pPr>
      <w:r w:rsidRPr="00481BEF">
        <w:rPr>
          <w:b/>
          <w:u w:val="single"/>
        </w:rPr>
        <w:t xml:space="preserve"> </w:t>
      </w:r>
    </w:p>
    <w:p w:rsidR="0025571F" w:rsidRPr="00481BEF" w:rsidP="0025571F" w14:paraId="78B09EC0" w14:textId="77777777">
      <w:pPr>
        <w:overflowPunct w:val="0"/>
        <w:autoSpaceDE w:val="0"/>
        <w:autoSpaceDN w:val="0"/>
        <w:adjustRightInd w:val="0"/>
        <w:ind w:left="360"/>
        <w:textAlignment w:val="baseline"/>
        <w:rPr>
          <w:sz w:val="24"/>
        </w:rPr>
      </w:pPr>
      <w:r w:rsidRPr="00481BEF">
        <w:rPr>
          <w:sz w:val="24"/>
        </w:rPr>
        <w:t>Preauthorized payments allow a Federal agency to collect monies owed the Government by electronically withdrawing funds from a remitter’s account on a predetermined due date.  In order to collect this payment from the remitter’s account at the financial institution, there are two key pieces of information that are necessary: the remitter’s account number and the routing transit number of the financial in</w:t>
      </w:r>
      <w:r w:rsidRPr="00481BEF" w:rsidR="00B06970">
        <w:rPr>
          <w:sz w:val="24"/>
        </w:rPr>
        <w:t>stitution</w:t>
      </w:r>
      <w:r w:rsidRPr="00481BEF">
        <w:rPr>
          <w:sz w:val="24"/>
        </w:rPr>
        <w:t xml:space="preserve">.  To collect the payment from the remitter’s account, Treasury, the Federal Reserve </w:t>
      </w:r>
      <w:r w:rsidRPr="00481BEF" w:rsidR="0034775A">
        <w:rPr>
          <w:sz w:val="24"/>
        </w:rPr>
        <w:t>as the ACH Operator</w:t>
      </w:r>
      <w:r w:rsidRPr="00481BEF">
        <w:rPr>
          <w:sz w:val="24"/>
        </w:rPr>
        <w:t xml:space="preserve"> and the </w:t>
      </w:r>
      <w:r w:rsidRPr="00481BEF" w:rsidR="00335D27">
        <w:rPr>
          <w:sz w:val="24"/>
        </w:rPr>
        <w:t xml:space="preserve">receiving </w:t>
      </w:r>
      <w:r w:rsidRPr="00481BEF">
        <w:rPr>
          <w:sz w:val="24"/>
        </w:rPr>
        <w:t>financial institution use this information.</w:t>
      </w:r>
    </w:p>
    <w:p w:rsidR="0025571F" w:rsidRPr="00481BEF" w:rsidP="0025571F" w14:paraId="2AC7200A" w14:textId="77777777">
      <w:pPr>
        <w:overflowPunct w:val="0"/>
        <w:autoSpaceDE w:val="0"/>
        <w:autoSpaceDN w:val="0"/>
        <w:adjustRightInd w:val="0"/>
        <w:ind w:left="360"/>
        <w:textAlignment w:val="baseline"/>
        <w:rPr>
          <w:sz w:val="24"/>
        </w:rPr>
      </w:pPr>
    </w:p>
    <w:p w:rsidR="0025571F" w:rsidRPr="00481BEF" w:rsidP="0025571F" w14:paraId="3424F5E0" w14:textId="77777777">
      <w:pPr>
        <w:ind w:left="360"/>
        <w:rPr>
          <w:sz w:val="24"/>
        </w:rPr>
      </w:pPr>
      <w:r w:rsidRPr="00481BEF">
        <w:rPr>
          <w:sz w:val="24"/>
        </w:rPr>
        <w:t xml:space="preserve">This information is collected by authority of </w:t>
      </w:r>
      <w:r w:rsidR="00A605E6">
        <w:rPr>
          <w:sz w:val="24"/>
        </w:rPr>
        <w:t>1</w:t>
      </w:r>
      <w:r w:rsidRPr="00481BEF" w:rsidR="002635A4">
        <w:rPr>
          <w:sz w:val="24"/>
        </w:rPr>
        <w:t xml:space="preserve">5 USC § 1693 et seq., </w:t>
      </w:r>
      <w:r w:rsidRPr="00481BEF" w:rsidR="000E1DE7">
        <w:rPr>
          <w:sz w:val="24"/>
        </w:rPr>
        <w:t xml:space="preserve">12 CFR 205, </w:t>
      </w:r>
      <w:r w:rsidRPr="00481BEF" w:rsidR="00942FB7">
        <w:rPr>
          <w:sz w:val="24"/>
        </w:rPr>
        <w:t xml:space="preserve">31 </w:t>
      </w:r>
      <w:r w:rsidRPr="00481BEF">
        <w:rPr>
          <w:sz w:val="24"/>
        </w:rPr>
        <w:t>CFR 206,</w:t>
      </w:r>
      <w:r w:rsidRPr="00481BEF" w:rsidR="00942FB7">
        <w:rPr>
          <w:sz w:val="24"/>
        </w:rPr>
        <w:t xml:space="preserve"> 31 CFR 210</w:t>
      </w:r>
      <w:r w:rsidRPr="00481BEF" w:rsidR="000E1DE7">
        <w:rPr>
          <w:sz w:val="24"/>
        </w:rPr>
        <w:t xml:space="preserve"> and </w:t>
      </w:r>
      <w:r w:rsidRPr="00481BEF" w:rsidR="002635A4">
        <w:rPr>
          <w:sz w:val="24"/>
        </w:rPr>
        <w:t xml:space="preserve">the </w:t>
      </w:r>
      <w:r w:rsidR="00DD0BC0">
        <w:rPr>
          <w:sz w:val="24"/>
        </w:rPr>
        <w:t>Nacha</w:t>
      </w:r>
      <w:r w:rsidRPr="00481BEF" w:rsidR="00DD0BC0">
        <w:rPr>
          <w:sz w:val="24"/>
        </w:rPr>
        <w:t xml:space="preserve"> </w:t>
      </w:r>
      <w:r w:rsidRPr="00481BEF">
        <w:rPr>
          <w:sz w:val="24"/>
        </w:rPr>
        <w:t>(</w:t>
      </w:r>
      <w:r w:rsidR="00DD0BC0">
        <w:rPr>
          <w:sz w:val="24"/>
        </w:rPr>
        <w:t xml:space="preserve">formerly known as the </w:t>
      </w:r>
      <w:r w:rsidRPr="00481BEF">
        <w:rPr>
          <w:sz w:val="24"/>
        </w:rPr>
        <w:t xml:space="preserve">National Automated Clearing House Association) </w:t>
      </w:r>
      <w:r w:rsidRPr="00481BEF" w:rsidR="0080709B">
        <w:rPr>
          <w:sz w:val="24"/>
        </w:rPr>
        <w:t>R</w:t>
      </w:r>
      <w:r w:rsidRPr="00481BEF">
        <w:rPr>
          <w:sz w:val="24"/>
        </w:rPr>
        <w:t>ules.</w:t>
      </w:r>
    </w:p>
    <w:p w:rsidR="000E1DE7" w:rsidRPr="00481BEF" w:rsidP="000E1DE7" w14:paraId="08F96ED7" w14:textId="77777777">
      <w:pPr>
        <w:ind w:left="360"/>
        <w:rPr>
          <w:sz w:val="24"/>
        </w:rPr>
      </w:pPr>
    </w:p>
    <w:p w:rsidR="00C10CAA" w:rsidRPr="00481BEF" w:rsidP="009F0DA8" w14:paraId="641DE720" w14:textId="77777777">
      <w:r w:rsidRPr="00481BEF">
        <w:rPr>
          <w:b/>
        </w:rPr>
        <w:t>2.  Indicate how, by whom, and for what purpose the information is to be used.  Except for a new collection, indicate the actual use the agency has made of the information received from the current collection</w:t>
      </w:r>
      <w:r w:rsidRPr="00481BEF">
        <w:t xml:space="preserve">. </w:t>
      </w:r>
    </w:p>
    <w:p w:rsidR="00C10CAA" w:rsidRPr="00481BEF" w14:paraId="6A38993A" w14:textId="77777777">
      <w:pPr>
        <w:ind w:left="360"/>
      </w:pPr>
    </w:p>
    <w:p w:rsidR="0025571F" w:rsidRPr="00481BEF" w:rsidP="0025571F" w14:paraId="185B47C6" w14:textId="77777777">
      <w:pPr>
        <w:ind w:left="360"/>
        <w:rPr>
          <w:sz w:val="24"/>
        </w:rPr>
      </w:pPr>
      <w:r w:rsidRPr="00481BEF">
        <w:rPr>
          <w:sz w:val="24"/>
        </w:rPr>
        <w:t xml:space="preserve">A Federal agency will provide a remitter with a </w:t>
      </w:r>
      <w:r w:rsidRPr="00481BEF" w:rsidR="000662FC">
        <w:rPr>
          <w:sz w:val="24"/>
        </w:rPr>
        <w:t>form</w:t>
      </w:r>
      <w:r w:rsidRPr="00481BEF" w:rsidR="00DE36CF">
        <w:rPr>
          <w:sz w:val="24"/>
        </w:rPr>
        <w:t xml:space="preserve"> for </w:t>
      </w:r>
      <w:r w:rsidRPr="00481BEF" w:rsidR="002635A4">
        <w:rPr>
          <w:sz w:val="24"/>
        </w:rPr>
        <w:t xml:space="preserve">the </w:t>
      </w:r>
      <w:r w:rsidRPr="00481BEF" w:rsidR="00DE36CF">
        <w:rPr>
          <w:sz w:val="24"/>
        </w:rPr>
        <w:t>authorization</w:t>
      </w:r>
      <w:r w:rsidRPr="00481BEF" w:rsidR="00320140">
        <w:rPr>
          <w:sz w:val="24"/>
        </w:rPr>
        <w:t>, change or termination</w:t>
      </w:r>
      <w:r w:rsidRPr="00481BEF" w:rsidR="00DE36CF">
        <w:rPr>
          <w:sz w:val="24"/>
        </w:rPr>
        <w:t xml:space="preserve"> of preauthorized electronic fund transfers. T</w:t>
      </w:r>
      <w:r w:rsidRPr="00481BEF">
        <w:rPr>
          <w:sz w:val="24"/>
        </w:rPr>
        <w:t xml:space="preserve">he remitter is to complete and sign the individual/company part of the form.  The remitter </w:t>
      </w:r>
      <w:r w:rsidRPr="00481BEF" w:rsidR="000662FC">
        <w:rPr>
          <w:sz w:val="24"/>
        </w:rPr>
        <w:t xml:space="preserve">then </w:t>
      </w:r>
      <w:r w:rsidRPr="00481BEF" w:rsidR="0080709B">
        <w:rPr>
          <w:sz w:val="24"/>
        </w:rPr>
        <w:t xml:space="preserve">may take </w:t>
      </w:r>
      <w:r w:rsidRPr="00481BEF">
        <w:rPr>
          <w:sz w:val="24"/>
        </w:rPr>
        <w:t>the enrollment form to the financial institution where his</w:t>
      </w:r>
      <w:r w:rsidRPr="00481BEF" w:rsidR="00397DA8">
        <w:rPr>
          <w:sz w:val="24"/>
        </w:rPr>
        <w:t>/her</w:t>
      </w:r>
      <w:r w:rsidRPr="00481BEF">
        <w:rPr>
          <w:sz w:val="24"/>
        </w:rPr>
        <w:t xml:space="preserve"> account is maintained.  </w:t>
      </w:r>
      <w:r w:rsidRPr="00481BEF" w:rsidR="00C85ECC">
        <w:rPr>
          <w:sz w:val="24"/>
        </w:rPr>
        <w:t xml:space="preserve">A </w:t>
      </w:r>
      <w:r w:rsidRPr="00481BEF">
        <w:rPr>
          <w:sz w:val="24"/>
        </w:rPr>
        <w:t xml:space="preserve">financial institution representative will complete and </w:t>
      </w:r>
      <w:r w:rsidRPr="00481BEF" w:rsidR="002635A4">
        <w:rPr>
          <w:sz w:val="24"/>
        </w:rPr>
        <w:t>may</w:t>
      </w:r>
      <w:r w:rsidRPr="00481BEF" w:rsidR="0080709B">
        <w:rPr>
          <w:sz w:val="24"/>
        </w:rPr>
        <w:t xml:space="preserve">, </w:t>
      </w:r>
      <w:r w:rsidRPr="00481BEF" w:rsidR="002635A4">
        <w:rPr>
          <w:sz w:val="24"/>
        </w:rPr>
        <w:t>when requested</w:t>
      </w:r>
      <w:r w:rsidRPr="00481BEF" w:rsidR="0080709B">
        <w:rPr>
          <w:sz w:val="24"/>
        </w:rPr>
        <w:t>,</w:t>
      </w:r>
      <w:r w:rsidRPr="00481BEF">
        <w:rPr>
          <w:sz w:val="24"/>
        </w:rPr>
        <w:t xml:space="preserve"> </w:t>
      </w:r>
      <w:r w:rsidRPr="00481BEF" w:rsidR="002635A4">
        <w:rPr>
          <w:sz w:val="24"/>
        </w:rPr>
        <w:t xml:space="preserve">sign </w:t>
      </w:r>
      <w:r w:rsidRPr="00481BEF">
        <w:rPr>
          <w:sz w:val="24"/>
        </w:rPr>
        <w:t>the financial institution information section</w:t>
      </w:r>
      <w:r w:rsidRPr="00481BEF" w:rsidR="002635A4">
        <w:rPr>
          <w:sz w:val="24"/>
        </w:rPr>
        <w:t>.</w:t>
      </w:r>
      <w:r w:rsidRPr="00481BEF">
        <w:rPr>
          <w:sz w:val="24"/>
        </w:rPr>
        <w:t xml:space="preserve">  The remitter and the financial institution will each retain a copy of</w:t>
      </w:r>
      <w:r w:rsidRPr="00481BEF" w:rsidR="00C85ECC">
        <w:rPr>
          <w:sz w:val="24"/>
        </w:rPr>
        <w:t xml:space="preserve"> </w:t>
      </w:r>
      <w:r w:rsidRPr="00481BEF">
        <w:rPr>
          <w:sz w:val="24"/>
        </w:rPr>
        <w:t>the form.  The original copy of the form will be forwarded by the remitter o</w:t>
      </w:r>
      <w:r w:rsidRPr="00481BEF" w:rsidR="009D05A4">
        <w:rPr>
          <w:sz w:val="24"/>
        </w:rPr>
        <w:t>r</w:t>
      </w:r>
      <w:r w:rsidRPr="00481BEF">
        <w:rPr>
          <w:sz w:val="24"/>
        </w:rPr>
        <w:t xml:space="preserve"> the financial institution to the appropriate Federal agency.  A preauthorization agreement signed by an individual or company representative authorizes</w:t>
      </w:r>
      <w:r w:rsidRPr="00481BEF" w:rsidR="00F174FE">
        <w:rPr>
          <w:sz w:val="24"/>
        </w:rPr>
        <w:t xml:space="preserve"> preauthorized</w:t>
      </w:r>
      <w:r w:rsidRPr="00481BEF">
        <w:rPr>
          <w:sz w:val="24"/>
        </w:rPr>
        <w:t xml:space="preserve"> electronic fund transfers from the account</w:t>
      </w:r>
      <w:r w:rsidRPr="00481BEF" w:rsidR="00F174FE">
        <w:rPr>
          <w:sz w:val="24"/>
        </w:rPr>
        <w:t xml:space="preserve"> identified on the authorization form</w:t>
      </w:r>
      <w:r w:rsidRPr="00481BEF">
        <w:rPr>
          <w:sz w:val="24"/>
        </w:rPr>
        <w:t>.</w:t>
      </w:r>
    </w:p>
    <w:p w:rsidR="0025571F" w:rsidRPr="00481BEF" w14:paraId="00DD3A85" w14:textId="77777777">
      <w:pPr>
        <w:ind w:left="360"/>
      </w:pPr>
    </w:p>
    <w:p w:rsidR="00C10CAA" w:rsidRPr="00481BEF" w:rsidP="00C10CAA" w14:paraId="421AADA6" w14:textId="77777777">
      <w:pPr>
        <w:rPr>
          <w:b/>
        </w:rPr>
      </w:pPr>
      <w:r w:rsidRPr="00481BEF">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481BEF" w:rsidP="00C10CAA" w14:paraId="14848F07" w14:textId="77777777">
      <w:pPr>
        <w:ind w:left="360"/>
      </w:pPr>
    </w:p>
    <w:p w:rsidR="0025571F" w:rsidRPr="00481BEF" w:rsidP="001E4A15" w14:paraId="3C6FB6B1" w14:textId="77777777">
      <w:pPr>
        <w:overflowPunct w:val="0"/>
        <w:autoSpaceDE w:val="0"/>
        <w:autoSpaceDN w:val="0"/>
        <w:adjustRightInd w:val="0"/>
        <w:ind w:left="360"/>
        <w:textAlignment w:val="baseline"/>
        <w:rPr>
          <w:sz w:val="24"/>
        </w:rPr>
      </w:pPr>
      <w:r w:rsidRPr="00AC7F69">
        <w:rPr>
          <w:sz w:val="24"/>
        </w:rPr>
        <w:t xml:space="preserve">The form is available from the Bureau of the Fiscal Service and also on the Internet as a fill-in PDF form. </w:t>
      </w:r>
      <w:r w:rsidRPr="00AC7F69">
        <w:rPr>
          <w:sz w:val="32"/>
        </w:rPr>
        <w:t xml:space="preserve"> </w:t>
      </w:r>
      <w:r w:rsidRPr="00481BEF">
        <w:rPr>
          <w:sz w:val="24"/>
        </w:rPr>
        <w:t xml:space="preserve">No </w:t>
      </w:r>
      <w:r w:rsidR="00504E95">
        <w:rPr>
          <w:sz w:val="24"/>
        </w:rPr>
        <w:t xml:space="preserve">other </w:t>
      </w:r>
      <w:r w:rsidRPr="00481BEF">
        <w:rPr>
          <w:sz w:val="24"/>
        </w:rPr>
        <w:t xml:space="preserve">consideration is being given at this time to use any improved information technology in this program area.  There are no known legal or technical obstacles to reducing this burden. </w:t>
      </w:r>
    </w:p>
    <w:p w:rsidR="0025571F" w:rsidRPr="00481BEF" w:rsidP="00C10CAA" w14:paraId="24C07227" w14:textId="77777777">
      <w:pPr>
        <w:ind w:left="360"/>
      </w:pPr>
    </w:p>
    <w:p w:rsidR="00C10CAA" w:rsidRPr="00481BEF" w:rsidP="00C10CAA" w14:paraId="05E81172" w14:textId="77777777">
      <w:pPr>
        <w:tabs>
          <w:tab w:val="left" w:pos="-1440"/>
        </w:tabs>
        <w:rPr>
          <w:b/>
        </w:rPr>
      </w:pPr>
      <w:r w:rsidRPr="00481BEF">
        <w:rPr>
          <w:b/>
        </w:rPr>
        <w:t xml:space="preserve">4.  Describe efforts to identify duplication.  Show specifically why any similar information already available cannot be used or modified for use for the purposes described in Item 2 above. </w:t>
      </w:r>
    </w:p>
    <w:p w:rsidR="00C10CAA" w:rsidRPr="00481BEF" w14:paraId="32F1FCA2" w14:textId="77777777">
      <w:r w:rsidRPr="00481BEF">
        <w:t xml:space="preserve"> </w:t>
      </w:r>
    </w:p>
    <w:p w:rsidR="00CC387D" w:rsidRPr="00CC387D" w:rsidP="00CC387D" w14:paraId="0875B1DD" w14:textId="77777777">
      <w:pPr>
        <w:overflowPunct w:val="0"/>
        <w:autoSpaceDE w:val="0"/>
        <w:autoSpaceDN w:val="0"/>
        <w:adjustRightInd w:val="0"/>
        <w:ind w:left="360"/>
        <w:textAlignment w:val="baseline"/>
        <w:rPr>
          <w:sz w:val="24"/>
          <w:szCs w:val="24"/>
        </w:rPr>
      </w:pPr>
      <w:r w:rsidRPr="00CC387D">
        <w:rPr>
          <w:sz w:val="24"/>
          <w:szCs w:val="24"/>
        </w:rPr>
        <w:t>The information is collected for a single purpose to collect the remitters’ names, remitters’ account numbers, and the routing transit numbers of their financial institutions</w:t>
      </w:r>
      <w:r>
        <w:rPr>
          <w:sz w:val="24"/>
          <w:szCs w:val="24"/>
        </w:rPr>
        <w:t xml:space="preserve"> </w:t>
      </w:r>
      <w:r w:rsidRPr="00CC387D">
        <w:rPr>
          <w:sz w:val="24"/>
          <w:szCs w:val="24"/>
        </w:rPr>
        <w:t>at one time</w:t>
      </w:r>
      <w:r w:rsidRPr="00CC387D">
        <w:rPr>
          <w:sz w:val="24"/>
          <w:szCs w:val="24"/>
        </w:rPr>
        <w:t>. No other federal governmental agency collects this type of information, therefore, no duplication exists</w:t>
      </w:r>
      <w:r>
        <w:rPr>
          <w:sz w:val="24"/>
          <w:szCs w:val="24"/>
        </w:rPr>
        <w:t>.</w:t>
      </w:r>
      <w:r w:rsidRPr="00CC387D">
        <w:rPr>
          <w:sz w:val="24"/>
          <w:szCs w:val="24"/>
        </w:rPr>
        <w:t xml:space="preserve"> </w:t>
      </w:r>
      <w:r w:rsidRPr="00CC387D" w:rsidR="00A151CE">
        <w:rPr>
          <w:sz w:val="24"/>
          <w:szCs w:val="24"/>
        </w:rPr>
        <w:t xml:space="preserve">This </w:t>
      </w:r>
      <w:r w:rsidRPr="00CC387D" w:rsidR="0042630D">
        <w:rPr>
          <w:sz w:val="24"/>
          <w:szCs w:val="24"/>
        </w:rPr>
        <w:t>data gathering</w:t>
      </w:r>
      <w:r w:rsidRPr="00CC387D" w:rsidR="00A151CE">
        <w:rPr>
          <w:sz w:val="24"/>
          <w:szCs w:val="24"/>
        </w:rPr>
        <w:t xml:space="preserve"> must be done by the voluntary completion of this form by the remitter and </w:t>
      </w:r>
      <w:r w:rsidRPr="00CC387D" w:rsidR="00C47FF9">
        <w:rPr>
          <w:sz w:val="24"/>
          <w:szCs w:val="24"/>
        </w:rPr>
        <w:t>their</w:t>
      </w:r>
      <w:r w:rsidRPr="00CC387D" w:rsidR="00A151CE">
        <w:rPr>
          <w:sz w:val="24"/>
          <w:szCs w:val="24"/>
        </w:rPr>
        <w:t xml:space="preserve"> financial institution.</w:t>
      </w:r>
    </w:p>
    <w:p w:rsidR="00A151CE" w:rsidRPr="00481BEF" w:rsidP="00A151CE" w14:paraId="26352B0D" w14:textId="77777777">
      <w:pPr>
        <w:rPr>
          <w:sz w:val="24"/>
        </w:rPr>
      </w:pPr>
    </w:p>
    <w:p w:rsidR="00A151CE" w:rsidRPr="00481BEF" w:rsidP="00A151CE" w14:paraId="60C15B4D" w14:textId="77777777">
      <w:pPr>
        <w:pStyle w:val="BodyTextIndent"/>
        <w:rPr>
          <w:sz w:val="24"/>
        </w:rPr>
      </w:pPr>
      <w:r w:rsidRPr="00481BEF">
        <w:rPr>
          <w:sz w:val="24"/>
        </w:rPr>
        <w:t>This form seeks to collect only the most basic data, which allows the collection of payments through electronic funds transfers.</w:t>
      </w:r>
    </w:p>
    <w:p w:rsidR="00A151CE" w:rsidRPr="00481BEF" w14:paraId="74D8810C" w14:textId="77777777"/>
    <w:p w:rsidR="00C10CAA" w:rsidRPr="00481BEF" w:rsidP="00C10CAA" w14:paraId="30DB8EAA" w14:textId="77777777">
      <w:pPr>
        <w:rPr>
          <w:b/>
        </w:rPr>
      </w:pPr>
      <w:r w:rsidRPr="00481BEF">
        <w:rPr>
          <w:b/>
        </w:rPr>
        <w:t>5.  If the collection of information impacts small businesses or other small entities (Item 5 o</w:t>
      </w:r>
      <w:r w:rsidRPr="00481BEF" w:rsidR="009F0DA8">
        <w:rPr>
          <w:b/>
        </w:rPr>
        <w:t>f</w:t>
      </w:r>
      <w:r w:rsidRPr="00481BEF">
        <w:rPr>
          <w:b/>
        </w:rPr>
        <w:t xml:space="preserve"> OMB Form 83-I), describe any methods used to minimize burden.</w:t>
      </w:r>
    </w:p>
    <w:p w:rsidR="009F0DA8" w:rsidRPr="00481BEF" w:rsidP="009F0DA8" w14:paraId="71FCD969" w14:textId="77777777"/>
    <w:p w:rsidR="00CC387D" w:rsidRPr="00CC387D" w:rsidP="00CC387D" w14:paraId="0C2D8031" w14:textId="77777777">
      <w:pPr>
        <w:spacing w:after="120"/>
        <w:ind w:left="720"/>
        <w:rPr>
          <w:color w:val="000000"/>
          <w:sz w:val="24"/>
        </w:rPr>
      </w:pPr>
      <w:r w:rsidRPr="00CC387D">
        <w:rPr>
          <w:sz w:val="24"/>
        </w:rPr>
        <w:t>This collection of information does not impact small business or other small entities.</w:t>
      </w:r>
    </w:p>
    <w:p w:rsidR="009F0DA8" w:rsidRPr="00481BEF" w:rsidP="00C10CAA" w14:paraId="489B92C5" w14:textId="77777777">
      <w:pPr>
        <w:rPr>
          <w:b/>
        </w:rPr>
      </w:pPr>
    </w:p>
    <w:p w:rsidR="00C10CAA" w:rsidRPr="00481BEF" w:rsidP="00C10CAA" w14:paraId="135A6789" w14:textId="77777777">
      <w:pPr>
        <w:rPr>
          <w:b/>
        </w:rPr>
      </w:pPr>
      <w:r w:rsidRPr="00481BEF">
        <w:rPr>
          <w:b/>
        </w:rPr>
        <w:t>6.  Describe the consequence to Federal program or policy activities if the collection is not conducted or is conducted less frequently, as well as any technical or legal obstacles to reducing burden.</w:t>
      </w:r>
    </w:p>
    <w:p w:rsidR="00C10CAA" w:rsidRPr="00481BEF" w14:paraId="0E42AFB1" w14:textId="77777777">
      <w:r w:rsidRPr="00481BEF">
        <w:t xml:space="preserve"> </w:t>
      </w:r>
    </w:p>
    <w:p w:rsidR="006E43A1" w:rsidRPr="00481BEF" w:rsidP="00513911" w14:paraId="2F5AC044" w14:textId="77777777">
      <w:pPr>
        <w:autoSpaceDE w:val="0"/>
        <w:autoSpaceDN w:val="0"/>
        <w:adjustRightInd w:val="0"/>
        <w:ind w:left="360"/>
        <w:rPr>
          <w:sz w:val="24"/>
          <w:szCs w:val="24"/>
        </w:rPr>
      </w:pPr>
      <w:r w:rsidRPr="00481BEF">
        <w:rPr>
          <w:sz w:val="24"/>
        </w:rPr>
        <w:t xml:space="preserve">This collection of information is </w:t>
      </w:r>
      <w:r w:rsidRPr="00481BEF" w:rsidR="00022FD3">
        <w:rPr>
          <w:sz w:val="24"/>
        </w:rPr>
        <w:t>obtained</w:t>
      </w:r>
      <w:r w:rsidRPr="00481BEF">
        <w:rPr>
          <w:sz w:val="24"/>
        </w:rPr>
        <w:t xml:space="preserve"> on occasion whenever individuals wish to </w:t>
      </w:r>
      <w:r w:rsidRPr="00481BEF" w:rsidR="00320140">
        <w:rPr>
          <w:sz w:val="24"/>
        </w:rPr>
        <w:t>authorize, change or terminate</w:t>
      </w:r>
      <w:r w:rsidRPr="00481BEF">
        <w:rPr>
          <w:sz w:val="24"/>
        </w:rPr>
        <w:t xml:space="preserve"> </w:t>
      </w:r>
      <w:r w:rsidRPr="00481BEF" w:rsidR="0080709B">
        <w:rPr>
          <w:sz w:val="24"/>
        </w:rPr>
        <w:t>for</w:t>
      </w:r>
      <w:r w:rsidRPr="00481BEF">
        <w:rPr>
          <w:sz w:val="24"/>
        </w:rPr>
        <w:t xml:space="preserve"> preauthorized </w:t>
      </w:r>
      <w:r w:rsidRPr="00481BEF" w:rsidR="00F174FE">
        <w:rPr>
          <w:sz w:val="24"/>
        </w:rPr>
        <w:t>electronic funds transfers</w:t>
      </w:r>
      <w:r w:rsidRPr="00481BEF">
        <w:rPr>
          <w:sz w:val="24"/>
        </w:rPr>
        <w:t>.</w:t>
      </w:r>
      <w:r w:rsidRPr="00481BEF" w:rsidR="00F174FE">
        <w:rPr>
          <w:sz w:val="24"/>
        </w:rPr>
        <w:t xml:space="preserve"> This authorization is required by the Electronic Fund Transfer Act, the act’s implementing regulation, Regulation E (12 CFR 205) and the </w:t>
      </w:r>
      <w:r w:rsidR="00DD0BC0">
        <w:rPr>
          <w:sz w:val="24"/>
        </w:rPr>
        <w:t>Nacha</w:t>
      </w:r>
      <w:r w:rsidRPr="00481BEF" w:rsidR="00DD0BC0">
        <w:rPr>
          <w:sz w:val="24"/>
        </w:rPr>
        <w:t xml:space="preserve"> </w:t>
      </w:r>
      <w:r w:rsidRPr="00481BEF" w:rsidR="00F174FE">
        <w:rPr>
          <w:sz w:val="24"/>
        </w:rPr>
        <w:t>ACH Rules.</w:t>
      </w:r>
      <w:r w:rsidRPr="00481BEF">
        <w:rPr>
          <w:sz w:val="24"/>
        </w:rPr>
        <w:t xml:space="preserve"> The collection of this information is usually a one-time collection, and therefore, cannot be less frequent.  If this information is not collected</w:t>
      </w:r>
      <w:r w:rsidRPr="00481BEF" w:rsidR="00022FD3">
        <w:rPr>
          <w:sz w:val="24"/>
        </w:rPr>
        <w:t>,</w:t>
      </w:r>
      <w:r w:rsidRPr="00481BEF">
        <w:rPr>
          <w:sz w:val="24"/>
        </w:rPr>
        <w:t xml:space="preserve"> the agencies will not</w:t>
      </w:r>
      <w:r w:rsidRPr="00481BEF" w:rsidR="00F174FE">
        <w:rPr>
          <w:sz w:val="24"/>
        </w:rPr>
        <w:t xml:space="preserve"> be authorized to initiate preautho</w:t>
      </w:r>
      <w:r w:rsidRPr="00481BEF" w:rsidR="002635A4">
        <w:rPr>
          <w:sz w:val="24"/>
        </w:rPr>
        <w:t xml:space="preserve">rized electronic funds transfers. </w:t>
      </w:r>
      <w:r w:rsidRPr="00481BEF" w:rsidR="002635A4">
        <w:rPr>
          <w:sz w:val="24"/>
          <w:szCs w:val="24"/>
        </w:rPr>
        <w:t>As a result</w:t>
      </w:r>
      <w:r w:rsidRPr="00481BEF" w:rsidR="0080709B">
        <w:rPr>
          <w:sz w:val="24"/>
          <w:szCs w:val="24"/>
        </w:rPr>
        <w:t xml:space="preserve">, </w:t>
      </w:r>
      <w:r w:rsidRPr="00481BEF" w:rsidR="002635A4">
        <w:rPr>
          <w:sz w:val="24"/>
          <w:szCs w:val="24"/>
        </w:rPr>
        <w:t xml:space="preserve">customers will </w:t>
      </w:r>
      <w:r w:rsidRPr="00481BEF" w:rsidR="00513911">
        <w:rPr>
          <w:sz w:val="24"/>
          <w:szCs w:val="24"/>
        </w:rPr>
        <w:t>need to choose another form of payment</w:t>
      </w:r>
      <w:r w:rsidRPr="00481BEF" w:rsidR="002635A4">
        <w:rPr>
          <w:sz w:val="24"/>
          <w:szCs w:val="24"/>
        </w:rPr>
        <w:t>,</w:t>
      </w:r>
      <w:r w:rsidRPr="00481BEF" w:rsidR="00513911">
        <w:rPr>
          <w:sz w:val="24"/>
          <w:szCs w:val="24"/>
        </w:rPr>
        <w:t xml:space="preserve"> which may result in </w:t>
      </w:r>
      <w:r w:rsidRPr="00481BEF" w:rsidR="002635A4">
        <w:rPr>
          <w:sz w:val="24"/>
          <w:szCs w:val="24"/>
        </w:rPr>
        <w:t xml:space="preserve">higher </w:t>
      </w:r>
      <w:r w:rsidRPr="00481BEF" w:rsidR="00513911">
        <w:rPr>
          <w:sz w:val="24"/>
          <w:szCs w:val="24"/>
        </w:rPr>
        <w:t xml:space="preserve">processing costs to the </w:t>
      </w:r>
      <w:r w:rsidRPr="00481BEF" w:rsidR="0080709B">
        <w:rPr>
          <w:sz w:val="24"/>
          <w:szCs w:val="24"/>
        </w:rPr>
        <w:t>g</w:t>
      </w:r>
      <w:r w:rsidRPr="00481BEF" w:rsidR="00513911">
        <w:rPr>
          <w:sz w:val="24"/>
          <w:szCs w:val="24"/>
        </w:rPr>
        <w:t xml:space="preserve">overnment and inconvenience to the customer.  </w:t>
      </w:r>
      <w:r w:rsidRPr="00481BEF" w:rsidR="002635A4">
        <w:rPr>
          <w:sz w:val="24"/>
          <w:szCs w:val="24"/>
        </w:rPr>
        <w:t>M</w:t>
      </w:r>
      <w:r w:rsidRPr="00481BEF" w:rsidR="00E746F1">
        <w:rPr>
          <w:sz w:val="24"/>
          <w:szCs w:val="24"/>
        </w:rPr>
        <w:t>ore</w:t>
      </w:r>
      <w:r w:rsidRPr="00481BEF" w:rsidR="002635A4">
        <w:rPr>
          <w:sz w:val="24"/>
          <w:szCs w:val="24"/>
        </w:rPr>
        <w:t>over, failure to collect this information may delay the government’s receipt of payments</w:t>
      </w:r>
      <w:r w:rsidRPr="00481BEF" w:rsidR="00320140">
        <w:rPr>
          <w:sz w:val="24"/>
          <w:szCs w:val="24"/>
        </w:rPr>
        <w:t>,</w:t>
      </w:r>
      <w:r w:rsidRPr="00481BEF" w:rsidR="002635A4">
        <w:rPr>
          <w:sz w:val="24"/>
          <w:szCs w:val="24"/>
        </w:rPr>
        <w:t xml:space="preserve"> </w:t>
      </w:r>
      <w:r w:rsidRPr="00481BEF" w:rsidR="00513911">
        <w:rPr>
          <w:sz w:val="24"/>
          <w:szCs w:val="24"/>
        </w:rPr>
        <w:t xml:space="preserve">potentially invoking fines or penalties to the customer, and </w:t>
      </w:r>
      <w:r w:rsidRPr="00481BEF" w:rsidR="002635A4">
        <w:rPr>
          <w:sz w:val="24"/>
          <w:szCs w:val="24"/>
        </w:rPr>
        <w:t xml:space="preserve">creating </w:t>
      </w:r>
      <w:r w:rsidRPr="00481BEF" w:rsidR="00513911">
        <w:rPr>
          <w:sz w:val="24"/>
          <w:szCs w:val="24"/>
        </w:rPr>
        <w:t xml:space="preserve">customer dissatisfaction </w:t>
      </w:r>
      <w:r w:rsidRPr="00481BEF" w:rsidR="00E746F1">
        <w:rPr>
          <w:sz w:val="24"/>
          <w:szCs w:val="24"/>
        </w:rPr>
        <w:t xml:space="preserve">because they could </w:t>
      </w:r>
      <w:r w:rsidRPr="00481BEF" w:rsidR="00513911">
        <w:rPr>
          <w:sz w:val="24"/>
          <w:szCs w:val="24"/>
        </w:rPr>
        <w:t xml:space="preserve">not pay through the preauthorized </w:t>
      </w:r>
      <w:r w:rsidRPr="00481BEF" w:rsidR="00E746F1">
        <w:rPr>
          <w:sz w:val="24"/>
          <w:szCs w:val="24"/>
        </w:rPr>
        <w:t>electronic funds transfer</w:t>
      </w:r>
      <w:r w:rsidRPr="00481BEF" w:rsidR="00513911">
        <w:rPr>
          <w:sz w:val="24"/>
          <w:szCs w:val="24"/>
        </w:rPr>
        <w:t>.</w:t>
      </w:r>
    </w:p>
    <w:p w:rsidR="006E43A1" w:rsidRPr="00481BEF" w14:paraId="478EB590" w14:textId="77777777"/>
    <w:p w:rsidR="00C10CAA" w:rsidRPr="00481BEF" w:rsidP="00C10CAA" w14:paraId="48D82C61" w14:textId="77777777">
      <w:pPr>
        <w:rPr>
          <w:b/>
        </w:rPr>
      </w:pPr>
      <w:r w:rsidRPr="00481BEF">
        <w:rPr>
          <w:b/>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481BEF" w:rsidR="00775D6B">
        <w:rPr>
          <w:b/>
        </w:rPr>
        <w:t xml:space="preserve">; requiring respondents to submit more than an original and two copies of any document; </w:t>
      </w:r>
      <w:r w:rsidRPr="00481BEF">
        <w:rPr>
          <w:b/>
        </w:rPr>
        <w:t>etc.</w:t>
      </w:r>
    </w:p>
    <w:p w:rsidR="00C10CAA" w:rsidRPr="00481BEF" w14:paraId="282B61A0" w14:textId="77777777"/>
    <w:p w:rsidR="006E43A1" w:rsidRPr="00481BEF" w:rsidP="006E43A1" w14:paraId="234D0F8B" w14:textId="77777777">
      <w:pPr>
        <w:overflowPunct w:val="0"/>
        <w:autoSpaceDE w:val="0"/>
        <w:autoSpaceDN w:val="0"/>
        <w:adjustRightInd w:val="0"/>
        <w:ind w:left="360"/>
        <w:textAlignment w:val="baseline"/>
        <w:rPr>
          <w:sz w:val="24"/>
        </w:rPr>
      </w:pPr>
      <w:r w:rsidRPr="00481BEF">
        <w:rPr>
          <w:sz w:val="24"/>
        </w:rPr>
        <w:t>There are no special circumstances that would require the information to be collected in a manner, which is inconsistent with 5 CFR 1320.6.</w:t>
      </w:r>
    </w:p>
    <w:p w:rsidR="006E43A1" w:rsidRPr="00481BEF" w14:paraId="5E5A07DC" w14:textId="77777777"/>
    <w:p w:rsidR="00C10CAA" w:rsidRPr="00481BEF" w:rsidP="00C10CAA" w14:paraId="3EEC5DE3" w14:textId="77777777">
      <w:pPr>
        <w:rPr>
          <w:b/>
        </w:rPr>
      </w:pPr>
      <w:r w:rsidRPr="00481BEF">
        <w:rPr>
          <w:b/>
        </w:rPr>
        <w:t xml:space="preserve">8.  If applicable, provide a copy and identify the date and page number of publication in the Federal Register of the agency’s notice, required by 5 CFR 1320.8(d), soliciting comments on the information collection prior to submission to OMB. </w:t>
      </w:r>
      <w:r w:rsidRPr="00481BEF" w:rsidR="00775D6B">
        <w:rPr>
          <w:b/>
        </w:rPr>
        <w:t xml:space="preserve">  Summarize public comments received in response to that notice and describe actions taken by the agency in response to these comments.  Specifically address comments received on cost and hour burden.</w:t>
      </w:r>
    </w:p>
    <w:p w:rsidR="00C10CAA" w:rsidRPr="00481BEF" w14:paraId="0CDA9493" w14:textId="77777777">
      <w:r w:rsidRPr="00481BEF">
        <w:t xml:space="preserve"> </w:t>
      </w:r>
    </w:p>
    <w:p w:rsidR="00CE0B5D" w:rsidRPr="00481BEF" w:rsidP="00CE0B5D" w14:paraId="38828D57" w14:textId="6D26F07F">
      <w:pPr>
        <w:overflowPunct w:val="0"/>
        <w:autoSpaceDE w:val="0"/>
        <w:autoSpaceDN w:val="0"/>
        <w:adjustRightInd w:val="0"/>
        <w:ind w:left="360"/>
        <w:textAlignment w:val="baseline"/>
        <w:rPr>
          <w:sz w:val="24"/>
        </w:rPr>
      </w:pPr>
      <w:r>
        <w:rPr>
          <w:sz w:val="24"/>
        </w:rPr>
        <w:t xml:space="preserve">A 60-day </w:t>
      </w:r>
      <w:r w:rsidRPr="004F031D">
        <w:rPr>
          <w:i/>
          <w:sz w:val="24"/>
        </w:rPr>
        <w:t>Federal Register</w:t>
      </w:r>
      <w:r>
        <w:rPr>
          <w:sz w:val="24"/>
        </w:rPr>
        <w:t xml:space="preserve"> notice was p</w:t>
      </w:r>
      <w:r w:rsidR="00CC387D">
        <w:rPr>
          <w:sz w:val="24"/>
        </w:rPr>
        <w:t xml:space="preserve">ublished </w:t>
      </w:r>
      <w:r w:rsidR="006E3FAD">
        <w:rPr>
          <w:sz w:val="24"/>
          <w:szCs w:val="24"/>
        </w:rPr>
        <w:t>June 27, 2023</w:t>
      </w:r>
      <w:r w:rsidRPr="00E4551F" w:rsidR="00E4551F">
        <w:rPr>
          <w:sz w:val="24"/>
          <w:szCs w:val="24"/>
        </w:rPr>
        <w:t>, Volume 8</w:t>
      </w:r>
      <w:r w:rsidR="006E3FAD">
        <w:rPr>
          <w:sz w:val="24"/>
          <w:szCs w:val="24"/>
        </w:rPr>
        <w:t>8</w:t>
      </w:r>
      <w:r w:rsidRPr="00E4551F" w:rsidR="00E4551F">
        <w:rPr>
          <w:sz w:val="24"/>
          <w:szCs w:val="24"/>
        </w:rPr>
        <w:t xml:space="preserve">, Page </w:t>
      </w:r>
      <w:r w:rsidR="006E3FAD">
        <w:rPr>
          <w:sz w:val="24"/>
          <w:szCs w:val="24"/>
        </w:rPr>
        <w:t>41717</w:t>
      </w:r>
      <w:r w:rsidR="00E4551F">
        <w:t xml:space="preserve"> </w:t>
      </w:r>
      <w:r>
        <w:rPr>
          <w:sz w:val="24"/>
        </w:rPr>
        <w:t xml:space="preserve">requesting comments </w:t>
      </w:r>
      <w:r w:rsidR="004F031D">
        <w:rPr>
          <w:sz w:val="24"/>
        </w:rPr>
        <w:t xml:space="preserve">from the public </w:t>
      </w:r>
      <w:r>
        <w:rPr>
          <w:sz w:val="24"/>
        </w:rPr>
        <w:t>on this renewal.  N</w:t>
      </w:r>
      <w:r w:rsidRPr="00481BEF" w:rsidR="00BA1F96">
        <w:rPr>
          <w:sz w:val="24"/>
        </w:rPr>
        <w:t>o</w:t>
      </w:r>
      <w:r w:rsidRPr="00481BEF">
        <w:rPr>
          <w:sz w:val="24"/>
        </w:rPr>
        <w:t xml:space="preserve"> comment</w:t>
      </w:r>
      <w:r w:rsidRPr="00481BEF" w:rsidR="00BA1F96">
        <w:rPr>
          <w:sz w:val="24"/>
        </w:rPr>
        <w:t>s</w:t>
      </w:r>
      <w:r w:rsidRPr="00481BEF">
        <w:rPr>
          <w:sz w:val="24"/>
        </w:rPr>
        <w:t xml:space="preserve"> </w:t>
      </w:r>
      <w:r w:rsidRPr="00481BEF" w:rsidR="0080709B">
        <w:rPr>
          <w:sz w:val="24"/>
        </w:rPr>
        <w:t>were received.</w:t>
      </w:r>
    </w:p>
    <w:p w:rsidR="00366578" w:rsidRPr="00481BEF" w14:paraId="03751674" w14:textId="77777777"/>
    <w:p w:rsidR="00C10CAA" w:rsidRPr="00481BEF" w:rsidP="00C10CAA" w14:paraId="3DEB1D6F" w14:textId="77777777">
      <w:pPr>
        <w:rPr>
          <w:b/>
        </w:rPr>
      </w:pPr>
      <w:r w:rsidRPr="00481BEF">
        <w:rPr>
          <w:b/>
        </w:rPr>
        <w:t xml:space="preserve">9.  Explain any decision to provide any payment or gift to respondents, other than reenumeration of contractors or grantees. </w:t>
      </w:r>
    </w:p>
    <w:p w:rsidR="00C10CAA" w:rsidRPr="00481BEF" w14:paraId="7FD4F520" w14:textId="77777777">
      <w:r w:rsidRPr="00481BEF">
        <w:t xml:space="preserve"> </w:t>
      </w:r>
    </w:p>
    <w:p w:rsidR="00CE0B5D" w:rsidRPr="00FA7E52" w:rsidP="00CE0B5D" w14:paraId="27CCC99B" w14:textId="77777777">
      <w:pPr>
        <w:overflowPunct w:val="0"/>
        <w:autoSpaceDE w:val="0"/>
        <w:autoSpaceDN w:val="0"/>
        <w:adjustRightInd w:val="0"/>
        <w:ind w:left="360"/>
        <w:textAlignment w:val="baseline"/>
        <w:rPr>
          <w:sz w:val="24"/>
          <w:szCs w:val="24"/>
        </w:rPr>
      </w:pPr>
      <w:r w:rsidRPr="00481BEF">
        <w:rPr>
          <w:sz w:val="24"/>
        </w:rPr>
        <w:t xml:space="preserve">There </w:t>
      </w:r>
      <w:r w:rsidRPr="00FA7E52" w:rsidR="00FA7E52">
        <w:rPr>
          <w:sz w:val="24"/>
          <w:szCs w:val="24"/>
        </w:rPr>
        <w:t>are no payments or gifts made to respondents.</w:t>
      </w:r>
    </w:p>
    <w:p w:rsidR="00ED0EE0" w:rsidRPr="00481BEF" w:rsidP="00C10CAA" w14:paraId="765F183F" w14:textId="77777777">
      <w:pPr>
        <w:rPr>
          <w:b/>
        </w:rPr>
      </w:pPr>
    </w:p>
    <w:p w:rsidR="00C10CAA" w:rsidRPr="00481BEF" w:rsidP="00C10CAA" w14:paraId="39321A07" w14:textId="77777777">
      <w:pPr>
        <w:rPr>
          <w:b/>
        </w:rPr>
      </w:pPr>
      <w:r w:rsidRPr="00481BEF">
        <w:rPr>
          <w:b/>
        </w:rPr>
        <w:t xml:space="preserve">10.  Describe any assurance of confidentiality provided to respondents and the basis for the assurance in statute, regulation, or agency policy. </w:t>
      </w:r>
    </w:p>
    <w:p w:rsidR="00C10CAA" w:rsidRPr="00481BEF" w14:paraId="521D632C" w14:textId="77777777">
      <w:r w:rsidRPr="00481BEF">
        <w:t xml:space="preserve"> </w:t>
      </w:r>
    </w:p>
    <w:p w:rsidR="00A65288" w:rsidRPr="00481BEF" w:rsidP="00A65288" w14:paraId="4C7266A6" w14:textId="77777777">
      <w:pPr>
        <w:overflowPunct w:val="0"/>
        <w:autoSpaceDE w:val="0"/>
        <w:autoSpaceDN w:val="0"/>
        <w:adjustRightInd w:val="0"/>
        <w:ind w:left="360"/>
        <w:textAlignment w:val="baseline"/>
        <w:rPr>
          <w:sz w:val="24"/>
        </w:rPr>
      </w:pPr>
      <w:r w:rsidRPr="007D6DDC">
        <w:rPr>
          <w:sz w:val="24"/>
          <w:szCs w:val="24"/>
        </w:rPr>
        <w:t>A</w:t>
      </w:r>
      <w:r w:rsidRPr="007D6DDC" w:rsidR="007D6DDC">
        <w:rPr>
          <w:sz w:val="24"/>
          <w:szCs w:val="24"/>
        </w:rPr>
        <w:t>side from protections contained in the Privacy Act, there is no guarantee of confidentiality.</w:t>
      </w:r>
      <w:r w:rsidRPr="007D6DDC">
        <w:rPr>
          <w:sz w:val="24"/>
          <w:szCs w:val="24"/>
        </w:rPr>
        <w:t xml:space="preserve"> </w:t>
      </w:r>
    </w:p>
    <w:p w:rsidR="00A65288" w:rsidRPr="00481BEF" w14:paraId="5BD8DC13" w14:textId="77777777"/>
    <w:p w:rsidR="00C10CAA" w:rsidRPr="00481BEF" w14:paraId="297FA2B7" w14:textId="77777777">
      <w:r w:rsidRPr="00481BEF">
        <w:rPr>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481BEF" w14:paraId="209209D8" w14:textId="77777777"/>
    <w:p w:rsidR="00E14585" w:rsidRPr="0021730F" w:rsidP="004F031D" w14:paraId="1D906243" w14:textId="77777777">
      <w:pPr>
        <w:pStyle w:val="Default"/>
        <w:spacing w:before="17"/>
        <w:ind w:left="360"/>
        <w:rPr>
          <w:rFonts w:ascii="Times New Roman" w:hAnsi="Times New Roman" w:cs="Times New Roman"/>
        </w:rPr>
      </w:pPr>
      <w:r w:rsidRPr="0021730F">
        <w:rPr>
          <w:rFonts w:ascii="Times New Roman" w:hAnsi="Times New Roman" w:cs="Times New Roman"/>
        </w:rPr>
        <w:t>There are no questions of a sensitive nature.</w:t>
      </w:r>
      <w:r w:rsidRPr="0021730F" w:rsidR="00132C8A">
        <w:rPr>
          <w:rFonts w:ascii="Times New Roman" w:hAnsi="Times New Roman" w:cs="Times New Roman"/>
        </w:rPr>
        <w:t xml:space="preserve"> Personally identifiable information (PII) such as name and account information </w:t>
      </w:r>
      <w:r w:rsidRPr="0021730F">
        <w:rPr>
          <w:rFonts w:ascii="Times New Roman" w:hAnsi="Times New Roman" w:cs="Times New Roman"/>
        </w:rPr>
        <w:t xml:space="preserve">is </w:t>
      </w:r>
      <w:r w:rsidRPr="0021730F" w:rsidR="00132C8A">
        <w:rPr>
          <w:rFonts w:ascii="Times New Roman" w:hAnsi="Times New Roman" w:cs="Times New Roman"/>
        </w:rPr>
        <w:t>a requirement in order for electronic funds transfers to be made from the remitter’s account and for the Federal agency to electronically collect these payments</w:t>
      </w:r>
      <w:r w:rsidRPr="0021730F">
        <w:rPr>
          <w:rFonts w:ascii="Times New Roman" w:hAnsi="Times New Roman" w:cs="Times New Roman"/>
        </w:rPr>
        <w:t>.</w:t>
      </w:r>
    </w:p>
    <w:p w:rsidR="00E14585" w:rsidRPr="0021730F" w:rsidP="004F031D" w14:paraId="4716600F" w14:textId="77777777">
      <w:pPr>
        <w:pStyle w:val="Default"/>
        <w:spacing w:before="17"/>
        <w:ind w:left="360"/>
      </w:pPr>
    </w:p>
    <w:p w:rsidR="004F031D" w:rsidRPr="0021730F" w:rsidP="004F031D" w14:paraId="406FF05F" w14:textId="77777777">
      <w:pPr>
        <w:pStyle w:val="Default"/>
        <w:spacing w:before="17"/>
        <w:ind w:left="360"/>
        <w:rPr>
          <w:rFonts w:ascii="Times New Roman" w:hAnsi="Times New Roman" w:cs="Times New Roman"/>
          <w:color w:val="0000FF"/>
          <w:u w:val="single"/>
        </w:rPr>
      </w:pPr>
      <w:r w:rsidRPr="0021730F">
        <w:rPr>
          <w:rFonts w:ascii="Times New Roman" w:hAnsi="Times New Roman" w:cs="Times New Roman"/>
        </w:rPr>
        <w:t>A privacy impact assessment (PIA) has been conducted for information collected under this request as part of the “</w:t>
      </w:r>
      <w:r w:rsidRPr="0021730F" w:rsidR="00E019FF">
        <w:rPr>
          <w:rFonts w:ascii="Times New Roman" w:hAnsi="Times New Roman" w:cs="Times New Roman"/>
        </w:rPr>
        <w:t>Debit Gateway</w:t>
      </w:r>
      <w:r w:rsidRPr="0021730F">
        <w:rPr>
          <w:rFonts w:ascii="Times New Roman" w:hAnsi="Times New Roman" w:cs="Times New Roman"/>
        </w:rPr>
        <w:t xml:space="preserve">” system and a Privacy Act System of Records notice (SORN) has been issued for this system under </w:t>
      </w:r>
      <w:r w:rsidRPr="0021730F" w:rsidR="0021730F">
        <w:rPr>
          <w:rFonts w:ascii="Times New Roman" w:hAnsi="Times New Roman" w:cs="Times New Roman"/>
        </w:rPr>
        <w:t>Treasury/Fiscal Service</w:t>
      </w:r>
      <w:r w:rsidRPr="0021730F" w:rsidR="00E019FF">
        <w:rPr>
          <w:rFonts w:ascii="Times New Roman" w:hAnsi="Times New Roman" w:cs="Times New Roman"/>
        </w:rPr>
        <w:t xml:space="preserve"> .01</w:t>
      </w:r>
      <w:r w:rsidRPr="0021730F" w:rsidR="0021730F">
        <w:rPr>
          <w:rFonts w:ascii="Times New Roman" w:hAnsi="Times New Roman" w:cs="Times New Roman"/>
        </w:rPr>
        <w:t>3</w:t>
      </w:r>
      <w:r w:rsidRPr="0021730F" w:rsidR="00E019FF">
        <w:rPr>
          <w:rFonts w:ascii="Times New Roman" w:hAnsi="Times New Roman" w:cs="Times New Roman"/>
        </w:rPr>
        <w:t>—Collections Records</w:t>
      </w:r>
      <w:r w:rsidRPr="0021730F">
        <w:rPr>
          <w:rFonts w:ascii="Times New Roman" w:hAnsi="Times New Roman" w:cs="Times New Roman"/>
        </w:rPr>
        <w:t xml:space="preserve">.  The Department of the Treasury PIAs can be found at </w:t>
      </w:r>
      <w:r w:rsidRPr="0021730F" w:rsidR="0021730F">
        <w:rPr>
          <w:rFonts w:ascii="Times New Roman" w:hAnsi="Times New Roman" w:cs="Times New Roman"/>
        </w:rPr>
        <w:t>https://www.fiscal.treasury.gov/files/pia/debitgatewaypclia.pdf</w:t>
      </w:r>
    </w:p>
    <w:p w:rsidR="00A65288" w:rsidRPr="00481BEF" w:rsidP="004F031D" w14:paraId="21654CF2" w14:textId="77777777">
      <w:pPr>
        <w:overflowPunct w:val="0"/>
        <w:autoSpaceDE w:val="0"/>
        <w:autoSpaceDN w:val="0"/>
        <w:adjustRightInd w:val="0"/>
        <w:ind w:left="360"/>
        <w:textAlignment w:val="baseline"/>
      </w:pPr>
    </w:p>
    <w:p w:rsidR="00C10CAA" w:rsidP="00C10CAA" w14:paraId="4645B0FD" w14:textId="77777777">
      <w:pPr>
        <w:rPr>
          <w:b/>
        </w:rPr>
      </w:pPr>
      <w:r w:rsidRPr="00481BEF">
        <w:rPr>
          <w:b/>
        </w:rPr>
        <w:t>12.  Provide estimates of the hour burden of the collection of information.  The statement should:  *indicate the number of respondents, frequency of response, annual hour burden; and an explanation of how the burden was estimated.</w:t>
      </w:r>
    </w:p>
    <w:p w:rsidR="00391ED9" w:rsidP="00C10CAA" w14:paraId="7AA3A1EA" w14:textId="77777777">
      <w:pPr>
        <w:rPr>
          <w:b/>
        </w:rPr>
      </w:pPr>
    </w:p>
    <w:p w:rsidR="00391ED9" w:rsidP="00391ED9" w14:paraId="72877D33" w14:textId="77777777">
      <w:pPr>
        <w:autoSpaceDE w:val="0"/>
        <w:autoSpaceDN w:val="0"/>
        <w:spacing w:before="40" w:after="40"/>
      </w:pPr>
      <w:r>
        <w:rPr>
          <w:sz w:val="24"/>
          <w:szCs w:val="24"/>
        </w:rPr>
        <w:t>As this is a Common Form, burden is reported only for Treasury. Other agencies which use the form will be asked to account for their own burden.</w:t>
      </w:r>
    </w:p>
    <w:p w:rsidR="00391ED9" w:rsidRPr="00481BEF" w:rsidP="00C10CAA" w14:paraId="52DAFCA5" w14:textId="77777777">
      <w:pPr>
        <w:rPr>
          <w:b/>
        </w:rPr>
      </w:pPr>
    </w:p>
    <w:p w:rsidR="00C10CAA" w:rsidRPr="00481BEF" w14:paraId="361B2E2B" w14:textId="77777777"/>
    <w:p w:rsidR="00A65288" w:rsidRPr="0011114E" w:rsidP="0011114E" w14:paraId="4BC6F47F" w14:textId="58BC65C6">
      <w:pPr>
        <w:numPr>
          <w:ilvl w:val="0"/>
          <w:numId w:val="9"/>
        </w:numPr>
        <w:overflowPunct w:val="0"/>
        <w:autoSpaceDE w:val="0"/>
        <w:autoSpaceDN w:val="0"/>
        <w:adjustRightInd w:val="0"/>
        <w:textAlignment w:val="baseline"/>
        <w:rPr>
          <w:sz w:val="24"/>
        </w:rPr>
      </w:pPr>
      <w:r w:rsidRPr="00481BEF">
        <w:rPr>
          <w:sz w:val="24"/>
        </w:rPr>
        <w:t xml:space="preserve">There will be an estimated 100,000 respondents making preauthorized payments to the </w:t>
      </w:r>
      <w:r w:rsidR="00674029">
        <w:rPr>
          <w:sz w:val="24"/>
        </w:rPr>
        <w:t>Department of Treasury</w:t>
      </w:r>
      <w:r w:rsidRPr="00481BEF">
        <w:rPr>
          <w:sz w:val="24"/>
        </w:rPr>
        <w:t xml:space="preserve">.  </w:t>
      </w:r>
      <w:r w:rsidRPr="00481BEF">
        <w:rPr>
          <w:sz w:val="24"/>
          <w:szCs w:val="24"/>
        </w:rPr>
        <w:t>Each</w:t>
      </w:r>
      <w:r w:rsidRPr="00481BEF">
        <w:rPr>
          <w:sz w:val="24"/>
        </w:rPr>
        <w:t xml:space="preserve"> respondent would submit one form to authorize electronic funds transfers from their account.  To complete the form requires 1</w:t>
      </w:r>
      <w:r w:rsidR="006B2311">
        <w:rPr>
          <w:sz w:val="24"/>
        </w:rPr>
        <w:t>0</w:t>
      </w:r>
      <w:r w:rsidRPr="00481BEF">
        <w:rPr>
          <w:sz w:val="24"/>
        </w:rPr>
        <w:t xml:space="preserve"> minutes.  </w:t>
      </w:r>
      <w:r w:rsidRPr="0011114E">
        <w:rPr>
          <w:sz w:val="24"/>
        </w:rPr>
        <w:t>100,000 x</w:t>
      </w:r>
      <w:r w:rsidRPr="0011114E" w:rsidR="00ED0EE0">
        <w:rPr>
          <w:sz w:val="24"/>
        </w:rPr>
        <w:t xml:space="preserve"> .</w:t>
      </w:r>
      <w:r w:rsidR="006B2311">
        <w:rPr>
          <w:sz w:val="24"/>
        </w:rPr>
        <w:t>166</w:t>
      </w:r>
      <w:r w:rsidRPr="0011114E" w:rsidR="00C14D67">
        <w:rPr>
          <w:sz w:val="24"/>
        </w:rPr>
        <w:t xml:space="preserve"> hours =</w:t>
      </w:r>
      <w:r w:rsidRPr="0011114E" w:rsidR="00ED0EE0">
        <w:rPr>
          <w:sz w:val="24"/>
        </w:rPr>
        <w:t xml:space="preserve"> </w:t>
      </w:r>
      <w:r w:rsidR="006B2311">
        <w:rPr>
          <w:sz w:val="24"/>
        </w:rPr>
        <w:t>16,667</w:t>
      </w:r>
      <w:r w:rsidRPr="0011114E" w:rsidR="00C14D67">
        <w:rPr>
          <w:sz w:val="24"/>
        </w:rPr>
        <w:t xml:space="preserve"> burden hours</w:t>
      </w:r>
    </w:p>
    <w:p w:rsidR="0011114E" w:rsidP="00A65288" w14:paraId="2A9E93EA" w14:textId="77777777">
      <w:pPr>
        <w:rPr>
          <w:sz w:val="24"/>
        </w:rPr>
      </w:pPr>
    </w:p>
    <w:p w:rsidR="0011114E" w:rsidRPr="008B465F" w:rsidP="0011114E" w14:paraId="209D4171" w14:textId="3821E016">
      <w:pPr>
        <w:pStyle w:val="ListParagraph"/>
        <w:numPr>
          <w:ilvl w:val="0"/>
          <w:numId w:val="9"/>
        </w:numPr>
        <w:autoSpaceDE w:val="0"/>
        <w:autoSpaceDN w:val="0"/>
        <w:adjustRightInd w:val="0"/>
        <w:rPr>
          <w:iCs/>
        </w:rPr>
      </w:pPr>
      <w:r w:rsidRPr="008B465F">
        <w:rPr>
          <w:iCs/>
        </w:rPr>
        <w:t xml:space="preserve">This form is completed primarily by individuals in their personal capacity, thus no actual labor costs are expected to be incurred by respondents. Accounting for the value of a respondent’s time using the national average wage for all occupations </w:t>
      </w:r>
      <w:r w:rsidRPr="008B465F">
        <w:rPr>
          <w:iCs/>
        </w:rPr>
        <w:t>of $</w:t>
      </w:r>
      <w:r w:rsidR="004754F7">
        <w:rPr>
          <w:iCs/>
        </w:rPr>
        <w:t>40.33</w:t>
      </w:r>
      <w:r w:rsidRPr="0011114E">
        <w:rPr>
          <w:rStyle w:val="FootnoteReference"/>
          <w:iCs/>
        </w:rPr>
        <w:footnoteRef/>
      </w:r>
      <w:r w:rsidRPr="008B465F">
        <w:rPr>
          <w:iCs/>
        </w:rPr>
        <w:t>, the estimated labor costs for completing the form would total $</w:t>
      </w:r>
      <w:r w:rsidR="004754F7">
        <w:rPr>
          <w:iCs/>
        </w:rPr>
        <w:t>1,008,250</w:t>
      </w:r>
      <w:r w:rsidRPr="008B465F">
        <w:rPr>
          <w:iCs/>
        </w:rPr>
        <w:t>.</w:t>
      </w:r>
      <w:r>
        <w:rPr>
          <w:rStyle w:val="FootnoteReference"/>
          <w:iCs/>
        </w:rPr>
        <w:footnoteReference w:id="2"/>
      </w:r>
    </w:p>
    <w:p w:rsidR="0011114E" w:rsidRPr="00481BEF" w:rsidP="00A65288" w14:paraId="4BE43FD3" w14:textId="77777777">
      <w:pPr>
        <w:rPr>
          <w:sz w:val="24"/>
        </w:rPr>
      </w:pPr>
    </w:p>
    <w:p w:rsidR="00A65288" w:rsidRPr="00481BEF" w14:paraId="0E716F33" w14:textId="77777777"/>
    <w:p w:rsidR="00953580" w:rsidRPr="00481BEF" w14:paraId="30C3C06F" w14:textId="77777777">
      <w:r w:rsidRPr="00481BEF">
        <w:rPr>
          <w:b/>
        </w:rPr>
        <w:t xml:space="preserve">13.  Provide an estimate for the total annual cost burden to respondents or recordkeepers resulting from the collection of information.  (Do not include the cost of any hour burden shown in Items 12 and 14). </w:t>
      </w:r>
    </w:p>
    <w:p w:rsidR="00366578" w:rsidRPr="00481BEF" w14:paraId="60BA320C" w14:textId="77777777">
      <w:r w:rsidRPr="00481BEF">
        <w:t xml:space="preserve">  </w:t>
      </w:r>
    </w:p>
    <w:p w:rsidR="00A65288" w:rsidP="00A65288" w14:paraId="621EDA63" w14:textId="77777777">
      <w:pPr>
        <w:overflowPunct w:val="0"/>
        <w:autoSpaceDE w:val="0"/>
        <w:autoSpaceDN w:val="0"/>
        <w:adjustRightInd w:val="0"/>
        <w:ind w:left="360"/>
        <w:textAlignment w:val="baseline"/>
        <w:rPr>
          <w:sz w:val="24"/>
          <w:szCs w:val="24"/>
        </w:rPr>
      </w:pPr>
      <w:r w:rsidRPr="00481BEF">
        <w:rPr>
          <w:sz w:val="24"/>
          <w:szCs w:val="24"/>
        </w:rPr>
        <w:t xml:space="preserve">There are no costs to respondents other than mailing costs.  The information requested is already maintained by financial institutions in their normal business practices.  There </w:t>
      </w:r>
      <w:r w:rsidRPr="00481BEF" w:rsidR="00A450C2">
        <w:rPr>
          <w:sz w:val="24"/>
          <w:szCs w:val="24"/>
        </w:rPr>
        <w:t>are no capital or start-up costs</w:t>
      </w:r>
      <w:r w:rsidRPr="00481BEF" w:rsidR="00504EA2">
        <w:rPr>
          <w:sz w:val="24"/>
          <w:szCs w:val="24"/>
        </w:rPr>
        <w:t>,</w:t>
      </w:r>
      <w:r w:rsidRPr="00481BEF">
        <w:rPr>
          <w:sz w:val="24"/>
          <w:szCs w:val="24"/>
        </w:rPr>
        <w:t xml:space="preserve"> nor </w:t>
      </w:r>
      <w:r w:rsidRPr="00481BEF" w:rsidR="00405E86">
        <w:rPr>
          <w:sz w:val="24"/>
          <w:szCs w:val="24"/>
        </w:rPr>
        <w:t>are</w:t>
      </w:r>
      <w:r w:rsidRPr="00481BEF">
        <w:rPr>
          <w:sz w:val="24"/>
          <w:szCs w:val="24"/>
        </w:rPr>
        <w:t xml:space="preserve"> there any operational or maintenance costs associated with this information collection.</w:t>
      </w:r>
    </w:p>
    <w:p w:rsidR="00B9002C" w:rsidRPr="00481BEF" w:rsidP="00A65288" w14:paraId="54ACF49C" w14:textId="77777777">
      <w:pPr>
        <w:overflowPunct w:val="0"/>
        <w:autoSpaceDE w:val="0"/>
        <w:autoSpaceDN w:val="0"/>
        <w:adjustRightInd w:val="0"/>
        <w:ind w:left="360"/>
        <w:textAlignment w:val="baseline"/>
        <w:rPr>
          <w:sz w:val="24"/>
          <w:szCs w:val="24"/>
        </w:rPr>
      </w:pPr>
    </w:p>
    <w:p w:rsidR="00953580" w:rsidRPr="00481BEF" w:rsidP="00953580" w14:paraId="0A30ED0D" w14:textId="77777777">
      <w:pPr>
        <w:rPr>
          <w:b/>
        </w:rPr>
      </w:pPr>
      <w:r w:rsidRPr="00481BEF">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481BEF" w14:paraId="1202C02D" w14:textId="77777777">
      <w:r w:rsidRPr="00481BEF">
        <w:t xml:space="preserve"> </w:t>
      </w:r>
    </w:p>
    <w:p w:rsidR="003D03E1" w:rsidRPr="00481BEF" w:rsidP="00C14D67" w14:paraId="0E933785" w14:textId="77777777">
      <w:pPr>
        <w:ind w:left="360"/>
        <w:rPr>
          <w:sz w:val="24"/>
          <w:szCs w:val="24"/>
        </w:rPr>
      </w:pPr>
      <w:r w:rsidRPr="00481BEF">
        <w:rPr>
          <w:sz w:val="24"/>
          <w:szCs w:val="24"/>
        </w:rPr>
        <w:t xml:space="preserve">The SF 5510 form is available in a digital format (PDF). </w:t>
      </w:r>
      <w:r w:rsidRPr="00481BEF" w:rsidR="00E2302C">
        <w:rPr>
          <w:sz w:val="24"/>
          <w:szCs w:val="24"/>
        </w:rPr>
        <w:t xml:space="preserve">There are no </w:t>
      </w:r>
      <w:r w:rsidRPr="00481BEF" w:rsidR="00167928">
        <w:rPr>
          <w:sz w:val="24"/>
          <w:szCs w:val="24"/>
        </w:rPr>
        <w:t xml:space="preserve">longer </w:t>
      </w:r>
      <w:r w:rsidRPr="00481BEF">
        <w:rPr>
          <w:sz w:val="24"/>
          <w:szCs w:val="24"/>
        </w:rPr>
        <w:t xml:space="preserve">costs </w:t>
      </w:r>
      <w:r w:rsidRPr="00481BEF" w:rsidR="00167928">
        <w:rPr>
          <w:sz w:val="24"/>
          <w:szCs w:val="24"/>
        </w:rPr>
        <w:t xml:space="preserve">incurred by the Federal </w:t>
      </w:r>
      <w:r w:rsidRPr="00481BEF" w:rsidR="0080709B">
        <w:rPr>
          <w:sz w:val="24"/>
          <w:szCs w:val="24"/>
        </w:rPr>
        <w:t xml:space="preserve">government </w:t>
      </w:r>
      <w:r w:rsidRPr="00481BEF">
        <w:rPr>
          <w:sz w:val="24"/>
          <w:szCs w:val="24"/>
        </w:rPr>
        <w:t xml:space="preserve">associated with maintaining </w:t>
      </w:r>
      <w:r w:rsidRPr="00481BEF" w:rsidR="00167928">
        <w:rPr>
          <w:sz w:val="24"/>
          <w:szCs w:val="24"/>
        </w:rPr>
        <w:t xml:space="preserve">hard copies of the form for </w:t>
      </w:r>
      <w:r w:rsidRPr="00481BEF" w:rsidR="007E51BE">
        <w:rPr>
          <w:sz w:val="24"/>
          <w:szCs w:val="24"/>
        </w:rPr>
        <w:t>distribution</w:t>
      </w:r>
      <w:r w:rsidRPr="00481BEF" w:rsidR="00167928">
        <w:rPr>
          <w:sz w:val="24"/>
          <w:szCs w:val="24"/>
        </w:rPr>
        <w:t>.</w:t>
      </w:r>
      <w:r w:rsidRPr="00481BEF" w:rsidR="002E05F7">
        <w:rPr>
          <w:sz w:val="24"/>
          <w:szCs w:val="24"/>
        </w:rPr>
        <w:t xml:space="preserve">  </w:t>
      </w:r>
      <w:r w:rsidRPr="00481BEF" w:rsidR="00167928">
        <w:rPr>
          <w:sz w:val="24"/>
          <w:szCs w:val="24"/>
        </w:rPr>
        <w:t>The only costs are normal business costs related to the review</w:t>
      </w:r>
      <w:r w:rsidRPr="00481BEF" w:rsidR="0080709B">
        <w:rPr>
          <w:sz w:val="24"/>
          <w:szCs w:val="24"/>
        </w:rPr>
        <w:t>ing</w:t>
      </w:r>
      <w:r w:rsidRPr="00481BEF" w:rsidR="00167928">
        <w:rPr>
          <w:sz w:val="24"/>
          <w:szCs w:val="24"/>
        </w:rPr>
        <w:t xml:space="preserve"> and updat</w:t>
      </w:r>
      <w:r w:rsidRPr="00481BEF" w:rsidR="0080709B">
        <w:rPr>
          <w:sz w:val="24"/>
          <w:szCs w:val="24"/>
        </w:rPr>
        <w:t>ing</w:t>
      </w:r>
      <w:r w:rsidRPr="00481BEF" w:rsidR="00167928">
        <w:rPr>
          <w:sz w:val="24"/>
          <w:szCs w:val="24"/>
        </w:rPr>
        <w:t xml:space="preserve"> of the form every three years</w:t>
      </w:r>
      <w:r w:rsidRPr="00481BEF" w:rsidR="0080709B">
        <w:rPr>
          <w:sz w:val="24"/>
          <w:szCs w:val="24"/>
        </w:rPr>
        <w:t>,</w:t>
      </w:r>
      <w:r w:rsidRPr="00481BEF" w:rsidR="00C14D67">
        <w:rPr>
          <w:sz w:val="24"/>
          <w:szCs w:val="24"/>
        </w:rPr>
        <w:t xml:space="preserve"> or as needed</w:t>
      </w:r>
      <w:r w:rsidRPr="00481BEF" w:rsidR="00167928">
        <w:rPr>
          <w:sz w:val="24"/>
          <w:szCs w:val="24"/>
        </w:rPr>
        <w:t>.</w:t>
      </w:r>
    </w:p>
    <w:p w:rsidR="003D03E1" w:rsidRPr="00481BEF" w:rsidP="00C14D67" w14:paraId="40C5B37F" w14:textId="77777777">
      <w:pPr>
        <w:ind w:left="360"/>
        <w:rPr>
          <w:sz w:val="24"/>
          <w:szCs w:val="24"/>
        </w:rPr>
      </w:pPr>
    </w:p>
    <w:p w:rsidR="00953580" w:rsidRPr="00481BEF" w:rsidP="00953580" w14:paraId="7B83E23B" w14:textId="77777777">
      <w:pPr>
        <w:rPr>
          <w:b/>
        </w:rPr>
      </w:pPr>
      <w:r w:rsidRPr="00481BEF">
        <w:rPr>
          <w:b/>
        </w:rPr>
        <w:t xml:space="preserve">15.  Explain the reasons for any program changes or adjustments reported in Items 13 or 14 of the OMB Form 83-I. </w:t>
      </w:r>
    </w:p>
    <w:p w:rsidR="00B03B23" w:rsidRPr="00481BEF" w:rsidP="00C10CAA" w14:paraId="0D8ADC23" w14:textId="77777777">
      <w:pPr>
        <w:ind w:left="360"/>
      </w:pPr>
    </w:p>
    <w:p w:rsidR="00C14D67" w:rsidRPr="00481BEF" w:rsidP="00C14D67" w14:paraId="232BD101" w14:textId="77777777">
      <w:pPr>
        <w:overflowPunct w:val="0"/>
        <w:autoSpaceDE w:val="0"/>
        <w:autoSpaceDN w:val="0"/>
        <w:adjustRightInd w:val="0"/>
        <w:ind w:left="360"/>
        <w:textAlignment w:val="baseline"/>
        <w:rPr>
          <w:sz w:val="24"/>
          <w:szCs w:val="24"/>
        </w:rPr>
      </w:pPr>
      <w:r>
        <w:rPr>
          <w:sz w:val="24"/>
          <w:szCs w:val="24"/>
        </w:rPr>
        <w:t xml:space="preserve">The revision to the collection is to convert from a standard PRA package to a common form package to allow other Agencies to account for their usage of the form. </w:t>
      </w:r>
    </w:p>
    <w:p w:rsidR="00366578" w:rsidRPr="00481BEF" w:rsidP="00B03B23" w14:paraId="62FDE63B" w14:textId="77777777">
      <w:pPr>
        <w:ind w:left="360"/>
      </w:pPr>
      <w:r w:rsidRPr="00481BEF">
        <w:t xml:space="preserve"> </w:t>
      </w:r>
    </w:p>
    <w:p w:rsidR="00953580" w:rsidRPr="00481BEF" w:rsidP="00953580" w14:paraId="41766197" w14:textId="77777777">
      <w:pPr>
        <w:rPr>
          <w:b/>
        </w:rPr>
      </w:pPr>
      <w:r>
        <w:rPr>
          <w:b/>
        </w:rPr>
        <w:t xml:space="preserve">16.  </w:t>
      </w:r>
      <w:r w:rsidRPr="00481BEF">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481BEF" w14:paraId="758AB6DE" w14:textId="77777777">
      <w:r w:rsidRPr="00481BEF">
        <w:t xml:space="preserve"> </w:t>
      </w:r>
    </w:p>
    <w:p w:rsidR="00366578" w:rsidRPr="00481BEF" w:rsidP="00B03B23" w14:paraId="65965AC2" w14:textId="77777777">
      <w:pPr>
        <w:ind w:left="360"/>
      </w:pPr>
      <w:r w:rsidRPr="00481BEF">
        <w:rPr>
          <w:sz w:val="24"/>
          <w:szCs w:val="24"/>
        </w:rPr>
        <w:t>The results of this information collection will not be published for statistical purposes.</w:t>
      </w:r>
    </w:p>
    <w:p w:rsidR="00B03B23" w:rsidRPr="00481BEF" w14:paraId="5424A4E9" w14:textId="77777777"/>
    <w:p w:rsidR="00815203" w:rsidRPr="00481BEF" w14:paraId="1CD74FB8" w14:textId="77777777">
      <w:pPr>
        <w:rPr>
          <w:b/>
        </w:rPr>
      </w:pPr>
      <w:r w:rsidRPr="00481BEF">
        <w:rPr>
          <w:b/>
        </w:rPr>
        <w:t>17.  If seeking approval to not display the expiration date for OMB approval of the information collection, explain the reasons that display would be inappropriate.</w:t>
      </w:r>
      <w:r w:rsidRPr="00481BEF" w:rsidR="00ED0EE0">
        <w:t xml:space="preserve">   </w:t>
      </w:r>
    </w:p>
    <w:p w:rsidR="00815203" w:rsidRPr="00481BEF" w14:paraId="0B1A0DDA" w14:textId="77777777"/>
    <w:p w:rsidR="005C5392" w:rsidRPr="005C5392" w:rsidP="005C5392" w14:paraId="01922D08" w14:textId="77777777">
      <w:pPr>
        <w:widowControl w:val="0"/>
        <w:tabs>
          <w:tab w:val="left" w:pos="3780"/>
          <w:tab w:val="left" w:pos="6030"/>
        </w:tabs>
        <w:suppressAutoHyphens/>
        <w:autoSpaceDE w:val="0"/>
        <w:autoSpaceDN w:val="0"/>
        <w:adjustRightInd w:val="0"/>
        <w:spacing w:line="240" w:lineRule="atLeast"/>
        <w:ind w:left="360"/>
        <w:rPr>
          <w:sz w:val="24"/>
          <w:szCs w:val="24"/>
        </w:rPr>
      </w:pPr>
      <w:r w:rsidRPr="005C5392">
        <w:rPr>
          <w:sz w:val="24"/>
          <w:szCs w:val="24"/>
        </w:rPr>
        <w:t xml:space="preserve">The public interest will be better served by not displaying an expiration date on </w:t>
      </w:r>
      <w:r>
        <w:rPr>
          <w:sz w:val="24"/>
          <w:szCs w:val="24"/>
        </w:rPr>
        <w:t>SF 5510</w:t>
      </w:r>
      <w:r w:rsidRPr="005C5392">
        <w:rPr>
          <w:sz w:val="24"/>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815203" w:rsidRPr="00481BEF" w:rsidP="007171D9" w14:paraId="5FD62E4C" w14:textId="77777777">
      <w:pPr>
        <w:tabs>
          <w:tab w:val="left" w:pos="450"/>
        </w:tabs>
        <w:ind w:left="450"/>
        <w:rPr>
          <w:sz w:val="24"/>
          <w:szCs w:val="24"/>
        </w:rPr>
      </w:pPr>
    </w:p>
    <w:p w:rsidR="004D7CF1" w:rsidRPr="00481BEF" w14:paraId="36BB01C3" w14:textId="77777777"/>
    <w:p w:rsidR="00953580" w:rsidRPr="00481BEF" w:rsidP="00953580" w14:paraId="3F3F6736" w14:textId="77777777">
      <w:pPr>
        <w:rPr>
          <w:b/>
        </w:rPr>
      </w:pPr>
      <w:r w:rsidRPr="00481BEF">
        <w:rPr>
          <w:b/>
        </w:rPr>
        <w:t>18.  Explain each exception to the certification statement identified in Item 19, “Certification for Paperwork Reduction Act Submissions,” of OMB Form 83-I.</w:t>
      </w:r>
    </w:p>
    <w:p w:rsidR="00953580" w:rsidRPr="00481BEF" w14:paraId="7E67667E" w14:textId="77777777">
      <w:r w:rsidRPr="00481BEF">
        <w:t xml:space="preserve"> </w:t>
      </w:r>
    </w:p>
    <w:p w:rsidR="004045B3" w:rsidRPr="004045B3" w:rsidP="004045B3" w14:paraId="5FD3F4D8" w14:textId="77777777">
      <w:pPr>
        <w:tabs>
          <w:tab w:val="left" w:pos="450"/>
        </w:tabs>
        <w:ind w:left="450"/>
        <w:rPr>
          <w:sz w:val="24"/>
          <w:szCs w:val="24"/>
        </w:rPr>
      </w:pPr>
      <w:r w:rsidRPr="004045B3">
        <w:rPr>
          <w:sz w:val="24"/>
          <w:szCs w:val="24"/>
        </w:rPr>
        <w:t>There are no exceptions to the certification statement.</w:t>
      </w:r>
    </w:p>
    <w:p w:rsidR="004D7CF1" w:rsidRPr="00481BEF" w:rsidP="004D7CF1" w14:paraId="6164F316" w14:textId="77777777">
      <w:pPr>
        <w:overflowPunct w:val="0"/>
        <w:autoSpaceDE w:val="0"/>
        <w:autoSpaceDN w:val="0"/>
        <w:adjustRightInd w:val="0"/>
        <w:ind w:left="360"/>
        <w:textAlignment w:val="baseline"/>
        <w:rPr>
          <w:sz w:val="24"/>
          <w:szCs w:val="24"/>
        </w:rPr>
      </w:pPr>
    </w:p>
    <w:p w:rsidR="004D7CF1" w14:paraId="78CE6D0E" w14:textId="77777777"/>
    <w:p w:rsidR="004F031D" w14:paraId="223A98AA" w14:textId="77777777"/>
    <w:p w:rsidR="004F031D" w14:paraId="3CFF7EDC" w14:textId="77777777"/>
    <w:p w:rsidR="004F031D" w:rsidRPr="00481BEF" w14:paraId="30B2943E" w14:textId="77777777"/>
    <w:p w:rsidR="00953580" w:rsidRPr="00481BEF" w:rsidP="00953580" w14:paraId="4DEDCB97" w14:textId="77777777">
      <w:r w:rsidRPr="00481BEF">
        <w:rPr>
          <w:b/>
        </w:rPr>
        <w:t xml:space="preserve">B.  </w:t>
      </w:r>
      <w:r w:rsidRPr="00481BEF">
        <w:rPr>
          <w:b/>
          <w:u w:val="single"/>
        </w:rPr>
        <w:t>Collections of Information Employing Statistical Methods</w:t>
      </w:r>
      <w:r w:rsidRPr="00481BEF">
        <w:rPr>
          <w:b/>
        </w:rPr>
        <w:t xml:space="preserve"> </w:t>
      </w:r>
    </w:p>
    <w:p w:rsidR="00953580" w:rsidRPr="00481BEF" w:rsidP="00953580" w14:paraId="36A83B1E" w14:textId="77777777">
      <w:pPr>
        <w:ind w:left="360"/>
        <w:rPr>
          <w:b/>
        </w:rPr>
      </w:pPr>
    </w:p>
    <w:p w:rsidR="00366578" w:rsidRPr="00481BEF" w:rsidP="00953580" w14:paraId="6EF0D0E0" w14:textId="77777777">
      <w:pPr>
        <w:rPr>
          <w:b/>
        </w:rPr>
      </w:pPr>
      <w:r w:rsidRPr="00481BEF">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481BEF" w14:paraId="278A1F8E" w14:textId="77777777"/>
    <w:p w:rsidR="004D7CF1" w:rsidRPr="00481BEF" w:rsidP="004D7CF1" w14:paraId="78E95FED" w14:textId="77777777">
      <w:pPr>
        <w:ind w:left="360"/>
        <w:rPr>
          <w:sz w:val="24"/>
          <w:szCs w:val="24"/>
        </w:rPr>
      </w:pPr>
      <w:r w:rsidRPr="00481BEF">
        <w:rPr>
          <w:sz w:val="24"/>
          <w:szCs w:val="24"/>
        </w:rPr>
        <w:t>This information collection does not employ statistical methods.</w:t>
      </w:r>
    </w:p>
    <w:sectPr>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31D" w14:paraId="61BF834B" w14:textId="77777777">
    <w:pPr>
      <w:pStyle w:val="Footer"/>
      <w:jc w:val="right"/>
    </w:pPr>
    <w:r>
      <w:fldChar w:fldCharType="begin"/>
    </w:r>
    <w:r>
      <w:instrText xml:space="preserve"> PAGE   \* MERGEFORMAT </w:instrText>
    </w:r>
    <w:r>
      <w:fldChar w:fldCharType="separate"/>
    </w:r>
    <w:r w:rsidR="004022A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831" w:rsidP="004F031D" w14:paraId="2C120308" w14:textId="77777777">
      <w:r>
        <w:separator/>
      </w:r>
    </w:p>
  </w:footnote>
  <w:footnote w:type="continuationSeparator" w:id="1">
    <w:p w:rsidR="00C10831" w:rsidP="004F031D" w14:paraId="252B4D4E" w14:textId="77777777">
      <w:r>
        <w:continuationSeparator/>
      </w:r>
    </w:p>
  </w:footnote>
  <w:footnote w:id="2">
    <w:p w:rsidR="004754F7" w:rsidRPr="00A05174" w:rsidP="004754F7" w14:paraId="712522F3" w14:textId="70C1A26B">
      <w:pPr>
        <w:pStyle w:val="FootnoteText"/>
      </w:pPr>
      <w:r>
        <w:rPr>
          <w:rStyle w:val="FootnoteReference"/>
        </w:rPr>
        <w:footnoteRef/>
      </w:r>
      <w:r>
        <w:t xml:space="preserve"> </w:t>
      </w:r>
      <w:r w:rsidRPr="00A05174">
        <w:t>It is expected that respondents to this collection could be from any occupation.  The average wage rate for all occupations is $ $2</w:t>
      </w:r>
      <w:r>
        <w:t>8.01</w:t>
      </w:r>
      <w:r w:rsidRPr="00A05174">
        <w:t xml:space="preserve"> according to the May 202</w:t>
      </w:r>
      <w:r>
        <w:t>1</w:t>
      </w:r>
      <w:r w:rsidRPr="00A05174">
        <w:t xml:space="preserve"> National Occupational Employment and Wage Estimates.  </w:t>
      </w:r>
      <w:hyperlink r:id="rId1" w:history="1">
        <w:r w:rsidRPr="00B17C28">
          <w:rPr>
            <w:rStyle w:val="Hyperlink"/>
          </w:rPr>
          <w:t>https://www.bls.gov/oes/current/oes_nat.htm</w:t>
        </w:r>
      </w:hyperlink>
      <w:r w:rsidRPr="00A05174">
        <w:t xml:space="preserve">   A benefit multiplier of 1.44 is used to calculate a fully-loaded wage rate of $27.07*1.44=$</w:t>
      </w:r>
      <w:r>
        <w:t>40.33</w:t>
      </w:r>
    </w:p>
    <w:p w:rsidR="004754F7" w:rsidRPr="00A05174" w:rsidP="004754F7" w14:paraId="38BABF3C" w14:textId="77777777">
      <w:pPr>
        <w:pStyle w:val="FootnoteText"/>
      </w:pPr>
    </w:p>
    <w:p w:rsidR="004754F7" w:rsidRPr="00A05174" w:rsidP="004754F7" w14:paraId="6F473D7B" w14:textId="77777777">
      <w:pPr>
        <w:pStyle w:val="FootnoteText"/>
      </w:pPr>
      <w:r w:rsidRPr="00A05174">
        <w:t xml:space="preserve">Using the BLS Employer Costs for Employee Compensation – March 2020 report </w:t>
      </w:r>
      <w:hyperlink r:id="rId2" w:history="1">
        <w:r w:rsidRPr="00B17C28">
          <w:rPr>
            <w:rStyle w:val="Hyperlink"/>
          </w:rPr>
          <w:t>https://www.bls.gov/news.release/pdf/ecec.pdf</w:t>
        </w:r>
      </w:hyperlink>
      <w:r w:rsidRPr="00A05174">
        <w:t>, a benefit multiplier of 1.44 was calculated by taking the private industry worker 50</w:t>
      </w:r>
      <w:r w:rsidRPr="00A05174">
        <w:rPr>
          <w:vertAlign w:val="superscript"/>
        </w:rPr>
        <w:t>th</w:t>
      </w:r>
      <w:r w:rsidRPr="00A05174">
        <w:t xml:space="preserve"> (median) wage percentile total compensation rate divided by the wages and salaries rate.  $26/$18.05=1.44  </w:t>
      </w:r>
    </w:p>
    <w:p w:rsidR="0011114E" w:rsidP="0011114E" w14:paraId="7A136F9B" w14:textId="1B0E8B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04135DE"/>
    <w:multiLevelType w:val="hybridMultilevel"/>
    <w:tmpl w:val="9E8266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F635E4"/>
    <w:multiLevelType w:val="hybridMultilevel"/>
    <w:tmpl w:val="217AD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CA5459"/>
    <w:multiLevelType w:val="hybridMultilevel"/>
    <w:tmpl w:val="6144059E"/>
    <w:lvl w:ilvl="0">
      <w:start w:val="1"/>
      <w:numFmt w:val="upperLetter"/>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nsid w:val="6E784091"/>
    <w:multiLevelType w:val="hybridMultilevel"/>
    <w:tmpl w:val="6FC2D6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76D623D"/>
    <w:multiLevelType w:val="hybridMultilevel"/>
    <w:tmpl w:val="DA7082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1319335554">
    <w:abstractNumId w:val="0"/>
  </w:num>
  <w:num w:numId="2" w16cid:durableId="260838771">
    <w:abstractNumId w:val="1"/>
  </w:num>
  <w:num w:numId="3" w16cid:durableId="1800689141">
    <w:abstractNumId w:val="5"/>
  </w:num>
  <w:num w:numId="4" w16cid:durableId="348871031">
    <w:abstractNumId w:val="8"/>
  </w:num>
  <w:num w:numId="5" w16cid:durableId="1998727656">
    <w:abstractNumId w:val="3"/>
  </w:num>
  <w:num w:numId="6" w16cid:durableId="2127114249">
    <w:abstractNumId w:val="6"/>
  </w:num>
  <w:num w:numId="7" w16cid:durableId="1510213437">
    <w:abstractNumId w:val="4"/>
  </w:num>
  <w:num w:numId="8" w16cid:durableId="112293592">
    <w:abstractNumId w:val="7"/>
  </w:num>
  <w:num w:numId="9" w16cid:durableId="206603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4B"/>
    <w:rsid w:val="00022FD3"/>
    <w:rsid w:val="000548E1"/>
    <w:rsid w:val="000662FC"/>
    <w:rsid w:val="000E1DE7"/>
    <w:rsid w:val="000F7F5F"/>
    <w:rsid w:val="0011114E"/>
    <w:rsid w:val="00111339"/>
    <w:rsid w:val="0011214F"/>
    <w:rsid w:val="00132C8A"/>
    <w:rsid w:val="00151087"/>
    <w:rsid w:val="00151F9C"/>
    <w:rsid w:val="001602A4"/>
    <w:rsid w:val="00167928"/>
    <w:rsid w:val="001C014B"/>
    <w:rsid w:val="001C2DF0"/>
    <w:rsid w:val="001E4A15"/>
    <w:rsid w:val="0021730F"/>
    <w:rsid w:val="00243843"/>
    <w:rsid w:val="0024797C"/>
    <w:rsid w:val="002526C7"/>
    <w:rsid w:val="0025571F"/>
    <w:rsid w:val="002635A4"/>
    <w:rsid w:val="00281D0D"/>
    <w:rsid w:val="002E05F7"/>
    <w:rsid w:val="0030724B"/>
    <w:rsid w:val="00320140"/>
    <w:rsid w:val="0032399A"/>
    <w:rsid w:val="00333007"/>
    <w:rsid w:val="00335D27"/>
    <w:rsid w:val="0034775A"/>
    <w:rsid w:val="003561B1"/>
    <w:rsid w:val="00360930"/>
    <w:rsid w:val="00361DD9"/>
    <w:rsid w:val="003659B6"/>
    <w:rsid w:val="00366578"/>
    <w:rsid w:val="00391ED9"/>
    <w:rsid w:val="00397DA8"/>
    <w:rsid w:val="003B738C"/>
    <w:rsid w:val="003D03E1"/>
    <w:rsid w:val="004022A8"/>
    <w:rsid w:val="004045B3"/>
    <w:rsid w:val="00405E86"/>
    <w:rsid w:val="0042630D"/>
    <w:rsid w:val="0045745F"/>
    <w:rsid w:val="004754F7"/>
    <w:rsid w:val="00481BEF"/>
    <w:rsid w:val="004C6F65"/>
    <w:rsid w:val="004D7CF1"/>
    <w:rsid w:val="004E0296"/>
    <w:rsid w:val="004F031D"/>
    <w:rsid w:val="00504E95"/>
    <w:rsid w:val="00504EA2"/>
    <w:rsid w:val="00513911"/>
    <w:rsid w:val="0051545E"/>
    <w:rsid w:val="00536DDA"/>
    <w:rsid w:val="00543D36"/>
    <w:rsid w:val="005814C5"/>
    <w:rsid w:val="005C2696"/>
    <w:rsid w:val="005C5392"/>
    <w:rsid w:val="005C7CE9"/>
    <w:rsid w:val="005D645E"/>
    <w:rsid w:val="00627CFB"/>
    <w:rsid w:val="00643EF0"/>
    <w:rsid w:val="00674029"/>
    <w:rsid w:val="006A6571"/>
    <w:rsid w:val="006A7173"/>
    <w:rsid w:val="006B2311"/>
    <w:rsid w:val="006E3FAD"/>
    <w:rsid w:val="006E43A1"/>
    <w:rsid w:val="006F06E6"/>
    <w:rsid w:val="007171D9"/>
    <w:rsid w:val="00775D6B"/>
    <w:rsid w:val="007D6DA7"/>
    <w:rsid w:val="007D6DDC"/>
    <w:rsid w:val="007E51BE"/>
    <w:rsid w:val="0080709B"/>
    <w:rsid w:val="00815203"/>
    <w:rsid w:val="0082433D"/>
    <w:rsid w:val="0082555F"/>
    <w:rsid w:val="00830713"/>
    <w:rsid w:val="008517AE"/>
    <w:rsid w:val="00862CCC"/>
    <w:rsid w:val="00873182"/>
    <w:rsid w:val="008757B3"/>
    <w:rsid w:val="0089111F"/>
    <w:rsid w:val="008B465F"/>
    <w:rsid w:val="008D1221"/>
    <w:rsid w:val="008F0D03"/>
    <w:rsid w:val="00942BFD"/>
    <w:rsid w:val="00942FB7"/>
    <w:rsid w:val="00953580"/>
    <w:rsid w:val="009C1696"/>
    <w:rsid w:val="009D05A4"/>
    <w:rsid w:val="009F0DA8"/>
    <w:rsid w:val="009F5A99"/>
    <w:rsid w:val="00A05174"/>
    <w:rsid w:val="00A151CE"/>
    <w:rsid w:val="00A201D7"/>
    <w:rsid w:val="00A450C2"/>
    <w:rsid w:val="00A51D90"/>
    <w:rsid w:val="00A605E6"/>
    <w:rsid w:val="00A63DC6"/>
    <w:rsid w:val="00A65288"/>
    <w:rsid w:val="00A7005D"/>
    <w:rsid w:val="00A824FB"/>
    <w:rsid w:val="00A94F81"/>
    <w:rsid w:val="00AB1A2B"/>
    <w:rsid w:val="00AB3D17"/>
    <w:rsid w:val="00AC4E50"/>
    <w:rsid w:val="00AC7F69"/>
    <w:rsid w:val="00B03B23"/>
    <w:rsid w:val="00B06970"/>
    <w:rsid w:val="00B17C28"/>
    <w:rsid w:val="00B31948"/>
    <w:rsid w:val="00B55076"/>
    <w:rsid w:val="00B84EB3"/>
    <w:rsid w:val="00B9002C"/>
    <w:rsid w:val="00BA1F96"/>
    <w:rsid w:val="00BA29AD"/>
    <w:rsid w:val="00BE559E"/>
    <w:rsid w:val="00BF6F63"/>
    <w:rsid w:val="00C10831"/>
    <w:rsid w:val="00C10CAA"/>
    <w:rsid w:val="00C14D67"/>
    <w:rsid w:val="00C47FF9"/>
    <w:rsid w:val="00C678BD"/>
    <w:rsid w:val="00C82639"/>
    <w:rsid w:val="00C85ECC"/>
    <w:rsid w:val="00CA1FB3"/>
    <w:rsid w:val="00CB5CD7"/>
    <w:rsid w:val="00CC387D"/>
    <w:rsid w:val="00CD5A17"/>
    <w:rsid w:val="00CE0B5D"/>
    <w:rsid w:val="00CF1A3E"/>
    <w:rsid w:val="00CF1F45"/>
    <w:rsid w:val="00D016EA"/>
    <w:rsid w:val="00D047E4"/>
    <w:rsid w:val="00D23BDB"/>
    <w:rsid w:val="00D27477"/>
    <w:rsid w:val="00D8371C"/>
    <w:rsid w:val="00DA29BC"/>
    <w:rsid w:val="00DB6F72"/>
    <w:rsid w:val="00DD0BC0"/>
    <w:rsid w:val="00DE0BD3"/>
    <w:rsid w:val="00DE36CF"/>
    <w:rsid w:val="00DE787D"/>
    <w:rsid w:val="00E019FF"/>
    <w:rsid w:val="00E14585"/>
    <w:rsid w:val="00E1675A"/>
    <w:rsid w:val="00E2302C"/>
    <w:rsid w:val="00E43037"/>
    <w:rsid w:val="00E4551F"/>
    <w:rsid w:val="00E5268B"/>
    <w:rsid w:val="00E746F1"/>
    <w:rsid w:val="00E753F4"/>
    <w:rsid w:val="00ED0EE0"/>
    <w:rsid w:val="00EE25EE"/>
    <w:rsid w:val="00EF6E81"/>
    <w:rsid w:val="00F02590"/>
    <w:rsid w:val="00F16945"/>
    <w:rsid w:val="00F174FE"/>
    <w:rsid w:val="00F20874"/>
    <w:rsid w:val="00F53CDC"/>
    <w:rsid w:val="00F54ADE"/>
    <w:rsid w:val="00FA7E52"/>
    <w:rsid w:val="00FD0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FA5DD2"/>
  <w15:chartTrackingRefBased/>
  <w15:docId w15:val="{79A56EB5-3EC1-420C-B57D-C7B4D69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semiHidden/>
    <w:rsid w:val="004C6F65"/>
    <w:rPr>
      <w:sz w:val="16"/>
      <w:szCs w:val="16"/>
    </w:rPr>
  </w:style>
  <w:style w:type="paragraph" w:styleId="CommentText">
    <w:name w:val="annotation text"/>
    <w:basedOn w:val="Normal"/>
    <w:semiHidden/>
    <w:rsid w:val="004C6F65"/>
  </w:style>
  <w:style w:type="paragraph" w:styleId="CommentSubject">
    <w:name w:val="annotation subject"/>
    <w:basedOn w:val="CommentText"/>
    <w:next w:val="CommentText"/>
    <w:semiHidden/>
    <w:rsid w:val="004C6F65"/>
    <w:rPr>
      <w:b/>
      <w:bCs/>
    </w:rPr>
  </w:style>
  <w:style w:type="paragraph" w:styleId="BalloonText">
    <w:name w:val="Balloon Text"/>
    <w:basedOn w:val="Normal"/>
    <w:semiHidden/>
    <w:rsid w:val="004C6F65"/>
    <w:rPr>
      <w:rFonts w:ascii="Tahoma" w:hAnsi="Tahoma" w:cs="Tahoma"/>
      <w:sz w:val="16"/>
      <w:szCs w:val="16"/>
    </w:rPr>
  </w:style>
  <w:style w:type="paragraph" w:customStyle="1" w:styleId="Default">
    <w:name w:val="Default"/>
    <w:rsid w:val="004F031D"/>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F031D"/>
    <w:rPr>
      <w:color w:val="0000FF"/>
      <w:u w:val="single"/>
    </w:rPr>
  </w:style>
  <w:style w:type="paragraph" w:styleId="Header">
    <w:name w:val="header"/>
    <w:basedOn w:val="Normal"/>
    <w:link w:val="HeaderChar"/>
    <w:rsid w:val="004F031D"/>
    <w:pPr>
      <w:tabs>
        <w:tab w:val="center" w:pos="4680"/>
        <w:tab w:val="right" w:pos="9360"/>
      </w:tabs>
    </w:pPr>
  </w:style>
  <w:style w:type="character" w:customStyle="1" w:styleId="HeaderChar">
    <w:name w:val="Header Char"/>
    <w:basedOn w:val="DefaultParagraphFont"/>
    <w:link w:val="Header"/>
    <w:rsid w:val="004F031D"/>
  </w:style>
  <w:style w:type="paragraph" w:styleId="Footer">
    <w:name w:val="footer"/>
    <w:basedOn w:val="Normal"/>
    <w:link w:val="FooterChar"/>
    <w:uiPriority w:val="99"/>
    <w:rsid w:val="004F031D"/>
    <w:pPr>
      <w:tabs>
        <w:tab w:val="center" w:pos="4680"/>
        <w:tab w:val="right" w:pos="9360"/>
      </w:tabs>
    </w:pPr>
  </w:style>
  <w:style w:type="character" w:customStyle="1" w:styleId="FooterChar">
    <w:name w:val="Footer Char"/>
    <w:basedOn w:val="DefaultParagraphFont"/>
    <w:link w:val="Footer"/>
    <w:uiPriority w:val="99"/>
    <w:rsid w:val="004F031D"/>
  </w:style>
  <w:style w:type="character" w:styleId="FootnoteReference">
    <w:name w:val="footnote reference"/>
    <w:uiPriority w:val="99"/>
    <w:unhideWhenUsed/>
    <w:rsid w:val="0011114E"/>
    <w:rPr>
      <w:vertAlign w:val="superscript"/>
    </w:rPr>
  </w:style>
  <w:style w:type="paragraph" w:styleId="ListParagraph">
    <w:name w:val="List Paragraph"/>
    <w:basedOn w:val="Normal"/>
    <w:uiPriority w:val="34"/>
    <w:qFormat/>
    <w:rsid w:val="0011114E"/>
    <w:pPr>
      <w:ind w:left="720"/>
      <w:contextualSpacing/>
    </w:pPr>
    <w:rPr>
      <w:sz w:val="24"/>
      <w:szCs w:val="24"/>
    </w:rPr>
  </w:style>
  <w:style w:type="paragraph" w:styleId="FootnoteText">
    <w:name w:val="footnote text"/>
    <w:basedOn w:val="Normal"/>
    <w:link w:val="FootnoteTextChar"/>
    <w:unhideWhenUsed/>
    <w:rsid w:val="0011114E"/>
  </w:style>
  <w:style w:type="character" w:customStyle="1" w:styleId="FootnoteTextChar">
    <w:name w:val="Footnote Text Char"/>
    <w:basedOn w:val="DefaultParagraphFont"/>
    <w:link w:val="FootnoteText"/>
    <w:rsid w:val="0011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1925</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FSUPIK01</dc:creator>
  <cp:lastModifiedBy>Bruce A. Sharp</cp:lastModifiedBy>
  <cp:revision>5</cp:revision>
  <cp:lastPrinted>2014-01-30T21:38:00Z</cp:lastPrinted>
  <dcterms:created xsi:type="dcterms:W3CDTF">2020-06-30T20:22:00Z</dcterms:created>
  <dcterms:modified xsi:type="dcterms:W3CDTF">2023-09-20T20:17:00Z</dcterms:modified>
</cp:coreProperties>
</file>