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27E" w:rsidRPr="00B87471" w14:paraId="761F37F1" w14:textId="77777777">
      <w:pPr>
        <w:tabs>
          <w:tab w:val="center" w:pos="4680"/>
        </w:tabs>
        <w:rPr>
          <w:rFonts w:ascii="Times New Roman" w:hAnsi="Times New Roman"/>
        </w:rPr>
      </w:pPr>
      <w:r w:rsidRPr="00F820CF">
        <w:rPr>
          <w:rFonts w:ascii="Times New Roman" w:hAnsi="Times New Roman"/>
          <w:b/>
          <w:bCs/>
        </w:rPr>
        <w:tab/>
      </w:r>
      <w:r w:rsidRPr="00B87471">
        <w:rPr>
          <w:rFonts w:ascii="Times New Roman" w:hAnsi="Times New Roman"/>
        </w:rPr>
        <w:t>SUPPORTING STATEMENT</w:t>
      </w:r>
    </w:p>
    <w:p w:rsidR="002374EC" w:rsidP="003651BA" w14:paraId="26B20F50" w14:textId="77777777">
      <w:pPr>
        <w:tabs>
          <w:tab w:val="center" w:pos="4680"/>
        </w:tabs>
        <w:jc w:val="center"/>
        <w:rPr>
          <w:rFonts w:ascii="Times New Roman" w:hAnsi="Times New Roman"/>
          <w:bCs/>
        </w:rPr>
      </w:pPr>
      <w:r w:rsidRPr="002374EC">
        <w:rPr>
          <w:rFonts w:ascii="Times New Roman" w:hAnsi="Times New Roman"/>
          <w:bCs/>
        </w:rPr>
        <w:t xml:space="preserve">Internal Revenue Service </w:t>
      </w:r>
    </w:p>
    <w:p w:rsidR="003D17E2" w:rsidP="003651BA" w14:paraId="18024628" w14:textId="690B6223">
      <w:pPr>
        <w:tabs>
          <w:tab w:val="center" w:pos="4680"/>
        </w:tabs>
        <w:jc w:val="center"/>
        <w:rPr>
          <w:rFonts w:ascii="Times New Roman" w:hAnsi="Times New Roman"/>
          <w:bCs/>
        </w:rPr>
      </w:pPr>
      <w:r>
        <w:rPr>
          <w:rFonts w:ascii="Times New Roman" w:hAnsi="Times New Roman"/>
          <w:bCs/>
        </w:rPr>
        <w:t xml:space="preserve">TD 9249, </w:t>
      </w:r>
      <w:r w:rsidRPr="003D17E2">
        <w:rPr>
          <w:rFonts w:ascii="Times New Roman" w:hAnsi="Times New Roman"/>
          <w:bCs/>
        </w:rPr>
        <w:t xml:space="preserve">Escrow Funds and Other Similar Funds </w:t>
      </w:r>
    </w:p>
    <w:p w:rsidR="0042327E" w:rsidRPr="00F820CF" w:rsidP="003651BA" w14:paraId="2A4A3B0F" w14:textId="77777777">
      <w:pPr>
        <w:tabs>
          <w:tab w:val="center" w:pos="4680"/>
        </w:tabs>
        <w:jc w:val="center"/>
        <w:rPr>
          <w:rFonts w:ascii="Times New Roman" w:hAnsi="Times New Roman"/>
          <w:b/>
          <w:bCs/>
        </w:rPr>
      </w:pPr>
      <w:r w:rsidRPr="00BC6ED7">
        <w:rPr>
          <w:rFonts w:ascii="Times New Roman" w:hAnsi="Times New Roman"/>
          <w:bCs/>
        </w:rPr>
        <w:t>OMB #</w:t>
      </w:r>
      <w:r w:rsidRPr="00F820CF">
        <w:rPr>
          <w:rFonts w:ascii="Times New Roman" w:hAnsi="Times New Roman"/>
          <w:b/>
          <w:bCs/>
        </w:rPr>
        <w:t xml:space="preserve"> </w:t>
      </w:r>
      <w:r w:rsidRPr="003560B3">
        <w:rPr>
          <w:rFonts w:ascii="Times New Roman" w:hAnsi="Times New Roman"/>
        </w:rPr>
        <w:t>1545-</w:t>
      </w:r>
      <w:r w:rsidRPr="003560B3" w:rsidR="003D17E2">
        <w:rPr>
          <w:rFonts w:ascii="Times New Roman" w:hAnsi="Times New Roman"/>
        </w:rPr>
        <w:t>1631</w:t>
      </w:r>
    </w:p>
    <w:p w:rsidR="00BA70CE" w14:paraId="7CC86FB5" w14:textId="2226A3B0">
      <w:pPr>
        <w:rPr>
          <w:rFonts w:ascii="Times New Roman" w:hAnsi="Times New Roman"/>
          <w:b/>
          <w:bCs/>
        </w:rPr>
      </w:pPr>
    </w:p>
    <w:p w:rsidR="003C25A0" w:rsidRPr="00F820CF" w14:paraId="3F626E87" w14:textId="77777777">
      <w:pPr>
        <w:rPr>
          <w:rFonts w:ascii="Times New Roman" w:hAnsi="Times New Roman"/>
          <w:b/>
          <w:bCs/>
        </w:rPr>
      </w:pPr>
    </w:p>
    <w:p w:rsidR="0042327E" w:rsidRPr="00F820CF" w14:paraId="30727AFA"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0042327E" w:rsidRPr="00F820CF" w14:paraId="32E484FD" w14:textId="77777777">
      <w:pPr>
        <w:rPr>
          <w:rFonts w:ascii="Times New Roman" w:hAnsi="Times New Roman"/>
        </w:rPr>
      </w:pPr>
    </w:p>
    <w:p w:rsidR="003D17E2" w:rsidRPr="003D17E2" w:rsidP="003D17E2" w14:paraId="03CEB249" w14:textId="1B838220">
      <w:pPr>
        <w:ind w:left="720"/>
        <w:rPr>
          <w:rFonts w:ascii="Times New Roman" w:hAnsi="Times New Roman"/>
        </w:rPr>
      </w:pPr>
      <w:r>
        <w:rPr>
          <w:rFonts w:ascii="Times New Roman" w:hAnsi="Times New Roman"/>
        </w:rPr>
        <w:t>26 U.S.C. 468B(g)</w:t>
      </w:r>
      <w:r w:rsidR="00005C8B">
        <w:rPr>
          <w:rFonts w:ascii="Times New Roman" w:hAnsi="Times New Roman"/>
        </w:rPr>
        <w:t xml:space="preserve"> </w:t>
      </w:r>
      <w:r w:rsidRPr="003D17E2">
        <w:rPr>
          <w:rFonts w:ascii="Times New Roman" w:hAnsi="Times New Roman"/>
        </w:rPr>
        <w:t xml:space="preserve">requires that escrow accounts, settlement funds, and similar </w:t>
      </w:r>
      <w:r w:rsidRPr="003D17E2">
        <w:rPr>
          <w:rFonts w:ascii="Times New Roman" w:hAnsi="Times New Roman"/>
        </w:rPr>
        <w:t>funds be subject to current taxation either as grantor trusts or otherwise.</w:t>
      </w:r>
    </w:p>
    <w:p w:rsidR="003D17E2" w:rsidRPr="003D17E2" w:rsidP="003D17E2" w14:paraId="2B9A3BDD" w14:textId="77777777">
      <w:pPr>
        <w:ind w:left="720"/>
        <w:rPr>
          <w:rFonts w:ascii="Times New Roman" w:hAnsi="Times New Roman"/>
        </w:rPr>
      </w:pPr>
    </w:p>
    <w:p w:rsidR="0042327E" w:rsidRPr="00F820CF" w:rsidP="003D17E2" w14:paraId="56F7609B" w14:textId="77777777">
      <w:pPr>
        <w:ind w:left="720"/>
        <w:rPr>
          <w:rFonts w:ascii="Times New Roman" w:hAnsi="Times New Roman"/>
        </w:rPr>
      </w:pPr>
      <w:r w:rsidRPr="003D17E2">
        <w:rPr>
          <w:rFonts w:ascii="Times New Roman" w:hAnsi="Times New Roman"/>
        </w:rPr>
        <w:t>The final regulations relate to the taxation and reporting of income earned on qualified settlement funds and certain other escrow accounts, trusts, and funds, and other related r</w:t>
      </w:r>
      <w:r w:rsidRPr="003D17E2">
        <w:rPr>
          <w:rFonts w:ascii="Times New Roman" w:hAnsi="Times New Roman"/>
        </w:rPr>
        <w:t xml:space="preserve">ules and affect qualified settlement funds, escrow accounts established in connection with sales of property, disputed ownership funds, and the parties to these escrow accounts, trusts, and funds.  An election statement is filed for a qualified settlement </w:t>
      </w:r>
      <w:r w:rsidRPr="003D17E2">
        <w:rPr>
          <w:rFonts w:ascii="Times New Roman" w:hAnsi="Times New Roman"/>
        </w:rPr>
        <w:t>fund (QSF) that the QSF has elected grantor trust treatment for the QSF and a statement is required from a transferor with respect to the transfer of cash or property to a disputed ownership fund</w:t>
      </w:r>
      <w:r w:rsidRPr="00F820CF">
        <w:rPr>
          <w:rFonts w:ascii="Times New Roman" w:hAnsi="Times New Roman"/>
        </w:rPr>
        <w:t>.</w:t>
      </w:r>
    </w:p>
    <w:p w:rsidR="0042327E" w:rsidRPr="00F820CF" w14:paraId="6B41F38C" w14:textId="77777777">
      <w:pPr>
        <w:rPr>
          <w:rFonts w:ascii="Times New Roman" w:hAnsi="Times New Roman"/>
        </w:rPr>
      </w:pPr>
      <w:r w:rsidRPr="00F820CF">
        <w:rPr>
          <w:rFonts w:ascii="Times New Roman" w:hAnsi="Times New Roman"/>
        </w:rPr>
        <w:t xml:space="preserve">     </w:t>
      </w:r>
    </w:p>
    <w:p w:rsidR="0042327E" w:rsidRPr="00F820CF" w14:paraId="5C292882"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0042327E" w:rsidRPr="00F820CF" w14:paraId="3203FDBC" w14:textId="77777777">
      <w:pPr>
        <w:rPr>
          <w:rFonts w:ascii="Times New Roman" w:hAnsi="Times New Roman"/>
        </w:rPr>
      </w:pPr>
    </w:p>
    <w:p w:rsidR="0042327E" w:rsidRPr="00F820CF" w14:paraId="5E29EE76" w14:textId="77777777">
      <w:pPr>
        <w:ind w:left="720"/>
        <w:rPr>
          <w:rFonts w:ascii="Times New Roman" w:hAnsi="Times New Roman"/>
        </w:rPr>
      </w:pPr>
      <w:r w:rsidRPr="003D17E2">
        <w:rPr>
          <w:rFonts w:ascii="Times New Roman" w:hAnsi="Times New Roman"/>
        </w:rPr>
        <w:t xml:space="preserve">The reporting </w:t>
      </w:r>
      <w:r w:rsidRPr="003D17E2">
        <w:rPr>
          <w:rFonts w:ascii="Times New Roman" w:hAnsi="Times New Roman"/>
        </w:rPr>
        <w:t>requirements enable the Internal Revenue Service to determine whether a QSF is taxable as a separate entity or as a grantor trust owned by the transferor and the basis of property held by a disputed ownership fund</w:t>
      </w:r>
      <w:r w:rsidRPr="00F820CF">
        <w:rPr>
          <w:rFonts w:ascii="Times New Roman" w:hAnsi="Times New Roman"/>
        </w:rPr>
        <w:t>.</w:t>
      </w:r>
    </w:p>
    <w:p w:rsidR="0042327E" w:rsidRPr="00F820CF" w14:paraId="09AE048E" w14:textId="77777777">
      <w:pPr>
        <w:rPr>
          <w:rFonts w:ascii="Times New Roman" w:hAnsi="Times New Roman"/>
        </w:rPr>
      </w:pPr>
      <w:r w:rsidRPr="00F820CF">
        <w:rPr>
          <w:rFonts w:ascii="Times New Roman" w:hAnsi="Times New Roman"/>
        </w:rPr>
        <w:t xml:space="preserve">               </w:t>
      </w:r>
    </w:p>
    <w:p w:rsidR="0042327E" w:rsidRPr="00F820CF" w14:paraId="73F16D56"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w:t>
      </w:r>
      <w:r w:rsidRPr="00F820CF">
        <w:rPr>
          <w:rFonts w:ascii="Times New Roman" w:hAnsi="Times New Roman"/>
          <w:u w:val="single"/>
        </w:rPr>
        <w:t>ON TECHNOLOGY TO REDUCE BURDEN</w:t>
      </w:r>
    </w:p>
    <w:p w:rsidR="0042327E" w:rsidRPr="00F820CF" w14:paraId="0FFC6D76" w14:textId="77777777">
      <w:pPr>
        <w:rPr>
          <w:rFonts w:ascii="Times New Roman" w:hAnsi="Times New Roman"/>
        </w:rPr>
      </w:pPr>
    </w:p>
    <w:p w:rsidR="0042327E" w14:paraId="3700921F" w14:textId="388CF896">
      <w:pPr>
        <w:ind w:firstLine="720"/>
        <w:rPr>
          <w:rFonts w:ascii="Times New Roman" w:hAnsi="Times New Roman"/>
        </w:rPr>
      </w:pPr>
      <w:r>
        <w:rPr>
          <w:rFonts w:ascii="Times New Roman" w:hAnsi="Times New Roman"/>
        </w:rPr>
        <w:t>I</w:t>
      </w:r>
      <w:r w:rsidRPr="007A0291">
        <w:rPr>
          <w:rFonts w:ascii="Times New Roman" w:hAnsi="Times New Roman"/>
        </w:rPr>
        <w:t>RS has no plans to offer electronic filing due to the low number of filers.</w:t>
      </w:r>
    </w:p>
    <w:p w:rsidR="00281413" w:rsidRPr="00F820CF" w14:paraId="13295F39" w14:textId="77777777">
      <w:pPr>
        <w:ind w:firstLine="720"/>
        <w:rPr>
          <w:rFonts w:ascii="Times New Roman" w:hAnsi="Times New Roman"/>
        </w:rPr>
      </w:pPr>
    </w:p>
    <w:p w:rsidR="0042327E" w:rsidRPr="00F820CF" w14:paraId="2BF27B2A"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0042327E" w:rsidRPr="00F820CF" w14:paraId="106BD42D" w14:textId="77777777">
      <w:pPr>
        <w:rPr>
          <w:rFonts w:ascii="Times New Roman" w:hAnsi="Times New Roman"/>
        </w:rPr>
      </w:pPr>
    </w:p>
    <w:p w:rsidR="0042327E" w:rsidP="003560B3" w14:paraId="0001F366" w14:textId="18E5AADF">
      <w:pPr>
        <w:ind w:left="720"/>
        <w:rPr>
          <w:rFonts w:ascii="Times New Roman" w:hAnsi="Times New Roman"/>
        </w:rPr>
      </w:pPr>
      <w:r w:rsidRPr="00A24930">
        <w:rPr>
          <w:rFonts w:ascii="Times New Roman" w:hAnsi="Times New Roman"/>
        </w:rPr>
        <w:t xml:space="preserve">The information obtained through this collection is unique and is not already available for use or </w:t>
      </w:r>
      <w:r w:rsidRPr="00A24930">
        <w:rPr>
          <w:rFonts w:ascii="Times New Roman" w:hAnsi="Times New Roman"/>
        </w:rPr>
        <w:t>adaptation from another source</w:t>
      </w:r>
      <w:r>
        <w:rPr>
          <w:rFonts w:ascii="Times New Roman" w:hAnsi="Times New Roman"/>
        </w:rPr>
        <w:t xml:space="preserve">.  </w:t>
      </w:r>
    </w:p>
    <w:p w:rsidR="003560B3" w:rsidRPr="00F820CF" w:rsidP="003560B3" w14:paraId="3DD8EF66" w14:textId="77777777">
      <w:pPr>
        <w:ind w:left="720"/>
        <w:rPr>
          <w:rFonts w:ascii="Times New Roman" w:hAnsi="Times New Roman"/>
        </w:rPr>
      </w:pPr>
    </w:p>
    <w:p w:rsidR="0042327E" w:rsidRPr="00F820CF" w14:paraId="65E3384A" w14:textId="77777777">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0042327E" w:rsidRPr="00F820CF" w14:paraId="58F35D7A" w14:textId="77777777">
      <w:pPr>
        <w:rPr>
          <w:rFonts w:ascii="Times New Roman" w:hAnsi="Times New Roman"/>
        </w:rPr>
      </w:pPr>
    </w:p>
    <w:p w:rsidR="00700755" w:rsidP="00281413" w14:paraId="67A3EC5D" w14:textId="755335F9">
      <w:pPr>
        <w:ind w:left="720"/>
        <w:rPr>
          <w:rFonts w:ascii="Times New Roman" w:hAnsi="Times New Roman"/>
        </w:rPr>
      </w:pPr>
      <w:r>
        <w:rPr>
          <w:rFonts w:ascii="Times New Roman" w:hAnsi="Times New Roman"/>
        </w:rPr>
        <w:t xml:space="preserve">This information collection will not have a significant economic impact on small businesses or other small entities.  </w:t>
      </w:r>
    </w:p>
    <w:p w:rsidR="00700755" w14:paraId="16AFA1A6" w14:textId="77777777">
      <w:pPr>
        <w:rPr>
          <w:rFonts w:ascii="Times New Roman" w:hAnsi="Times New Roman"/>
        </w:rPr>
      </w:pPr>
    </w:p>
    <w:p w:rsidR="003C25A0" w14:paraId="226E6D99" w14:textId="77777777">
      <w:pPr>
        <w:rPr>
          <w:rFonts w:ascii="Times New Roman" w:hAnsi="Times New Roman"/>
        </w:rPr>
      </w:pPr>
    </w:p>
    <w:p w:rsidR="003C25A0" w14:paraId="23F918C7" w14:textId="77777777">
      <w:pPr>
        <w:rPr>
          <w:rFonts w:ascii="Times New Roman" w:hAnsi="Times New Roman"/>
        </w:rPr>
      </w:pPr>
    </w:p>
    <w:p w:rsidR="003C25A0" w14:paraId="58EB319D" w14:textId="77777777">
      <w:pPr>
        <w:rPr>
          <w:rFonts w:ascii="Times New Roman" w:hAnsi="Times New Roman"/>
        </w:rPr>
      </w:pPr>
    </w:p>
    <w:p w:rsidR="003C25A0" w14:paraId="64571FA9" w14:textId="77777777">
      <w:pPr>
        <w:rPr>
          <w:rFonts w:ascii="Times New Roman" w:hAnsi="Times New Roman"/>
        </w:rPr>
      </w:pPr>
    </w:p>
    <w:p w:rsidR="003C25A0" w14:paraId="5EF4F392" w14:textId="77777777">
      <w:pPr>
        <w:rPr>
          <w:rFonts w:ascii="Times New Roman" w:hAnsi="Times New Roman"/>
        </w:rPr>
      </w:pPr>
    </w:p>
    <w:p w:rsidR="003C25A0" w:rsidRPr="00F820CF" w14:paraId="6AD92C6D" w14:textId="7D667720">
      <w:pPr>
        <w:rPr>
          <w:rFonts w:ascii="Times New Roman" w:hAnsi="Times New Roman"/>
        </w:rPr>
        <w:sectPr>
          <w:pgSz w:w="12240" w:h="15840"/>
          <w:pgMar w:top="1440" w:right="1440" w:bottom="1440" w:left="1440" w:header="1440" w:footer="1440" w:gutter="0"/>
          <w:cols w:space="720"/>
          <w:noEndnote/>
        </w:sectPr>
      </w:pPr>
    </w:p>
    <w:p w:rsidR="0042327E" w:rsidRPr="00F820CF" w14:paraId="288A4A9C" w14:textId="77777777">
      <w:pPr>
        <w:pStyle w:val="Level1"/>
        <w:tabs>
          <w:tab w:val="left" w:pos="-1440"/>
          <w:tab w:val="num" w:pos="720"/>
        </w:tabs>
        <w:rPr>
          <w:rFonts w:ascii="Times New Roman" w:hAnsi="Times New Roman"/>
        </w:rPr>
      </w:pPr>
      <w:r w:rsidRPr="00F820CF">
        <w:rPr>
          <w:rFonts w:ascii="Times New Roman" w:hAnsi="Times New Roman"/>
          <w:u w:val="single"/>
        </w:rPr>
        <w:t>CONSEQUE</w:t>
      </w:r>
      <w:r w:rsidRPr="00F820CF">
        <w:rPr>
          <w:rFonts w:ascii="Times New Roman" w:hAnsi="Times New Roman"/>
          <w:u w:val="single"/>
        </w:rPr>
        <w:t>NCES OF LESS FREQUENT COLLECTION ON FEDERAL PROGRAMS OR POLICY ACTIVITIES</w:t>
      </w:r>
    </w:p>
    <w:p w:rsidR="0042327E" w:rsidRPr="00F820CF" w14:paraId="5C5D03A2" w14:textId="77777777">
      <w:pPr>
        <w:rPr>
          <w:rFonts w:ascii="Times New Roman" w:hAnsi="Times New Roman"/>
        </w:rPr>
      </w:pPr>
    </w:p>
    <w:p w:rsidR="0042327E" w:rsidP="003D17E2" w14:paraId="77614A32" w14:textId="76310612">
      <w:pPr>
        <w:ind w:left="720"/>
        <w:rPr>
          <w:rFonts w:ascii="Times New Roman" w:hAnsi="Times New Roman"/>
        </w:rPr>
      </w:pPr>
      <w:r w:rsidRPr="00D62F07">
        <w:rPr>
          <w:rFonts w:ascii="Times New Roman" w:hAnsi="Times New Roman"/>
        </w:rPr>
        <w:t xml:space="preserve">A less frequent collection </w:t>
      </w:r>
      <w:r w:rsidRPr="003D17E2" w:rsidR="003D17E2">
        <w:rPr>
          <w:rFonts w:ascii="Times New Roman" w:hAnsi="Times New Roman"/>
        </w:rPr>
        <w:t>on federal programs and policy</w:t>
      </w:r>
      <w:r w:rsidR="003D17E2">
        <w:rPr>
          <w:rFonts w:ascii="Times New Roman" w:hAnsi="Times New Roman"/>
        </w:rPr>
        <w:t xml:space="preserve"> </w:t>
      </w:r>
      <w:r w:rsidRPr="003D17E2" w:rsidR="003D17E2">
        <w:rPr>
          <w:rFonts w:ascii="Times New Roman" w:hAnsi="Times New Roman"/>
        </w:rPr>
        <w:t>activities would result in IRS unable to determine whether a QSF is taxable as a separate entity or as a grantor                               trust owned by the transferor and the basis of property held by a disputed ownership fund</w:t>
      </w:r>
      <w:r w:rsidRPr="00F820CF" w:rsidR="008F187B">
        <w:rPr>
          <w:rFonts w:ascii="Times New Roman" w:hAnsi="Times New Roman"/>
        </w:rPr>
        <w:t>.</w:t>
      </w:r>
    </w:p>
    <w:p w:rsidR="003C25A0" w:rsidRPr="00F820CF" w:rsidP="003D17E2" w14:paraId="51C2DF2B" w14:textId="77777777">
      <w:pPr>
        <w:ind w:left="720"/>
        <w:rPr>
          <w:rFonts w:ascii="Times New Roman" w:hAnsi="Times New Roman"/>
        </w:rPr>
      </w:pPr>
    </w:p>
    <w:p w:rsidR="0042327E" w:rsidRPr="00F820CF" w14:paraId="3F461EEA" w14:textId="77777777">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0042327E" w:rsidRPr="00F820CF" w14:paraId="001CDC04" w14:textId="77777777">
      <w:pPr>
        <w:rPr>
          <w:rFonts w:ascii="Times New Roman" w:hAnsi="Times New Roman"/>
        </w:rPr>
      </w:pPr>
    </w:p>
    <w:p w:rsidR="0042327E" w:rsidRPr="00F820CF" w14:paraId="6E31333B" w14:textId="77777777">
      <w:pPr>
        <w:ind w:left="720"/>
        <w:rPr>
          <w:rFonts w:ascii="Times New Roman" w:hAnsi="Times New Roman"/>
        </w:rPr>
      </w:pPr>
      <w:r w:rsidRPr="00F820CF">
        <w:rPr>
          <w:rFonts w:ascii="Times New Roman" w:hAnsi="Times New Roman"/>
        </w:rPr>
        <w:t xml:space="preserve">There are no special </w:t>
      </w:r>
      <w:r w:rsidRPr="00F820CF">
        <w:rPr>
          <w:rFonts w:ascii="Times New Roman" w:hAnsi="Times New Roman"/>
        </w:rPr>
        <w:t>circumstances requiring data collection to be inconsistent with Guidelines in 5 CFR 1320.5(d)(2).</w:t>
      </w:r>
    </w:p>
    <w:p w:rsidR="0042327E" w:rsidRPr="00F820CF" w14:paraId="70875DF6" w14:textId="77777777">
      <w:pPr>
        <w:rPr>
          <w:rFonts w:ascii="Times New Roman" w:hAnsi="Times New Roman"/>
        </w:rPr>
      </w:pPr>
    </w:p>
    <w:p w:rsidR="0042327E" w:rsidRPr="00F820CF" w14:paraId="142C9471" w14:textId="77777777">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w:t>
      </w:r>
      <w:r w:rsidRPr="00F820CF">
        <w:rPr>
          <w:rFonts w:ascii="Times New Roman" w:hAnsi="Times New Roman"/>
          <w:u w:val="single"/>
        </w:rPr>
        <w:t>S</w:t>
      </w:r>
    </w:p>
    <w:p w:rsidR="00BC6ED7" w14:paraId="344D7667" w14:textId="77777777">
      <w:pPr>
        <w:ind w:left="720"/>
        <w:rPr>
          <w:rFonts w:ascii="Times New Roman" w:hAnsi="Times New Roman"/>
        </w:rPr>
      </w:pPr>
    </w:p>
    <w:p w:rsidR="0042327E" w:rsidRPr="00F820CF" w14:paraId="1AC41281" w14:textId="01970FE1">
      <w:pPr>
        <w:ind w:left="720"/>
        <w:rPr>
          <w:rFonts w:ascii="Times New Roman" w:hAnsi="Times New Roman"/>
        </w:rPr>
      </w:pPr>
      <w:r>
        <w:rPr>
          <w:rFonts w:ascii="Times New Roman" w:hAnsi="Times New Roman"/>
        </w:rPr>
        <w:t xml:space="preserve">In </w:t>
      </w:r>
      <w:r w:rsidRPr="00F820CF">
        <w:rPr>
          <w:rFonts w:ascii="Times New Roman" w:hAnsi="Times New Roman"/>
        </w:rPr>
        <w:t>response to the</w:t>
      </w:r>
      <w:r w:rsidRPr="00F820CF">
        <w:rPr>
          <w:rFonts w:ascii="Times New Roman" w:hAnsi="Times New Roman"/>
          <w:b/>
          <w:bCs/>
        </w:rPr>
        <w:t xml:space="preserve"> </w:t>
      </w:r>
      <w:r w:rsidRPr="00B87471">
        <w:rPr>
          <w:rFonts w:ascii="Times New Roman" w:hAnsi="Times New Roman"/>
        </w:rPr>
        <w:t>Federal Register</w:t>
      </w:r>
      <w:r w:rsidRPr="003638BD">
        <w:rPr>
          <w:rFonts w:ascii="Times New Roman" w:hAnsi="Times New Roman"/>
        </w:rPr>
        <w:t xml:space="preserve"> </w:t>
      </w:r>
      <w:r w:rsidRPr="00F820CF">
        <w:rPr>
          <w:rFonts w:ascii="Times New Roman" w:hAnsi="Times New Roman"/>
        </w:rPr>
        <w:t>notice</w:t>
      </w:r>
      <w:r w:rsidRPr="00F820CF" w:rsidR="00CF6A91">
        <w:rPr>
          <w:rFonts w:ascii="Times New Roman" w:hAnsi="Times New Roman"/>
        </w:rPr>
        <w:t xml:space="preserve"> </w:t>
      </w:r>
      <w:r w:rsidRPr="00F820CF">
        <w:rPr>
          <w:rFonts w:ascii="Times New Roman" w:hAnsi="Times New Roman"/>
        </w:rPr>
        <w:t xml:space="preserve">dated </w:t>
      </w:r>
      <w:r>
        <w:rPr>
          <w:rFonts w:ascii="Times New Roman" w:hAnsi="Times New Roman"/>
        </w:rPr>
        <w:t xml:space="preserve">August 8, 2023 (88 FR 53601), IRS </w:t>
      </w:r>
      <w:r w:rsidRPr="00F820CF">
        <w:rPr>
          <w:rFonts w:ascii="Times New Roman" w:hAnsi="Times New Roman"/>
        </w:rPr>
        <w:t xml:space="preserve">received no comments during the comment </w:t>
      </w:r>
      <w:r w:rsidRPr="00F820CF" w:rsidR="00B90E4E">
        <w:rPr>
          <w:rFonts w:ascii="Times New Roman" w:hAnsi="Times New Roman"/>
        </w:rPr>
        <w:t xml:space="preserve">period </w:t>
      </w:r>
      <w:r w:rsidR="00B90E4E">
        <w:rPr>
          <w:rFonts w:ascii="Times New Roman" w:hAnsi="Times New Roman"/>
        </w:rPr>
        <w:t>regarding</w:t>
      </w:r>
      <w:r>
        <w:rPr>
          <w:rFonts w:ascii="Times New Roman" w:hAnsi="Times New Roman"/>
        </w:rPr>
        <w:t xml:space="preserve"> TD 9249</w:t>
      </w:r>
      <w:r w:rsidR="00B90E4E">
        <w:rPr>
          <w:rFonts w:ascii="Times New Roman" w:hAnsi="Times New Roman"/>
        </w:rPr>
        <w:t>.</w:t>
      </w:r>
    </w:p>
    <w:p w:rsidR="0042327E" w:rsidRPr="00F820CF" w14:paraId="6F06A478" w14:textId="77777777">
      <w:pPr>
        <w:tabs>
          <w:tab w:val="center" w:pos="4680"/>
        </w:tabs>
        <w:rPr>
          <w:rFonts w:ascii="Times New Roman" w:hAnsi="Times New Roman"/>
        </w:rPr>
      </w:pPr>
      <w:r w:rsidRPr="00F820CF">
        <w:rPr>
          <w:rFonts w:ascii="Times New Roman" w:hAnsi="Times New Roman"/>
        </w:rPr>
        <w:tab/>
        <w:t xml:space="preserve"> </w:t>
      </w:r>
    </w:p>
    <w:p w:rsidR="0042327E" w:rsidRPr="00F820CF" w14:paraId="6CE085FA" w14:textId="77777777">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0042327E" w:rsidRPr="00F820CF" w14:paraId="7C80C7B8" w14:textId="77777777">
      <w:pPr>
        <w:rPr>
          <w:rFonts w:ascii="Times New Roman" w:hAnsi="Times New Roman"/>
        </w:rPr>
      </w:pPr>
    </w:p>
    <w:p w:rsidR="008D56E6" w:rsidP="00BA70CE" w14:paraId="737AE071" w14:textId="77777777">
      <w:pPr>
        <w:ind w:left="720"/>
        <w:rPr>
          <w:rFonts w:ascii="Times New Roman" w:hAnsi="Times New Roman"/>
        </w:rPr>
      </w:pPr>
      <w:r w:rsidRPr="00F820CF">
        <w:rPr>
          <w:rFonts w:ascii="Times New Roman" w:hAnsi="Times New Roman"/>
        </w:rPr>
        <w:t xml:space="preserve">No payment or gift has </w:t>
      </w:r>
      <w:r w:rsidRPr="00F820CF">
        <w:rPr>
          <w:rFonts w:ascii="Times New Roman" w:hAnsi="Times New Roman"/>
        </w:rPr>
        <w:t>been provided to any respondents</w:t>
      </w:r>
      <w:r w:rsidRPr="00F820CF" w:rsidR="0042327E">
        <w:rPr>
          <w:rFonts w:ascii="Times New Roman" w:hAnsi="Times New Roman"/>
        </w:rPr>
        <w:t>.</w:t>
      </w:r>
    </w:p>
    <w:p w:rsidR="008D56E6" w:rsidRPr="00F820CF" w14:paraId="4C013FF8" w14:textId="77777777">
      <w:pPr>
        <w:rPr>
          <w:rFonts w:ascii="Times New Roman" w:hAnsi="Times New Roman"/>
        </w:rPr>
      </w:pPr>
    </w:p>
    <w:p w:rsidR="0042327E" w:rsidRPr="00F820CF" w14:paraId="66FFDCBE" w14:textId="77777777">
      <w:pPr>
        <w:pStyle w:val="Level1"/>
        <w:tabs>
          <w:tab w:val="left" w:pos="-1440"/>
          <w:tab w:val="num" w:pos="720"/>
        </w:tabs>
        <w:rPr>
          <w:rFonts w:ascii="Times New Roman" w:hAnsi="Times New Roman"/>
        </w:rPr>
      </w:pPr>
      <w:r w:rsidRPr="00F820CF">
        <w:rPr>
          <w:rFonts w:ascii="Times New Roman" w:hAnsi="Times New Roman"/>
          <w:u w:val="single"/>
        </w:rPr>
        <w:t>ASSURANCE OF CONFIDENTIALITY OF RESPONSES</w:t>
      </w:r>
    </w:p>
    <w:p w:rsidR="0042327E" w:rsidRPr="00F820CF" w14:paraId="00C44217" w14:textId="77777777">
      <w:pPr>
        <w:rPr>
          <w:rFonts w:ascii="Times New Roman" w:hAnsi="Times New Roman"/>
        </w:rPr>
      </w:pPr>
    </w:p>
    <w:p w:rsidR="0042327E" w:rsidRPr="00F820CF" w14:paraId="04281066" w14:textId="77777777">
      <w:pPr>
        <w:ind w:left="720"/>
        <w:rPr>
          <w:rFonts w:ascii="Times New Roman" w:hAnsi="Times New Roman"/>
        </w:rPr>
      </w:pPr>
      <w:r w:rsidRPr="00F820CF">
        <w:rPr>
          <w:rFonts w:ascii="Times New Roman" w:hAnsi="Times New Roman"/>
        </w:rPr>
        <w:t>Generally, tax returns and tax return information are confidential as required by 26 USC 6103.</w:t>
      </w:r>
    </w:p>
    <w:p w:rsidR="0042327E" w:rsidRPr="00F820CF" w14:paraId="1009DAB2" w14:textId="77777777">
      <w:pPr>
        <w:rPr>
          <w:rFonts w:ascii="Times New Roman" w:hAnsi="Times New Roman"/>
        </w:rPr>
      </w:pPr>
    </w:p>
    <w:p w:rsidR="0042327E" w:rsidRPr="00F820CF" w14:paraId="6517A221" w14:textId="77777777">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0042327E" w:rsidRPr="00F820CF" w14:paraId="56B3C727" w14:textId="77777777">
      <w:pPr>
        <w:rPr>
          <w:rFonts w:ascii="Times New Roman" w:hAnsi="Times New Roman"/>
          <w:u w:val="single"/>
        </w:rPr>
      </w:pPr>
    </w:p>
    <w:p w:rsidR="0042327E" w:rsidRPr="00F820CF" w:rsidP="0081623E" w14:paraId="62E2DC7E" w14:textId="2DF4FDBD">
      <w:pPr>
        <w:ind w:left="720"/>
        <w:rPr>
          <w:rFonts w:ascii="Times New Roman" w:hAnsi="Times New Roman"/>
        </w:rPr>
      </w:pPr>
      <w:r>
        <w:rPr>
          <w:rFonts w:ascii="Times New Roman" w:hAnsi="Times New Roman"/>
        </w:rPr>
        <w:t xml:space="preserve">There is no personally </w:t>
      </w:r>
      <w:r>
        <w:rPr>
          <w:rFonts w:ascii="Times New Roman" w:hAnsi="Times New Roman"/>
        </w:rPr>
        <w:t>identifiable information (PII) in this collection.</w:t>
      </w:r>
    </w:p>
    <w:p w:rsidR="0042327E" w:rsidRPr="00F820CF" w14:paraId="3431B327" w14:textId="77777777">
      <w:pPr>
        <w:rPr>
          <w:rFonts w:ascii="Times New Roman" w:hAnsi="Times New Roman"/>
        </w:rPr>
      </w:pPr>
    </w:p>
    <w:p w:rsidR="0042327E" w:rsidRPr="00F820CF" w14:paraId="71B2AFCA" w14:textId="77777777">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0042327E" w:rsidRPr="00F820CF" w14:paraId="6F0EC34E" w14:textId="77777777">
      <w:pPr>
        <w:rPr>
          <w:rFonts w:ascii="Times New Roman" w:hAnsi="Times New Roman"/>
          <w:u w:val="single"/>
        </w:rPr>
      </w:pPr>
    </w:p>
    <w:p w:rsidR="0042327E" w:rsidRPr="00F820CF" w14:paraId="246768F8" w14:textId="77777777">
      <w:pPr>
        <w:rPr>
          <w:rFonts w:ascii="Times New Roman" w:hAnsi="Times New Roman"/>
          <w:u w:val="single"/>
        </w:rPr>
        <w:sectPr>
          <w:headerReference w:type="default" r:id="rId4"/>
          <w:type w:val="continuous"/>
          <w:pgSz w:w="12240" w:h="15840"/>
          <w:pgMar w:top="1440" w:right="1440" w:bottom="1440" w:left="1440" w:header="1440" w:footer="1440" w:gutter="0"/>
          <w:cols w:space="720"/>
          <w:noEndnote/>
        </w:sectPr>
      </w:pPr>
    </w:p>
    <w:p w:rsidR="006A0F00" w:rsidRPr="006A0F00" w:rsidP="006A0F00" w14:paraId="2E32BFA5" w14:textId="77777777">
      <w:pPr>
        <w:ind w:left="720"/>
        <w:rPr>
          <w:rFonts w:ascii="Times New Roman" w:hAnsi="Times New Roman"/>
        </w:rPr>
      </w:pPr>
      <w:r w:rsidRPr="006A0F00">
        <w:rPr>
          <w:rFonts w:ascii="Times New Roman" w:hAnsi="Times New Roman"/>
        </w:rPr>
        <w:t>The collection of information in § 1.468B–1(k)(2) is an election statement attached to a tax return filed for a qualified settlement fund (QSF).  The statement notifies the IRS that the transferor to the QSF has elected grantor trust treatment for the QSF.</w:t>
      </w:r>
      <w:r w:rsidRPr="006A0F00">
        <w:rPr>
          <w:rFonts w:ascii="Times New Roman" w:hAnsi="Times New Roman"/>
        </w:rPr>
        <w:t xml:space="preserve"> </w:t>
      </w:r>
    </w:p>
    <w:p w:rsidR="006A0F00" w:rsidRPr="006A0F00" w:rsidP="006A0F00" w14:paraId="6BEEF6B4" w14:textId="77777777">
      <w:pPr>
        <w:ind w:left="720"/>
        <w:rPr>
          <w:rFonts w:ascii="Times New Roman" w:hAnsi="Times New Roman"/>
        </w:rPr>
      </w:pPr>
    </w:p>
    <w:p w:rsidR="006847A9" w:rsidP="006A0F00" w14:paraId="497B4875" w14:textId="77777777">
      <w:pPr>
        <w:ind w:left="720"/>
        <w:rPr>
          <w:rFonts w:ascii="Times New Roman" w:hAnsi="Times New Roman"/>
        </w:rPr>
      </w:pPr>
      <w:r w:rsidRPr="006A0F00">
        <w:rPr>
          <w:rFonts w:ascii="Times New Roman" w:hAnsi="Times New Roman"/>
        </w:rPr>
        <w:t>The collection of information in § 1.468B–9(g) is a statement that a transferor must provide with respect to the transfer of cash or property to a disputed ownership fund</w:t>
      </w:r>
      <w:r w:rsidRPr="006D7970" w:rsidR="006D7970">
        <w:rPr>
          <w:rFonts w:ascii="Times New Roman" w:hAnsi="Times New Roman"/>
        </w:rPr>
        <w:t>.</w:t>
      </w:r>
    </w:p>
    <w:p w:rsidR="00B87471" w14:paraId="60F50EDD" w14:textId="3BF84D90">
      <w:pPr>
        <w:ind w:left="720"/>
        <w:rPr>
          <w:rFonts w:ascii="Times New Roman" w:hAnsi="Times New Roman"/>
        </w:rPr>
      </w:pPr>
    </w:p>
    <w:p w:rsidR="003C25A0" w14:paraId="3FC45817" w14:textId="77777777">
      <w:pPr>
        <w:ind w:left="720"/>
        <w:rPr>
          <w:rFonts w:ascii="Times New Roman" w:hAnsi="Times New Roman"/>
        </w:rPr>
      </w:pPr>
    </w:p>
    <w:p w:rsidR="00DE721E" w:rsidRPr="006D7970" w14:paraId="6632DD2C" w14:textId="77777777">
      <w:pPr>
        <w:ind w:left="720"/>
        <w:rPr>
          <w:rFonts w:ascii="Times New Roman" w:hAnsi="Times New Roman"/>
        </w:rPr>
      </w:pPr>
      <w:r w:rsidRPr="00DE721E">
        <w:rPr>
          <w:rFonts w:ascii="Times New Roman" w:hAnsi="Times New Roman"/>
        </w:rPr>
        <w:t xml:space="preserve">The estimated number of such transactions per year is </w:t>
      </w:r>
      <w:r w:rsidR="006A0F00">
        <w:rPr>
          <w:rFonts w:ascii="Times New Roman" w:hAnsi="Times New Roman"/>
        </w:rPr>
        <w:t>9</w:t>
      </w:r>
      <w:r w:rsidR="00A24930">
        <w:rPr>
          <w:rFonts w:ascii="Times New Roman" w:hAnsi="Times New Roman"/>
        </w:rPr>
        <w:t>,</w:t>
      </w:r>
      <w:r w:rsidR="006A0F00">
        <w:rPr>
          <w:rFonts w:ascii="Times New Roman" w:hAnsi="Times New Roman"/>
        </w:rPr>
        <w:t>3</w:t>
      </w:r>
      <w:r w:rsidR="00A24930">
        <w:rPr>
          <w:rFonts w:ascii="Times New Roman" w:hAnsi="Times New Roman"/>
        </w:rPr>
        <w:t>00</w:t>
      </w:r>
      <w:r w:rsidRPr="00DE721E">
        <w:rPr>
          <w:rFonts w:ascii="Times New Roman" w:hAnsi="Times New Roman"/>
        </w:rPr>
        <w:t xml:space="preserve">.  The estimated average annual burden per applicant to provide information required is </w:t>
      </w:r>
      <w:r w:rsidR="006A0F00">
        <w:rPr>
          <w:rFonts w:ascii="Times New Roman" w:hAnsi="Times New Roman"/>
        </w:rPr>
        <w:t>24</w:t>
      </w:r>
      <w:r w:rsidRPr="00DE721E">
        <w:rPr>
          <w:rFonts w:ascii="Times New Roman" w:hAnsi="Times New Roman"/>
        </w:rPr>
        <w:t xml:space="preserve"> </w:t>
      </w:r>
      <w:r w:rsidR="006A0F00">
        <w:rPr>
          <w:rFonts w:ascii="Times New Roman" w:hAnsi="Times New Roman"/>
        </w:rPr>
        <w:t>minutes</w:t>
      </w:r>
      <w:r w:rsidRPr="00DE721E">
        <w:rPr>
          <w:rFonts w:ascii="Times New Roman" w:hAnsi="Times New Roman"/>
        </w:rPr>
        <w:t xml:space="preserve">, and the total annual recordkeeping burden is </w:t>
      </w:r>
      <w:r w:rsidR="006A0F00">
        <w:rPr>
          <w:rFonts w:ascii="Times New Roman" w:hAnsi="Times New Roman"/>
        </w:rPr>
        <w:t>3,720</w:t>
      </w:r>
      <w:r w:rsidRPr="00DE721E">
        <w:rPr>
          <w:rFonts w:ascii="Times New Roman" w:hAnsi="Times New Roman"/>
        </w:rPr>
        <w:t xml:space="preserve"> hours</w:t>
      </w:r>
      <w:r>
        <w:rPr>
          <w:rFonts w:ascii="Times New Roman" w:hAnsi="Times New Roman"/>
        </w:rPr>
        <w:t xml:space="preserve">.  </w:t>
      </w:r>
    </w:p>
    <w:p w:rsidR="0042327E" w:rsidRPr="00F820CF" w14:paraId="485BD280" w14:textId="77777777">
      <w:pPr>
        <w:rPr>
          <w:rFonts w:ascii="Times New Roman" w:hAnsi="Times New Roman"/>
        </w:rPr>
      </w:pPr>
    </w:p>
    <w:tbl>
      <w:tblPr>
        <w:tblW w:w="863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33"/>
        <w:gridCol w:w="1170"/>
        <w:gridCol w:w="1170"/>
        <w:gridCol w:w="1080"/>
        <w:gridCol w:w="1170"/>
        <w:gridCol w:w="1170"/>
      </w:tblGrid>
      <w:tr w14:paraId="61A01A2B" w14:textId="77777777" w:rsidTr="005F0123">
        <w:tblPrEx>
          <w:tblW w:w="863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40" w:type="dxa"/>
            <w:shd w:val="clear" w:color="auto" w:fill="auto"/>
            <w:vAlign w:val="bottom"/>
          </w:tcPr>
          <w:p w:rsidR="005D3633" w:rsidRPr="00930637" w:rsidP="00423ACB" w14:paraId="05A75976" w14:textId="77777777">
            <w:pPr>
              <w:numPr>
                <w:ilvl w:val="12"/>
                <w:numId w:val="0"/>
              </w:numPr>
              <w:jc w:val="center"/>
              <w:rPr>
                <w:rFonts w:ascii="Arial Narrow" w:hAnsi="Arial Narrow"/>
                <w:b/>
                <w:sz w:val="18"/>
                <w:szCs w:val="18"/>
              </w:rPr>
            </w:pPr>
            <w:r>
              <w:rPr>
                <w:rFonts w:ascii="Arial Narrow" w:hAnsi="Arial Narrow"/>
                <w:b/>
                <w:sz w:val="18"/>
                <w:szCs w:val="18"/>
              </w:rPr>
              <w:t>Authority</w:t>
            </w:r>
          </w:p>
        </w:tc>
        <w:tc>
          <w:tcPr>
            <w:tcW w:w="1433" w:type="dxa"/>
            <w:vAlign w:val="bottom"/>
          </w:tcPr>
          <w:p w:rsidR="005D3633" w:rsidRPr="00930637" w:rsidP="00423ACB" w14:paraId="001FB8FF" w14:textId="77777777">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005D3633" w:rsidRPr="00930637" w:rsidP="00423ACB" w14:paraId="5C08B9CB" w14:textId="77777777">
            <w:pPr>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vAlign w:val="bottom"/>
          </w:tcPr>
          <w:p w:rsidR="005D3633" w:rsidRPr="00930637" w:rsidP="00423ACB" w14:paraId="55CC9290" w14:textId="77777777">
            <w:pPr>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shd w:val="clear" w:color="auto" w:fill="auto"/>
            <w:vAlign w:val="bottom"/>
          </w:tcPr>
          <w:p w:rsidR="005D3633" w:rsidRPr="00930637" w:rsidP="00423ACB" w14:paraId="241F832B" w14:textId="77777777">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005D3633" w:rsidRPr="00930637" w:rsidP="00423ACB" w14:paraId="67F7CED4" w14:textId="77777777">
            <w:pPr>
              <w:numPr>
                <w:ilvl w:val="12"/>
                <w:numId w:val="0"/>
              </w:numPr>
              <w:jc w:val="center"/>
              <w:rPr>
                <w:rFonts w:ascii="Arial Narrow" w:hAnsi="Arial Narrow"/>
                <w:b/>
                <w:sz w:val="18"/>
                <w:szCs w:val="18"/>
              </w:rPr>
            </w:pPr>
            <w:r>
              <w:rPr>
                <w:rFonts w:ascii="Arial Narrow" w:hAnsi="Arial Narrow"/>
                <w:b/>
                <w:sz w:val="18"/>
                <w:szCs w:val="18"/>
              </w:rPr>
              <w:t>Hours per Re</w:t>
            </w:r>
            <w:r>
              <w:rPr>
                <w:rFonts w:ascii="Arial Narrow" w:hAnsi="Arial Narrow"/>
                <w:b/>
                <w:sz w:val="18"/>
                <w:szCs w:val="18"/>
              </w:rPr>
              <w:t>sponse</w:t>
            </w:r>
          </w:p>
        </w:tc>
        <w:tc>
          <w:tcPr>
            <w:tcW w:w="1170" w:type="dxa"/>
            <w:shd w:val="clear" w:color="auto" w:fill="auto"/>
            <w:vAlign w:val="bottom"/>
          </w:tcPr>
          <w:p w:rsidR="005D3633" w:rsidRPr="00930637" w:rsidP="00423ACB" w14:paraId="28C67C6D" w14:textId="77777777">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14:paraId="705AD1B7" w14:textId="77777777" w:rsidTr="005F0123">
        <w:tblPrEx>
          <w:tblW w:w="8633" w:type="dxa"/>
          <w:tblInd w:w="715" w:type="dxa"/>
          <w:tblLook w:val="04A0"/>
        </w:tblPrEx>
        <w:tc>
          <w:tcPr>
            <w:tcW w:w="1440" w:type="dxa"/>
            <w:shd w:val="clear" w:color="auto" w:fill="auto"/>
            <w:vAlign w:val="bottom"/>
          </w:tcPr>
          <w:p w:rsidR="00DE721E" w:rsidRPr="00930637" w:rsidP="00DA35AC" w14:paraId="5618C2C7" w14:textId="77777777">
            <w:pPr>
              <w:numPr>
                <w:ilvl w:val="12"/>
                <w:numId w:val="0"/>
              </w:numPr>
              <w:rPr>
                <w:rFonts w:ascii="Arial Narrow" w:hAnsi="Arial Narrow"/>
                <w:sz w:val="18"/>
                <w:szCs w:val="18"/>
              </w:rPr>
            </w:pPr>
            <w:r>
              <w:rPr>
                <w:rFonts w:ascii="Arial Narrow" w:hAnsi="Arial Narrow"/>
                <w:sz w:val="18"/>
                <w:szCs w:val="18"/>
              </w:rPr>
              <w:t xml:space="preserve">26 </w:t>
            </w:r>
            <w:r w:rsidR="001F4B22">
              <w:rPr>
                <w:rFonts w:ascii="Arial Narrow" w:hAnsi="Arial Narrow"/>
                <w:sz w:val="18"/>
                <w:szCs w:val="18"/>
              </w:rPr>
              <w:t>USC</w:t>
            </w:r>
            <w:r>
              <w:rPr>
                <w:rFonts w:ascii="Arial Narrow" w:hAnsi="Arial Narrow"/>
                <w:sz w:val="18"/>
                <w:szCs w:val="18"/>
              </w:rPr>
              <w:t xml:space="preserve"> 468B</w:t>
            </w:r>
          </w:p>
        </w:tc>
        <w:tc>
          <w:tcPr>
            <w:tcW w:w="1433" w:type="dxa"/>
            <w:vAlign w:val="bottom"/>
          </w:tcPr>
          <w:p w:rsidR="005D3633" w:rsidRPr="00930637" w:rsidP="00423ACB" w14:paraId="0EF5405C" w14:textId="77777777">
            <w:pPr>
              <w:numPr>
                <w:ilvl w:val="12"/>
                <w:numId w:val="0"/>
              </w:numPr>
              <w:jc w:val="center"/>
              <w:rPr>
                <w:rFonts w:ascii="Arial Narrow" w:hAnsi="Arial Narrow"/>
                <w:sz w:val="18"/>
                <w:szCs w:val="18"/>
              </w:rPr>
            </w:pPr>
            <w:r>
              <w:rPr>
                <w:rFonts w:ascii="Arial Narrow" w:hAnsi="Arial Narrow"/>
                <w:sz w:val="18"/>
                <w:szCs w:val="18"/>
              </w:rPr>
              <w:t>TD 9249</w:t>
            </w:r>
          </w:p>
        </w:tc>
        <w:tc>
          <w:tcPr>
            <w:tcW w:w="1170" w:type="dxa"/>
            <w:vAlign w:val="bottom"/>
          </w:tcPr>
          <w:p w:rsidR="005D3633" w:rsidRPr="00930637" w:rsidP="00423ACB" w14:paraId="71B2CAC2" w14:textId="77777777">
            <w:pPr>
              <w:numPr>
                <w:ilvl w:val="12"/>
                <w:numId w:val="0"/>
              </w:numPr>
              <w:jc w:val="center"/>
              <w:rPr>
                <w:rFonts w:ascii="Arial Narrow" w:hAnsi="Arial Narrow"/>
                <w:sz w:val="18"/>
                <w:szCs w:val="18"/>
              </w:rPr>
            </w:pPr>
            <w:r>
              <w:rPr>
                <w:rFonts w:ascii="Arial Narrow" w:hAnsi="Arial Narrow"/>
                <w:sz w:val="18"/>
                <w:szCs w:val="18"/>
              </w:rPr>
              <w:t>9,300</w:t>
            </w:r>
          </w:p>
        </w:tc>
        <w:tc>
          <w:tcPr>
            <w:tcW w:w="1170" w:type="dxa"/>
            <w:vAlign w:val="bottom"/>
          </w:tcPr>
          <w:p w:rsidR="005D3633" w:rsidRPr="00930637" w:rsidP="00423ACB" w14:paraId="73195D4C" w14:textId="77777777">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5D3633" w:rsidRPr="00930637" w:rsidP="00423ACB" w14:paraId="2F1D314F" w14:textId="77777777">
            <w:pPr>
              <w:numPr>
                <w:ilvl w:val="12"/>
                <w:numId w:val="0"/>
              </w:numPr>
              <w:jc w:val="center"/>
              <w:rPr>
                <w:rFonts w:ascii="Arial Narrow" w:hAnsi="Arial Narrow"/>
                <w:sz w:val="18"/>
                <w:szCs w:val="18"/>
              </w:rPr>
            </w:pPr>
            <w:r>
              <w:rPr>
                <w:rFonts w:ascii="Arial Narrow" w:hAnsi="Arial Narrow"/>
                <w:sz w:val="18"/>
                <w:szCs w:val="18"/>
              </w:rPr>
              <w:t>9,300</w:t>
            </w:r>
          </w:p>
        </w:tc>
        <w:tc>
          <w:tcPr>
            <w:tcW w:w="1170" w:type="dxa"/>
            <w:vAlign w:val="bottom"/>
          </w:tcPr>
          <w:p w:rsidR="005D3633" w:rsidRPr="00930637" w:rsidP="00423ACB" w14:paraId="0DF9718E" w14:textId="77777777">
            <w:pPr>
              <w:numPr>
                <w:ilvl w:val="12"/>
                <w:numId w:val="0"/>
              </w:numPr>
              <w:jc w:val="center"/>
              <w:rPr>
                <w:rFonts w:ascii="Arial Narrow" w:hAnsi="Arial Narrow"/>
                <w:sz w:val="18"/>
                <w:szCs w:val="18"/>
              </w:rPr>
            </w:pPr>
            <w:r>
              <w:rPr>
                <w:rFonts w:ascii="Arial Narrow" w:hAnsi="Arial Narrow"/>
                <w:sz w:val="18"/>
                <w:szCs w:val="18"/>
              </w:rPr>
              <w:t>.40</w:t>
            </w:r>
          </w:p>
        </w:tc>
        <w:tc>
          <w:tcPr>
            <w:tcW w:w="1170" w:type="dxa"/>
            <w:shd w:val="clear" w:color="auto" w:fill="auto"/>
            <w:vAlign w:val="bottom"/>
          </w:tcPr>
          <w:p w:rsidR="005D3633" w:rsidRPr="00930637" w:rsidP="00423ACB" w14:paraId="3585FD7F" w14:textId="77777777">
            <w:pPr>
              <w:numPr>
                <w:ilvl w:val="12"/>
                <w:numId w:val="0"/>
              </w:numPr>
              <w:jc w:val="center"/>
              <w:rPr>
                <w:rFonts w:ascii="Arial Narrow" w:hAnsi="Arial Narrow"/>
                <w:sz w:val="18"/>
                <w:szCs w:val="18"/>
              </w:rPr>
            </w:pPr>
            <w:r>
              <w:rPr>
                <w:rFonts w:ascii="Arial Narrow" w:hAnsi="Arial Narrow"/>
                <w:sz w:val="18"/>
                <w:szCs w:val="18"/>
              </w:rPr>
              <w:t>3,720</w:t>
            </w:r>
          </w:p>
        </w:tc>
      </w:tr>
      <w:tr w14:paraId="1D6C9DC1" w14:textId="77777777" w:rsidTr="005F0123">
        <w:tblPrEx>
          <w:tblW w:w="8633" w:type="dxa"/>
          <w:tblInd w:w="715" w:type="dxa"/>
          <w:tblLook w:val="04A0"/>
        </w:tblPrEx>
        <w:tc>
          <w:tcPr>
            <w:tcW w:w="1440" w:type="dxa"/>
            <w:shd w:val="clear" w:color="auto" w:fill="auto"/>
            <w:vAlign w:val="bottom"/>
          </w:tcPr>
          <w:p w:rsidR="005D3633" w:rsidRPr="00930637" w:rsidP="00423ACB" w14:paraId="672C5EDA" w14:textId="77777777">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433" w:type="dxa"/>
            <w:vAlign w:val="bottom"/>
          </w:tcPr>
          <w:p w:rsidR="005D3633" w:rsidRPr="00930637" w:rsidP="00423ACB" w14:paraId="2C3FB753" w14:textId="77777777">
            <w:pPr>
              <w:numPr>
                <w:ilvl w:val="12"/>
                <w:numId w:val="0"/>
              </w:numPr>
              <w:jc w:val="center"/>
              <w:rPr>
                <w:rFonts w:ascii="Arial Narrow" w:hAnsi="Arial Narrow"/>
                <w:sz w:val="18"/>
                <w:szCs w:val="18"/>
              </w:rPr>
            </w:pPr>
          </w:p>
        </w:tc>
        <w:tc>
          <w:tcPr>
            <w:tcW w:w="1170" w:type="dxa"/>
            <w:vAlign w:val="bottom"/>
          </w:tcPr>
          <w:p w:rsidR="005D3633" w:rsidRPr="00930637" w:rsidP="00423ACB" w14:paraId="2368B4BC" w14:textId="77777777">
            <w:pPr>
              <w:numPr>
                <w:ilvl w:val="12"/>
                <w:numId w:val="0"/>
              </w:numPr>
              <w:jc w:val="center"/>
              <w:rPr>
                <w:rFonts w:ascii="Arial Narrow" w:hAnsi="Arial Narrow"/>
                <w:sz w:val="18"/>
                <w:szCs w:val="18"/>
              </w:rPr>
            </w:pPr>
            <w:r>
              <w:rPr>
                <w:rFonts w:ascii="Arial Narrow" w:hAnsi="Arial Narrow"/>
                <w:sz w:val="18"/>
                <w:szCs w:val="18"/>
              </w:rPr>
              <w:t>9,300</w:t>
            </w:r>
          </w:p>
        </w:tc>
        <w:tc>
          <w:tcPr>
            <w:tcW w:w="1170" w:type="dxa"/>
            <w:vAlign w:val="bottom"/>
          </w:tcPr>
          <w:p w:rsidR="005D3633" w:rsidRPr="00930637" w:rsidP="00423ACB" w14:paraId="02EA5203" w14:textId="77777777">
            <w:pPr>
              <w:numPr>
                <w:ilvl w:val="12"/>
                <w:numId w:val="0"/>
              </w:numPr>
              <w:jc w:val="center"/>
              <w:rPr>
                <w:rFonts w:ascii="Arial Narrow" w:hAnsi="Arial Narrow"/>
                <w:sz w:val="18"/>
                <w:szCs w:val="18"/>
              </w:rPr>
            </w:pPr>
          </w:p>
        </w:tc>
        <w:tc>
          <w:tcPr>
            <w:tcW w:w="1080" w:type="dxa"/>
            <w:shd w:val="clear" w:color="auto" w:fill="auto"/>
            <w:vAlign w:val="bottom"/>
          </w:tcPr>
          <w:p w:rsidR="005D3633" w:rsidRPr="00930637" w:rsidP="00423ACB" w14:paraId="7258FC07" w14:textId="77777777">
            <w:pPr>
              <w:numPr>
                <w:ilvl w:val="12"/>
                <w:numId w:val="0"/>
              </w:numPr>
              <w:jc w:val="center"/>
              <w:rPr>
                <w:rFonts w:ascii="Arial Narrow" w:hAnsi="Arial Narrow"/>
                <w:sz w:val="18"/>
                <w:szCs w:val="18"/>
              </w:rPr>
            </w:pPr>
            <w:r>
              <w:rPr>
                <w:rFonts w:ascii="Arial Narrow" w:hAnsi="Arial Narrow"/>
                <w:sz w:val="18"/>
                <w:szCs w:val="18"/>
              </w:rPr>
              <w:t>9,300</w:t>
            </w:r>
          </w:p>
        </w:tc>
        <w:tc>
          <w:tcPr>
            <w:tcW w:w="1170" w:type="dxa"/>
            <w:vAlign w:val="bottom"/>
          </w:tcPr>
          <w:p w:rsidR="005D3633" w:rsidRPr="00930637" w:rsidP="00423ACB" w14:paraId="5AC98890" w14:textId="77777777">
            <w:pPr>
              <w:numPr>
                <w:ilvl w:val="12"/>
                <w:numId w:val="0"/>
              </w:numPr>
              <w:jc w:val="center"/>
              <w:rPr>
                <w:rFonts w:ascii="Arial Narrow" w:hAnsi="Arial Narrow"/>
                <w:sz w:val="18"/>
                <w:szCs w:val="18"/>
              </w:rPr>
            </w:pPr>
          </w:p>
        </w:tc>
        <w:tc>
          <w:tcPr>
            <w:tcW w:w="1170" w:type="dxa"/>
            <w:shd w:val="clear" w:color="auto" w:fill="auto"/>
            <w:vAlign w:val="bottom"/>
          </w:tcPr>
          <w:p w:rsidR="005D3633" w:rsidRPr="000F3D31" w:rsidP="00423ACB" w14:paraId="0088DC00" w14:textId="77777777">
            <w:pPr>
              <w:numPr>
                <w:ilvl w:val="12"/>
                <w:numId w:val="0"/>
              </w:numPr>
              <w:jc w:val="center"/>
              <w:rPr>
                <w:rFonts w:ascii="Arial Narrow" w:hAnsi="Arial Narrow"/>
                <w:b/>
                <w:sz w:val="18"/>
                <w:szCs w:val="18"/>
              </w:rPr>
            </w:pPr>
            <w:r>
              <w:rPr>
                <w:rFonts w:ascii="Arial Narrow" w:hAnsi="Arial Narrow"/>
                <w:sz w:val="18"/>
                <w:szCs w:val="18"/>
              </w:rPr>
              <w:t>3,720</w:t>
            </w:r>
          </w:p>
        </w:tc>
      </w:tr>
    </w:tbl>
    <w:p w:rsidR="003C25A0" w:rsidP="00281413" w14:paraId="19FA4B9D" w14:textId="77777777">
      <w:pPr>
        <w:rPr>
          <w:rFonts w:ascii="Times New Roman" w:hAnsi="Times New Roman"/>
        </w:rPr>
      </w:pPr>
      <w:r w:rsidRPr="00F820CF">
        <w:rPr>
          <w:rFonts w:ascii="Times New Roman" w:hAnsi="Times New Roman"/>
        </w:rPr>
        <w:t xml:space="preserve">    </w:t>
      </w:r>
    </w:p>
    <w:p w:rsidR="00BB3832" w:rsidRPr="00BB3832" w:rsidP="003C25A0" w14:paraId="254FB082" w14:textId="2ACBE4CD">
      <w:pPr>
        <w:ind w:left="720"/>
        <w:rPr>
          <w:rFonts w:ascii="Times New Roman" w:hAnsi="Times New Roman"/>
        </w:rPr>
      </w:pPr>
      <w:r w:rsidRPr="00BB3832">
        <w:rPr>
          <w:rFonts w:ascii="Times New Roman" w:hAnsi="Times New Roman"/>
        </w:rPr>
        <w:t>The following regulation imposes no additional burden. Please continue to assign OMB number 1545-</w:t>
      </w:r>
      <w:r>
        <w:rPr>
          <w:rFonts w:ascii="Times New Roman" w:hAnsi="Times New Roman"/>
        </w:rPr>
        <w:t>1631</w:t>
      </w:r>
      <w:r w:rsidRPr="00BB3832">
        <w:rPr>
          <w:rFonts w:ascii="Times New Roman" w:hAnsi="Times New Roman"/>
        </w:rPr>
        <w:t xml:space="preserve"> to this regulation.</w:t>
      </w:r>
    </w:p>
    <w:p w:rsidR="00BB3832" w:rsidRPr="00BB3832" w:rsidP="00BB3832" w14:paraId="7D332BF6" w14:textId="77777777">
      <w:pPr>
        <w:ind w:left="720"/>
        <w:rPr>
          <w:rFonts w:ascii="Times New Roman" w:hAnsi="Times New Roman"/>
        </w:rPr>
      </w:pPr>
    </w:p>
    <w:p w:rsidR="00BB3832" w:rsidP="00BB3832" w14:paraId="2F2A7A2C" w14:textId="77777777">
      <w:pPr>
        <w:ind w:left="720"/>
        <w:rPr>
          <w:rFonts w:ascii="Times New Roman" w:hAnsi="Times New Roman"/>
        </w:rPr>
      </w:pPr>
      <w:r w:rsidRPr="00BB3832">
        <w:rPr>
          <w:rFonts w:ascii="Times New Roman" w:hAnsi="Times New Roman"/>
        </w:rPr>
        <w:t>1.</w:t>
      </w:r>
      <w:r>
        <w:rPr>
          <w:rFonts w:ascii="Times New Roman" w:hAnsi="Times New Roman"/>
        </w:rPr>
        <w:t>468B-1</w:t>
      </w:r>
      <w:r>
        <w:rPr>
          <w:rFonts w:ascii="Times New Roman" w:hAnsi="Times New Roman"/>
        </w:rPr>
        <w:tab/>
      </w:r>
      <w:r>
        <w:rPr>
          <w:rFonts w:ascii="Times New Roman" w:hAnsi="Times New Roman"/>
        </w:rPr>
        <w:tab/>
      </w:r>
      <w:r>
        <w:rPr>
          <w:rFonts w:ascii="Times New Roman" w:hAnsi="Times New Roman"/>
        </w:rPr>
        <w:t>1.468B-9</w:t>
      </w:r>
    </w:p>
    <w:p w:rsidR="00FE5C44" w:rsidRPr="00FE5C44" w:rsidP="00BA70CE" w14:paraId="0B9DC2EE" w14:textId="77777777">
      <w:pPr>
        <w:pStyle w:val="Level1"/>
        <w:numPr>
          <w:ilvl w:val="0"/>
          <w:numId w:val="0"/>
        </w:numPr>
        <w:tabs>
          <w:tab w:val="left" w:pos="-1440"/>
        </w:tabs>
        <w:rPr>
          <w:rFonts w:ascii="Times New Roman" w:hAnsi="Times New Roman"/>
        </w:rPr>
      </w:pPr>
    </w:p>
    <w:p w:rsidR="0042327E" w:rsidRPr="00F820CF" w14:paraId="3E4BC8E0" w14:textId="77777777">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0042327E" w:rsidRPr="00F820CF" w14:paraId="7C661DDA" w14:textId="77777777">
      <w:pPr>
        <w:rPr>
          <w:rFonts w:ascii="Times New Roman" w:hAnsi="Times New Roman"/>
        </w:rPr>
      </w:pPr>
    </w:p>
    <w:p w:rsidR="0042327E" w:rsidRPr="00F820CF" w:rsidP="00895219" w14:paraId="41D8108B" w14:textId="77777777">
      <w:pPr>
        <w:ind w:left="720"/>
        <w:rPr>
          <w:rFonts w:ascii="Times New Roman" w:hAnsi="Times New Roman"/>
        </w:rPr>
      </w:pPr>
      <w:r w:rsidRPr="00895219">
        <w:rPr>
          <w:rFonts w:ascii="Times New Roman" w:hAnsi="Times New Roman"/>
        </w:rPr>
        <w:t xml:space="preserve">To ensure more accuracy and consistency across its information collections, IRS is currently in the process of revising the methodology it uses to estimate burden and costs. Once this </w:t>
      </w:r>
      <w:r w:rsidRPr="00895219">
        <w:rPr>
          <w:rFonts w:ascii="Times New Roman" w:hAnsi="Times New Roman"/>
        </w:rPr>
        <w:t>methodology is complete, IRS will update this information collection to reflect a more precise estimate of burden and costs.</w:t>
      </w:r>
    </w:p>
    <w:p w:rsidR="0042327E" w:rsidRPr="00F820CF" w14:paraId="18FF75F2" w14:textId="77777777">
      <w:pPr>
        <w:rPr>
          <w:rFonts w:ascii="Times New Roman" w:hAnsi="Times New Roman"/>
        </w:rPr>
      </w:pPr>
    </w:p>
    <w:p w:rsidR="0042327E" w:rsidRPr="00F820CF" w14:paraId="1B5C8967" w14:textId="77777777">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0042327E" w:rsidRPr="00F820CF" w14:paraId="480FE8A5" w14:textId="77777777">
      <w:pPr>
        <w:rPr>
          <w:rFonts w:ascii="Times New Roman" w:hAnsi="Times New Roman"/>
        </w:rPr>
      </w:pPr>
    </w:p>
    <w:p w:rsidR="00274F60" w:rsidRPr="0027079C" w:rsidP="0027079C" w14:paraId="255CCC92" w14:textId="77777777">
      <w:pPr>
        <w:ind w:firstLine="720"/>
        <w:rPr>
          <w:rFonts w:ascii="Times New Roman" w:hAnsi="Times New Roman"/>
        </w:rPr>
      </w:pPr>
      <w:r w:rsidRPr="0027079C">
        <w:rPr>
          <w:rFonts w:ascii="Times New Roman" w:hAnsi="Times New Roman"/>
        </w:rPr>
        <w:t>There are no known annualized costs to the federal government.</w:t>
      </w:r>
    </w:p>
    <w:p w:rsidR="0027079C" w:rsidRPr="00F820CF" w14:paraId="7420D394" w14:textId="77777777">
      <w:pPr>
        <w:rPr>
          <w:rFonts w:ascii="Times New Roman" w:hAnsi="Times New Roman"/>
        </w:rPr>
      </w:pPr>
    </w:p>
    <w:p w:rsidR="0042327E" w:rsidRPr="00F820CF" w14:paraId="2A61CD1A" w14:textId="77777777">
      <w:pPr>
        <w:pStyle w:val="Level1"/>
        <w:tabs>
          <w:tab w:val="left" w:pos="-1440"/>
          <w:tab w:val="num" w:pos="720"/>
        </w:tabs>
        <w:rPr>
          <w:rFonts w:ascii="Times New Roman" w:hAnsi="Times New Roman"/>
        </w:rPr>
      </w:pPr>
      <w:r w:rsidRPr="00F820CF">
        <w:rPr>
          <w:rFonts w:ascii="Times New Roman" w:hAnsi="Times New Roman"/>
          <w:u w:val="single"/>
        </w:rPr>
        <w:t>REASONS FOR CHANGE IN BURDEN</w:t>
      </w:r>
    </w:p>
    <w:p w:rsidR="0042327E" w:rsidRPr="00F820CF" w14:paraId="05062D80" w14:textId="77777777">
      <w:pPr>
        <w:rPr>
          <w:rFonts w:ascii="Times New Roman" w:hAnsi="Times New Roman"/>
        </w:rPr>
      </w:pPr>
    </w:p>
    <w:p w:rsidR="00A66703" w:rsidRPr="00F820CF" w:rsidP="008D56E6" w14:paraId="590C2CD0" w14:textId="299DDF7C">
      <w:pPr>
        <w:ind w:left="720"/>
        <w:rPr>
          <w:rFonts w:ascii="Times New Roman" w:hAnsi="Times New Roman"/>
        </w:rPr>
      </w:pPr>
      <w:r w:rsidRPr="00F820CF">
        <w:rPr>
          <w:rFonts w:ascii="Times New Roman" w:hAnsi="Times New Roman"/>
        </w:rPr>
        <w:t xml:space="preserve">There is no change in the paperwork burden previously approved by OMB.  </w:t>
      </w:r>
      <w:r w:rsidR="00B87471">
        <w:rPr>
          <w:rFonts w:ascii="Times New Roman" w:hAnsi="Times New Roman"/>
        </w:rPr>
        <w:t xml:space="preserve">IRS is </w:t>
      </w:r>
      <w:r w:rsidRPr="00F820CF">
        <w:rPr>
          <w:rFonts w:ascii="Times New Roman" w:hAnsi="Times New Roman"/>
        </w:rPr>
        <w:t xml:space="preserve">making this submission to renew the OMB approval.  </w:t>
      </w:r>
    </w:p>
    <w:p w:rsidR="00A66703" w:rsidRPr="00F820CF" w14:paraId="432012EF" w14:textId="77777777">
      <w:pPr>
        <w:rPr>
          <w:rFonts w:ascii="Times New Roman" w:hAnsi="Times New Roman"/>
        </w:rPr>
      </w:pPr>
    </w:p>
    <w:p w:rsidR="0042327E" w:rsidRPr="00F820CF" w14:paraId="40833FD4" w14:textId="77777777">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0042327E" w:rsidRPr="00F820CF" w14:paraId="06347C2A" w14:textId="77777777">
      <w:pPr>
        <w:rPr>
          <w:rFonts w:ascii="Times New Roman" w:hAnsi="Times New Roman"/>
        </w:rPr>
      </w:pPr>
    </w:p>
    <w:p w:rsidR="0042327E" w:rsidRPr="00F820CF" w14:paraId="268C0A10" w14:textId="77777777">
      <w:pPr>
        <w:ind w:left="720"/>
        <w:rPr>
          <w:rFonts w:ascii="Times New Roman" w:hAnsi="Times New Roman"/>
        </w:rPr>
      </w:pPr>
      <w:r w:rsidRPr="00F820CF">
        <w:rPr>
          <w:rFonts w:ascii="Times New Roman" w:hAnsi="Times New Roman"/>
        </w:rPr>
        <w:t>There are no plans for tabulation,</w:t>
      </w:r>
      <w:r w:rsidRPr="00F820CF">
        <w:rPr>
          <w:rFonts w:ascii="Times New Roman" w:hAnsi="Times New Roman"/>
        </w:rPr>
        <w:t xml:space="preserve"> statistical analysis and publication.</w:t>
      </w:r>
    </w:p>
    <w:p w:rsidR="00BA70CE" w:rsidRPr="00F820CF" w14:paraId="656AC121" w14:textId="77777777">
      <w:pPr>
        <w:rPr>
          <w:rFonts w:ascii="Times New Roman" w:hAnsi="Times New Roman"/>
        </w:rPr>
      </w:pPr>
    </w:p>
    <w:p w:rsidR="0042327E" w:rsidRPr="00F820CF" w14:paraId="4B800D78" w14:textId="77777777">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0042327E" w:rsidRPr="00F820CF" w14:paraId="0A917F73" w14:textId="77777777">
      <w:pPr>
        <w:rPr>
          <w:rFonts w:ascii="Times New Roman" w:hAnsi="Times New Roman"/>
        </w:rPr>
      </w:pPr>
    </w:p>
    <w:p w:rsidR="0042327E" w:rsidRPr="00F820CF" w14:paraId="0AD323DD" w14:textId="77777777">
      <w:pPr>
        <w:rPr>
          <w:rFonts w:ascii="Times New Roman" w:hAnsi="Times New Roman"/>
        </w:rPr>
        <w:sectPr>
          <w:type w:val="continuous"/>
          <w:pgSz w:w="12240" w:h="15840"/>
          <w:pgMar w:top="1440" w:right="1440" w:bottom="1440" w:left="1440" w:header="1440" w:footer="1440" w:gutter="0"/>
          <w:cols w:space="720"/>
          <w:noEndnote/>
        </w:sectPr>
      </w:pPr>
    </w:p>
    <w:p w:rsidR="0042327E" w:rsidRPr="00F820CF" w14:paraId="61139AE4" w14:textId="6CE3574D">
      <w:pPr>
        <w:ind w:left="720"/>
        <w:rPr>
          <w:rFonts w:ascii="Times New Roman" w:hAnsi="Times New Roman"/>
        </w:rPr>
      </w:pPr>
      <w:r>
        <w:rPr>
          <w:rFonts w:ascii="Times New Roman" w:hAnsi="Times New Roman"/>
        </w:rPr>
        <w:t xml:space="preserve">IRS </w:t>
      </w:r>
      <w:r w:rsidRPr="00F820CF">
        <w:rPr>
          <w:rFonts w:ascii="Times New Roman" w:hAnsi="Times New Roman"/>
        </w:rPr>
        <w:t>believe</w:t>
      </w:r>
      <w:r>
        <w:rPr>
          <w:rFonts w:ascii="Times New Roman" w:hAnsi="Times New Roman"/>
        </w:rPr>
        <w:t>s</w:t>
      </w:r>
      <w:r w:rsidRPr="00F820CF">
        <w:rPr>
          <w:rFonts w:ascii="Times New Roman" w:hAnsi="Times New Roman"/>
        </w:rPr>
        <w:t xml:space="preserve"> that displaying the OMB expiration date is inappropriate because it could cause confusion by leading taxpayers to believe th</w:t>
      </w:r>
      <w:r w:rsidRPr="00F820CF">
        <w:rPr>
          <w:rFonts w:ascii="Times New Roman" w:hAnsi="Times New Roman"/>
        </w:rPr>
        <w:t xml:space="preserve">at the regulation sunsets as of the expiration date.  Taxpayers are not likely to be aware that the </w:t>
      </w:r>
      <w:r w:rsidR="00706C1A">
        <w:rPr>
          <w:rFonts w:ascii="Times New Roman" w:hAnsi="Times New Roman"/>
        </w:rPr>
        <w:t>IRS</w:t>
      </w:r>
      <w:r w:rsidRPr="00F820CF">
        <w:rPr>
          <w:rFonts w:ascii="Times New Roman" w:hAnsi="Times New Roman"/>
        </w:rPr>
        <w:t xml:space="preserve"> intends to request renewal of the OMB approval and obtain a new expiration date before the old one expires.</w:t>
      </w:r>
    </w:p>
    <w:p w:rsidR="0042327E" w:rsidRPr="00F820CF" w14:paraId="482A1337" w14:textId="77777777">
      <w:pPr>
        <w:rPr>
          <w:rFonts w:ascii="Times New Roman" w:hAnsi="Times New Roman"/>
        </w:rPr>
      </w:pPr>
    </w:p>
    <w:p w:rsidR="0042327E" w:rsidRPr="00F820CF" w14:paraId="112FFE86" w14:textId="77777777">
      <w:pPr>
        <w:pStyle w:val="Level1"/>
        <w:tabs>
          <w:tab w:val="left" w:pos="-1440"/>
          <w:tab w:val="num" w:pos="720"/>
        </w:tabs>
        <w:rPr>
          <w:rFonts w:ascii="Times New Roman" w:hAnsi="Times New Roman"/>
        </w:rPr>
      </w:pPr>
      <w:r w:rsidRPr="00F820CF">
        <w:rPr>
          <w:rFonts w:ascii="Times New Roman" w:hAnsi="Times New Roman"/>
          <w:u w:val="single"/>
        </w:rPr>
        <w:t>EXCEPTIONS TO THE CERTIFICATION STATEME</w:t>
      </w:r>
      <w:r w:rsidRPr="00F820CF">
        <w:rPr>
          <w:rFonts w:ascii="Times New Roman" w:hAnsi="Times New Roman"/>
          <w:u w:val="single"/>
        </w:rPr>
        <w:t xml:space="preserve">NT </w:t>
      </w:r>
    </w:p>
    <w:p w:rsidR="0042327E" w:rsidRPr="00F820CF" w14:paraId="7944107A" w14:textId="77777777">
      <w:pPr>
        <w:rPr>
          <w:rFonts w:ascii="Times New Roman" w:hAnsi="Times New Roman"/>
        </w:rPr>
      </w:pPr>
    </w:p>
    <w:p w:rsidR="0042327E" w:rsidRPr="00F820CF" w14:paraId="43390232" w14:textId="5D2FA0D9">
      <w:pPr>
        <w:ind w:left="720"/>
        <w:rPr>
          <w:rFonts w:ascii="Times New Roman" w:hAnsi="Times New Roman"/>
        </w:rPr>
      </w:pPr>
      <w:r w:rsidRPr="00F820CF">
        <w:rPr>
          <w:rFonts w:ascii="Times New Roman" w:hAnsi="Times New Roman"/>
        </w:rPr>
        <w:t>There are no exceptions to the certification statement</w:t>
      </w:r>
      <w:r w:rsidR="003560B3">
        <w:rPr>
          <w:rFonts w:ascii="Times New Roman" w:hAnsi="Times New Roman"/>
        </w:rPr>
        <w:t xml:space="preserve"> for this collection</w:t>
      </w:r>
      <w:r w:rsidRPr="00F820CF">
        <w:rPr>
          <w:rFonts w:ascii="Times New Roman" w:hAnsi="Times New Roman"/>
        </w:rPr>
        <w:t>.</w:t>
      </w:r>
    </w:p>
    <w:p w:rsidR="0042327E" w:rsidRPr="00F820CF" w14:paraId="7D1604F6" w14:textId="77777777">
      <w:pPr>
        <w:rPr>
          <w:rFonts w:ascii="Times New Roman" w:hAnsi="Times New Roman"/>
        </w:rPr>
      </w:pPr>
    </w:p>
    <w:p w:rsidR="0042327E" w:rsidRPr="00F820CF" w:rsidP="002A2F36" w14:paraId="50C9588A" w14:textId="77777777">
      <w:pPr>
        <w:ind w:left="720"/>
        <w:rPr>
          <w:rFonts w:ascii="Times New Roman" w:hAnsi="Times New Roman"/>
        </w:rPr>
      </w:pPr>
      <w:r w:rsidRPr="00F820CF">
        <w:rPr>
          <w:rFonts w:ascii="Times New Roman" w:hAnsi="Times New Roman"/>
          <w:u w:val="single"/>
        </w:rPr>
        <w:t>Note:</w:t>
      </w:r>
      <w:r w:rsidRPr="00F820CF">
        <w:rPr>
          <w:rFonts w:ascii="Times New Roman" w:hAnsi="Times New Roman"/>
        </w:rPr>
        <w:t xml:space="preserve">   The following paragraph applies to </w:t>
      </w:r>
      <w:r w:rsidRPr="00F820CF" w:rsidR="00AB27B9">
        <w:rPr>
          <w:rFonts w:ascii="Times New Roman" w:hAnsi="Times New Roman"/>
        </w:rPr>
        <w:t>all</w:t>
      </w:r>
      <w:r w:rsidRPr="00F820CF">
        <w:rPr>
          <w:rFonts w:ascii="Times New Roman" w:hAnsi="Times New Roman"/>
        </w:rPr>
        <w:t xml:space="preserve"> the collections of information in this submission:</w:t>
      </w:r>
    </w:p>
    <w:p w:rsidR="0042327E" w:rsidRPr="00F820CF" w14:paraId="575673AF" w14:textId="77777777">
      <w:pPr>
        <w:rPr>
          <w:rFonts w:ascii="Times New Roman" w:hAnsi="Times New Roman"/>
        </w:rPr>
      </w:pPr>
    </w:p>
    <w:p w:rsidR="0042327E" w:rsidRPr="00F820CF" w:rsidP="002A2F36" w14:paraId="2AA0DA57" w14:textId="77777777">
      <w:pPr>
        <w:ind w:left="720"/>
        <w:rPr>
          <w:rFonts w:ascii="Times New Roman" w:hAnsi="Times New Roman"/>
        </w:rPr>
      </w:pPr>
      <w:r w:rsidRPr="00F820CF">
        <w:rPr>
          <w:rFonts w:ascii="Times New Roman" w:hAnsi="Times New Roman"/>
        </w:rPr>
        <w:t xml:space="preserve">An agency may not conduct or sponsor, and a person is not required to </w:t>
      </w:r>
      <w:r w:rsidRPr="00F820CF">
        <w:rPr>
          <w:rFonts w:ascii="Times New Roman" w:hAnsi="Times New Roman"/>
        </w:rPr>
        <w:t>respond to, a collection of information unless the collection of information displays a valid OMB control number.  Books or records relating to a collection of information must be retained as long as their contents may become material in the administration</w:t>
      </w:r>
      <w:r w:rsidRPr="00F820CF">
        <w:rPr>
          <w:rFonts w:ascii="Times New Roman" w:hAnsi="Times New Roman"/>
        </w:rPr>
        <w:t xml:space="preserve"> of any internal revenue law.  Generally, tax returns and tax return information are confidential, as required by 26 U.S.C. 6103.</w:t>
      </w:r>
    </w:p>
    <w:p w:rsidR="0042327E" w:rsidRPr="00F820CF" w14:paraId="77E5064E" w14:textId="77777777">
      <w:pPr>
        <w:rPr>
          <w:rFonts w:ascii="Times New Roman" w:hAnsi="Times New Roman"/>
        </w:rPr>
      </w:pPr>
    </w:p>
    <w:p w:rsidR="0042327E" w:rsidRPr="00F820CF" w14:paraId="282FE236" w14:textId="77777777">
      <w:pPr>
        <w:rPr>
          <w:rFonts w:ascii="Times New Roman" w:hAnsi="Times New Roman"/>
        </w:rPr>
      </w:pPr>
    </w:p>
    <w:sectPr w:rsidSect="0042327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327E" w14:paraId="09A82B96" w14:textId="090F24F8">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693601">
      <w:rPr>
        <w:rFonts w:cs="Courier"/>
        <w:b/>
        <w:bCs/>
        <w:noProof/>
      </w:rPr>
      <w:t>5</w:t>
    </w:r>
    <w:r>
      <w:rPr>
        <w:rFonts w:cs="Courier"/>
        <w:b/>
        <w:bCs/>
      </w:rPr>
      <w:fldChar w:fldCharType="end"/>
    </w:r>
  </w:p>
  <w:p w:rsidR="0042327E" w14:paraId="139CCBC6" w14:textId="77777777"/>
  <w:p w:rsidR="0042327E" w14:paraId="014219D7"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E3C9A8"/>
    <w:multiLevelType w:val="hybridMultilevel"/>
    <w:tmpl w:val="EA215C9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73681EC7"/>
    <w:multiLevelType w:val="hybridMultilevel"/>
    <w:tmpl w:val="FB12AA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8C0A3D"/>
    <w:multiLevelType w:val="hybridMultilevel"/>
    <w:tmpl w:val="E2A43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210700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1737055">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42594164">
    <w:abstractNumId w:val="0"/>
  </w:num>
  <w:num w:numId="4" w16cid:durableId="246034859">
    <w:abstractNumId w:val="4"/>
  </w:num>
  <w:num w:numId="5" w16cid:durableId="2034570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7E"/>
    <w:rsid w:val="00005C8B"/>
    <w:rsid w:val="000264DC"/>
    <w:rsid w:val="000774A6"/>
    <w:rsid w:val="0009308E"/>
    <w:rsid w:val="00094223"/>
    <w:rsid w:val="000C57B2"/>
    <w:rsid w:val="000F3D31"/>
    <w:rsid w:val="0010223F"/>
    <w:rsid w:val="0011637B"/>
    <w:rsid w:val="00125AD0"/>
    <w:rsid w:val="00196604"/>
    <w:rsid w:val="001F4B22"/>
    <w:rsid w:val="001F7DB4"/>
    <w:rsid w:val="00200A9E"/>
    <w:rsid w:val="00205B23"/>
    <w:rsid w:val="00230365"/>
    <w:rsid w:val="002374EC"/>
    <w:rsid w:val="0027079C"/>
    <w:rsid w:val="00274F60"/>
    <w:rsid w:val="00281413"/>
    <w:rsid w:val="002A2F36"/>
    <w:rsid w:val="00313FB9"/>
    <w:rsid w:val="00354406"/>
    <w:rsid w:val="003560B3"/>
    <w:rsid w:val="003638BD"/>
    <w:rsid w:val="003651BA"/>
    <w:rsid w:val="003B1A7A"/>
    <w:rsid w:val="003C25A0"/>
    <w:rsid w:val="003D17E2"/>
    <w:rsid w:val="003E0B6E"/>
    <w:rsid w:val="0040437B"/>
    <w:rsid w:val="00413590"/>
    <w:rsid w:val="00421C44"/>
    <w:rsid w:val="0042327E"/>
    <w:rsid w:val="00423ACB"/>
    <w:rsid w:val="00425A19"/>
    <w:rsid w:val="00495927"/>
    <w:rsid w:val="004A52B0"/>
    <w:rsid w:val="004B30E6"/>
    <w:rsid w:val="004B3420"/>
    <w:rsid w:val="004D042C"/>
    <w:rsid w:val="00526997"/>
    <w:rsid w:val="00567635"/>
    <w:rsid w:val="00583DAF"/>
    <w:rsid w:val="005A0AEF"/>
    <w:rsid w:val="005D3633"/>
    <w:rsid w:val="005F0123"/>
    <w:rsid w:val="005F3C3B"/>
    <w:rsid w:val="00635AB7"/>
    <w:rsid w:val="0067075A"/>
    <w:rsid w:val="006847A9"/>
    <w:rsid w:val="00693601"/>
    <w:rsid w:val="006A0F00"/>
    <w:rsid w:val="006D7970"/>
    <w:rsid w:val="00700755"/>
    <w:rsid w:val="007039F8"/>
    <w:rsid w:val="00706C1A"/>
    <w:rsid w:val="00760E1D"/>
    <w:rsid w:val="007640E1"/>
    <w:rsid w:val="007A0291"/>
    <w:rsid w:val="007A52E6"/>
    <w:rsid w:val="007B2415"/>
    <w:rsid w:val="007C0117"/>
    <w:rsid w:val="007E2A48"/>
    <w:rsid w:val="007E5279"/>
    <w:rsid w:val="007F0200"/>
    <w:rsid w:val="007F44E4"/>
    <w:rsid w:val="007F62D2"/>
    <w:rsid w:val="0081623E"/>
    <w:rsid w:val="00871A8E"/>
    <w:rsid w:val="00875703"/>
    <w:rsid w:val="00895219"/>
    <w:rsid w:val="008B1BC2"/>
    <w:rsid w:val="008B54B9"/>
    <w:rsid w:val="008C31F7"/>
    <w:rsid w:val="008C54E7"/>
    <w:rsid w:val="008D56E6"/>
    <w:rsid w:val="008F187B"/>
    <w:rsid w:val="008F3E03"/>
    <w:rsid w:val="00930637"/>
    <w:rsid w:val="00A24930"/>
    <w:rsid w:val="00A37018"/>
    <w:rsid w:val="00A66703"/>
    <w:rsid w:val="00AA1C1E"/>
    <w:rsid w:val="00AB27B9"/>
    <w:rsid w:val="00AB3806"/>
    <w:rsid w:val="00AB75D1"/>
    <w:rsid w:val="00AE1E5C"/>
    <w:rsid w:val="00AE66E5"/>
    <w:rsid w:val="00B11DB0"/>
    <w:rsid w:val="00B40010"/>
    <w:rsid w:val="00B76EB7"/>
    <w:rsid w:val="00B87471"/>
    <w:rsid w:val="00B90E4E"/>
    <w:rsid w:val="00BA70CE"/>
    <w:rsid w:val="00BB3832"/>
    <w:rsid w:val="00BC6ED7"/>
    <w:rsid w:val="00CB7756"/>
    <w:rsid w:val="00CF6A91"/>
    <w:rsid w:val="00D20B84"/>
    <w:rsid w:val="00D62F07"/>
    <w:rsid w:val="00DA35AC"/>
    <w:rsid w:val="00DA68E6"/>
    <w:rsid w:val="00DB54FF"/>
    <w:rsid w:val="00DE721E"/>
    <w:rsid w:val="00DF48FC"/>
    <w:rsid w:val="00DF6644"/>
    <w:rsid w:val="00E03AE7"/>
    <w:rsid w:val="00E320E8"/>
    <w:rsid w:val="00EC289E"/>
    <w:rsid w:val="00F820CF"/>
    <w:rsid w:val="00F82E69"/>
    <w:rsid w:val="00FA5532"/>
    <w:rsid w:val="00FC1845"/>
    <w:rsid w:val="00FC6247"/>
    <w:rsid w:val="00FD5C38"/>
    <w:rsid w:val="00FE5C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EF744E"/>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 w:type="character" w:styleId="Hyperlink">
    <w:name w:val="Hyperlink"/>
    <w:basedOn w:val="DefaultParagraphFont"/>
    <w:unhideWhenUsed/>
    <w:rsid w:val="006D7970"/>
    <w:rPr>
      <w:color w:val="0000FF" w:themeColor="hyperlink"/>
      <w:u w:val="single"/>
    </w:rPr>
  </w:style>
  <w:style w:type="character" w:customStyle="1" w:styleId="UnresolvedMention1">
    <w:name w:val="Unresolved Mention1"/>
    <w:basedOn w:val="DefaultParagraphFont"/>
    <w:uiPriority w:val="99"/>
    <w:semiHidden/>
    <w:unhideWhenUsed/>
    <w:rsid w:val="006D7970"/>
    <w:rPr>
      <w:color w:val="605E5C"/>
      <w:shd w:val="clear" w:color="auto" w:fill="E1DFDD"/>
    </w:rPr>
  </w:style>
  <w:style w:type="character" w:styleId="CommentReference">
    <w:name w:val="annotation reference"/>
    <w:basedOn w:val="DefaultParagraphFont"/>
    <w:semiHidden/>
    <w:unhideWhenUsed/>
    <w:rsid w:val="00E03AE7"/>
    <w:rPr>
      <w:sz w:val="16"/>
      <w:szCs w:val="16"/>
    </w:rPr>
  </w:style>
  <w:style w:type="paragraph" w:styleId="CommentText">
    <w:name w:val="annotation text"/>
    <w:basedOn w:val="Normal"/>
    <w:link w:val="CommentTextChar"/>
    <w:unhideWhenUsed/>
    <w:rsid w:val="00E03AE7"/>
    <w:rPr>
      <w:sz w:val="20"/>
      <w:szCs w:val="20"/>
    </w:rPr>
  </w:style>
  <w:style w:type="character" w:customStyle="1" w:styleId="CommentTextChar">
    <w:name w:val="Comment Text Char"/>
    <w:basedOn w:val="DefaultParagraphFont"/>
    <w:link w:val="CommentText"/>
    <w:rsid w:val="00E03AE7"/>
    <w:rPr>
      <w:rFonts w:ascii="Courier" w:hAnsi="Courier"/>
    </w:rPr>
  </w:style>
  <w:style w:type="paragraph" w:styleId="CommentSubject">
    <w:name w:val="annotation subject"/>
    <w:basedOn w:val="CommentText"/>
    <w:next w:val="CommentText"/>
    <w:link w:val="CommentSubjectChar"/>
    <w:semiHidden/>
    <w:unhideWhenUsed/>
    <w:rsid w:val="00E03AE7"/>
    <w:rPr>
      <w:b/>
      <w:bCs/>
    </w:rPr>
  </w:style>
  <w:style w:type="character" w:customStyle="1" w:styleId="CommentSubjectChar">
    <w:name w:val="Comment Subject Char"/>
    <w:basedOn w:val="CommentTextChar"/>
    <w:link w:val="CommentSubject"/>
    <w:semiHidden/>
    <w:rsid w:val="00E03AE7"/>
    <w:rPr>
      <w:rFonts w:ascii="Courier" w:hAnsi="Courier"/>
      <w:b/>
      <w:bCs/>
    </w:rPr>
  </w:style>
  <w:style w:type="paragraph" w:styleId="BalloonText">
    <w:name w:val="Balloon Text"/>
    <w:basedOn w:val="Normal"/>
    <w:link w:val="BalloonTextChar"/>
    <w:rsid w:val="00E03AE7"/>
    <w:rPr>
      <w:rFonts w:ascii="Segoe UI" w:hAnsi="Segoe UI" w:cs="Segoe UI"/>
      <w:sz w:val="18"/>
      <w:szCs w:val="18"/>
    </w:rPr>
  </w:style>
  <w:style w:type="character" w:customStyle="1" w:styleId="BalloonTextChar">
    <w:name w:val="Balloon Text Char"/>
    <w:basedOn w:val="DefaultParagraphFont"/>
    <w:link w:val="BalloonText"/>
    <w:rsid w:val="00E03AE7"/>
    <w:rPr>
      <w:rFonts w:ascii="Segoe UI" w:hAnsi="Segoe UI" w:cs="Segoe UI"/>
      <w:sz w:val="18"/>
      <w:szCs w:val="18"/>
    </w:rPr>
  </w:style>
  <w:style w:type="character" w:styleId="FollowedHyperlink">
    <w:name w:val="FollowedHyperlink"/>
    <w:basedOn w:val="DefaultParagraphFont"/>
    <w:semiHidden/>
    <w:unhideWhenUsed/>
    <w:rsid w:val="004A52B0"/>
    <w:rPr>
      <w:color w:val="800080" w:themeColor="followedHyperlink"/>
      <w:u w:val="single"/>
    </w:rPr>
  </w:style>
  <w:style w:type="paragraph" w:styleId="Revision">
    <w:name w:val="Revision"/>
    <w:hidden/>
    <w:uiPriority w:val="99"/>
    <w:semiHidden/>
    <w:rsid w:val="003638B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Stasko Molly J</cp:lastModifiedBy>
  <cp:revision>11</cp:revision>
  <dcterms:created xsi:type="dcterms:W3CDTF">2023-09-13T09:45:00Z</dcterms:created>
  <dcterms:modified xsi:type="dcterms:W3CDTF">2023-10-30T16:00:00Z</dcterms:modified>
</cp:coreProperties>
</file>