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C05" w14:paraId="41776760" w14:textId="77777777"/>
    <w:p w:rsidR="005C2C05" w:rsidRPr="0025604D" w:rsidP="009F4D1C" w14:paraId="41776761" w14:textId="781957D3">
      <w:pPr>
        <w:jc w:val="center"/>
      </w:pPr>
    </w:p>
    <w:p w:rsidR="005C2C05" w:rsidP="009F4D1C" w14:paraId="41776762" w14:textId="09012001">
      <w:pPr>
        <w:jc w:val="center"/>
        <w:rPr>
          <w:b/>
          <w:bCs/>
        </w:rPr>
      </w:pPr>
      <w:r w:rsidRPr="00A66B23">
        <w:rPr>
          <w:b/>
          <w:bCs/>
        </w:rPr>
        <w:t xml:space="preserve">Supporting Statement </w:t>
      </w:r>
    </w:p>
    <w:p w:rsidR="00A66B23" w:rsidRPr="00A66B23" w:rsidP="009F4D1C" w14:paraId="0B357ECA" w14:textId="7FEFB7FF">
      <w:pPr>
        <w:jc w:val="center"/>
        <w:rPr>
          <w:b/>
          <w:bCs/>
        </w:rPr>
      </w:pPr>
      <w:r>
        <w:rPr>
          <w:b/>
          <w:bCs/>
        </w:rPr>
        <w:t>Internal Revenue Service</w:t>
      </w:r>
      <w:r w:rsidR="007F78BD">
        <w:rPr>
          <w:b/>
          <w:bCs/>
        </w:rPr>
        <w:t xml:space="preserve"> (IRS)</w:t>
      </w:r>
    </w:p>
    <w:p w:rsidR="00E30DBA" w:rsidP="003C068B" w14:paraId="61756349" w14:textId="77777777">
      <w:pPr>
        <w:jc w:val="center"/>
      </w:pPr>
      <w:r>
        <w:t>Certificate of Terminal Illness for Exception to the 10% Additional Tax</w:t>
      </w:r>
    </w:p>
    <w:p w:rsidR="00930944" w:rsidP="003C068B" w14:paraId="41776764" w14:textId="7694E7EC">
      <w:pPr>
        <w:jc w:val="center"/>
      </w:pPr>
      <w:r>
        <w:t>OMB # 1545-</w:t>
      </w:r>
      <w:r w:rsidR="0067247A">
        <w:t>NEW</w:t>
      </w:r>
    </w:p>
    <w:p w:rsidR="005C2C05" w:rsidRPr="0025604D" w14:paraId="41776765" w14:textId="77777777"/>
    <w:p w:rsidR="005C2C05" w:rsidP="00F41911" w14:paraId="41776766" w14:textId="4CC43BA2">
      <w:pPr>
        <w:numPr>
          <w:ilvl w:val="0"/>
          <w:numId w:val="12"/>
        </w:numPr>
        <w:rPr>
          <w:u w:val="single"/>
        </w:rPr>
      </w:pPr>
      <w:r w:rsidRPr="0025604D">
        <w:t xml:space="preserve"> </w:t>
      </w:r>
      <w:r w:rsidRPr="0025604D" w:rsidR="00957F88">
        <w:rPr>
          <w:u w:val="single"/>
        </w:rPr>
        <w:t>CIRCUMSTANCES NECESSITATING THE COLLECTION OF INFORMATION</w:t>
      </w:r>
    </w:p>
    <w:p w:rsidR="005C2C05" w:rsidRPr="0025604D" w:rsidP="00990870" w14:paraId="41776767" w14:textId="77777777">
      <w:pPr>
        <w:ind w:left="360"/>
        <w:rPr>
          <w:u w:val="single"/>
        </w:rPr>
      </w:pPr>
    </w:p>
    <w:p w:rsidR="005B2332" w:rsidP="006D5CA0" w14:paraId="252F54FA" w14:textId="28DBA4D3">
      <w:r w:rsidRPr="005B2332">
        <w:t xml:space="preserve">Section 72(t)(1) generally imposes a 10 percent additional tax on any distribution from a qualified retirement plan within the meaning of section 4974(c), unless the distribution qualifies for one of the exceptions listed in section 72(t)(2). </w:t>
      </w:r>
      <w:r w:rsidR="00232268">
        <w:t xml:space="preserve"> </w:t>
      </w:r>
      <w:r w:rsidRPr="005B2332">
        <w:t>Section 326 of</w:t>
      </w:r>
      <w:r w:rsidRPr="00232268" w:rsidR="00BE38A6">
        <w:t xml:space="preserve"> Division T of the Consolidated Appropriations Act, 2023, Pub. L. 117-328, 136 Stat. 4459 (2023), known as the Setting Every Community Up for Retirement Enhancement Act of 2022 (SECURE 2.0 Act)</w:t>
      </w:r>
      <w:r w:rsidR="00BE38A6">
        <w:t>,</w:t>
      </w:r>
      <w:r w:rsidRPr="005B2332">
        <w:t xml:space="preserve"> amended section 72(t)(2) of the Code to add a new exception to the 10 percent additional tax for any distribution made to a terminally ill individual. </w:t>
      </w:r>
      <w:r w:rsidR="00232268">
        <w:t xml:space="preserve"> </w:t>
      </w:r>
      <w:r w:rsidRPr="005B2332">
        <w:t>Section 72(t)(2)(L) permits an employee</w:t>
      </w:r>
      <w:r>
        <w:rPr>
          <w:rStyle w:val="FootnoteReference"/>
          <w:rFonts w:eastAsiaTheme="minorHAnsi"/>
        </w:rPr>
        <w:footnoteReference w:id="3"/>
      </w:r>
      <w:r w:rsidRPr="005B2332">
        <w:t xml:space="preserve"> who is a terminally ill individual to receive a distribution (terminally ill distribution) on or after the date on which the employee has been certified by a physician as having a terminal illness. </w:t>
      </w:r>
      <w:r w:rsidR="00232268">
        <w:t xml:space="preserve"> </w:t>
      </w:r>
    </w:p>
    <w:p w:rsidR="005B2332" w:rsidP="005B2332" w14:paraId="3E7DE27D" w14:textId="77777777">
      <w:pPr>
        <w:ind w:firstLine="720"/>
      </w:pPr>
    </w:p>
    <w:p w:rsidR="005B2332" w:rsidP="005B2332" w14:paraId="428C50DF" w14:textId="5141D75A">
      <w:r w:rsidRPr="005B2332">
        <w:t xml:space="preserve">Section 72(t)(2)(L)(iii) provides that, in order to be considered a terminally ill individual, an employee must furnish sufficient evidence to the plan administrator in such form and manner as the Secretary of the Treasury may require. </w:t>
      </w:r>
      <w:r w:rsidR="00232268">
        <w:t xml:space="preserve"> </w:t>
      </w:r>
      <w:r w:rsidRPr="005B2332">
        <w:t xml:space="preserve">A terminally ill distribution is includible in gross income but is not subject to the 10 percent additional tax under section 72(t)(1).  </w:t>
      </w:r>
    </w:p>
    <w:p w:rsidR="00BE38A6" w:rsidRPr="005B2332" w:rsidP="005B2332" w14:paraId="088D162A" w14:textId="77777777"/>
    <w:p w:rsidR="00695A55" w:rsidRPr="005B2332" w:rsidP="006D5CA0" w14:paraId="32B48A9D" w14:textId="51AFA5A0">
      <w:pPr>
        <w:pStyle w:val="Default"/>
        <w:rPr>
          <w:rFonts w:ascii="Times New Roman" w:hAnsi="Times New Roman" w:cs="Times New Roman"/>
          <w:color w:val="auto"/>
        </w:rPr>
      </w:pPr>
      <w:r w:rsidRPr="005B2332">
        <w:rPr>
          <w:rFonts w:ascii="Times New Roman" w:hAnsi="Times New Roman" w:cs="Times New Roman"/>
          <w:color w:val="auto"/>
        </w:rPr>
        <w:t>A certification of terminal illness from a physician must include the following:</w:t>
      </w:r>
      <w:r>
        <w:rPr>
          <w:rFonts w:ascii="Times New Roman" w:hAnsi="Times New Roman" w:cs="Times New Roman"/>
          <w:color w:val="auto"/>
        </w:rPr>
        <w:t xml:space="preserve"> </w:t>
      </w:r>
      <w:r w:rsidRPr="005B2332">
        <w:rPr>
          <w:rFonts w:ascii="Times New Roman" w:hAnsi="Times New Roman" w:cs="Times New Roman"/>
          <w:color w:val="auto"/>
        </w:rPr>
        <w:t>(1)</w:t>
      </w:r>
      <w:r>
        <w:rPr>
          <w:rFonts w:ascii="Times New Roman" w:hAnsi="Times New Roman" w:cs="Times New Roman"/>
          <w:color w:val="auto"/>
        </w:rPr>
        <w:t> </w:t>
      </w:r>
      <w:r w:rsidR="00BE38A6">
        <w:rPr>
          <w:rFonts w:ascii="Times New Roman" w:hAnsi="Times New Roman" w:cs="Times New Roman"/>
          <w:color w:val="auto"/>
        </w:rPr>
        <w:t>a</w:t>
      </w:r>
      <w:r w:rsidRPr="005B2332">
        <w:rPr>
          <w:rFonts w:ascii="Times New Roman" w:hAnsi="Times New Roman" w:cs="Times New Roman"/>
          <w:color w:val="auto"/>
        </w:rPr>
        <w:t xml:space="preserve"> statement that the individual’s illness or physical condition that can be reasonably expected to result in death in 84 months or less;</w:t>
      </w:r>
      <w:r>
        <w:rPr>
          <w:rFonts w:ascii="Times New Roman" w:hAnsi="Times New Roman" w:cs="Times New Roman"/>
          <w:color w:val="auto"/>
        </w:rPr>
        <w:t xml:space="preserve"> </w:t>
      </w:r>
      <w:r w:rsidRPr="005B2332">
        <w:rPr>
          <w:rFonts w:ascii="Times New Roman" w:hAnsi="Times New Roman" w:cs="Times New Roman"/>
          <w:color w:val="auto"/>
        </w:rPr>
        <w:t xml:space="preserve">(2) </w:t>
      </w:r>
      <w:r w:rsidR="00BE38A6">
        <w:rPr>
          <w:rFonts w:ascii="Times New Roman" w:hAnsi="Times New Roman" w:cs="Times New Roman"/>
          <w:color w:val="auto"/>
        </w:rPr>
        <w:t>a</w:t>
      </w:r>
      <w:r w:rsidRPr="005B2332">
        <w:rPr>
          <w:rFonts w:ascii="Times New Roman" w:hAnsi="Times New Roman" w:cs="Times New Roman"/>
          <w:color w:val="auto"/>
        </w:rPr>
        <w:t xml:space="preserve"> narrative description of the evidence that was used to support the statement of illness or physical condition;</w:t>
      </w:r>
      <w:r>
        <w:rPr>
          <w:rFonts w:ascii="Times New Roman" w:hAnsi="Times New Roman" w:cs="Times New Roman"/>
          <w:color w:val="auto"/>
        </w:rPr>
        <w:t xml:space="preserve"> </w:t>
      </w:r>
      <w:r w:rsidRPr="005B2332">
        <w:rPr>
          <w:rFonts w:ascii="Times New Roman" w:hAnsi="Times New Roman" w:cs="Times New Roman"/>
          <w:color w:val="auto"/>
        </w:rPr>
        <w:t xml:space="preserve">(3) </w:t>
      </w:r>
      <w:r w:rsidR="00BE38A6">
        <w:rPr>
          <w:rFonts w:ascii="Times New Roman" w:hAnsi="Times New Roman" w:cs="Times New Roman"/>
          <w:color w:val="auto"/>
        </w:rPr>
        <w:t>t</w:t>
      </w:r>
      <w:r w:rsidRPr="005B2332">
        <w:rPr>
          <w:rFonts w:ascii="Times New Roman" w:hAnsi="Times New Roman" w:cs="Times New Roman"/>
          <w:color w:val="auto"/>
        </w:rPr>
        <w:t>he name and contact information of the physician making the statement;</w:t>
      </w:r>
      <w:r>
        <w:rPr>
          <w:rFonts w:ascii="Times New Roman" w:hAnsi="Times New Roman" w:cs="Times New Roman"/>
          <w:color w:val="auto"/>
        </w:rPr>
        <w:t xml:space="preserve"> </w:t>
      </w:r>
      <w:r w:rsidRPr="005B2332">
        <w:rPr>
          <w:rFonts w:ascii="Times New Roman" w:hAnsi="Times New Roman" w:cs="Times New Roman"/>
          <w:color w:val="auto"/>
        </w:rPr>
        <w:t xml:space="preserve">(4) </w:t>
      </w:r>
      <w:r w:rsidR="00BE38A6">
        <w:rPr>
          <w:rFonts w:ascii="Times New Roman" w:hAnsi="Times New Roman" w:cs="Times New Roman"/>
          <w:color w:val="auto"/>
        </w:rPr>
        <w:t>t</w:t>
      </w:r>
      <w:r w:rsidRPr="005B2332">
        <w:rPr>
          <w:rFonts w:ascii="Times New Roman" w:hAnsi="Times New Roman" w:cs="Times New Roman"/>
          <w:color w:val="auto"/>
        </w:rPr>
        <w:t>he date the physician examined the individual or reviewed the evidence provided by the individual, and the date that the certification is signed by the physician; and</w:t>
      </w:r>
      <w:r>
        <w:rPr>
          <w:rFonts w:ascii="Times New Roman" w:hAnsi="Times New Roman" w:cs="Times New Roman"/>
          <w:color w:val="auto"/>
        </w:rPr>
        <w:t xml:space="preserve"> </w:t>
      </w:r>
      <w:r w:rsidRPr="005B2332">
        <w:rPr>
          <w:rFonts w:ascii="Times New Roman" w:hAnsi="Times New Roman" w:cs="Times New Roman"/>
          <w:color w:val="auto"/>
        </w:rPr>
        <w:t xml:space="preserve">(5) </w:t>
      </w:r>
      <w:r w:rsidR="00BE38A6">
        <w:rPr>
          <w:rFonts w:ascii="Times New Roman" w:hAnsi="Times New Roman" w:cs="Times New Roman"/>
          <w:color w:val="auto"/>
        </w:rPr>
        <w:t>t</w:t>
      </w:r>
      <w:r w:rsidRPr="005B2332">
        <w:rPr>
          <w:rFonts w:ascii="Times New Roman" w:hAnsi="Times New Roman" w:cs="Times New Roman"/>
          <w:color w:val="auto"/>
        </w:rPr>
        <w:t>he signature of the physician making the statement, and an attestation from the physician that, by signing the form, the physician confirms that the physician composed the narrative description based on the physician’s examination of the individual or the physician’s review of the evidence provided by the individual.</w:t>
      </w:r>
    </w:p>
    <w:p w:rsidR="005B2332" w:rsidRPr="0025604D" w:rsidP="00CE2D06" w14:paraId="64F881E8" w14:textId="77777777"/>
    <w:p w:rsidR="005C2C05" w:rsidRPr="0025604D" w:rsidP="00F41911" w14:paraId="4177676A" w14:textId="26ABD7F7">
      <w:pPr>
        <w:numPr>
          <w:ilvl w:val="0"/>
          <w:numId w:val="12"/>
        </w:numPr>
      </w:pPr>
      <w:r w:rsidRPr="0025604D">
        <w:rPr>
          <w:u w:val="single"/>
        </w:rPr>
        <w:t>USE OF THE DATA</w:t>
      </w:r>
    </w:p>
    <w:p w:rsidR="005C2C05" w:rsidRPr="0025604D" w:rsidP="003C1AB8" w14:paraId="4177676B" w14:textId="77777777">
      <w:pPr>
        <w:rPr>
          <w:u w:val="single"/>
        </w:rPr>
      </w:pPr>
    </w:p>
    <w:p w:rsidR="00CF0E68" w:rsidP="00CF0E68" w14:paraId="63255A3F" w14:textId="49462AB7">
      <w:r>
        <w:t xml:space="preserve">The information will be used </w:t>
      </w:r>
      <w:r w:rsidR="00CB3662">
        <w:t xml:space="preserve">by </w:t>
      </w:r>
      <w:r w:rsidR="00695A55">
        <w:t>a plan administrator to determine whether an individual is eligible for a terminal illness distribution and thus eligible for the exception to the 10</w:t>
      </w:r>
      <w:r w:rsidR="00232268">
        <w:t xml:space="preserve"> percent</w:t>
      </w:r>
      <w:r w:rsidR="00695A55">
        <w:t xml:space="preserve"> additional tax under section 72(t)(2)(L).</w:t>
      </w:r>
    </w:p>
    <w:p w:rsidR="005C2C05" w:rsidRPr="0025604D" w:rsidP="003C1AB8" w14:paraId="4177676D" w14:textId="5A71BD52"/>
    <w:p w:rsidR="005C2C05" w:rsidRPr="005378E3" w:rsidP="005378E3" w14:paraId="4177676E" w14:textId="14DD631F">
      <w:pPr>
        <w:numPr>
          <w:ilvl w:val="0"/>
          <w:numId w:val="12"/>
        </w:numPr>
        <w:rPr>
          <w:u w:val="single"/>
        </w:rPr>
      </w:pPr>
      <w:r w:rsidRPr="0025604D">
        <w:rPr>
          <w:u w:val="single"/>
        </w:rPr>
        <w:t>USE OF INFORMATION TECHNOLOGY</w:t>
      </w:r>
      <w:r w:rsidRPr="005378E3">
        <w:rPr>
          <w:u w:val="single"/>
        </w:rPr>
        <w:t xml:space="preserve"> </w:t>
      </w:r>
    </w:p>
    <w:p w:rsidR="005C2C05" w:rsidP="00961823" w14:paraId="4177676F" w14:textId="5837CB1B">
      <w:pPr>
        <w:keepNext/>
      </w:pPr>
    </w:p>
    <w:p w:rsidR="0067247A" w:rsidRPr="007F78BD" w:rsidP="00337012" w14:paraId="1E3C8233" w14:textId="37027486">
      <w:pPr>
        <w:widowControl w:val="0"/>
        <w:tabs>
          <w:tab w:val="left" w:pos="821"/>
        </w:tabs>
        <w:autoSpaceDE w:val="0"/>
        <w:autoSpaceDN w:val="0"/>
        <w:spacing w:before="22"/>
      </w:pPr>
      <w:r w:rsidRPr="007F78BD">
        <w:t xml:space="preserve">IRS has no plans to offer electronic filing as these are </w:t>
      </w:r>
      <w:r w:rsidRPr="00337012">
        <w:t>t</w:t>
      </w:r>
      <w:r w:rsidRPr="007F78BD">
        <w:t xml:space="preserve">hird-party disclosure requirements only. </w:t>
      </w:r>
    </w:p>
    <w:p w:rsidR="005C2C05" w:rsidRPr="0025604D" w:rsidP="00337012" w14:paraId="41776771" w14:textId="77777777">
      <w:pPr>
        <w:keepNext/>
      </w:pPr>
    </w:p>
    <w:p w:rsidR="005C2C05" w:rsidRPr="005378E3" w:rsidP="005378E3" w14:paraId="41776772" w14:textId="243B2E3D">
      <w:pPr>
        <w:numPr>
          <w:ilvl w:val="0"/>
          <w:numId w:val="12"/>
        </w:numPr>
        <w:rPr>
          <w:u w:val="single"/>
        </w:rPr>
      </w:pPr>
      <w:r w:rsidRPr="0025604D">
        <w:rPr>
          <w:u w:val="single"/>
        </w:rPr>
        <w:t>EFFORTS TO IDENTIFY DUPLICATION</w:t>
      </w:r>
      <w:r w:rsidRPr="005378E3">
        <w:rPr>
          <w:u w:val="single"/>
        </w:rPr>
        <w:t xml:space="preserve">   </w:t>
      </w:r>
    </w:p>
    <w:p w:rsidR="005C2C05" w:rsidP="00CC4534" w14:paraId="41776773" w14:textId="77777777"/>
    <w:p w:rsidR="0067247A" w:rsidRPr="00337012" w:rsidP="00337012" w14:paraId="50D722C0" w14:textId="77777777">
      <w:pPr>
        <w:rPr>
          <w:rFonts w:eastAsiaTheme="minorHAnsi"/>
        </w:rPr>
      </w:pPr>
      <w:r w:rsidRPr="00337012">
        <w:rPr>
          <w:rFonts w:eastAsiaTheme="minorHAnsi"/>
        </w:rPr>
        <w:t xml:space="preserve">The information obtained through this collection is unique and is not already available for use or adaption from another source. </w:t>
      </w:r>
    </w:p>
    <w:p w:rsidR="005C2C05" w:rsidRPr="00337012" w:rsidP="00F72D0B" w14:paraId="41776775" w14:textId="77777777">
      <w:pPr>
        <w:rPr>
          <w:rFonts w:eastAsiaTheme="minorHAnsi"/>
        </w:rPr>
      </w:pPr>
    </w:p>
    <w:p w:rsidR="005C2C05" w:rsidRPr="0025604D" w:rsidP="005378E3" w14:paraId="41776776" w14:textId="281D58DA">
      <w:pPr>
        <w:numPr>
          <w:ilvl w:val="0"/>
          <w:numId w:val="12"/>
        </w:numPr>
        <w:rPr>
          <w:u w:val="single"/>
        </w:rPr>
      </w:pPr>
      <w:r w:rsidRPr="0025604D">
        <w:rPr>
          <w:u w:val="single"/>
        </w:rPr>
        <w:t>IMPACT ON SMALL ENTITIES</w:t>
      </w:r>
    </w:p>
    <w:p w:rsidR="005C2C05" w:rsidRPr="0025604D" w:rsidP="00F72D0B" w14:paraId="41776777" w14:textId="77777777"/>
    <w:p w:rsidR="004470CC" w:rsidRPr="00131D26" w:rsidP="004470CC" w14:paraId="41776778" w14:textId="77777777">
      <w:r w:rsidRPr="00131D26">
        <w:t>The collection of information requirement will not have a significant economic impact on a substantial number of small entities.</w:t>
      </w:r>
    </w:p>
    <w:p w:rsidR="005C2C05" w:rsidRPr="0025604D" w:rsidP="00F72D0B" w14:paraId="41776779" w14:textId="77777777"/>
    <w:p w:rsidR="005C2C05" w:rsidRPr="0025604D" w:rsidP="005378E3" w14:paraId="4177677A" w14:textId="08C88874">
      <w:pPr>
        <w:numPr>
          <w:ilvl w:val="0"/>
          <w:numId w:val="12"/>
        </w:numPr>
        <w:rPr>
          <w:u w:val="single"/>
        </w:rPr>
      </w:pPr>
      <w:r w:rsidRPr="0025604D">
        <w:rPr>
          <w:u w:val="single"/>
        </w:rPr>
        <w:t>CONSEQUENCES OF LESS FREQUENT COLLECTION AND OBSTACLES TO BURDEN REDUCTION</w:t>
      </w:r>
    </w:p>
    <w:p w:rsidR="005C2C05" w:rsidRPr="0025604D" w:rsidP="00F72D0B" w14:paraId="4177677B" w14:textId="77777777"/>
    <w:p w:rsidR="00CF0E68" w:rsidP="00F72D0B" w14:paraId="26A1001F" w14:textId="2E8AF2B9">
      <w:r w:rsidRPr="00337012">
        <w:t xml:space="preserve">Consequences of less frequent collection would result in being </w:t>
      </w:r>
      <w:r>
        <w:t xml:space="preserve">unable </w:t>
      </w:r>
      <w:r w:rsidRPr="00337012">
        <w:t xml:space="preserve">to verify </w:t>
      </w:r>
      <w:r>
        <w:t xml:space="preserve">taxpayer meets the </w:t>
      </w:r>
      <w:r w:rsidR="00695A55">
        <w:t>statutory requirement for individual taxpayers who want to use an exception to the 1</w:t>
      </w:r>
      <w:r w:rsidR="00232268">
        <w:t>0 percent</w:t>
      </w:r>
      <w:r w:rsidR="00695A55">
        <w:t xml:space="preserve"> additional tax for a </w:t>
      </w:r>
      <w:r w:rsidR="00BE38A6">
        <w:t xml:space="preserve">terminally ill </w:t>
      </w:r>
      <w:r w:rsidR="00695A55">
        <w:t>distribution from a qualified retirement plan if the individual meets the requirements.</w:t>
      </w:r>
    </w:p>
    <w:p w:rsidR="00695A55" w:rsidRPr="0025604D" w:rsidP="00F72D0B" w14:paraId="4B34A93B" w14:textId="77777777"/>
    <w:p w:rsidR="005C2C05" w:rsidRPr="0025604D" w:rsidP="005378E3" w14:paraId="4177677F" w14:textId="53C08274">
      <w:pPr>
        <w:numPr>
          <w:ilvl w:val="0"/>
          <w:numId w:val="12"/>
        </w:numPr>
        <w:rPr>
          <w:u w:val="single"/>
        </w:rPr>
      </w:pPr>
      <w:r w:rsidRPr="0025604D">
        <w:rPr>
          <w:u w:val="single"/>
        </w:rPr>
        <w:t>CIRCUMSTANCES REQUIRING SPECIAL INFORMATION COLLECTION</w:t>
      </w:r>
    </w:p>
    <w:p w:rsidR="005C2C05" w:rsidP="00CB003A" w14:paraId="41776780" w14:textId="77777777">
      <w:pPr>
        <w:rPr>
          <w:u w:val="single"/>
        </w:rPr>
      </w:pPr>
    </w:p>
    <w:p w:rsidR="00CF0E68" w:rsidRPr="00F31337" w:rsidP="00CF0E68" w14:paraId="43FDE6AA" w14:textId="77777777">
      <w:r w:rsidRPr="00930944">
        <w:t xml:space="preserve">There are no special circumstances requiring data collection to be inconsistent with </w:t>
      </w:r>
      <w:r>
        <w:t>g</w:t>
      </w:r>
      <w:r w:rsidRPr="00930944">
        <w:t>uidelines in 5 CFR 1320.5(d)(2)</w:t>
      </w:r>
      <w:r>
        <w:t>.</w:t>
      </w:r>
    </w:p>
    <w:p w:rsidR="005C2C05" w:rsidRPr="0025604D" w:rsidP="00CB003A" w14:paraId="41776782" w14:textId="77777777"/>
    <w:p w:rsidR="005C2C05" w:rsidRPr="0025604D" w:rsidP="005378E3" w14:paraId="41776783" w14:textId="51803652">
      <w:pPr>
        <w:numPr>
          <w:ilvl w:val="0"/>
          <w:numId w:val="12"/>
        </w:numPr>
        <w:rPr>
          <w:u w:val="single"/>
        </w:rPr>
      </w:pPr>
      <w:r w:rsidRPr="0025604D">
        <w:rPr>
          <w:u w:val="single"/>
        </w:rPr>
        <w:t>SOLICITATION OF COMMENTS ON INFORMATION COLLECTION</w:t>
      </w:r>
    </w:p>
    <w:p w:rsidR="005C2C05" w:rsidRPr="0025604D" w:rsidP="00CB003A" w14:paraId="41776784" w14:textId="77777777"/>
    <w:p w:rsidR="0067247A" w:rsidRPr="00337012" w:rsidP="00337012" w14:paraId="57AD1D04" w14:textId="5CA8F2BF">
      <w:r w:rsidRPr="00337012">
        <w:t xml:space="preserve">Due to the extraordinary circumstances and statutory deadlines for implementing Section 326 of the SECURE 2.0 Act, the Department of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extension of the approval to collect this information. </w:t>
      </w:r>
    </w:p>
    <w:p w:rsidR="00695A55" w:rsidRPr="0025604D" w:rsidP="00CB003A" w14:paraId="1A37FE66" w14:textId="77777777"/>
    <w:p w:rsidR="00923A34" w:rsidRPr="00923A34" w:rsidP="008D00D2" w14:paraId="41776789" w14:textId="2973710E">
      <w:pPr>
        <w:numPr>
          <w:ilvl w:val="0"/>
          <w:numId w:val="12"/>
        </w:numPr>
        <w:rPr>
          <w:u w:val="single"/>
        </w:rPr>
      </w:pPr>
      <w:r w:rsidRPr="00923A34">
        <w:rPr>
          <w:u w:val="single"/>
        </w:rPr>
        <w:t>E</w:t>
      </w:r>
      <w:r>
        <w:rPr>
          <w:u w:val="single"/>
        </w:rPr>
        <w:t>XPLANATION OF DECISION TO PROVIDE ANY PAYMENT OR GIFT TO RESPONDENTS</w:t>
      </w:r>
    </w:p>
    <w:p w:rsidR="00923A34" w:rsidRPr="00923A34" w:rsidP="00923A34" w14:paraId="4177678A" w14:textId="77777777">
      <w:pPr>
        <w:keepNext/>
        <w:ind w:firstLine="360"/>
        <w:rPr>
          <w:u w:val="single"/>
        </w:rPr>
      </w:pPr>
    </w:p>
    <w:p w:rsidR="005C2C05" w:rsidRPr="00923A34" w:rsidP="00923A34" w14:paraId="4177678B" w14:textId="03F0B5FD">
      <w:pPr>
        <w:keepNext/>
      </w:pPr>
      <w:r w:rsidRPr="00923A34">
        <w:t>No payment or gift has been provided to any respondents</w:t>
      </w:r>
      <w:r w:rsidR="00CB3662">
        <w:t>.</w:t>
      </w:r>
    </w:p>
    <w:p w:rsidR="00923A34" w:rsidRPr="0025604D" w:rsidP="00923A34" w14:paraId="4177678C" w14:textId="77777777">
      <w:pPr>
        <w:keepNext/>
        <w:ind w:firstLine="360"/>
      </w:pPr>
    </w:p>
    <w:p w:rsidR="005C2C05" w:rsidRPr="008D00D2" w:rsidP="008D00D2" w14:paraId="4177678D" w14:textId="16F50877">
      <w:pPr>
        <w:numPr>
          <w:ilvl w:val="0"/>
          <w:numId w:val="12"/>
        </w:numPr>
        <w:rPr>
          <w:u w:val="single"/>
        </w:rPr>
      </w:pPr>
      <w:r w:rsidRPr="0025604D">
        <w:rPr>
          <w:u w:val="single"/>
        </w:rPr>
        <w:t>ASSURANCE OF CONFIDENTIALITY</w:t>
      </w:r>
    </w:p>
    <w:p w:rsidR="005C2C05" w:rsidRPr="0025604D" w:rsidP="00666B6D" w14:paraId="4177678E" w14:textId="77777777">
      <w:pPr>
        <w:keepNext/>
      </w:pPr>
    </w:p>
    <w:p w:rsidR="005C2C05" w:rsidP="00CB003A" w14:paraId="4177678F" w14:textId="71274C1E">
      <w:r>
        <w:t>Generally, tax returns and tax return information are confidential as required by 26 USC 6103.</w:t>
      </w:r>
      <w:r w:rsidR="00FB24C0">
        <w:t xml:space="preserve">  </w:t>
      </w:r>
    </w:p>
    <w:p w:rsidR="007F78BD" w:rsidRPr="0025604D" w:rsidP="00CB003A" w14:paraId="43759C1F" w14:textId="77777777"/>
    <w:p w:rsidR="005C2C05" w:rsidRPr="0025604D" w:rsidP="008D00D2" w14:paraId="41776791" w14:textId="670A6FC3">
      <w:pPr>
        <w:numPr>
          <w:ilvl w:val="0"/>
          <w:numId w:val="12"/>
        </w:numPr>
        <w:rPr>
          <w:u w:val="single"/>
        </w:rPr>
      </w:pPr>
      <w:r w:rsidRPr="0025604D">
        <w:rPr>
          <w:u w:val="single"/>
        </w:rPr>
        <w:t>JUSTIFICATION OF SENSITIVE QUESTIONS</w:t>
      </w:r>
    </w:p>
    <w:p w:rsidR="005C2C05" w:rsidRPr="0025604D" w:rsidP="00CB003A" w14:paraId="41776792" w14:textId="77777777"/>
    <w:p w:rsidR="00E234C3" w:rsidP="00337012" w14:paraId="7B07D6FB" w14:textId="2F5361B5">
      <w:pPr>
        <w:spacing w:line="276" w:lineRule="auto"/>
      </w:pPr>
      <w:r w:rsidRPr="00E234C3">
        <w:t>No sensitive personally identifiable information is being collected by the agency.</w:t>
      </w:r>
      <w:r>
        <w:t xml:space="preserve"> </w:t>
      </w:r>
      <w:r w:rsidRPr="00E234C3">
        <w:t>Information is being shared by the employer and issuer and only provided during an inquiry or audit.</w:t>
      </w:r>
    </w:p>
    <w:p w:rsidR="00E234C3" w:rsidP="00337012" w14:paraId="098A9264" w14:textId="77777777">
      <w:pPr>
        <w:spacing w:line="276" w:lineRule="auto"/>
      </w:pPr>
    </w:p>
    <w:p w:rsidR="005C2C05" w:rsidP="008D00D2" w14:paraId="41776797" w14:textId="287E2500">
      <w:pPr>
        <w:numPr>
          <w:ilvl w:val="0"/>
          <w:numId w:val="12"/>
        </w:numPr>
        <w:rPr>
          <w:u w:val="single"/>
        </w:rPr>
      </w:pPr>
      <w:bookmarkStart w:id="0" w:name="OLE_LINK1"/>
      <w:r w:rsidRPr="0025604D">
        <w:rPr>
          <w:u w:val="single"/>
        </w:rPr>
        <w:t>ESTIMATED BURDEN OF INFORMATION COLLECTION</w:t>
      </w:r>
    </w:p>
    <w:p w:rsidR="0067247A" w:rsidRPr="008D00D2" w:rsidP="00337012" w14:paraId="60500598" w14:textId="77777777">
      <w:pPr>
        <w:rPr>
          <w:u w:val="single"/>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4"/>
        <w:gridCol w:w="1746"/>
        <w:gridCol w:w="1350"/>
        <w:gridCol w:w="1710"/>
        <w:gridCol w:w="1080"/>
        <w:gridCol w:w="1111"/>
        <w:gridCol w:w="1049"/>
      </w:tblGrid>
      <w:tr w14:paraId="7123365B" w14:textId="77777777" w:rsidTr="00337012">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224" w:type="dxa"/>
            <w:shd w:val="clear" w:color="auto" w:fill="auto"/>
            <w:vAlign w:val="center"/>
          </w:tcPr>
          <w:bookmarkEnd w:id="0"/>
          <w:p w:rsidR="0067247A" w:rsidRPr="00337012" w:rsidP="000E0506" w14:paraId="1F76FA4B" w14:textId="77777777">
            <w:pPr>
              <w:jc w:val="center"/>
              <w:rPr>
                <w:sz w:val="22"/>
                <w:szCs w:val="22"/>
              </w:rPr>
            </w:pPr>
            <w:r w:rsidRPr="00337012">
              <w:rPr>
                <w:sz w:val="22"/>
                <w:szCs w:val="22"/>
              </w:rPr>
              <w:t>Authority</w:t>
            </w:r>
          </w:p>
        </w:tc>
        <w:tc>
          <w:tcPr>
            <w:tcW w:w="1746" w:type="dxa"/>
            <w:shd w:val="clear" w:color="auto" w:fill="auto"/>
            <w:vAlign w:val="center"/>
          </w:tcPr>
          <w:p w:rsidR="0067247A" w:rsidRPr="00337012" w:rsidP="000E0506" w14:paraId="326CE4D1" w14:textId="77777777">
            <w:pPr>
              <w:jc w:val="center"/>
              <w:rPr>
                <w:sz w:val="22"/>
                <w:szCs w:val="22"/>
              </w:rPr>
            </w:pPr>
            <w:r w:rsidRPr="00337012">
              <w:rPr>
                <w:sz w:val="22"/>
                <w:szCs w:val="22"/>
              </w:rPr>
              <w:t>Description</w:t>
            </w:r>
          </w:p>
        </w:tc>
        <w:tc>
          <w:tcPr>
            <w:tcW w:w="1350" w:type="dxa"/>
            <w:shd w:val="clear" w:color="auto" w:fill="auto"/>
            <w:vAlign w:val="center"/>
          </w:tcPr>
          <w:p w:rsidR="0067247A" w:rsidRPr="00337012" w:rsidP="000E0506" w14:paraId="1692EA0A" w14:textId="77777777">
            <w:pPr>
              <w:jc w:val="center"/>
              <w:rPr>
                <w:sz w:val="22"/>
                <w:szCs w:val="22"/>
              </w:rPr>
            </w:pPr>
            <w:r w:rsidRPr="00337012">
              <w:rPr>
                <w:sz w:val="22"/>
                <w:szCs w:val="22"/>
              </w:rPr>
              <w:t># of Respondents</w:t>
            </w:r>
          </w:p>
        </w:tc>
        <w:tc>
          <w:tcPr>
            <w:tcW w:w="1710" w:type="dxa"/>
            <w:shd w:val="clear" w:color="auto" w:fill="auto"/>
            <w:vAlign w:val="center"/>
          </w:tcPr>
          <w:p w:rsidR="0067247A" w:rsidRPr="00337012" w:rsidP="000E0506" w14:paraId="1D293962" w14:textId="0CB29F35">
            <w:pPr>
              <w:jc w:val="center"/>
              <w:rPr>
                <w:sz w:val="22"/>
                <w:szCs w:val="22"/>
              </w:rPr>
            </w:pPr>
            <w:r w:rsidRPr="00337012">
              <w:rPr>
                <w:sz w:val="22"/>
                <w:szCs w:val="22"/>
              </w:rPr>
              <w:t>#</w:t>
            </w:r>
            <w:r w:rsidR="00B91949">
              <w:rPr>
                <w:sz w:val="22"/>
                <w:szCs w:val="22"/>
              </w:rPr>
              <w:t xml:space="preserve"> </w:t>
            </w:r>
            <w:r w:rsidRPr="00337012">
              <w:rPr>
                <w:sz w:val="22"/>
                <w:szCs w:val="22"/>
              </w:rPr>
              <w:t>Responses per</w:t>
            </w:r>
          </w:p>
          <w:p w:rsidR="0067247A" w:rsidRPr="00337012" w:rsidP="000E0506" w14:paraId="518B1D79" w14:textId="77777777">
            <w:pPr>
              <w:jc w:val="center"/>
              <w:rPr>
                <w:sz w:val="22"/>
                <w:szCs w:val="22"/>
              </w:rPr>
            </w:pPr>
            <w:r w:rsidRPr="00337012">
              <w:rPr>
                <w:sz w:val="22"/>
                <w:szCs w:val="22"/>
              </w:rPr>
              <w:t>Respondent</w:t>
            </w:r>
          </w:p>
        </w:tc>
        <w:tc>
          <w:tcPr>
            <w:tcW w:w="1080" w:type="dxa"/>
            <w:shd w:val="clear" w:color="auto" w:fill="auto"/>
            <w:vAlign w:val="center"/>
          </w:tcPr>
          <w:p w:rsidR="0067247A" w:rsidRPr="00337012" w:rsidP="000E0506" w14:paraId="60F67FA0" w14:textId="77777777">
            <w:pPr>
              <w:jc w:val="center"/>
              <w:rPr>
                <w:sz w:val="22"/>
                <w:szCs w:val="22"/>
              </w:rPr>
            </w:pPr>
            <w:r w:rsidRPr="00337012">
              <w:rPr>
                <w:sz w:val="22"/>
                <w:szCs w:val="22"/>
              </w:rPr>
              <w:t>Annual</w:t>
            </w:r>
          </w:p>
          <w:p w:rsidR="0067247A" w:rsidRPr="00337012" w:rsidP="000E0506" w14:paraId="6B8B00B4" w14:textId="77777777">
            <w:pPr>
              <w:jc w:val="center"/>
              <w:rPr>
                <w:sz w:val="22"/>
                <w:szCs w:val="22"/>
              </w:rPr>
            </w:pPr>
            <w:r w:rsidRPr="00337012">
              <w:rPr>
                <w:sz w:val="22"/>
                <w:szCs w:val="22"/>
              </w:rPr>
              <w:t>Response</w:t>
            </w:r>
          </w:p>
        </w:tc>
        <w:tc>
          <w:tcPr>
            <w:tcW w:w="1111" w:type="dxa"/>
            <w:shd w:val="clear" w:color="auto" w:fill="auto"/>
            <w:vAlign w:val="center"/>
          </w:tcPr>
          <w:p w:rsidR="0067247A" w:rsidRPr="00337012" w:rsidP="000E0506" w14:paraId="4EA6E297" w14:textId="77777777">
            <w:pPr>
              <w:jc w:val="center"/>
              <w:rPr>
                <w:sz w:val="22"/>
                <w:szCs w:val="22"/>
              </w:rPr>
            </w:pPr>
            <w:r w:rsidRPr="00337012">
              <w:rPr>
                <w:sz w:val="22"/>
                <w:szCs w:val="22"/>
              </w:rPr>
              <w:t>Hours per</w:t>
            </w:r>
          </w:p>
          <w:p w:rsidR="0067247A" w:rsidRPr="00337012" w:rsidP="000E0506" w14:paraId="734F9597" w14:textId="77777777">
            <w:pPr>
              <w:jc w:val="center"/>
              <w:rPr>
                <w:sz w:val="22"/>
                <w:szCs w:val="22"/>
              </w:rPr>
            </w:pPr>
            <w:r w:rsidRPr="00337012">
              <w:rPr>
                <w:sz w:val="22"/>
                <w:szCs w:val="22"/>
              </w:rPr>
              <w:t>Response</w:t>
            </w:r>
          </w:p>
        </w:tc>
        <w:tc>
          <w:tcPr>
            <w:tcW w:w="1049" w:type="dxa"/>
            <w:shd w:val="clear" w:color="auto" w:fill="auto"/>
            <w:vAlign w:val="center"/>
          </w:tcPr>
          <w:p w:rsidR="0067247A" w:rsidRPr="00337012" w:rsidP="000E0506" w14:paraId="4F2AC0C9" w14:textId="77777777">
            <w:pPr>
              <w:jc w:val="center"/>
              <w:rPr>
                <w:sz w:val="22"/>
                <w:szCs w:val="22"/>
              </w:rPr>
            </w:pPr>
            <w:r w:rsidRPr="00337012">
              <w:rPr>
                <w:sz w:val="22"/>
                <w:szCs w:val="22"/>
              </w:rPr>
              <w:t>Total Burden</w:t>
            </w:r>
          </w:p>
        </w:tc>
      </w:tr>
      <w:tr w14:paraId="37559093" w14:textId="77777777" w:rsidTr="00337012">
        <w:tblPrEx>
          <w:tblW w:w="9270" w:type="dxa"/>
          <w:tblInd w:w="-5" w:type="dxa"/>
          <w:tblLayout w:type="fixed"/>
          <w:tblLook w:val="04A0"/>
        </w:tblPrEx>
        <w:trPr>
          <w:trHeight w:val="458"/>
        </w:trPr>
        <w:tc>
          <w:tcPr>
            <w:tcW w:w="1224" w:type="dxa"/>
            <w:shd w:val="clear" w:color="auto" w:fill="auto"/>
          </w:tcPr>
          <w:p w:rsidR="0067247A" w:rsidRPr="00337012" w:rsidP="000E0506" w14:paraId="490BAC24" w14:textId="77777777">
            <w:pPr>
              <w:rPr>
                <w:sz w:val="22"/>
                <w:szCs w:val="22"/>
              </w:rPr>
            </w:pPr>
            <w:r w:rsidRPr="00337012">
              <w:rPr>
                <w:sz w:val="22"/>
                <w:szCs w:val="22"/>
              </w:rPr>
              <w:t>IRC- 72(t)</w:t>
            </w:r>
          </w:p>
        </w:tc>
        <w:tc>
          <w:tcPr>
            <w:tcW w:w="1746" w:type="dxa"/>
            <w:shd w:val="clear" w:color="auto" w:fill="auto"/>
          </w:tcPr>
          <w:p w:rsidR="0067247A" w:rsidRPr="00337012" w:rsidP="000E0506" w14:paraId="5FD7B047" w14:textId="296F0404">
            <w:pPr>
              <w:rPr>
                <w:sz w:val="22"/>
                <w:szCs w:val="22"/>
              </w:rPr>
            </w:pPr>
            <w:r w:rsidRPr="00337012">
              <w:rPr>
                <w:sz w:val="22"/>
                <w:szCs w:val="22"/>
              </w:rPr>
              <w:t>Notice 202</w:t>
            </w:r>
            <w:r w:rsidR="00B40B26">
              <w:rPr>
                <w:sz w:val="22"/>
                <w:szCs w:val="22"/>
              </w:rPr>
              <w:t>4</w:t>
            </w:r>
            <w:r w:rsidRPr="00337012">
              <w:rPr>
                <w:sz w:val="22"/>
                <w:szCs w:val="22"/>
              </w:rPr>
              <w:t>-</w:t>
            </w:r>
            <w:r w:rsidR="00B40B26">
              <w:rPr>
                <w:sz w:val="22"/>
                <w:szCs w:val="22"/>
              </w:rPr>
              <w:t>2</w:t>
            </w:r>
          </w:p>
        </w:tc>
        <w:tc>
          <w:tcPr>
            <w:tcW w:w="1350" w:type="dxa"/>
            <w:shd w:val="clear" w:color="auto" w:fill="auto"/>
          </w:tcPr>
          <w:p w:rsidR="0067247A" w:rsidRPr="00337012" w:rsidP="000E0506" w14:paraId="70926D68" w14:textId="3DEBB896">
            <w:pPr>
              <w:jc w:val="center"/>
              <w:rPr>
                <w:sz w:val="22"/>
                <w:szCs w:val="22"/>
              </w:rPr>
            </w:pPr>
            <w:r>
              <w:rPr>
                <w:sz w:val="22"/>
                <w:szCs w:val="22"/>
              </w:rPr>
              <w:t>500</w:t>
            </w:r>
          </w:p>
        </w:tc>
        <w:tc>
          <w:tcPr>
            <w:tcW w:w="1710" w:type="dxa"/>
            <w:shd w:val="clear" w:color="auto" w:fill="auto"/>
          </w:tcPr>
          <w:p w:rsidR="0067247A" w:rsidRPr="00337012" w:rsidP="000E0506" w14:paraId="3C7C11E9" w14:textId="77777777">
            <w:pPr>
              <w:jc w:val="center"/>
              <w:rPr>
                <w:sz w:val="22"/>
                <w:szCs w:val="22"/>
              </w:rPr>
            </w:pPr>
            <w:r w:rsidRPr="00337012">
              <w:rPr>
                <w:sz w:val="22"/>
                <w:szCs w:val="22"/>
              </w:rPr>
              <w:t>1</w:t>
            </w:r>
          </w:p>
        </w:tc>
        <w:tc>
          <w:tcPr>
            <w:tcW w:w="1080" w:type="dxa"/>
            <w:shd w:val="clear" w:color="auto" w:fill="auto"/>
          </w:tcPr>
          <w:p w:rsidR="0067247A" w:rsidRPr="00337012" w:rsidP="000E0506" w14:paraId="7EC7FD78" w14:textId="57FEBEFB">
            <w:pPr>
              <w:jc w:val="center"/>
              <w:rPr>
                <w:sz w:val="22"/>
                <w:szCs w:val="22"/>
              </w:rPr>
            </w:pPr>
            <w:r>
              <w:rPr>
                <w:sz w:val="22"/>
                <w:szCs w:val="22"/>
              </w:rPr>
              <w:t>500</w:t>
            </w:r>
          </w:p>
        </w:tc>
        <w:tc>
          <w:tcPr>
            <w:tcW w:w="1111" w:type="dxa"/>
            <w:shd w:val="clear" w:color="auto" w:fill="auto"/>
          </w:tcPr>
          <w:p w:rsidR="0067247A" w:rsidRPr="00337012" w:rsidP="000E0506" w14:paraId="5953DF06" w14:textId="77777777">
            <w:pPr>
              <w:jc w:val="center"/>
              <w:rPr>
                <w:sz w:val="22"/>
                <w:szCs w:val="22"/>
              </w:rPr>
            </w:pPr>
            <w:r w:rsidRPr="00337012">
              <w:rPr>
                <w:sz w:val="22"/>
                <w:szCs w:val="22"/>
              </w:rPr>
              <w:t xml:space="preserve">15 min. </w:t>
            </w:r>
          </w:p>
        </w:tc>
        <w:tc>
          <w:tcPr>
            <w:tcW w:w="1049" w:type="dxa"/>
            <w:shd w:val="clear" w:color="auto" w:fill="auto"/>
          </w:tcPr>
          <w:p w:rsidR="0067247A" w:rsidRPr="00337012" w:rsidP="000E0506" w14:paraId="019FE1E5" w14:textId="2C52762F">
            <w:pPr>
              <w:jc w:val="center"/>
              <w:rPr>
                <w:sz w:val="22"/>
                <w:szCs w:val="22"/>
              </w:rPr>
            </w:pPr>
            <w:r>
              <w:rPr>
                <w:sz w:val="22"/>
                <w:szCs w:val="22"/>
              </w:rPr>
              <w:t>125 hrs.</w:t>
            </w:r>
          </w:p>
        </w:tc>
      </w:tr>
      <w:tr w14:paraId="31B1E77C" w14:textId="77777777" w:rsidTr="00337012">
        <w:tblPrEx>
          <w:tblW w:w="9270" w:type="dxa"/>
          <w:tblInd w:w="-5" w:type="dxa"/>
          <w:tblLayout w:type="fixed"/>
          <w:tblLook w:val="04A0"/>
        </w:tblPrEx>
        <w:trPr>
          <w:trHeight w:val="458"/>
        </w:trPr>
        <w:tc>
          <w:tcPr>
            <w:tcW w:w="1224" w:type="dxa"/>
            <w:shd w:val="clear" w:color="auto" w:fill="auto"/>
          </w:tcPr>
          <w:p w:rsidR="0067247A" w:rsidRPr="00337012" w:rsidP="000E0506" w14:paraId="224CC7C2" w14:textId="77777777">
            <w:pPr>
              <w:rPr>
                <w:sz w:val="22"/>
                <w:szCs w:val="22"/>
              </w:rPr>
            </w:pPr>
            <w:r w:rsidRPr="00337012">
              <w:rPr>
                <w:sz w:val="22"/>
                <w:szCs w:val="22"/>
              </w:rPr>
              <w:t>Totals</w:t>
            </w:r>
          </w:p>
        </w:tc>
        <w:tc>
          <w:tcPr>
            <w:tcW w:w="1746" w:type="dxa"/>
            <w:shd w:val="clear" w:color="auto" w:fill="auto"/>
          </w:tcPr>
          <w:p w:rsidR="0067247A" w:rsidRPr="00337012" w:rsidP="000E0506" w14:paraId="769811D9" w14:textId="77777777">
            <w:pPr>
              <w:rPr>
                <w:sz w:val="22"/>
                <w:szCs w:val="22"/>
              </w:rPr>
            </w:pPr>
          </w:p>
        </w:tc>
        <w:tc>
          <w:tcPr>
            <w:tcW w:w="1350" w:type="dxa"/>
            <w:shd w:val="clear" w:color="auto" w:fill="auto"/>
          </w:tcPr>
          <w:p w:rsidR="0067247A" w:rsidRPr="00337012" w:rsidP="000E0506" w14:paraId="42F1B0C3" w14:textId="0BCE9752">
            <w:pPr>
              <w:jc w:val="center"/>
              <w:rPr>
                <w:sz w:val="22"/>
                <w:szCs w:val="22"/>
              </w:rPr>
            </w:pPr>
            <w:r>
              <w:rPr>
                <w:sz w:val="22"/>
                <w:szCs w:val="22"/>
              </w:rPr>
              <w:t>500</w:t>
            </w:r>
          </w:p>
        </w:tc>
        <w:tc>
          <w:tcPr>
            <w:tcW w:w="1710" w:type="dxa"/>
            <w:shd w:val="clear" w:color="auto" w:fill="auto"/>
          </w:tcPr>
          <w:p w:rsidR="0067247A" w:rsidRPr="00337012" w:rsidP="000E0506" w14:paraId="4D16F74A" w14:textId="77777777">
            <w:pPr>
              <w:jc w:val="center"/>
              <w:rPr>
                <w:sz w:val="22"/>
                <w:szCs w:val="22"/>
              </w:rPr>
            </w:pPr>
          </w:p>
        </w:tc>
        <w:tc>
          <w:tcPr>
            <w:tcW w:w="1080" w:type="dxa"/>
            <w:shd w:val="clear" w:color="auto" w:fill="auto"/>
          </w:tcPr>
          <w:p w:rsidR="0067247A" w:rsidRPr="00337012" w:rsidP="000E0506" w14:paraId="0519B28B" w14:textId="344B9E15">
            <w:pPr>
              <w:jc w:val="center"/>
              <w:rPr>
                <w:sz w:val="22"/>
                <w:szCs w:val="22"/>
              </w:rPr>
            </w:pPr>
            <w:r>
              <w:rPr>
                <w:sz w:val="22"/>
                <w:szCs w:val="22"/>
              </w:rPr>
              <w:t>500</w:t>
            </w:r>
          </w:p>
        </w:tc>
        <w:tc>
          <w:tcPr>
            <w:tcW w:w="1111" w:type="dxa"/>
            <w:shd w:val="clear" w:color="auto" w:fill="auto"/>
          </w:tcPr>
          <w:p w:rsidR="0067247A" w:rsidRPr="00337012" w:rsidP="000E0506" w14:paraId="45E33E1C" w14:textId="77777777">
            <w:pPr>
              <w:jc w:val="center"/>
              <w:rPr>
                <w:sz w:val="22"/>
                <w:szCs w:val="22"/>
              </w:rPr>
            </w:pPr>
          </w:p>
        </w:tc>
        <w:tc>
          <w:tcPr>
            <w:tcW w:w="1049" w:type="dxa"/>
            <w:shd w:val="clear" w:color="auto" w:fill="auto"/>
          </w:tcPr>
          <w:p w:rsidR="0067247A" w:rsidRPr="00337012" w:rsidP="000E0506" w14:paraId="39D29A2E" w14:textId="041F3EBA">
            <w:pPr>
              <w:jc w:val="center"/>
              <w:rPr>
                <w:sz w:val="22"/>
                <w:szCs w:val="22"/>
              </w:rPr>
            </w:pPr>
            <w:r>
              <w:rPr>
                <w:sz w:val="22"/>
                <w:szCs w:val="22"/>
              </w:rPr>
              <w:t>125 hrs.</w:t>
            </w:r>
          </w:p>
        </w:tc>
      </w:tr>
    </w:tbl>
    <w:p w:rsidR="005C2C05" w:rsidP="00CB003A" w14:paraId="41776798" w14:textId="7930433E"/>
    <w:p w:rsidR="005C2C05" w:rsidRPr="008D00D2" w:rsidP="008D00D2" w14:paraId="417767B4" w14:textId="15A4A2A6">
      <w:pPr>
        <w:numPr>
          <w:ilvl w:val="0"/>
          <w:numId w:val="12"/>
        </w:numPr>
        <w:rPr>
          <w:u w:val="single"/>
        </w:rPr>
      </w:pPr>
      <w:r w:rsidRPr="0025604D">
        <w:rPr>
          <w:u w:val="single"/>
        </w:rPr>
        <w:t>ESTIMATED TOTAL ANNUAL COST BURDEN TO RESPONDENTS</w:t>
      </w:r>
      <w:r w:rsidRPr="005C6A93">
        <w:t>  </w:t>
      </w:r>
    </w:p>
    <w:p w:rsidR="005C2C05" w:rsidRPr="0025604D" w:rsidP="00FB7F1C" w14:paraId="417767B5" w14:textId="77777777">
      <w:pPr>
        <w:keepNext/>
      </w:pPr>
    </w:p>
    <w:p w:rsidR="005C2C05" w:rsidP="00CB003A" w14:paraId="417767B6" w14:textId="2484CBAD">
      <w:pPr>
        <w:rPr>
          <w:bCs/>
        </w:rPr>
      </w:pPr>
      <w:r w:rsidRPr="00923A34">
        <w:rPr>
          <w:bCs/>
        </w:rPr>
        <w:t>There are no start-up costs associated with this collection</w:t>
      </w:r>
      <w:r w:rsidR="00AF1141">
        <w:rPr>
          <w:bCs/>
        </w:rPr>
        <w:t>.</w:t>
      </w:r>
    </w:p>
    <w:p w:rsidR="00923A34" w:rsidRPr="0025604D" w:rsidP="00CB003A" w14:paraId="417767B7" w14:textId="77777777"/>
    <w:p w:rsidR="005C2C05" w:rsidRPr="008D00D2" w:rsidP="008D00D2" w14:paraId="417767B8" w14:textId="20BE30D8">
      <w:pPr>
        <w:numPr>
          <w:ilvl w:val="0"/>
          <w:numId w:val="12"/>
        </w:numPr>
        <w:rPr>
          <w:u w:val="single"/>
        </w:rPr>
      </w:pPr>
      <w:r w:rsidRPr="0025604D">
        <w:rPr>
          <w:u w:val="single"/>
        </w:rPr>
        <w:t>ESTIMATED COST TO THE FEDERAL GOVERNMENT</w:t>
      </w:r>
    </w:p>
    <w:p w:rsidR="005C2C05" w:rsidRPr="0025604D" w:rsidP="00CB003A" w14:paraId="417767B9" w14:textId="77777777"/>
    <w:p w:rsidR="00102899" w:rsidRPr="00487290" w:rsidP="00337012" w14:paraId="19D37A9C" w14:textId="46FFE86F">
      <w:r w:rsidRPr="00487290">
        <w:t>There is no annualized cost to the federal government</w:t>
      </w:r>
      <w:r>
        <w:t xml:space="preserve"> as these are third party disclosure requirements only</w:t>
      </w:r>
      <w:r w:rsidRPr="00487290">
        <w:t>.</w:t>
      </w:r>
    </w:p>
    <w:p w:rsidR="005C2C05" w:rsidRPr="0025604D" w:rsidP="00CB003A" w14:paraId="417767BB" w14:textId="77777777"/>
    <w:p w:rsidR="005C2C05" w:rsidRPr="008D00D2" w:rsidP="008D00D2" w14:paraId="417767BC" w14:textId="19A914C9">
      <w:pPr>
        <w:numPr>
          <w:ilvl w:val="0"/>
          <w:numId w:val="12"/>
        </w:numPr>
        <w:rPr>
          <w:u w:val="single"/>
        </w:rPr>
      </w:pPr>
      <w:r w:rsidRPr="0025604D">
        <w:rPr>
          <w:u w:val="single"/>
        </w:rPr>
        <w:t>REASONS FOR CHANGE IN BURDEN</w:t>
      </w:r>
    </w:p>
    <w:p w:rsidR="005C2C05" w:rsidRPr="0025604D" w:rsidP="00666B6D" w14:paraId="417767BD" w14:textId="77777777">
      <w:pPr>
        <w:keepNext/>
      </w:pPr>
    </w:p>
    <w:p w:rsidR="005C2C05" w:rsidP="00CB003A" w14:paraId="417767BF" w14:textId="45F3232F">
      <w:r w:rsidRPr="00337012">
        <w:t xml:space="preserve">This is a new collection due to enactment of Section 326 </w:t>
      </w:r>
      <w:r w:rsidR="0041091F">
        <w:t xml:space="preserve">of the </w:t>
      </w:r>
      <w:r w:rsidR="004C2979">
        <w:t xml:space="preserve">SECURE 2.0 </w:t>
      </w:r>
      <w:r w:rsidR="0041091F">
        <w:t>Act.</w:t>
      </w:r>
    </w:p>
    <w:p w:rsidR="004C2979" w:rsidRPr="0025604D" w:rsidP="00CB003A" w14:paraId="535AC917" w14:textId="77777777"/>
    <w:p w:rsidR="005C2C05" w:rsidRPr="008D00D2" w:rsidP="008D00D2" w14:paraId="417767C0" w14:textId="1E8788A3">
      <w:pPr>
        <w:numPr>
          <w:ilvl w:val="0"/>
          <w:numId w:val="12"/>
        </w:numPr>
        <w:rPr>
          <w:u w:val="single"/>
        </w:rPr>
      </w:pPr>
      <w:r w:rsidRPr="0025604D">
        <w:rPr>
          <w:u w:val="single"/>
        </w:rPr>
        <w:t>PLANS FOR TABULATION, STATISTICAL ANALYSIS AND PUBLICATION.</w:t>
      </w:r>
    </w:p>
    <w:p w:rsidR="005C2C05" w:rsidRPr="0025604D" w:rsidP="00CB003A" w14:paraId="417767C1" w14:textId="77777777"/>
    <w:p w:rsidR="005C2C05" w:rsidP="00CB003A" w14:paraId="417767C2" w14:textId="6D6CC3C8">
      <w:r w:rsidRPr="00923A34">
        <w:t xml:space="preserve">There are no plans for tabulation, statistical </w:t>
      </w:r>
      <w:r w:rsidRPr="00923A34" w:rsidR="00102899">
        <w:t>analysis,</w:t>
      </w:r>
      <w:r w:rsidRPr="00923A34">
        <w:t xml:space="preserve"> and publication.</w:t>
      </w:r>
    </w:p>
    <w:p w:rsidR="00923A34" w:rsidP="00CB003A" w14:paraId="417767C3" w14:textId="758AC8C4"/>
    <w:p w:rsidR="005C2C05" w:rsidRPr="008D00D2" w:rsidP="008D00D2" w14:paraId="417767C4" w14:textId="66A6E3E8">
      <w:pPr>
        <w:numPr>
          <w:ilvl w:val="0"/>
          <w:numId w:val="12"/>
        </w:numPr>
        <w:rPr>
          <w:u w:val="single"/>
        </w:rPr>
      </w:pPr>
      <w:r w:rsidRPr="0025604D">
        <w:rPr>
          <w:u w:val="single"/>
        </w:rPr>
        <w:t>REASONS WHY DISPLAYING THE OMB EXPIRATION DATE IS INAPPROPRIATE.</w:t>
      </w:r>
    </w:p>
    <w:p w:rsidR="005C2C05" w:rsidRPr="0025604D" w:rsidP="00CB003A" w14:paraId="417767C5" w14:textId="77777777"/>
    <w:p w:rsidR="005378E3" w:rsidRPr="005378E3" w:rsidP="005378E3" w14:paraId="59BDB34E" w14:textId="77777777">
      <w:r w:rsidRPr="005378E3">
        <w:t>IRS believes that displaying the OMB expiration date is inappropriate because it could cause confusion by leading taxpayers to believe that the form sunsets as of the expiration date. Taxpayers are not likely to be aware that IRS intends to request renewal of the OMB approval and obtain a new expiration date before the old one expires.</w:t>
      </w:r>
    </w:p>
    <w:p w:rsidR="005C2C05" w:rsidRPr="0025604D" w:rsidP="00CB003A" w14:paraId="417767D1" w14:textId="296F31B4">
      <w:r>
        <w:t xml:space="preserve">   </w:t>
      </w:r>
    </w:p>
    <w:p w:rsidR="005C2C05" w:rsidRPr="00282304" w:rsidP="00282304" w14:paraId="417767D2" w14:textId="3AA47E96">
      <w:pPr>
        <w:numPr>
          <w:ilvl w:val="0"/>
          <w:numId w:val="12"/>
        </w:numPr>
        <w:rPr>
          <w:u w:val="single"/>
        </w:rPr>
      </w:pPr>
      <w:r w:rsidRPr="0025604D">
        <w:rPr>
          <w:u w:val="single"/>
        </w:rPr>
        <w:t xml:space="preserve">EXCEPTIONS TO CERTIFICATION </w:t>
      </w:r>
    </w:p>
    <w:p w:rsidR="005C2C05" w:rsidRPr="0025604D" w:rsidP="00CB003A" w14:paraId="417767D3" w14:textId="77777777"/>
    <w:p w:rsidR="005C2C05" w:rsidP="00A90BAB" w14:paraId="417767D4" w14:textId="0CFFE326">
      <w:r w:rsidRPr="00923A34">
        <w:t>There are no exceptions to the certification statement.</w:t>
      </w:r>
    </w:p>
    <w:p w:rsidR="00223FF1" w:rsidP="00A90BAB" w14:paraId="4FB9EA11" w14:textId="402FFBCD"/>
    <w:p w:rsidR="00102899" w:rsidP="00A90BAB" w14:paraId="0BDBC91C" w14:textId="77777777"/>
    <w:p w:rsidR="005C2C05" w:rsidRPr="0008675A" w:rsidP="00521924" w14:paraId="417767D5" w14:textId="177417BF">
      <w:r w:rsidRPr="0008675A">
        <w:rPr>
          <w:u w:val="single"/>
        </w:rPr>
        <w:t>Note:</w:t>
      </w:r>
      <w:r w:rsidRPr="0008675A">
        <w:t xml:space="preserve">  The following paragraph applies to all of the collections of information in this submission:</w:t>
      </w:r>
    </w:p>
    <w:p w:rsidR="005C2C05" w:rsidRPr="0008675A" w:rsidP="00521924" w14:paraId="417767D6" w14:textId="77777777"/>
    <w:p w:rsidR="005C2C05" w:rsidRPr="0008675A" w:rsidP="00521924" w14:paraId="417767D7" w14:textId="77777777">
      <w:r w:rsidRPr="0008675A">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5C2C05" w:rsidP="00521924" w14:paraId="417767D8" w14:textId="77777777"/>
    <w:sectPr w:rsidSect="00EB5E62">
      <w:footerReference w:type="even" r:id="rId6"/>
      <w:footerReference w:type="defaul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2C05" w14:paraId="41776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14:paraId="417767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9D8" w14:paraId="587ED325" w14:textId="77777777">
      <w:r>
        <w:separator/>
      </w:r>
    </w:p>
  </w:footnote>
  <w:footnote w:type="continuationSeparator" w:id="1">
    <w:p w:rsidR="00D139D8" w14:paraId="38DF3825" w14:textId="77777777">
      <w:r>
        <w:continuationSeparator/>
      </w:r>
    </w:p>
  </w:footnote>
  <w:footnote w:type="continuationNotice" w:id="2">
    <w:p w:rsidR="00D139D8" w14:paraId="65797AAF" w14:textId="77777777"/>
  </w:footnote>
  <w:footnote w:id="3">
    <w:p w:rsidR="005B2332" w:rsidRPr="006D5CA0" w:rsidP="005B2332" w14:paraId="2D33FD0C" w14:textId="77777777">
      <w:pPr>
        <w:pStyle w:val="FootnoteText"/>
        <w:rPr>
          <w:rFonts w:ascii="Times New Roman" w:hAnsi="Times New Roman" w:cs="Times New Roman"/>
        </w:rPr>
      </w:pPr>
      <w:r w:rsidRPr="00A92813">
        <w:rPr>
          <w:rStyle w:val="FootnoteReference"/>
          <w:rFonts w:ascii="Arial" w:hAnsi="Arial" w:cs="Arial"/>
        </w:rPr>
        <w:footnoteRef/>
      </w:r>
      <w:r w:rsidRPr="00A92813">
        <w:rPr>
          <w:rFonts w:ascii="Arial" w:hAnsi="Arial" w:cs="Arial"/>
        </w:rPr>
        <w:t xml:space="preserve"> </w:t>
      </w:r>
      <w:r w:rsidRPr="006D5CA0">
        <w:rPr>
          <w:rFonts w:ascii="Times New Roman" w:hAnsi="Times New Roman" w:cs="Times New Roman"/>
        </w:rPr>
        <w:t>Section 72(t)(5) provides that, for purposes of section 72(t), the term “employee” includes any participant, and in the case of an individual retirement plan, an individual for whose benefit such plan was established.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97529"/>
    <w:multiLevelType w:val="hybridMultilevel"/>
    <w:tmpl w:val="1EB8F01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start w:val="1"/>
      <w:numFmt w:val="decimal"/>
      <w:lvlText w:val="%1."/>
      <w:lvlJc w:val="left"/>
      <w:pPr>
        <w:tabs>
          <w:tab w:val="num" w:pos="360"/>
        </w:tabs>
        <w:ind w:left="36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start w:val="8"/>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start w:val="7"/>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4C8B2532"/>
    <w:multiLevelType w:val="hybridMultilevel"/>
    <w:tmpl w:val="2FE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99316C5"/>
    <w:multiLevelType w:val="hybridMultilevel"/>
    <w:tmpl w:val="A814A21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648A58CB"/>
    <w:multiLevelType w:val="hybridMultilevel"/>
    <w:tmpl w:val="CB2E28FE"/>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7223731"/>
    <w:multiLevelType w:val="hybridMultilevel"/>
    <w:tmpl w:val="6F48BAA8"/>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7C5466C4"/>
    <w:multiLevelType w:val="hybridMultilevel"/>
    <w:tmpl w:val="D6DEBB8C"/>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85160520">
    <w:abstractNumId w:val="2"/>
  </w:num>
  <w:num w:numId="2" w16cid:durableId="1311522181">
    <w:abstractNumId w:val="10"/>
  </w:num>
  <w:num w:numId="3" w16cid:durableId="464083857">
    <w:abstractNumId w:val="12"/>
  </w:num>
  <w:num w:numId="4" w16cid:durableId="1962152148">
    <w:abstractNumId w:val="4"/>
  </w:num>
  <w:num w:numId="5" w16cid:durableId="1790586831">
    <w:abstractNumId w:val="11"/>
  </w:num>
  <w:num w:numId="6" w16cid:durableId="1961063038">
    <w:abstractNumId w:val="3"/>
  </w:num>
  <w:num w:numId="7" w16cid:durableId="499007766">
    <w:abstractNumId w:val="0"/>
  </w:num>
  <w:num w:numId="8" w16cid:durableId="465663698">
    <w:abstractNumId w:val="7"/>
  </w:num>
  <w:num w:numId="9" w16cid:durableId="1529563582">
    <w:abstractNumId w:val="6"/>
  </w:num>
  <w:num w:numId="10" w16cid:durableId="1794903156">
    <w:abstractNumId w:val="9"/>
  </w:num>
  <w:num w:numId="11" w16cid:durableId="589579268">
    <w:abstractNumId w:val="1"/>
  </w:num>
  <w:num w:numId="12" w16cid:durableId="357321374">
    <w:abstractNumId w:val="5"/>
  </w:num>
  <w:num w:numId="13" w16cid:durableId="1109012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3A36"/>
    <w:rsid w:val="0001560A"/>
    <w:rsid w:val="00020618"/>
    <w:rsid w:val="00022F56"/>
    <w:rsid w:val="00032166"/>
    <w:rsid w:val="000409DF"/>
    <w:rsid w:val="00042648"/>
    <w:rsid w:val="00046778"/>
    <w:rsid w:val="00073704"/>
    <w:rsid w:val="0008675A"/>
    <w:rsid w:val="000B0264"/>
    <w:rsid w:val="000C7031"/>
    <w:rsid w:val="000D0C74"/>
    <w:rsid w:val="000E0506"/>
    <w:rsid w:val="000E1F44"/>
    <w:rsid w:val="000E70A2"/>
    <w:rsid w:val="000F2AE6"/>
    <w:rsid w:val="000F53C2"/>
    <w:rsid w:val="0010021E"/>
    <w:rsid w:val="00102899"/>
    <w:rsid w:val="00105553"/>
    <w:rsid w:val="001110E6"/>
    <w:rsid w:val="00116640"/>
    <w:rsid w:val="00131D26"/>
    <w:rsid w:val="001348F8"/>
    <w:rsid w:val="00147A26"/>
    <w:rsid w:val="0015169B"/>
    <w:rsid w:val="00156E23"/>
    <w:rsid w:val="00161711"/>
    <w:rsid w:val="00166D33"/>
    <w:rsid w:val="00170A2A"/>
    <w:rsid w:val="001719E5"/>
    <w:rsid w:val="001819F2"/>
    <w:rsid w:val="00181F21"/>
    <w:rsid w:val="001829C3"/>
    <w:rsid w:val="0018375D"/>
    <w:rsid w:val="001A4A80"/>
    <w:rsid w:val="001A6115"/>
    <w:rsid w:val="001C3DA8"/>
    <w:rsid w:val="001D6012"/>
    <w:rsid w:val="001E127C"/>
    <w:rsid w:val="001E4BCF"/>
    <w:rsid w:val="001E74D7"/>
    <w:rsid w:val="00203DB3"/>
    <w:rsid w:val="00212C35"/>
    <w:rsid w:val="002154CF"/>
    <w:rsid w:val="00223FF1"/>
    <w:rsid w:val="00232268"/>
    <w:rsid w:val="00235BDF"/>
    <w:rsid w:val="00237FAA"/>
    <w:rsid w:val="0024000F"/>
    <w:rsid w:val="00241A1F"/>
    <w:rsid w:val="0025604D"/>
    <w:rsid w:val="00256911"/>
    <w:rsid w:val="00271992"/>
    <w:rsid w:val="00282304"/>
    <w:rsid w:val="00293974"/>
    <w:rsid w:val="002A5F33"/>
    <w:rsid w:val="002B7F85"/>
    <w:rsid w:val="002C2A5D"/>
    <w:rsid w:val="003265D6"/>
    <w:rsid w:val="00333F3C"/>
    <w:rsid w:val="00337012"/>
    <w:rsid w:val="00361E73"/>
    <w:rsid w:val="00365005"/>
    <w:rsid w:val="003737FC"/>
    <w:rsid w:val="00380639"/>
    <w:rsid w:val="00385107"/>
    <w:rsid w:val="00392B31"/>
    <w:rsid w:val="003934A1"/>
    <w:rsid w:val="00394A61"/>
    <w:rsid w:val="003A347F"/>
    <w:rsid w:val="003C068B"/>
    <w:rsid w:val="003C1AB8"/>
    <w:rsid w:val="003F3118"/>
    <w:rsid w:val="00406DAA"/>
    <w:rsid w:val="0041091F"/>
    <w:rsid w:val="00436C40"/>
    <w:rsid w:val="0044510E"/>
    <w:rsid w:val="004470CC"/>
    <w:rsid w:val="004550C8"/>
    <w:rsid w:val="00460B20"/>
    <w:rsid w:val="004746FF"/>
    <w:rsid w:val="00475022"/>
    <w:rsid w:val="00475731"/>
    <w:rsid w:val="0047668D"/>
    <w:rsid w:val="00483E28"/>
    <w:rsid w:val="00487290"/>
    <w:rsid w:val="00492259"/>
    <w:rsid w:val="004A78A5"/>
    <w:rsid w:val="004B06B5"/>
    <w:rsid w:val="004B32A0"/>
    <w:rsid w:val="004C2979"/>
    <w:rsid w:val="004E0DE8"/>
    <w:rsid w:val="004E4145"/>
    <w:rsid w:val="004E6996"/>
    <w:rsid w:val="004F5145"/>
    <w:rsid w:val="00511978"/>
    <w:rsid w:val="00511CB4"/>
    <w:rsid w:val="00513CFE"/>
    <w:rsid w:val="00521924"/>
    <w:rsid w:val="0052662E"/>
    <w:rsid w:val="00534EA9"/>
    <w:rsid w:val="00535AD0"/>
    <w:rsid w:val="005366FC"/>
    <w:rsid w:val="005378E3"/>
    <w:rsid w:val="00572D2C"/>
    <w:rsid w:val="00592774"/>
    <w:rsid w:val="005B2332"/>
    <w:rsid w:val="005C2C05"/>
    <w:rsid w:val="005C6A93"/>
    <w:rsid w:val="005D35C0"/>
    <w:rsid w:val="005D6C80"/>
    <w:rsid w:val="005D7EE0"/>
    <w:rsid w:val="005F2B55"/>
    <w:rsid w:val="005F43A7"/>
    <w:rsid w:val="0060168D"/>
    <w:rsid w:val="006049CB"/>
    <w:rsid w:val="00610580"/>
    <w:rsid w:val="00612025"/>
    <w:rsid w:val="006137E1"/>
    <w:rsid w:val="00620AB0"/>
    <w:rsid w:val="00625411"/>
    <w:rsid w:val="00633442"/>
    <w:rsid w:val="0064051D"/>
    <w:rsid w:val="00643306"/>
    <w:rsid w:val="006536E9"/>
    <w:rsid w:val="00666B6D"/>
    <w:rsid w:val="0067247A"/>
    <w:rsid w:val="00686B96"/>
    <w:rsid w:val="00695A55"/>
    <w:rsid w:val="006B22D1"/>
    <w:rsid w:val="006B3E5B"/>
    <w:rsid w:val="006B5288"/>
    <w:rsid w:val="006D5CA0"/>
    <w:rsid w:val="006F02DD"/>
    <w:rsid w:val="00701278"/>
    <w:rsid w:val="00707BDE"/>
    <w:rsid w:val="00740121"/>
    <w:rsid w:val="007443A3"/>
    <w:rsid w:val="007563D2"/>
    <w:rsid w:val="00775C08"/>
    <w:rsid w:val="007775A3"/>
    <w:rsid w:val="00795CCA"/>
    <w:rsid w:val="007A0B8F"/>
    <w:rsid w:val="007D7889"/>
    <w:rsid w:val="007E69B3"/>
    <w:rsid w:val="007F0335"/>
    <w:rsid w:val="007F78BD"/>
    <w:rsid w:val="00810171"/>
    <w:rsid w:val="00810250"/>
    <w:rsid w:val="0081132F"/>
    <w:rsid w:val="00813491"/>
    <w:rsid w:val="008166BA"/>
    <w:rsid w:val="00843A09"/>
    <w:rsid w:val="00855772"/>
    <w:rsid w:val="00856DD0"/>
    <w:rsid w:val="008803A0"/>
    <w:rsid w:val="0089247F"/>
    <w:rsid w:val="008956BA"/>
    <w:rsid w:val="008A3399"/>
    <w:rsid w:val="008A3E67"/>
    <w:rsid w:val="008A4440"/>
    <w:rsid w:val="008A5AEA"/>
    <w:rsid w:val="008A6D0F"/>
    <w:rsid w:val="008B7CB1"/>
    <w:rsid w:val="008D00D2"/>
    <w:rsid w:val="008E2756"/>
    <w:rsid w:val="008E5DE9"/>
    <w:rsid w:val="00900F75"/>
    <w:rsid w:val="00901860"/>
    <w:rsid w:val="00921EA8"/>
    <w:rsid w:val="00923A34"/>
    <w:rsid w:val="00930944"/>
    <w:rsid w:val="009339C5"/>
    <w:rsid w:val="009379CE"/>
    <w:rsid w:val="00946EB3"/>
    <w:rsid w:val="00950A9E"/>
    <w:rsid w:val="00954BC9"/>
    <w:rsid w:val="00957F88"/>
    <w:rsid w:val="00961823"/>
    <w:rsid w:val="0096527A"/>
    <w:rsid w:val="00983B56"/>
    <w:rsid w:val="00986077"/>
    <w:rsid w:val="00990870"/>
    <w:rsid w:val="009B1F03"/>
    <w:rsid w:val="009D0AFE"/>
    <w:rsid w:val="009E48DD"/>
    <w:rsid w:val="009F01E5"/>
    <w:rsid w:val="009F45CC"/>
    <w:rsid w:val="009F4D1C"/>
    <w:rsid w:val="00A00740"/>
    <w:rsid w:val="00A10A09"/>
    <w:rsid w:val="00A10BA6"/>
    <w:rsid w:val="00A1769D"/>
    <w:rsid w:val="00A2596F"/>
    <w:rsid w:val="00A31F2F"/>
    <w:rsid w:val="00A33E5F"/>
    <w:rsid w:val="00A66B23"/>
    <w:rsid w:val="00A67505"/>
    <w:rsid w:val="00A73657"/>
    <w:rsid w:val="00A85556"/>
    <w:rsid w:val="00A90BAB"/>
    <w:rsid w:val="00A92813"/>
    <w:rsid w:val="00A93EA3"/>
    <w:rsid w:val="00A9744C"/>
    <w:rsid w:val="00AF0E0E"/>
    <w:rsid w:val="00AF1141"/>
    <w:rsid w:val="00B002FE"/>
    <w:rsid w:val="00B07D95"/>
    <w:rsid w:val="00B40B26"/>
    <w:rsid w:val="00B41318"/>
    <w:rsid w:val="00B50861"/>
    <w:rsid w:val="00B61494"/>
    <w:rsid w:val="00B716A8"/>
    <w:rsid w:val="00B87C40"/>
    <w:rsid w:val="00B91949"/>
    <w:rsid w:val="00B96D67"/>
    <w:rsid w:val="00BA59A6"/>
    <w:rsid w:val="00BB4D18"/>
    <w:rsid w:val="00BC310B"/>
    <w:rsid w:val="00BC318B"/>
    <w:rsid w:val="00BC4F4E"/>
    <w:rsid w:val="00BE38A6"/>
    <w:rsid w:val="00BF2E48"/>
    <w:rsid w:val="00C0391A"/>
    <w:rsid w:val="00C34F74"/>
    <w:rsid w:val="00C36F16"/>
    <w:rsid w:val="00C60DF5"/>
    <w:rsid w:val="00C643B1"/>
    <w:rsid w:val="00C65F8F"/>
    <w:rsid w:val="00C70990"/>
    <w:rsid w:val="00C73E4B"/>
    <w:rsid w:val="00C75252"/>
    <w:rsid w:val="00C93531"/>
    <w:rsid w:val="00C954EA"/>
    <w:rsid w:val="00CB003A"/>
    <w:rsid w:val="00CB3662"/>
    <w:rsid w:val="00CC0B33"/>
    <w:rsid w:val="00CC4534"/>
    <w:rsid w:val="00CD27FF"/>
    <w:rsid w:val="00CE2D06"/>
    <w:rsid w:val="00CE3E04"/>
    <w:rsid w:val="00CF0E68"/>
    <w:rsid w:val="00CF3850"/>
    <w:rsid w:val="00D01718"/>
    <w:rsid w:val="00D139D8"/>
    <w:rsid w:val="00D3369D"/>
    <w:rsid w:val="00D8477F"/>
    <w:rsid w:val="00D87AC4"/>
    <w:rsid w:val="00DA0F09"/>
    <w:rsid w:val="00DA3893"/>
    <w:rsid w:val="00DA5F5B"/>
    <w:rsid w:val="00DC2EC0"/>
    <w:rsid w:val="00E20513"/>
    <w:rsid w:val="00E234C3"/>
    <w:rsid w:val="00E30DBA"/>
    <w:rsid w:val="00E65994"/>
    <w:rsid w:val="00E71397"/>
    <w:rsid w:val="00E7768F"/>
    <w:rsid w:val="00E8070F"/>
    <w:rsid w:val="00EB1FF7"/>
    <w:rsid w:val="00EB5E62"/>
    <w:rsid w:val="00EC4EB8"/>
    <w:rsid w:val="00ED261A"/>
    <w:rsid w:val="00EE0B0E"/>
    <w:rsid w:val="00EE2F8A"/>
    <w:rsid w:val="00F24F5A"/>
    <w:rsid w:val="00F27C5F"/>
    <w:rsid w:val="00F31337"/>
    <w:rsid w:val="00F41911"/>
    <w:rsid w:val="00F51DC7"/>
    <w:rsid w:val="00F6303F"/>
    <w:rsid w:val="00F72D0B"/>
    <w:rsid w:val="00F75895"/>
    <w:rsid w:val="00FB24C0"/>
    <w:rsid w:val="00FB7F1C"/>
    <w:rsid w:val="00FC174E"/>
    <w:rsid w:val="00FC2B60"/>
    <w:rsid w:val="00FD0BF8"/>
    <w:rsid w:val="00FE0A8C"/>
    <w:rsid w:val="00FF0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776760"/>
  <w15:docId w15:val="{3E1C1210-FF42-4005-9193-56B5353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 w:type="character" w:styleId="CommentReference">
    <w:name w:val="annotation reference"/>
    <w:basedOn w:val="DefaultParagraphFont"/>
    <w:uiPriority w:val="99"/>
    <w:semiHidden/>
    <w:unhideWhenUsed/>
    <w:rsid w:val="002154CF"/>
    <w:rPr>
      <w:sz w:val="16"/>
      <w:szCs w:val="16"/>
    </w:rPr>
  </w:style>
  <w:style w:type="paragraph" w:styleId="CommentText">
    <w:name w:val="annotation text"/>
    <w:basedOn w:val="Normal"/>
    <w:link w:val="CommentTextChar"/>
    <w:uiPriority w:val="99"/>
    <w:unhideWhenUsed/>
    <w:rsid w:val="002154CF"/>
    <w:rPr>
      <w:sz w:val="20"/>
      <w:szCs w:val="20"/>
    </w:rPr>
  </w:style>
  <w:style w:type="character" w:customStyle="1" w:styleId="CommentTextChar">
    <w:name w:val="Comment Text Char"/>
    <w:basedOn w:val="DefaultParagraphFont"/>
    <w:link w:val="CommentText"/>
    <w:uiPriority w:val="99"/>
    <w:rsid w:val="002154CF"/>
    <w:rPr>
      <w:sz w:val="20"/>
      <w:szCs w:val="20"/>
    </w:rPr>
  </w:style>
  <w:style w:type="paragraph" w:styleId="CommentSubject">
    <w:name w:val="annotation subject"/>
    <w:basedOn w:val="CommentText"/>
    <w:next w:val="CommentText"/>
    <w:link w:val="CommentSubjectChar"/>
    <w:uiPriority w:val="99"/>
    <w:semiHidden/>
    <w:unhideWhenUsed/>
    <w:rsid w:val="002154CF"/>
    <w:rPr>
      <w:b/>
      <w:bCs/>
    </w:rPr>
  </w:style>
  <w:style w:type="character" w:customStyle="1" w:styleId="CommentSubjectChar">
    <w:name w:val="Comment Subject Char"/>
    <w:basedOn w:val="CommentTextChar"/>
    <w:link w:val="CommentSubject"/>
    <w:uiPriority w:val="99"/>
    <w:semiHidden/>
    <w:rsid w:val="002154CF"/>
    <w:rPr>
      <w:b/>
      <w:bCs/>
      <w:sz w:val="20"/>
      <w:szCs w:val="20"/>
    </w:rPr>
  </w:style>
  <w:style w:type="paragraph" w:styleId="Revision">
    <w:name w:val="Revision"/>
    <w:hidden/>
    <w:uiPriority w:val="99"/>
    <w:semiHidden/>
    <w:rsid w:val="008E2756"/>
    <w:rPr>
      <w:sz w:val="24"/>
      <w:szCs w:val="24"/>
    </w:rPr>
  </w:style>
  <w:style w:type="paragraph" w:styleId="FootnoteText">
    <w:name w:val="footnote text"/>
    <w:basedOn w:val="Normal"/>
    <w:link w:val="FootnoteTextChar"/>
    <w:uiPriority w:val="99"/>
    <w:semiHidden/>
    <w:unhideWhenUsed/>
    <w:rsid w:val="005B23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B233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5B2332"/>
    <w:rPr>
      <w:vertAlign w:val="superscript"/>
    </w:rPr>
  </w:style>
  <w:style w:type="paragraph" w:customStyle="1" w:styleId="Default">
    <w:name w:val="Default"/>
    <w:rsid w:val="005B2332"/>
    <w:pPr>
      <w:autoSpaceDE w:val="0"/>
      <w:autoSpaceDN w:val="0"/>
      <w:adjustRightInd w:val="0"/>
    </w:pPr>
    <w:rPr>
      <w:rFonts w:ascii="Arial" w:hAnsi="Arial" w:eastAsiaTheme="minorHAnsi" w:cs="Arial"/>
      <w:color w:val="000000"/>
      <w:sz w:val="24"/>
      <w:szCs w:val="24"/>
    </w:rPr>
  </w:style>
  <w:style w:type="paragraph" w:styleId="ListParagraph">
    <w:name w:val="List Paragraph"/>
    <w:basedOn w:val="Normal"/>
    <w:uiPriority w:val="1"/>
    <w:qFormat/>
    <w:rsid w:val="0067247A"/>
    <w:pPr>
      <w:ind w:left="720"/>
    </w:pPr>
    <w:rPr>
      <w:rFonts w:eastAsia="Calibri"/>
    </w:rPr>
  </w:style>
  <w:style w:type="character" w:styleId="Hyperlink">
    <w:name w:val="Hyperlink"/>
    <w:basedOn w:val="DefaultParagraphFont"/>
    <w:uiPriority w:val="99"/>
    <w:rsid w:val="00B91949"/>
    <w:rPr>
      <w:color w:val="0000FF" w:themeColor="hyperlink"/>
      <w:u w:val="single"/>
    </w:rPr>
  </w:style>
  <w:style w:type="character" w:styleId="FollowedHyperlink">
    <w:name w:val="FollowedHyperlink"/>
    <w:basedOn w:val="DefaultParagraphFont"/>
    <w:uiPriority w:val="99"/>
    <w:semiHidden/>
    <w:unhideWhenUsed/>
    <w:rsid w:val="00756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Garcia Andres</cp:lastModifiedBy>
  <cp:revision>2</cp:revision>
  <cp:lastPrinted>2023-07-13T13:30:00Z</cp:lastPrinted>
  <dcterms:created xsi:type="dcterms:W3CDTF">2023-12-18T19:36:00Z</dcterms:created>
  <dcterms:modified xsi:type="dcterms:W3CDTF">2023-12-18T19:36:00Z</dcterms:modified>
</cp:coreProperties>
</file>