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2A6107" w14:paraId="6079AA3C" w14:textId="53690F7B">
      <w:pPr>
        <w:spacing w:line="276" w:lineRule="auto"/>
        <w:contextualSpacing/>
        <w:jc w:val="right"/>
        <w:rPr>
          <w:rFonts w:cs="Times New Roman"/>
          <w:b/>
          <w:bCs/>
          <w:sz w:val="28"/>
          <w:szCs w:val="28"/>
        </w:rPr>
      </w:pPr>
      <w:r>
        <w:rPr>
          <w:rFonts w:cs="Times New Roman"/>
          <w:b/>
          <w:bCs/>
          <w:sz w:val="28"/>
          <w:szCs w:val="28"/>
        </w:rPr>
        <w:t xml:space="preserve">September </w:t>
      </w:r>
      <w:r w:rsidR="00E27B60">
        <w:rPr>
          <w:rFonts w:cs="Times New Roman"/>
          <w:b/>
          <w:bCs/>
          <w:sz w:val="28"/>
          <w:szCs w:val="28"/>
        </w:rPr>
        <w:t>27</w:t>
      </w:r>
      <w:r w:rsidR="009E793E">
        <w:rPr>
          <w:rFonts w:cs="Times New Roman"/>
          <w:b/>
          <w:bCs/>
          <w:sz w:val="28"/>
          <w:szCs w:val="28"/>
        </w:rPr>
        <w:t>, 2023</w:t>
      </w:r>
    </w:p>
    <w:p w:rsidR="00635E63" w:rsidRPr="002A6107" w:rsidP="002A6107" w14:paraId="3684B55C" w14:textId="77777777">
      <w:pPr>
        <w:spacing w:line="276" w:lineRule="auto"/>
        <w:contextualSpacing/>
        <w:rPr>
          <w:rFonts w:cs="Times New Roman"/>
          <w:b/>
          <w:bCs/>
          <w:sz w:val="28"/>
          <w:szCs w:val="28"/>
        </w:rPr>
      </w:pPr>
    </w:p>
    <w:p w:rsidR="00635E63" w:rsidRPr="002A6107" w:rsidP="002A6107" w14:paraId="1C2E640A" w14:textId="77777777">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2A6107" w14:paraId="3AC09066" w14:textId="77777777">
      <w:pPr>
        <w:spacing w:line="276" w:lineRule="auto"/>
        <w:contextualSpacing/>
        <w:rPr>
          <w:rFonts w:cs="Times New Roman"/>
          <w:b/>
          <w:bCs/>
          <w:sz w:val="28"/>
          <w:szCs w:val="28"/>
        </w:rPr>
      </w:pPr>
    </w:p>
    <w:p w:rsidR="00635E63" w:rsidRPr="002A6107" w:rsidP="002A6107" w14:paraId="08707ED0" w14:textId="77777777">
      <w:pPr>
        <w:spacing w:line="276" w:lineRule="auto"/>
        <w:contextualSpacing/>
        <w:rPr>
          <w:rFonts w:cs="Times New Roman"/>
          <w:b/>
          <w:bCs/>
          <w:sz w:val="28"/>
          <w:szCs w:val="28"/>
        </w:rPr>
      </w:pPr>
      <w:r w:rsidRPr="002A6107">
        <w:rPr>
          <w:rFonts w:cs="Times New Roman"/>
          <w:b/>
          <w:bCs/>
          <w:sz w:val="28"/>
          <w:szCs w:val="28"/>
        </w:rPr>
        <w:t>OMB Control Number:  1660</w:t>
      </w:r>
      <w:r w:rsidRPr="000B36F8">
        <w:rPr>
          <w:rFonts w:cs="Times New Roman"/>
          <w:b/>
          <w:bCs/>
          <w:sz w:val="28"/>
          <w:szCs w:val="28"/>
        </w:rPr>
        <w:t>-</w:t>
      </w:r>
      <w:r w:rsidRPr="00151CD5" w:rsidR="009E793E">
        <w:rPr>
          <w:rFonts w:cs="Times New Roman"/>
          <w:b/>
          <w:bCs/>
          <w:sz w:val="28"/>
          <w:szCs w:val="28"/>
        </w:rPr>
        <w:t>0040</w:t>
      </w:r>
    </w:p>
    <w:p w:rsidR="00635E63" w:rsidRPr="002A6107" w:rsidP="002A6107" w14:paraId="5EBD984D" w14:textId="77777777">
      <w:pPr>
        <w:spacing w:line="276" w:lineRule="auto"/>
        <w:contextualSpacing/>
        <w:rPr>
          <w:rFonts w:cs="Times New Roman"/>
          <w:b/>
          <w:bCs/>
          <w:sz w:val="28"/>
          <w:szCs w:val="28"/>
        </w:rPr>
      </w:pPr>
    </w:p>
    <w:p w:rsidR="00635E63" w:rsidRPr="002A6107" w:rsidP="002A6107" w14:paraId="2A88984B" w14:textId="77777777">
      <w:pPr>
        <w:spacing w:line="276" w:lineRule="auto"/>
        <w:contextualSpacing/>
        <w:rPr>
          <w:rFonts w:cs="Times New Roman"/>
          <w:b/>
          <w:bCs/>
          <w:sz w:val="28"/>
          <w:szCs w:val="28"/>
        </w:rPr>
      </w:pPr>
      <w:r w:rsidRPr="002A6107">
        <w:rPr>
          <w:rFonts w:cs="Times New Roman"/>
          <w:b/>
          <w:bCs/>
          <w:sz w:val="28"/>
          <w:szCs w:val="28"/>
        </w:rPr>
        <w:t>Title:</w:t>
      </w:r>
      <w:r w:rsidRPr="002A6107" w:rsidR="00BE238B">
        <w:rPr>
          <w:rFonts w:cs="Times New Roman"/>
          <w:b/>
          <w:bCs/>
          <w:sz w:val="28"/>
          <w:szCs w:val="28"/>
        </w:rPr>
        <w:t xml:space="preserve">  </w:t>
      </w:r>
      <w:r w:rsidR="009E793E">
        <w:rPr>
          <w:rFonts w:cs="Times New Roman"/>
          <w:b/>
          <w:bCs/>
          <w:sz w:val="28"/>
          <w:szCs w:val="28"/>
        </w:rPr>
        <w:t xml:space="preserve">Standard Flood </w:t>
      </w:r>
      <w:r w:rsidR="002E29B4">
        <w:rPr>
          <w:rFonts w:cs="Times New Roman"/>
          <w:b/>
          <w:bCs/>
          <w:sz w:val="28"/>
          <w:szCs w:val="28"/>
        </w:rPr>
        <w:t xml:space="preserve">Hazard </w:t>
      </w:r>
      <w:r w:rsidR="009E793E">
        <w:rPr>
          <w:rFonts w:cs="Times New Roman"/>
          <w:b/>
          <w:bCs/>
          <w:sz w:val="28"/>
          <w:szCs w:val="28"/>
        </w:rPr>
        <w:t>Determination Form (</w:t>
      </w:r>
      <w:bookmarkStart w:id="0" w:name="_Hlk134711490"/>
      <w:r w:rsidR="009E793E">
        <w:rPr>
          <w:rFonts w:cs="Times New Roman"/>
          <w:b/>
          <w:bCs/>
          <w:sz w:val="28"/>
          <w:szCs w:val="28"/>
        </w:rPr>
        <w:t>SFHDF</w:t>
      </w:r>
      <w:bookmarkEnd w:id="0"/>
      <w:r w:rsidR="009E793E">
        <w:rPr>
          <w:rFonts w:cs="Times New Roman"/>
          <w:b/>
          <w:bCs/>
          <w:sz w:val="28"/>
          <w:szCs w:val="28"/>
        </w:rPr>
        <w:t>)</w:t>
      </w:r>
    </w:p>
    <w:p w:rsidR="00635E63" w:rsidRPr="002A6107" w:rsidP="002A6107" w14:paraId="55473250" w14:textId="77777777">
      <w:pPr>
        <w:spacing w:line="276" w:lineRule="auto"/>
        <w:contextualSpacing/>
        <w:rPr>
          <w:rFonts w:cs="Times New Roman"/>
          <w:b/>
          <w:bCs/>
          <w:sz w:val="28"/>
          <w:szCs w:val="28"/>
        </w:rPr>
      </w:pPr>
    </w:p>
    <w:p w:rsidR="007E62FC" w:rsidP="00E0266A" w14:paraId="75382B4A" w14:textId="77777777">
      <w:pPr>
        <w:spacing w:line="276" w:lineRule="auto"/>
        <w:contextualSpacing/>
        <w:rPr>
          <w:rFonts w:cs="Times New Roman"/>
          <w:b/>
          <w:bCs/>
          <w:sz w:val="28"/>
          <w:szCs w:val="28"/>
        </w:rPr>
      </w:pPr>
      <w:bookmarkStart w:id="1" w:name="_Hlk134166280"/>
      <w:r w:rsidRPr="002A6107">
        <w:rPr>
          <w:rFonts w:cs="Times New Roman"/>
          <w:b/>
          <w:bCs/>
          <w:sz w:val="28"/>
          <w:szCs w:val="28"/>
        </w:rPr>
        <w:t>Form Number(s):</w:t>
      </w:r>
      <w:r w:rsidR="001436BF">
        <w:rPr>
          <w:rFonts w:cs="Times New Roman"/>
          <w:b/>
          <w:bCs/>
          <w:sz w:val="28"/>
          <w:szCs w:val="28"/>
        </w:rPr>
        <w:t xml:space="preserve"> </w:t>
      </w:r>
    </w:p>
    <w:p w:rsidR="007E62FC" w:rsidRPr="007E62FC" w:rsidP="007E62FC" w14:paraId="537C358D" w14:textId="5C3B8EE1">
      <w:pPr>
        <w:pStyle w:val="ListParagraph"/>
        <w:numPr>
          <w:ilvl w:val="0"/>
          <w:numId w:val="11"/>
        </w:numPr>
        <w:spacing w:line="276" w:lineRule="auto"/>
        <w:rPr>
          <w:rFonts w:cs="Times New Roman"/>
          <w:b/>
          <w:bCs/>
          <w:sz w:val="26"/>
          <w:szCs w:val="26"/>
        </w:rPr>
      </w:pPr>
      <w:bookmarkStart w:id="2" w:name="_Hlk131141161"/>
      <w:bookmarkStart w:id="3" w:name="_Hlk135135281"/>
      <w:r w:rsidRPr="007E62FC">
        <w:rPr>
          <w:rFonts w:cs="Times New Roman"/>
          <w:b/>
          <w:bCs/>
          <w:sz w:val="26"/>
          <w:szCs w:val="26"/>
        </w:rPr>
        <w:t xml:space="preserve">FEMA Form </w:t>
      </w:r>
      <w:r w:rsidRPr="007E62FC" w:rsidR="00FD280B">
        <w:rPr>
          <w:rFonts w:cs="Times New Roman"/>
          <w:b/>
          <w:bCs/>
          <w:sz w:val="26"/>
          <w:szCs w:val="26"/>
        </w:rPr>
        <w:t>FF-</w:t>
      </w:r>
      <w:r w:rsidRPr="007E62FC" w:rsidR="00E25501">
        <w:rPr>
          <w:rFonts w:cs="Times New Roman"/>
          <w:b/>
          <w:bCs/>
          <w:sz w:val="26"/>
          <w:szCs w:val="26"/>
        </w:rPr>
        <w:t>206</w:t>
      </w:r>
      <w:r w:rsidRPr="007E62FC" w:rsidR="00FD280B">
        <w:rPr>
          <w:rFonts w:cs="Times New Roman"/>
          <w:b/>
          <w:bCs/>
          <w:sz w:val="26"/>
          <w:szCs w:val="26"/>
        </w:rPr>
        <w:t>-FY-2</w:t>
      </w:r>
      <w:r w:rsidRPr="007E62FC" w:rsidR="00E25501">
        <w:rPr>
          <w:rFonts w:cs="Times New Roman"/>
          <w:b/>
          <w:bCs/>
          <w:sz w:val="26"/>
          <w:szCs w:val="26"/>
        </w:rPr>
        <w:t>1</w:t>
      </w:r>
      <w:r w:rsidRPr="007E62FC" w:rsidR="00FD280B">
        <w:rPr>
          <w:rFonts w:cs="Times New Roman"/>
          <w:b/>
          <w:bCs/>
          <w:sz w:val="26"/>
          <w:szCs w:val="26"/>
        </w:rPr>
        <w:t>-1</w:t>
      </w:r>
      <w:r w:rsidRPr="007E62FC" w:rsidR="00E25501">
        <w:rPr>
          <w:rFonts w:cs="Times New Roman"/>
          <w:b/>
          <w:bCs/>
          <w:sz w:val="26"/>
          <w:szCs w:val="26"/>
        </w:rPr>
        <w:t>16</w:t>
      </w:r>
      <w:r w:rsidRPr="007E62FC" w:rsidR="00FD280B">
        <w:rPr>
          <w:rFonts w:cs="Times New Roman"/>
          <w:b/>
          <w:bCs/>
          <w:sz w:val="26"/>
          <w:szCs w:val="26"/>
        </w:rPr>
        <w:t xml:space="preserve"> </w:t>
      </w:r>
      <w:bookmarkEnd w:id="2"/>
      <w:r w:rsidRPr="007E62FC" w:rsidR="00FD280B">
        <w:rPr>
          <w:rFonts w:cs="Times New Roman"/>
          <w:b/>
          <w:bCs/>
          <w:sz w:val="26"/>
          <w:szCs w:val="26"/>
        </w:rPr>
        <w:t>(</w:t>
      </w:r>
      <w:r w:rsidRPr="007E62FC">
        <w:rPr>
          <w:rFonts w:cs="Times New Roman"/>
          <w:b/>
          <w:bCs/>
          <w:sz w:val="26"/>
          <w:szCs w:val="26"/>
        </w:rPr>
        <w:t>f</w:t>
      </w:r>
      <w:r w:rsidRPr="007E62FC" w:rsidR="00E0266A">
        <w:rPr>
          <w:rFonts w:cs="Times New Roman"/>
          <w:b/>
          <w:bCs/>
          <w:sz w:val="26"/>
          <w:szCs w:val="26"/>
        </w:rPr>
        <w:t xml:space="preserve">ormerly </w:t>
      </w:r>
      <w:r w:rsidRPr="007E62FC" w:rsidR="00FD280B">
        <w:rPr>
          <w:rFonts w:cs="Times New Roman"/>
          <w:b/>
          <w:bCs/>
          <w:sz w:val="26"/>
          <w:szCs w:val="26"/>
        </w:rPr>
        <w:t>086-0-32)</w:t>
      </w:r>
      <w:r w:rsidRPr="007E62FC" w:rsidR="00E82AA7">
        <w:rPr>
          <w:rFonts w:cs="Times New Roman"/>
          <w:b/>
          <w:bCs/>
          <w:sz w:val="26"/>
          <w:szCs w:val="26"/>
        </w:rPr>
        <w:t>,</w:t>
      </w:r>
      <w:bookmarkEnd w:id="3"/>
      <w:r w:rsidRPr="007E62FC" w:rsidR="00E82AA7">
        <w:rPr>
          <w:rFonts w:cs="Times New Roman"/>
          <w:b/>
          <w:bCs/>
          <w:sz w:val="26"/>
          <w:szCs w:val="26"/>
        </w:rPr>
        <w:t xml:space="preserve"> </w:t>
      </w:r>
      <w:bookmarkStart w:id="4" w:name="_Hlk134717040"/>
      <w:r w:rsidRPr="007E62FC" w:rsidR="00E82AA7">
        <w:rPr>
          <w:rFonts w:cs="Times New Roman"/>
          <w:b/>
          <w:bCs/>
          <w:sz w:val="26"/>
          <w:szCs w:val="26"/>
        </w:rPr>
        <w:t xml:space="preserve">Standard Flood </w:t>
      </w:r>
      <w:r w:rsidRPr="007E62FC" w:rsidR="002E29B4">
        <w:rPr>
          <w:rFonts w:cs="Times New Roman"/>
          <w:b/>
          <w:bCs/>
          <w:sz w:val="26"/>
          <w:szCs w:val="26"/>
        </w:rPr>
        <w:t xml:space="preserve">Hazard </w:t>
      </w:r>
      <w:r w:rsidRPr="007E62FC" w:rsidR="00E82AA7">
        <w:rPr>
          <w:rFonts w:cs="Times New Roman"/>
          <w:b/>
          <w:bCs/>
          <w:sz w:val="26"/>
          <w:szCs w:val="26"/>
        </w:rPr>
        <w:t>Determination Form</w:t>
      </w:r>
      <w:bookmarkEnd w:id="4"/>
      <w:r w:rsidRPr="007E62FC">
        <w:rPr>
          <w:rFonts w:cs="Times New Roman"/>
          <w:b/>
          <w:bCs/>
          <w:sz w:val="26"/>
          <w:szCs w:val="26"/>
        </w:rPr>
        <w:t>; and</w:t>
      </w:r>
    </w:p>
    <w:p w:rsidR="009E793E" w:rsidRPr="007E62FC" w:rsidP="007E62FC" w14:paraId="27620254" w14:textId="6D425B43">
      <w:pPr>
        <w:pStyle w:val="ListParagraph"/>
        <w:numPr>
          <w:ilvl w:val="0"/>
          <w:numId w:val="11"/>
        </w:numPr>
        <w:spacing w:line="276" w:lineRule="auto"/>
        <w:rPr>
          <w:rFonts w:cs="Times New Roman"/>
          <w:b/>
          <w:bCs/>
          <w:sz w:val="26"/>
          <w:szCs w:val="26"/>
        </w:rPr>
      </w:pPr>
      <w:r w:rsidRPr="007E62FC">
        <w:rPr>
          <w:rFonts w:cs="Times New Roman"/>
          <w:b/>
          <w:bCs/>
          <w:sz w:val="26"/>
          <w:szCs w:val="26"/>
        </w:rPr>
        <w:t>FEMA Instruction FI-206-FY-22-102</w:t>
      </w:r>
      <w:r>
        <w:rPr>
          <w:rFonts w:cs="Times New Roman"/>
          <w:b/>
          <w:bCs/>
          <w:sz w:val="26"/>
          <w:szCs w:val="26"/>
        </w:rPr>
        <w:t>, Standard Flood Hazard Determination Form</w:t>
      </w:r>
    </w:p>
    <w:p w:rsidR="00635E63" w:rsidRPr="00151CD5" w:rsidP="002A6107" w14:paraId="76000D21" w14:textId="77777777">
      <w:pPr>
        <w:spacing w:line="276" w:lineRule="auto"/>
        <w:contextualSpacing/>
        <w:rPr>
          <w:rFonts w:cs="Times New Roman"/>
          <w:b/>
          <w:bCs/>
          <w:szCs w:val="24"/>
        </w:rPr>
      </w:pPr>
    </w:p>
    <w:bookmarkEnd w:id="1"/>
    <w:p w:rsidR="00635E63" w:rsidRPr="002A6107" w:rsidP="002A6107" w14:paraId="7B04A92A" w14:textId="77777777">
      <w:pPr>
        <w:spacing w:line="276" w:lineRule="auto"/>
        <w:contextualSpacing/>
        <w:rPr>
          <w:rFonts w:cs="Times New Roman"/>
          <w:b/>
          <w:bCs/>
          <w:sz w:val="28"/>
          <w:szCs w:val="28"/>
        </w:rPr>
      </w:pPr>
      <w:r w:rsidRPr="002A6107">
        <w:rPr>
          <w:rFonts w:cs="Times New Roman"/>
          <w:b/>
          <w:bCs/>
          <w:sz w:val="28"/>
          <w:szCs w:val="28"/>
        </w:rPr>
        <w:t>General Instructions</w:t>
      </w:r>
    </w:p>
    <w:p w:rsidR="00635E63" w:rsidRPr="002A6107" w:rsidP="002A6107" w14:paraId="7CDAABF6" w14:textId="77777777">
      <w:pPr>
        <w:spacing w:line="276" w:lineRule="auto"/>
        <w:contextualSpacing/>
        <w:rPr>
          <w:rFonts w:cs="Times New Roman"/>
        </w:rPr>
      </w:pPr>
    </w:p>
    <w:p w:rsidR="00635E63" w:rsidRPr="002A6107" w:rsidP="002A6107" w14:paraId="6C03F85F" w14:textId="09E6AE6E">
      <w:pPr>
        <w:spacing w:line="276" w:lineRule="auto"/>
        <w:contextualSpacing/>
        <w:rPr>
          <w:rFonts w:cs="Times New Roman"/>
        </w:rPr>
      </w:pPr>
      <w:r w:rsidRPr="6BD41719">
        <w:rPr>
          <w:rFonts w:cs="Times New Roman"/>
        </w:rPr>
        <w:t xml:space="preserve">A Supporting Statement, including the text of the notice to the public required by 5 CFR 1320.5(a) and its actual or estimated date of publication in the Federal Register, must accompany </w:t>
      </w:r>
      <w:r w:rsidRPr="6BD41719" w:rsidR="60FCFFEF">
        <w:rPr>
          <w:rFonts w:cs="Times New Roman"/>
        </w:rPr>
        <w:t>each</w:t>
      </w:r>
      <w:r w:rsidRPr="6BD41719">
        <w:rPr>
          <w:rFonts w:cs="Times New Roman"/>
        </w:rPr>
        <w:t xml:space="preserve"> request for approval of a collection of information.  The Supporting Statement must be prepared in the format described below,</w:t>
      </w:r>
      <w:r w:rsidRPr="6BD41719" w:rsidR="00403955">
        <w:rPr>
          <w:rFonts w:cs="Times New Roman"/>
        </w:rPr>
        <w:t xml:space="preserve"> </w:t>
      </w:r>
      <w:r w:rsidRPr="6BD41719">
        <w:rPr>
          <w:rFonts w:cs="Times New Roman"/>
        </w:rPr>
        <w:t>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2A6107" w14:paraId="6F5C4607" w14:textId="77777777">
      <w:pPr>
        <w:spacing w:line="276" w:lineRule="auto"/>
        <w:contextualSpacing/>
        <w:rPr>
          <w:rFonts w:cs="Times New Roman"/>
        </w:rPr>
      </w:pPr>
    </w:p>
    <w:p w:rsidR="00635E63" w:rsidRPr="002A6107" w:rsidP="002A6107" w14:paraId="41F75B93" w14:textId="77777777">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2A6107" w14:paraId="4980F8EF" w14:textId="77777777">
      <w:pPr>
        <w:spacing w:line="276" w:lineRule="auto"/>
        <w:contextualSpacing/>
        <w:rPr>
          <w:rFonts w:cs="Times New Roman"/>
        </w:rPr>
      </w:pPr>
    </w:p>
    <w:p w:rsidR="00635E63" w:rsidRPr="006A2BC6" w:rsidP="006A2BC6" w14:paraId="73DABD31" w14:textId="77777777">
      <w:pPr>
        <w:spacing w:line="276" w:lineRule="auto"/>
        <w:contextualSpacing/>
        <w:rPr>
          <w:rFonts w:cs="Times New Roman"/>
          <w:b/>
          <w:bCs/>
          <w:szCs w:val="24"/>
        </w:rPr>
      </w:pPr>
      <w:r w:rsidRPr="006A2BC6">
        <w:rPr>
          <w:rFonts w:cs="Times New Roman"/>
          <w:b/>
          <w:bCs/>
          <w:szCs w:val="24"/>
        </w:rPr>
        <w:t>A.  Justification</w:t>
      </w:r>
    </w:p>
    <w:p w:rsidR="00635E63" w:rsidRPr="006A2BC6" w:rsidP="006A2BC6" w14:paraId="2998EEDF" w14:textId="77777777">
      <w:pPr>
        <w:spacing w:line="276" w:lineRule="auto"/>
        <w:contextualSpacing/>
        <w:rPr>
          <w:rFonts w:cs="Times New Roman"/>
          <w:szCs w:val="24"/>
        </w:rPr>
      </w:pPr>
    </w:p>
    <w:p w:rsidR="00635E63" w:rsidRPr="006A2BC6" w:rsidP="006A2BC6" w14:paraId="6B10B468" w14:textId="77777777">
      <w:pPr>
        <w:pStyle w:val="ListParagraph"/>
        <w:numPr>
          <w:ilvl w:val="0"/>
          <w:numId w:val="6"/>
        </w:numPr>
        <w:spacing w:line="276" w:lineRule="auto"/>
        <w:rPr>
          <w:rFonts w:cs="Times New Roman"/>
          <w:b/>
          <w:bCs/>
          <w:szCs w:val="24"/>
        </w:rPr>
      </w:pPr>
      <w:r w:rsidRPr="006A2BC6">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6A2BC6" w:rsidR="00B17A38">
        <w:rPr>
          <w:rFonts w:cs="Times New Roman"/>
          <w:b/>
          <w:bCs/>
          <w:szCs w:val="24"/>
        </w:rPr>
        <w:t>ch statute and regulation mandating or authorizing the collection of information.  Provide a detailed description of the nature and source of the information to be collected.</w:t>
      </w:r>
    </w:p>
    <w:p w:rsidR="00174B16" w:rsidRPr="006A2BC6" w:rsidP="006A2BC6" w14:paraId="7AE5D9FC" w14:textId="77777777">
      <w:pPr>
        <w:spacing w:line="276" w:lineRule="auto"/>
        <w:contextualSpacing/>
        <w:rPr>
          <w:rFonts w:cs="Times New Roman"/>
          <w:szCs w:val="24"/>
        </w:rPr>
      </w:pPr>
    </w:p>
    <w:p w:rsidR="009E793E" w:rsidP="006A2BC6" w14:paraId="5EE8A170" w14:textId="58717BA7">
      <w:pPr>
        <w:spacing w:line="276" w:lineRule="auto"/>
        <w:contextualSpacing/>
        <w:rPr>
          <w:rFonts w:cs="Times New Roman"/>
          <w:szCs w:val="24"/>
        </w:rPr>
      </w:pPr>
      <w:r w:rsidRPr="006A2BC6">
        <w:rPr>
          <w:rFonts w:cs="Times New Roman"/>
          <w:szCs w:val="24"/>
        </w:rPr>
        <w:t xml:space="preserve">Section 1365 of the National Flood Insurance Act of 1968 (NFIA) (42 U.S.C. </w:t>
      </w:r>
      <w:r w:rsidRPr="006A2BC6" w:rsidR="0073355B">
        <w:rPr>
          <w:rFonts w:cs="Times New Roman"/>
          <w:szCs w:val="24"/>
        </w:rPr>
        <w:t xml:space="preserve">§ </w:t>
      </w:r>
      <w:r w:rsidRPr="006A2BC6">
        <w:rPr>
          <w:rFonts w:cs="Times New Roman"/>
          <w:szCs w:val="24"/>
        </w:rPr>
        <w:t>4104b), as added by Section 528 of the National Flood Insurance Reform Act of 1994 (Pub</w:t>
      </w:r>
      <w:r w:rsidRPr="006A2BC6" w:rsidR="0073355B">
        <w:rPr>
          <w:rFonts w:cs="Times New Roman"/>
          <w:szCs w:val="24"/>
        </w:rPr>
        <w:t>.</w:t>
      </w:r>
      <w:r w:rsidRPr="006A2BC6">
        <w:rPr>
          <w:rFonts w:cs="Times New Roman"/>
          <w:szCs w:val="24"/>
        </w:rPr>
        <w:t xml:space="preserve"> </w:t>
      </w:r>
      <w:r w:rsidRPr="006A2BC6" w:rsidR="0073355B">
        <w:rPr>
          <w:rFonts w:cs="Times New Roman"/>
          <w:szCs w:val="24"/>
        </w:rPr>
        <w:t>L</w:t>
      </w:r>
      <w:r w:rsidRPr="006A2BC6">
        <w:rPr>
          <w:rFonts w:cs="Times New Roman"/>
          <w:szCs w:val="24"/>
        </w:rPr>
        <w:t xml:space="preserve"> 103-325, </w:t>
      </w:r>
      <w:r w:rsidRPr="006A2BC6" w:rsidR="0073355B">
        <w:rPr>
          <w:rFonts w:cs="Times New Roman"/>
          <w:szCs w:val="24"/>
        </w:rPr>
        <w:t>T</w:t>
      </w:r>
      <w:r w:rsidRPr="006A2BC6">
        <w:rPr>
          <w:rFonts w:cs="Times New Roman"/>
          <w:szCs w:val="24"/>
        </w:rPr>
        <w:t xml:space="preserve">itle V), </w:t>
      </w:r>
      <w:r w:rsidRPr="006A2BC6">
        <w:rPr>
          <w:rFonts w:cs="Times New Roman"/>
          <w:szCs w:val="24"/>
        </w:rPr>
        <w:t xml:space="preserve">requires that </w:t>
      </w:r>
      <w:r w:rsidRPr="006A2BC6" w:rsidR="001128E8">
        <w:rPr>
          <w:rFonts w:cs="Times New Roman"/>
          <w:szCs w:val="24"/>
        </w:rPr>
        <w:t>the Federal Emergency Management Agency (</w:t>
      </w:r>
      <w:r w:rsidRPr="006A2BC6">
        <w:rPr>
          <w:rFonts w:cs="Times New Roman"/>
          <w:szCs w:val="24"/>
        </w:rPr>
        <w:t>FEMA</w:t>
      </w:r>
      <w:r w:rsidRPr="006A2BC6" w:rsidR="001128E8">
        <w:rPr>
          <w:rFonts w:cs="Times New Roman"/>
          <w:szCs w:val="24"/>
        </w:rPr>
        <w:t>)</w:t>
      </w:r>
      <w:r w:rsidRPr="006A2BC6">
        <w:rPr>
          <w:rFonts w:cs="Times New Roman"/>
          <w:szCs w:val="24"/>
        </w:rPr>
        <w:t xml:space="preserve"> develop a standard hazard determination form for recording the determination of whether a structure is located within an identified Special Flood Hazard Area and whether flood insurance is available.  Regulated lending institutions, federal agency lenders, the Federal National Mortgage Association, the Federal Home Loan Mortgage Corporation, and the Government National Mortgage Association must complete this form for any loan made, increased, extended, renewed or purchased by these entities.  The requirement for </w:t>
      </w:r>
      <w:r w:rsidRPr="006A2BC6" w:rsidR="00C94DFF">
        <w:rPr>
          <w:rFonts w:cs="Times New Roman"/>
          <w:szCs w:val="24"/>
        </w:rPr>
        <w:t>F</w:t>
      </w:r>
      <w:r w:rsidRPr="006A2BC6">
        <w:rPr>
          <w:rFonts w:cs="Times New Roman"/>
          <w:szCs w:val="24"/>
        </w:rPr>
        <w:t>ederally</w:t>
      </w:r>
      <w:r w:rsidRPr="006A2BC6" w:rsidR="00C94DFF">
        <w:rPr>
          <w:rFonts w:cs="Times New Roman"/>
          <w:szCs w:val="24"/>
        </w:rPr>
        <w:t>-</w:t>
      </w:r>
      <w:r w:rsidRPr="006A2BC6">
        <w:rPr>
          <w:rFonts w:cs="Times New Roman"/>
          <w:szCs w:val="24"/>
        </w:rPr>
        <w:t xml:space="preserve">regulated lending institutions to determine whether a building or mobile home securing a loan is located in an area having special flood hazards and whether flood insurance is available has been in effect since the enactment of the Flood Disaster Protection Act of 1973, although the use of a standard form was not required until the enactment of the Section 1365 of the NFIA.  The establishment of the Standard Flood Hazard Determination </w:t>
      </w:r>
      <w:r w:rsidRPr="006A2BC6" w:rsidR="001128E8">
        <w:rPr>
          <w:rFonts w:cs="Times New Roman"/>
          <w:szCs w:val="24"/>
        </w:rPr>
        <w:t>F</w:t>
      </w:r>
      <w:r w:rsidRPr="006A2BC6">
        <w:rPr>
          <w:rFonts w:cs="Times New Roman"/>
          <w:szCs w:val="24"/>
        </w:rPr>
        <w:t>orm</w:t>
      </w:r>
      <w:r w:rsidRPr="006A2BC6" w:rsidR="001128E8">
        <w:rPr>
          <w:rFonts w:cs="Times New Roman"/>
          <w:szCs w:val="24"/>
        </w:rPr>
        <w:t xml:space="preserve"> (SFHDF)</w:t>
      </w:r>
      <w:r w:rsidRPr="006A2BC6">
        <w:rPr>
          <w:rFonts w:cs="Times New Roman"/>
          <w:szCs w:val="24"/>
        </w:rPr>
        <w:t xml:space="preserve"> has enabled lenders to provide consistent information.   </w:t>
      </w:r>
    </w:p>
    <w:p w:rsidR="00570B14" w:rsidP="006A2BC6" w14:paraId="14A1956E" w14:textId="046B620A">
      <w:pPr>
        <w:spacing w:line="276" w:lineRule="auto"/>
        <w:contextualSpacing/>
        <w:rPr>
          <w:rFonts w:cs="Times New Roman"/>
          <w:szCs w:val="24"/>
        </w:rPr>
      </w:pPr>
    </w:p>
    <w:p w:rsidR="00570B14" w:rsidRPr="006A2BC6" w:rsidP="006A2BC6" w14:paraId="269CBE33" w14:textId="1404D3EA">
      <w:pPr>
        <w:spacing w:line="276" w:lineRule="auto"/>
        <w:contextualSpacing/>
        <w:rPr>
          <w:rFonts w:cs="Times New Roman"/>
          <w:szCs w:val="24"/>
        </w:rPr>
      </w:pPr>
      <w:r>
        <w:rPr>
          <w:rFonts w:cs="Times New Roman"/>
          <w:szCs w:val="24"/>
        </w:rPr>
        <w:t xml:space="preserve">FEMA is revising this information collection into a common form collection to more accurately reflect how FEMA provides this instrument </w:t>
      </w:r>
      <w:r w:rsidR="00B926D6">
        <w:rPr>
          <w:rFonts w:cs="Times New Roman"/>
          <w:szCs w:val="24"/>
        </w:rPr>
        <w:t xml:space="preserve">pursuant to statutory mandate </w:t>
      </w:r>
      <w:r w:rsidR="00CA1129">
        <w:rPr>
          <w:rFonts w:cs="Times New Roman"/>
          <w:szCs w:val="24"/>
        </w:rPr>
        <w:t>for</w:t>
      </w:r>
      <w:r w:rsidR="00427E8F">
        <w:rPr>
          <w:rFonts w:cs="Times New Roman"/>
          <w:szCs w:val="24"/>
        </w:rPr>
        <w:t xml:space="preserve"> </w:t>
      </w:r>
      <w:r w:rsidR="00C56034">
        <w:rPr>
          <w:rFonts w:cs="Times New Roman"/>
          <w:szCs w:val="24"/>
        </w:rPr>
        <w:t xml:space="preserve">other </w:t>
      </w:r>
      <w:r w:rsidR="00427E8F">
        <w:rPr>
          <w:rFonts w:cs="Times New Roman"/>
          <w:szCs w:val="24"/>
        </w:rPr>
        <w:t>entities</w:t>
      </w:r>
      <w:r w:rsidR="00750556">
        <w:rPr>
          <w:rFonts w:cs="Times New Roman"/>
          <w:szCs w:val="24"/>
        </w:rPr>
        <w:t xml:space="preserve"> (including other Federal </w:t>
      </w:r>
      <w:r w:rsidR="0026416D">
        <w:rPr>
          <w:rFonts w:cs="Times New Roman"/>
          <w:szCs w:val="24"/>
        </w:rPr>
        <w:t xml:space="preserve">Agencies) </w:t>
      </w:r>
      <w:r w:rsidR="00143ACC">
        <w:rPr>
          <w:rFonts w:cs="Times New Roman"/>
          <w:szCs w:val="24"/>
        </w:rPr>
        <w:t>and other</w:t>
      </w:r>
      <w:r w:rsidR="00D824EA">
        <w:rPr>
          <w:rFonts w:cs="Times New Roman"/>
          <w:szCs w:val="24"/>
        </w:rPr>
        <w:t xml:space="preserve">s </w:t>
      </w:r>
      <w:r>
        <w:rPr>
          <w:rFonts w:cs="Times New Roman"/>
          <w:szCs w:val="24"/>
        </w:rPr>
        <w:t xml:space="preserve">to use </w:t>
      </w:r>
      <w:r w:rsidR="00813D10">
        <w:rPr>
          <w:rFonts w:cs="Times New Roman"/>
          <w:szCs w:val="24"/>
        </w:rPr>
        <w:t>and that FEMA</w:t>
      </w:r>
      <w:r>
        <w:rPr>
          <w:rFonts w:cs="Times New Roman"/>
          <w:szCs w:val="24"/>
        </w:rPr>
        <w:t xml:space="preserve"> does not </w:t>
      </w:r>
      <w:r w:rsidR="00813D10">
        <w:rPr>
          <w:rFonts w:cs="Times New Roman"/>
          <w:szCs w:val="24"/>
        </w:rPr>
        <w:t xml:space="preserve">use the instrument to </w:t>
      </w:r>
      <w:r>
        <w:rPr>
          <w:rFonts w:cs="Times New Roman"/>
          <w:szCs w:val="24"/>
        </w:rPr>
        <w:t xml:space="preserve">collect any information </w:t>
      </w:r>
      <w:r w:rsidR="00813D10">
        <w:rPr>
          <w:rFonts w:cs="Times New Roman"/>
          <w:szCs w:val="24"/>
        </w:rPr>
        <w:t>from the public</w:t>
      </w:r>
      <w:r>
        <w:rPr>
          <w:rFonts w:cs="Times New Roman"/>
          <w:szCs w:val="24"/>
        </w:rPr>
        <w:t>.  By converting this into a common form collection, other Federal Agencies will also be able to request approval to use the instrument under this information collection.</w:t>
      </w:r>
    </w:p>
    <w:p w:rsidR="00174B16" w:rsidRPr="006A2BC6" w:rsidP="006A2BC6" w14:paraId="1D86407F" w14:textId="77777777">
      <w:pPr>
        <w:spacing w:line="276" w:lineRule="auto"/>
        <w:contextualSpacing/>
        <w:rPr>
          <w:rFonts w:cs="Times New Roman"/>
          <w:szCs w:val="24"/>
        </w:rPr>
      </w:pPr>
    </w:p>
    <w:p w:rsidR="00B17A38" w:rsidRPr="006A2BC6" w:rsidP="006A2BC6" w14:paraId="426516D0" w14:textId="77777777">
      <w:pPr>
        <w:pStyle w:val="ListParagraph"/>
        <w:numPr>
          <w:ilvl w:val="0"/>
          <w:numId w:val="6"/>
        </w:numPr>
        <w:spacing w:line="276" w:lineRule="auto"/>
        <w:rPr>
          <w:rFonts w:cs="Times New Roman"/>
          <w:b/>
          <w:bCs/>
          <w:szCs w:val="24"/>
        </w:rPr>
      </w:pPr>
      <w:r w:rsidRPr="006A2BC6">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6A2BC6" w:rsidP="006A2BC6" w14:paraId="3B28F8C3" w14:textId="77777777">
      <w:pPr>
        <w:spacing w:line="276" w:lineRule="auto"/>
        <w:contextualSpacing/>
        <w:rPr>
          <w:rFonts w:cs="Times New Roman"/>
          <w:szCs w:val="24"/>
        </w:rPr>
      </w:pPr>
    </w:p>
    <w:p w:rsidR="009E793E" w:rsidRPr="006A2BC6" w:rsidP="006A2BC6" w14:paraId="2DDC2A75" w14:textId="245EAA9D">
      <w:pPr>
        <w:spacing w:line="276" w:lineRule="auto"/>
        <w:contextualSpacing/>
        <w:rPr>
          <w:rFonts w:cs="Times New Roman"/>
          <w:szCs w:val="24"/>
        </w:rPr>
      </w:pPr>
      <w:r w:rsidRPr="006A2BC6">
        <w:rPr>
          <w:rFonts w:cs="Times New Roman"/>
          <w:b/>
          <w:szCs w:val="24"/>
        </w:rPr>
        <w:t xml:space="preserve">FEMA Form </w:t>
      </w:r>
      <w:r w:rsidRPr="006A2BC6">
        <w:rPr>
          <w:rFonts w:cs="Times New Roman"/>
          <w:b/>
          <w:bCs/>
          <w:szCs w:val="24"/>
        </w:rPr>
        <w:t>FF</w:t>
      </w:r>
      <w:r w:rsidR="001436BF">
        <w:rPr>
          <w:rFonts w:cs="Times New Roman"/>
          <w:b/>
          <w:bCs/>
          <w:szCs w:val="24"/>
        </w:rPr>
        <w:t>-206-FY-21-116</w:t>
      </w:r>
      <w:r w:rsidRPr="006A2BC6" w:rsidR="00C94DFF">
        <w:rPr>
          <w:rFonts w:cs="Times New Roman"/>
          <w:b/>
          <w:bCs/>
          <w:szCs w:val="24"/>
        </w:rPr>
        <w:t xml:space="preserve"> </w:t>
      </w:r>
      <w:r w:rsidRPr="00A90464" w:rsidR="00C94DFF">
        <w:rPr>
          <w:rFonts w:cs="Times New Roman"/>
          <w:b/>
          <w:bCs/>
          <w:szCs w:val="24"/>
        </w:rPr>
        <w:t>(formerly 086-0-32), Standard Flood Hazard Determination Form</w:t>
      </w:r>
      <w:r w:rsidRPr="006A2BC6" w:rsidR="00C94DFF">
        <w:rPr>
          <w:rFonts w:cs="Times New Roman"/>
          <w:b/>
          <w:bCs/>
          <w:szCs w:val="24"/>
        </w:rPr>
        <w:t xml:space="preserve"> (SFHDF)</w:t>
      </w:r>
      <w:r w:rsidRPr="00A90464">
        <w:rPr>
          <w:rFonts w:cs="Times New Roman"/>
          <w:szCs w:val="24"/>
        </w:rPr>
        <w:t xml:space="preserve"> </w:t>
      </w:r>
      <w:r w:rsidRPr="006A2BC6">
        <w:rPr>
          <w:rFonts w:cs="Times New Roman"/>
          <w:szCs w:val="24"/>
        </w:rPr>
        <w:t>is used to comply with Section 1365 of the</w:t>
      </w:r>
      <w:r w:rsidRPr="006A2BC6" w:rsidR="0073355B">
        <w:rPr>
          <w:rFonts w:cs="Times New Roman"/>
          <w:szCs w:val="24"/>
        </w:rPr>
        <w:t xml:space="preserve"> </w:t>
      </w:r>
      <w:r w:rsidRPr="006A2BC6">
        <w:rPr>
          <w:rFonts w:cs="Times New Roman"/>
          <w:szCs w:val="24"/>
        </w:rPr>
        <w:t xml:space="preserve">NFIA.  The </w:t>
      </w:r>
      <w:r w:rsidRPr="006A2BC6" w:rsidR="001128E8">
        <w:rPr>
          <w:rFonts w:cs="Times New Roman"/>
          <w:szCs w:val="24"/>
        </w:rPr>
        <w:t xml:space="preserve">SFHDF </w:t>
      </w:r>
      <w:r w:rsidRPr="006A2BC6">
        <w:rPr>
          <w:rFonts w:cs="Times New Roman"/>
          <w:szCs w:val="24"/>
        </w:rPr>
        <w:t xml:space="preserve">is used by regulated lending institutions, </w:t>
      </w:r>
      <w:r w:rsidRPr="006A2BC6" w:rsidR="0073355B">
        <w:rPr>
          <w:rFonts w:cs="Times New Roman"/>
          <w:szCs w:val="24"/>
        </w:rPr>
        <w:t>F</w:t>
      </w:r>
      <w:r w:rsidRPr="006A2BC6">
        <w:rPr>
          <w:rFonts w:cs="Times New Roman"/>
          <w:szCs w:val="24"/>
        </w:rPr>
        <w:t>ederal agency lenders, the Federal National Mortgage Association, the Federal Home Loan Mortgage Corporation, and the Government National Mortgage Association.  Federally</w:t>
      </w:r>
      <w:r w:rsidRPr="006A2BC6" w:rsidR="001128E8">
        <w:rPr>
          <w:rFonts w:cs="Times New Roman"/>
          <w:szCs w:val="24"/>
        </w:rPr>
        <w:t>-</w:t>
      </w:r>
      <w:r w:rsidRPr="006A2BC6">
        <w:rPr>
          <w:rFonts w:cs="Times New Roman"/>
          <w:szCs w:val="24"/>
        </w:rPr>
        <w:t xml:space="preserve">regulated lending institutions complete this form when making, increasing, extending, renewing or purchasing each loan for the purpose of determining whether flood insurance is required and available.  The </w:t>
      </w:r>
      <w:r w:rsidRPr="006A2BC6" w:rsidR="001128E8">
        <w:rPr>
          <w:rFonts w:cs="Times New Roman"/>
          <w:szCs w:val="24"/>
        </w:rPr>
        <w:t>instrument</w:t>
      </w:r>
      <w:r w:rsidRPr="006A2BC6">
        <w:rPr>
          <w:rFonts w:cs="Times New Roman"/>
          <w:szCs w:val="24"/>
        </w:rPr>
        <w:t xml:space="preserve"> may also be used by property owners, insurance agents, realtors and community officials for flood insurance related activities and documentation.   </w:t>
      </w:r>
    </w:p>
    <w:p w:rsidR="00F92C3F" w:rsidRPr="006A2BC6" w:rsidP="006A2BC6" w14:paraId="72558745" w14:textId="77777777">
      <w:pPr>
        <w:spacing w:line="276" w:lineRule="auto"/>
        <w:contextualSpacing/>
        <w:rPr>
          <w:rFonts w:cs="Times New Roman"/>
          <w:szCs w:val="24"/>
        </w:rPr>
      </w:pPr>
    </w:p>
    <w:p w:rsidR="00B17A38" w:rsidRPr="006A2BC6" w:rsidP="006A2BC6" w14:paraId="563347D1" w14:textId="77777777">
      <w:pPr>
        <w:pStyle w:val="ListParagraph"/>
        <w:numPr>
          <w:ilvl w:val="0"/>
          <w:numId w:val="6"/>
        </w:numPr>
        <w:spacing w:line="276" w:lineRule="auto"/>
        <w:rPr>
          <w:rFonts w:cs="Times New Roman"/>
          <w:b/>
          <w:bCs/>
          <w:szCs w:val="24"/>
        </w:rPr>
      </w:pPr>
      <w:bookmarkStart w:id="5" w:name="_Hlk131141338"/>
      <w:r w:rsidRPr="006A2BC6">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5"/>
    <w:p w:rsidR="009244A1" w:rsidRPr="00A90464" w:rsidP="00A90464" w14:paraId="0857108B" w14:textId="77777777">
      <w:pPr>
        <w:pStyle w:val="CommentText"/>
        <w:spacing w:line="276" w:lineRule="auto"/>
        <w:contextualSpacing/>
        <w:rPr>
          <w:rFonts w:cs="Times New Roman"/>
          <w:sz w:val="24"/>
          <w:szCs w:val="24"/>
        </w:rPr>
      </w:pPr>
    </w:p>
    <w:p w:rsidR="009244A1" w:rsidRPr="006A2BC6" w:rsidP="00A90464" w14:paraId="0F226264" w14:textId="77777777">
      <w:pPr>
        <w:spacing w:line="276" w:lineRule="auto"/>
        <w:contextualSpacing/>
        <w:rPr>
          <w:rFonts w:cs="Times New Roman"/>
          <w:bCs/>
          <w:color w:val="000000"/>
          <w:szCs w:val="24"/>
        </w:rPr>
      </w:pPr>
      <w:r w:rsidRPr="006A2BC6">
        <w:rPr>
          <w:rFonts w:cs="Times New Roman"/>
          <w:bCs/>
          <w:color w:val="000000"/>
          <w:szCs w:val="24"/>
        </w:rPr>
        <w:t xml:space="preserve">FEMA has </w:t>
      </w:r>
      <w:r w:rsidRPr="006A2BC6" w:rsidR="00C94DFF">
        <w:rPr>
          <w:rFonts w:cs="Times New Roman"/>
          <w:bCs/>
          <w:color w:val="000000"/>
          <w:szCs w:val="24"/>
        </w:rPr>
        <w:t>placed</w:t>
      </w:r>
      <w:r w:rsidRPr="006A2BC6">
        <w:rPr>
          <w:rFonts w:cs="Times New Roman"/>
          <w:bCs/>
          <w:color w:val="000000"/>
          <w:szCs w:val="24"/>
        </w:rPr>
        <w:t xml:space="preserve"> the SFHDF online where users can download the form electronically at </w:t>
      </w:r>
      <w:hyperlink r:id="rId9" w:history="1">
        <w:r w:rsidRPr="006A2BC6">
          <w:rPr>
            <w:rStyle w:val="Hyperlink"/>
            <w:rFonts w:cs="Times New Roman"/>
            <w:bCs/>
            <w:szCs w:val="24"/>
          </w:rPr>
          <w:t>http://www.fema.gov/media-library/assets/documents/225?id=1394</w:t>
        </w:r>
      </w:hyperlink>
      <w:r w:rsidRPr="006A2BC6">
        <w:rPr>
          <w:rFonts w:cs="Times New Roman"/>
          <w:bCs/>
          <w:color w:val="000000"/>
          <w:szCs w:val="24"/>
        </w:rPr>
        <w:t xml:space="preserve">.  The SFHDF may be used in a printed or electronic manner as needed by the user.  </w:t>
      </w:r>
    </w:p>
    <w:p w:rsidR="009244A1" w:rsidRPr="006A2BC6" w:rsidP="00A90464" w14:paraId="35254B27" w14:textId="77777777">
      <w:pPr>
        <w:spacing w:line="276" w:lineRule="auto"/>
        <w:contextualSpacing/>
        <w:rPr>
          <w:rFonts w:cs="Times New Roman"/>
          <w:bCs/>
          <w:color w:val="000000"/>
          <w:szCs w:val="24"/>
        </w:rPr>
      </w:pPr>
    </w:p>
    <w:p w:rsidR="009244A1" w:rsidRPr="006A2BC6" w:rsidP="00A90464" w14:paraId="72C0F32D" w14:textId="47E01430">
      <w:pPr>
        <w:spacing w:line="276" w:lineRule="auto"/>
        <w:contextualSpacing/>
        <w:rPr>
          <w:rFonts w:cs="Times New Roman"/>
          <w:bCs/>
          <w:color w:val="000000"/>
          <w:szCs w:val="24"/>
        </w:rPr>
      </w:pPr>
      <w:r w:rsidRPr="006A2BC6">
        <w:rPr>
          <w:rFonts w:cs="Times New Roman"/>
          <w:bCs/>
          <w:color w:val="000000"/>
          <w:szCs w:val="24"/>
        </w:rPr>
        <w:t xml:space="preserve">FEMA does not collect the information, but we are responsible for creating and updating the form (see response to </w:t>
      </w:r>
      <w:r w:rsidRPr="006A2BC6" w:rsidR="001128E8">
        <w:rPr>
          <w:rFonts w:cs="Times New Roman"/>
          <w:bCs/>
          <w:color w:val="000000"/>
          <w:szCs w:val="24"/>
        </w:rPr>
        <w:t>Q</w:t>
      </w:r>
      <w:r w:rsidRPr="006A2BC6">
        <w:rPr>
          <w:rFonts w:cs="Times New Roman"/>
          <w:bCs/>
          <w:color w:val="000000"/>
          <w:szCs w:val="24"/>
        </w:rPr>
        <w:t xml:space="preserve">uestion 2, regarding the regulatory requirements), the </w:t>
      </w:r>
      <w:r w:rsidRPr="006A2BC6" w:rsidR="001128E8">
        <w:rPr>
          <w:rFonts w:cs="Times New Roman"/>
          <w:bCs/>
          <w:color w:val="000000"/>
          <w:szCs w:val="24"/>
        </w:rPr>
        <w:t>instrument</w:t>
      </w:r>
      <w:r w:rsidRPr="006A2BC6">
        <w:rPr>
          <w:rFonts w:cs="Times New Roman"/>
          <w:bCs/>
          <w:color w:val="000000"/>
          <w:szCs w:val="24"/>
        </w:rPr>
        <w:t xml:space="preserve"> is used to collect flood hazard data by </w:t>
      </w:r>
      <w:r w:rsidRPr="006A2BC6" w:rsidR="001128E8">
        <w:rPr>
          <w:rFonts w:cs="Times New Roman"/>
          <w:bCs/>
          <w:color w:val="000000"/>
          <w:szCs w:val="24"/>
        </w:rPr>
        <w:t>F</w:t>
      </w:r>
      <w:r w:rsidRPr="006A2BC6">
        <w:rPr>
          <w:rFonts w:cs="Times New Roman"/>
          <w:bCs/>
          <w:color w:val="000000"/>
          <w:szCs w:val="24"/>
        </w:rPr>
        <w:t>ederally</w:t>
      </w:r>
      <w:r w:rsidRPr="006A2BC6" w:rsidR="001128E8">
        <w:rPr>
          <w:rFonts w:cs="Times New Roman"/>
          <w:bCs/>
          <w:color w:val="000000"/>
          <w:szCs w:val="24"/>
        </w:rPr>
        <w:t>-</w:t>
      </w:r>
      <w:r w:rsidRPr="006A2BC6">
        <w:rPr>
          <w:rFonts w:cs="Times New Roman"/>
          <w:bCs/>
          <w:color w:val="000000"/>
          <w:szCs w:val="24"/>
        </w:rPr>
        <w:t>regulated lenders outside FEMA’s authority.</w:t>
      </w:r>
      <w:r w:rsidRPr="006A2BC6" w:rsidR="000B36F8">
        <w:rPr>
          <w:rFonts w:cs="Times New Roman"/>
          <w:bCs/>
          <w:color w:val="000000"/>
          <w:szCs w:val="24"/>
        </w:rPr>
        <w:t xml:space="preserve"> </w:t>
      </w:r>
      <w:r w:rsidRPr="006A2BC6">
        <w:rPr>
          <w:rFonts w:cs="Times New Roman"/>
          <w:bCs/>
          <w:color w:val="000000"/>
          <w:szCs w:val="24"/>
        </w:rPr>
        <w:t>Approximately 90% of these responses are collected electronically.</w:t>
      </w:r>
      <w:r w:rsidR="002373CB">
        <w:rPr>
          <w:rFonts w:cs="Times New Roman"/>
          <w:bCs/>
          <w:color w:val="000000"/>
          <w:szCs w:val="24"/>
        </w:rPr>
        <w:t xml:space="preserve"> </w:t>
      </w:r>
      <w:r w:rsidRPr="006A2BC6">
        <w:rPr>
          <w:rFonts w:cs="Times New Roman"/>
          <w:bCs/>
          <w:color w:val="000000"/>
          <w:szCs w:val="24"/>
        </w:rPr>
        <w:t xml:space="preserve"> </w:t>
      </w:r>
      <w:r w:rsidR="002373CB">
        <w:rPr>
          <w:rFonts w:cs="Times New Roman"/>
          <w:bCs/>
          <w:color w:val="000000"/>
          <w:szCs w:val="24"/>
        </w:rPr>
        <w:t xml:space="preserve">FEMA is now revising this information to be a common form collection to more accurately reflect </w:t>
      </w:r>
      <w:r w:rsidR="006E3F19">
        <w:rPr>
          <w:rFonts w:cs="Times New Roman"/>
          <w:bCs/>
          <w:color w:val="000000"/>
          <w:szCs w:val="24"/>
        </w:rPr>
        <w:t xml:space="preserve">how FEMA provides this instrument </w:t>
      </w:r>
      <w:r w:rsidR="00D94AFC">
        <w:rPr>
          <w:rFonts w:cs="Times New Roman"/>
          <w:bCs/>
          <w:color w:val="000000"/>
          <w:szCs w:val="24"/>
        </w:rPr>
        <w:t xml:space="preserve">for Federal entities and others </w:t>
      </w:r>
      <w:r w:rsidR="006E3F19">
        <w:rPr>
          <w:rFonts w:cs="Times New Roman"/>
          <w:bCs/>
          <w:color w:val="000000"/>
          <w:szCs w:val="24"/>
        </w:rPr>
        <w:t xml:space="preserve">to </w:t>
      </w:r>
      <w:r w:rsidR="00901659">
        <w:rPr>
          <w:rFonts w:cs="Times New Roman"/>
          <w:bCs/>
          <w:color w:val="000000"/>
          <w:szCs w:val="24"/>
        </w:rPr>
        <w:t>use but</w:t>
      </w:r>
      <w:r w:rsidR="006E3F19">
        <w:rPr>
          <w:rFonts w:cs="Times New Roman"/>
          <w:bCs/>
          <w:color w:val="000000"/>
          <w:szCs w:val="24"/>
        </w:rPr>
        <w:t xml:space="preserve"> does not collect any information itself.</w:t>
      </w:r>
    </w:p>
    <w:p w:rsidR="009244A1" w:rsidRPr="006A2BC6" w:rsidP="006A2BC6" w14:paraId="6F3E07A5" w14:textId="77777777">
      <w:pPr>
        <w:spacing w:line="276" w:lineRule="auto"/>
        <w:contextualSpacing/>
        <w:rPr>
          <w:rFonts w:cs="Times New Roman"/>
          <w:szCs w:val="24"/>
        </w:rPr>
      </w:pPr>
    </w:p>
    <w:p w:rsidR="00D41954" w:rsidP="6BD41719" w14:paraId="39B84059" w14:textId="71BE570C">
      <w:pPr>
        <w:spacing w:line="276" w:lineRule="auto"/>
        <w:contextualSpacing/>
        <w:rPr>
          <w:rFonts w:cs="Times New Roman"/>
        </w:rPr>
      </w:pPr>
      <w:r w:rsidRPr="6BD41719">
        <w:rPr>
          <w:rFonts w:cs="Times New Roman"/>
        </w:rPr>
        <w:t xml:space="preserve">Usability </w:t>
      </w:r>
      <w:r w:rsidRPr="6BD41719" w:rsidR="001128E8">
        <w:rPr>
          <w:rFonts w:cs="Times New Roman"/>
        </w:rPr>
        <w:t>t</w:t>
      </w:r>
      <w:r w:rsidRPr="6BD41719">
        <w:rPr>
          <w:rFonts w:cs="Times New Roman"/>
        </w:rPr>
        <w:t xml:space="preserve">esting </w:t>
      </w:r>
      <w:r w:rsidRPr="6BD41719" w:rsidR="002373CB">
        <w:rPr>
          <w:rFonts w:cs="Times New Roman"/>
        </w:rPr>
        <w:t>was</w:t>
      </w:r>
      <w:r w:rsidRPr="6BD41719">
        <w:rPr>
          <w:rFonts w:cs="Times New Roman"/>
        </w:rPr>
        <w:t xml:space="preserve"> conducted on this collection.  </w:t>
      </w:r>
      <w:r w:rsidRPr="6BD41719" w:rsidR="00C94DFF">
        <w:rPr>
          <w:rFonts w:cs="Times New Roman"/>
        </w:rPr>
        <w:t xml:space="preserve">As result, an increase of 87,834 burden hours </w:t>
      </w:r>
      <w:r w:rsidRPr="6BD41719" w:rsidR="002373CB">
        <w:rPr>
          <w:rFonts w:cs="Times New Roman"/>
        </w:rPr>
        <w:t>was</w:t>
      </w:r>
      <w:r w:rsidRPr="6BD41719" w:rsidR="00C94DFF">
        <w:rPr>
          <w:rFonts w:cs="Times New Roman"/>
        </w:rPr>
        <w:t xml:space="preserve"> recognized and included as an update to the collection</w:t>
      </w:r>
      <w:r w:rsidRPr="6BD41719">
        <w:rPr>
          <w:rFonts w:cs="Times New Roman"/>
        </w:rPr>
        <w:t>.</w:t>
      </w:r>
      <w:r w:rsidRPr="6BD41719" w:rsidR="0017371C">
        <w:rPr>
          <w:rFonts w:cs="Times New Roman"/>
        </w:rPr>
        <w:t xml:space="preserve">  The increase </w:t>
      </w:r>
      <w:r w:rsidRPr="6BD41719" w:rsidR="002373CB">
        <w:rPr>
          <w:rFonts w:cs="Times New Roman"/>
        </w:rPr>
        <w:t xml:space="preserve">was </w:t>
      </w:r>
      <w:r w:rsidRPr="6BD41719" w:rsidR="0017371C">
        <w:rPr>
          <w:rFonts w:cs="Times New Roman"/>
        </w:rPr>
        <w:t>due to expanding the Average Burden Per Response to four decimal places of a repeating three to represent one-third of an hour from two places used in the previous reinstatement</w:t>
      </w:r>
      <w:r w:rsidRPr="6BD41719" w:rsidR="002373CB">
        <w:rPr>
          <w:rFonts w:cs="Times New Roman"/>
        </w:rPr>
        <w:t>, but that increase is being negated by the revision to a common form collection</w:t>
      </w:r>
      <w:r w:rsidRPr="6BD41719" w:rsidR="0017371C">
        <w:rPr>
          <w:rFonts w:cs="Times New Roman"/>
        </w:rPr>
        <w:t>.</w:t>
      </w:r>
    </w:p>
    <w:p w:rsidR="002373CB" w:rsidP="00A90464" w14:paraId="28FE838F" w14:textId="06FA8D0D">
      <w:pPr>
        <w:spacing w:line="276" w:lineRule="auto"/>
        <w:contextualSpacing/>
        <w:rPr>
          <w:rFonts w:cs="Times New Roman"/>
          <w:szCs w:val="24"/>
        </w:rPr>
      </w:pPr>
    </w:p>
    <w:p w:rsidR="002373CB" w:rsidRPr="008357E2" w:rsidP="002373CB" w14:paraId="2719B644" w14:textId="77777777">
      <w:pPr>
        <w:spacing w:line="276" w:lineRule="auto"/>
        <w:rPr>
          <w:rFonts w:cs="Times New Roman"/>
          <w:color w:val="000000" w:themeColor="text1"/>
          <w:szCs w:val="24"/>
        </w:rPr>
      </w:pPr>
      <w:r>
        <w:rPr>
          <w:rFonts w:cs="Times New Roman"/>
          <w:szCs w:val="24"/>
        </w:rPr>
        <w:t xml:space="preserve">After reviewing the public comments received from the 60-Day public comment period, FEMA is revising this </w:t>
      </w:r>
      <w:r w:rsidRPr="008357E2">
        <w:rPr>
          <w:rFonts w:cs="Times New Roman"/>
          <w:color w:val="000000" w:themeColor="text1"/>
          <w:szCs w:val="24"/>
        </w:rPr>
        <w:t>information collection to a common form collection, which will reduce the burden to the public by 8,783,366 burden hours to a total of one (1) burden hour.</w:t>
      </w:r>
    </w:p>
    <w:p w:rsidR="00174B16" w:rsidRPr="006A2BC6" w:rsidP="006A2BC6" w14:paraId="6C897676" w14:textId="67C7971F">
      <w:pPr>
        <w:spacing w:line="276" w:lineRule="auto"/>
        <w:contextualSpacing/>
        <w:rPr>
          <w:rFonts w:cs="Times New Roman"/>
          <w:szCs w:val="24"/>
        </w:rPr>
      </w:pPr>
    </w:p>
    <w:p w:rsidR="00B17A38" w:rsidRPr="006A2BC6" w:rsidP="006A2BC6" w14:paraId="70928ECA" w14:textId="77777777">
      <w:pPr>
        <w:pStyle w:val="ListParagraph"/>
        <w:numPr>
          <w:ilvl w:val="0"/>
          <w:numId w:val="6"/>
        </w:numPr>
        <w:spacing w:line="276" w:lineRule="auto"/>
        <w:rPr>
          <w:rFonts w:cs="Times New Roman"/>
          <w:b/>
          <w:bCs/>
          <w:szCs w:val="24"/>
        </w:rPr>
      </w:pPr>
      <w:r w:rsidRPr="006A2BC6">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6A2BC6" w:rsidP="006A2BC6" w14:paraId="417CDA63" w14:textId="77777777">
      <w:pPr>
        <w:spacing w:line="276" w:lineRule="auto"/>
        <w:contextualSpacing/>
        <w:rPr>
          <w:rFonts w:cs="Times New Roman"/>
          <w:szCs w:val="24"/>
        </w:rPr>
      </w:pPr>
    </w:p>
    <w:p w:rsidR="004C15B0" w:rsidRPr="006A2BC6" w:rsidP="006A2BC6" w14:paraId="6DD2DD4E" w14:textId="77777777">
      <w:pPr>
        <w:spacing w:line="276" w:lineRule="auto"/>
        <w:contextualSpacing/>
        <w:rPr>
          <w:rFonts w:cs="Times New Roman"/>
          <w:szCs w:val="24"/>
        </w:rPr>
      </w:pPr>
      <w:r w:rsidRPr="006A2BC6">
        <w:rPr>
          <w:rFonts w:cs="Times New Roman"/>
          <w:bCs/>
          <w:szCs w:val="24"/>
        </w:rPr>
        <w:t xml:space="preserve">This information is not collected by FEMA in any form, and therefore is not duplicated elsewhere. </w:t>
      </w:r>
    </w:p>
    <w:p w:rsidR="00174B16" w:rsidRPr="006A2BC6" w:rsidP="006A2BC6" w14:paraId="4D80F544" w14:textId="77777777">
      <w:pPr>
        <w:spacing w:line="276" w:lineRule="auto"/>
        <w:contextualSpacing/>
        <w:rPr>
          <w:rFonts w:cs="Times New Roman"/>
          <w:szCs w:val="24"/>
        </w:rPr>
      </w:pPr>
    </w:p>
    <w:p w:rsidR="004C15B0" w:rsidRPr="006A2BC6" w:rsidP="71C1527A" w14:paraId="674E1C53" w14:textId="77777777">
      <w:pPr>
        <w:pStyle w:val="ListParagraph"/>
        <w:numPr>
          <w:ilvl w:val="0"/>
          <w:numId w:val="6"/>
        </w:numPr>
        <w:spacing w:line="276" w:lineRule="auto"/>
        <w:rPr>
          <w:rFonts w:cs="Times New Roman"/>
          <w:b/>
          <w:bCs/>
        </w:rPr>
      </w:pPr>
      <w:r w:rsidRPr="71C1527A">
        <w:rPr>
          <w:rFonts w:cs="Times New Roman"/>
          <w:b/>
          <w:bCs/>
        </w:rPr>
        <w:t>If the collection of information impacts businesses or other small entities (Item 5 of OMB Form 83-I), describe any methods used to minimize.</w:t>
      </w:r>
    </w:p>
    <w:p w:rsidR="004C15B0" w:rsidRPr="006A2BC6" w:rsidP="00A90464" w14:paraId="3AA18833" w14:textId="77777777">
      <w:pPr>
        <w:spacing w:line="276" w:lineRule="auto"/>
        <w:contextualSpacing/>
        <w:rPr>
          <w:rFonts w:cs="Times New Roman"/>
          <w:b/>
          <w:bCs/>
          <w:szCs w:val="24"/>
        </w:rPr>
      </w:pPr>
    </w:p>
    <w:p w:rsidR="00174B16" w:rsidRPr="006A2BC6" w:rsidP="006A2BC6" w14:paraId="61F2E384" w14:textId="77777777">
      <w:pPr>
        <w:spacing w:line="276" w:lineRule="auto"/>
        <w:contextualSpacing/>
        <w:rPr>
          <w:rFonts w:cs="Times New Roman"/>
          <w:szCs w:val="24"/>
        </w:rPr>
      </w:pPr>
      <w:bookmarkStart w:id="6" w:name="_Hlk112147411"/>
      <w:r w:rsidRPr="006A2BC6">
        <w:rPr>
          <w:rFonts w:cs="Times New Roman"/>
          <w:szCs w:val="24"/>
        </w:rPr>
        <w:t>This collection of information does not impact small businesses or other small entities.</w:t>
      </w:r>
      <w:bookmarkEnd w:id="6"/>
    </w:p>
    <w:p w:rsidR="00174B16" w:rsidRPr="006A2BC6" w:rsidP="006A2BC6" w14:paraId="3E0F3ABC" w14:textId="77777777">
      <w:pPr>
        <w:spacing w:line="276" w:lineRule="auto"/>
        <w:contextualSpacing/>
        <w:rPr>
          <w:rFonts w:cs="Times New Roman"/>
          <w:szCs w:val="24"/>
        </w:rPr>
      </w:pPr>
    </w:p>
    <w:p w:rsidR="00071B16" w:rsidRPr="006A2BC6" w:rsidP="006A2BC6" w14:paraId="694D1AD5" w14:textId="77777777">
      <w:pPr>
        <w:pStyle w:val="ListParagraph"/>
        <w:numPr>
          <w:ilvl w:val="0"/>
          <w:numId w:val="6"/>
        </w:numPr>
        <w:spacing w:line="276" w:lineRule="auto"/>
        <w:rPr>
          <w:rFonts w:cs="Times New Roman"/>
          <w:b/>
          <w:bCs/>
          <w:szCs w:val="24"/>
        </w:rPr>
      </w:pPr>
      <w:r w:rsidRPr="006A2BC6">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6A2BC6" w:rsidP="006A2BC6" w14:paraId="4E0B43BB" w14:textId="77777777">
      <w:pPr>
        <w:spacing w:line="276" w:lineRule="auto"/>
        <w:contextualSpacing/>
        <w:rPr>
          <w:rFonts w:cs="Times New Roman"/>
          <w:szCs w:val="24"/>
        </w:rPr>
      </w:pPr>
    </w:p>
    <w:p w:rsidR="007C478A" w:rsidRPr="006A2BC6" w:rsidP="006A2BC6" w14:paraId="21323B6C" w14:textId="77777777">
      <w:pPr>
        <w:spacing w:line="276" w:lineRule="auto"/>
        <w:contextualSpacing/>
        <w:rPr>
          <w:rFonts w:cs="Times New Roman"/>
          <w:szCs w:val="24"/>
        </w:rPr>
      </w:pPr>
      <w:r w:rsidRPr="006A2BC6">
        <w:rPr>
          <w:rFonts w:cs="Times New Roman"/>
          <w:szCs w:val="24"/>
        </w:rPr>
        <w:t xml:space="preserve">If </w:t>
      </w:r>
      <w:r w:rsidRPr="006A2BC6" w:rsidR="001128E8">
        <w:rPr>
          <w:rFonts w:cs="Times New Roman"/>
          <w:szCs w:val="24"/>
        </w:rPr>
        <w:t>F</w:t>
      </w:r>
      <w:r w:rsidRPr="006A2BC6">
        <w:rPr>
          <w:rFonts w:cs="Times New Roman"/>
          <w:szCs w:val="24"/>
        </w:rPr>
        <w:t>ederally</w:t>
      </w:r>
      <w:r w:rsidRPr="006A2BC6" w:rsidR="001128E8">
        <w:rPr>
          <w:rFonts w:cs="Times New Roman"/>
          <w:szCs w:val="24"/>
        </w:rPr>
        <w:t>-</w:t>
      </w:r>
      <w:r w:rsidRPr="006A2BC6">
        <w:rPr>
          <w:rFonts w:cs="Times New Roman"/>
          <w:szCs w:val="24"/>
        </w:rPr>
        <w:t xml:space="preserve">regulated lending institutions did not collect the information on the </w:t>
      </w:r>
      <w:r w:rsidRPr="006A2BC6" w:rsidR="00BC7CFB">
        <w:rPr>
          <w:rFonts w:cs="Times New Roman"/>
          <w:szCs w:val="24"/>
        </w:rPr>
        <w:t xml:space="preserve">SFHDF </w:t>
      </w:r>
      <w:r w:rsidRPr="006A2BC6">
        <w:rPr>
          <w:rFonts w:cs="Times New Roman"/>
          <w:szCs w:val="24"/>
        </w:rPr>
        <w:t xml:space="preserve">for each loan, </w:t>
      </w:r>
      <w:r w:rsidRPr="006A2BC6" w:rsidR="001128E8">
        <w:rPr>
          <w:rFonts w:cs="Times New Roman"/>
          <w:szCs w:val="24"/>
        </w:rPr>
        <w:t>F</w:t>
      </w:r>
      <w:r w:rsidRPr="006A2BC6">
        <w:rPr>
          <w:rFonts w:cs="Times New Roman"/>
          <w:szCs w:val="24"/>
        </w:rPr>
        <w:t xml:space="preserve">ederally-backed loans could be inadequately insured from flood losses.  This would place </w:t>
      </w:r>
      <w:r w:rsidRPr="006A2BC6">
        <w:rPr>
          <w:rFonts w:cs="Times New Roman"/>
          <w:szCs w:val="24"/>
        </w:rPr>
        <w:t>the risk on taxpayers instead of on the lender.  Section 1365 of the NFIA</w:t>
      </w:r>
      <w:r w:rsidRPr="006A2BC6" w:rsidR="001128E8">
        <w:rPr>
          <w:rFonts w:cs="Times New Roman"/>
          <w:szCs w:val="24"/>
        </w:rPr>
        <w:t xml:space="preserve"> </w:t>
      </w:r>
      <w:r w:rsidRPr="006A2BC6">
        <w:rPr>
          <w:rFonts w:cs="Times New Roman"/>
          <w:szCs w:val="24"/>
        </w:rPr>
        <w:t xml:space="preserve">requires the use of this </w:t>
      </w:r>
      <w:r w:rsidRPr="006A2BC6" w:rsidR="001128E8">
        <w:rPr>
          <w:rFonts w:cs="Times New Roman"/>
          <w:szCs w:val="24"/>
        </w:rPr>
        <w:t>instrument</w:t>
      </w:r>
      <w:r w:rsidRPr="006A2BC6">
        <w:rPr>
          <w:rFonts w:cs="Times New Roman"/>
          <w:szCs w:val="24"/>
        </w:rPr>
        <w:t xml:space="preserve"> by regulated lending institutions for any loan made, increased, extended, renewed or purchased by these entities.  If the </w:t>
      </w:r>
      <w:r w:rsidRPr="006A2BC6" w:rsidR="001128E8">
        <w:rPr>
          <w:rFonts w:cs="Times New Roman"/>
          <w:szCs w:val="24"/>
        </w:rPr>
        <w:t>instrument</w:t>
      </w:r>
      <w:r w:rsidRPr="006A2BC6">
        <w:rPr>
          <w:rFonts w:cs="Times New Roman"/>
          <w:szCs w:val="24"/>
        </w:rPr>
        <w:t xml:space="preserve"> is not </w:t>
      </w:r>
      <w:r w:rsidRPr="006A2BC6" w:rsidR="000B36F8">
        <w:rPr>
          <w:rFonts w:cs="Times New Roman"/>
          <w:szCs w:val="24"/>
        </w:rPr>
        <w:t>available,</w:t>
      </w:r>
      <w:r w:rsidRPr="006A2BC6">
        <w:rPr>
          <w:rFonts w:cs="Times New Roman"/>
          <w:szCs w:val="24"/>
        </w:rPr>
        <w:t xml:space="preserve"> it could affect millions of loans in the United States.</w:t>
      </w:r>
    </w:p>
    <w:p w:rsidR="00174B16" w:rsidRPr="006A2BC6" w:rsidP="006A2BC6" w14:paraId="1F1E5396" w14:textId="77777777">
      <w:pPr>
        <w:spacing w:line="276" w:lineRule="auto"/>
        <w:contextualSpacing/>
        <w:rPr>
          <w:rFonts w:cs="Times New Roman"/>
          <w:szCs w:val="24"/>
        </w:rPr>
      </w:pPr>
    </w:p>
    <w:p w:rsidR="00071B16" w:rsidRPr="006A2BC6" w:rsidP="006A2BC6" w14:paraId="6979618E" w14:textId="77777777">
      <w:pPr>
        <w:pStyle w:val="ListParagraph"/>
        <w:numPr>
          <w:ilvl w:val="0"/>
          <w:numId w:val="6"/>
        </w:numPr>
        <w:spacing w:line="276" w:lineRule="auto"/>
        <w:rPr>
          <w:rFonts w:cs="Times New Roman"/>
          <w:b/>
          <w:bCs/>
          <w:szCs w:val="24"/>
        </w:rPr>
      </w:pPr>
      <w:r w:rsidRPr="006A2BC6">
        <w:rPr>
          <w:rFonts w:cs="Times New Roman"/>
          <w:b/>
          <w:bCs/>
          <w:szCs w:val="24"/>
        </w:rPr>
        <w:t>Explain any special circumstances that would cause an information collection to be conducted in a manner</w:t>
      </w:r>
      <w:r w:rsidRPr="006A2BC6" w:rsidR="00DF3547">
        <w:rPr>
          <w:rFonts w:cs="Times New Roman"/>
          <w:b/>
          <w:bCs/>
          <w:szCs w:val="24"/>
        </w:rPr>
        <w:t xml:space="preserve"> (</w:t>
      </w:r>
      <w:r w:rsidRPr="006A2BC6" w:rsidR="00DF3547">
        <w:rPr>
          <w:rFonts w:cs="Times New Roman"/>
          <w:b/>
          <w:bCs/>
          <w:i/>
          <w:iCs/>
          <w:szCs w:val="24"/>
        </w:rPr>
        <w:t>See</w:t>
      </w:r>
      <w:r w:rsidRPr="006A2BC6" w:rsidR="00DF3547">
        <w:rPr>
          <w:rFonts w:cs="Times New Roman"/>
          <w:b/>
          <w:bCs/>
          <w:szCs w:val="24"/>
        </w:rPr>
        <w:t xml:space="preserve"> 5 CFR 1320.5(d)(2))</w:t>
      </w:r>
      <w:r w:rsidRPr="006A2BC6">
        <w:rPr>
          <w:rFonts w:cs="Times New Roman"/>
          <w:b/>
          <w:bCs/>
          <w:szCs w:val="24"/>
        </w:rPr>
        <w:t>:</w:t>
      </w:r>
    </w:p>
    <w:p w:rsidR="00174B16" w:rsidRPr="006A2BC6" w:rsidP="006A2BC6" w14:paraId="70A06A09" w14:textId="77777777">
      <w:pPr>
        <w:spacing w:line="276" w:lineRule="auto"/>
        <w:contextualSpacing/>
        <w:rPr>
          <w:rFonts w:cs="Times New Roman"/>
          <w:szCs w:val="24"/>
        </w:rPr>
      </w:pPr>
    </w:p>
    <w:p w:rsidR="00071B16" w:rsidRPr="006A2BC6" w:rsidP="006A2BC6" w14:paraId="5510D939" w14:textId="77777777">
      <w:pPr>
        <w:pStyle w:val="ListParagraph"/>
        <w:numPr>
          <w:ilvl w:val="1"/>
          <w:numId w:val="6"/>
        </w:numPr>
        <w:spacing w:line="276" w:lineRule="auto"/>
        <w:rPr>
          <w:rFonts w:cs="Times New Roman"/>
          <w:b/>
          <w:bCs/>
          <w:szCs w:val="24"/>
        </w:rPr>
      </w:pPr>
      <w:r w:rsidRPr="006A2BC6">
        <w:rPr>
          <w:rFonts w:cs="Times New Roman"/>
          <w:b/>
          <w:bCs/>
          <w:szCs w:val="24"/>
        </w:rPr>
        <w:t>Requiring respondents to report information to the agency more often than quarterly.</w:t>
      </w:r>
    </w:p>
    <w:p w:rsidR="001128E8" w:rsidRPr="006A2BC6" w:rsidP="006A2BC6" w14:paraId="026A4696" w14:textId="77777777">
      <w:pPr>
        <w:spacing w:line="276" w:lineRule="auto"/>
        <w:contextualSpacing/>
        <w:rPr>
          <w:rFonts w:cs="Times New Roman"/>
          <w:szCs w:val="24"/>
        </w:rPr>
      </w:pPr>
    </w:p>
    <w:p w:rsidR="00174B16" w:rsidRPr="006A2BC6" w:rsidP="006A2BC6" w14:paraId="4222AB07" w14:textId="77777777">
      <w:pPr>
        <w:spacing w:line="276" w:lineRule="auto"/>
        <w:contextualSpacing/>
        <w:rPr>
          <w:rFonts w:cs="Times New Roman"/>
          <w:i/>
          <w:iCs/>
          <w:szCs w:val="24"/>
        </w:rPr>
      </w:pPr>
      <w:r w:rsidRPr="006A2BC6">
        <w:rPr>
          <w:rFonts w:cs="Times New Roman"/>
          <w:szCs w:val="24"/>
        </w:rPr>
        <w:t>This information collection does not require respondents to report information more than quarterly.</w:t>
      </w:r>
    </w:p>
    <w:p w:rsidR="00174B16" w:rsidRPr="006A2BC6" w:rsidP="006A2BC6" w14:paraId="470810C6" w14:textId="77777777">
      <w:pPr>
        <w:spacing w:line="276" w:lineRule="auto"/>
        <w:contextualSpacing/>
        <w:rPr>
          <w:rFonts w:cs="Times New Roman"/>
          <w:szCs w:val="24"/>
        </w:rPr>
      </w:pPr>
    </w:p>
    <w:p w:rsidR="00071B16" w:rsidRPr="006A2BC6" w:rsidP="006A2BC6" w14:paraId="1B78559F" w14:textId="77777777">
      <w:pPr>
        <w:pStyle w:val="ListParagraph"/>
        <w:numPr>
          <w:ilvl w:val="1"/>
          <w:numId w:val="6"/>
        </w:numPr>
        <w:spacing w:line="276" w:lineRule="auto"/>
        <w:rPr>
          <w:rFonts w:cs="Times New Roman"/>
          <w:b/>
          <w:bCs/>
          <w:szCs w:val="24"/>
        </w:rPr>
      </w:pPr>
      <w:r w:rsidRPr="006A2BC6">
        <w:rPr>
          <w:rFonts w:cs="Times New Roman"/>
          <w:b/>
          <w:bCs/>
          <w:szCs w:val="24"/>
        </w:rPr>
        <w:t>Requiring respondents to prepare a written response to a collection of information in fewer than 30 days after receipt of it.</w:t>
      </w:r>
    </w:p>
    <w:p w:rsidR="00174B16" w:rsidRPr="006A2BC6" w:rsidP="006A2BC6" w14:paraId="7279787F" w14:textId="77777777">
      <w:pPr>
        <w:spacing w:line="276" w:lineRule="auto"/>
        <w:contextualSpacing/>
        <w:rPr>
          <w:rFonts w:cs="Times New Roman"/>
          <w:szCs w:val="24"/>
        </w:rPr>
      </w:pPr>
    </w:p>
    <w:p w:rsidR="00174B16" w:rsidRPr="006A2BC6" w:rsidP="006A2BC6" w14:paraId="391081C5" w14:textId="77777777">
      <w:pPr>
        <w:spacing w:line="276" w:lineRule="auto"/>
        <w:contextualSpacing/>
        <w:rPr>
          <w:rFonts w:cs="Times New Roman"/>
          <w:szCs w:val="24"/>
        </w:rPr>
      </w:pPr>
      <w:r w:rsidRPr="006A2BC6">
        <w:rPr>
          <w:rFonts w:cs="Times New Roman"/>
          <w:szCs w:val="24"/>
        </w:rPr>
        <w:t>This information collection does not require respondents to prepare a written response in fewer than 30 days after receipt of it.</w:t>
      </w:r>
    </w:p>
    <w:p w:rsidR="00174B16" w:rsidRPr="006A2BC6" w:rsidP="006A2BC6" w14:paraId="494F301E" w14:textId="77777777">
      <w:pPr>
        <w:spacing w:line="276" w:lineRule="auto"/>
        <w:contextualSpacing/>
        <w:rPr>
          <w:rFonts w:cs="Times New Roman"/>
          <w:szCs w:val="24"/>
        </w:rPr>
      </w:pPr>
    </w:p>
    <w:p w:rsidR="00071B16" w:rsidRPr="006A2BC6" w:rsidP="006A2BC6" w14:paraId="7DF5C8A9" w14:textId="77777777">
      <w:pPr>
        <w:pStyle w:val="ListParagraph"/>
        <w:numPr>
          <w:ilvl w:val="1"/>
          <w:numId w:val="6"/>
        </w:numPr>
        <w:spacing w:line="276" w:lineRule="auto"/>
        <w:rPr>
          <w:rFonts w:cs="Times New Roman"/>
          <w:b/>
          <w:bCs/>
          <w:szCs w:val="24"/>
        </w:rPr>
      </w:pPr>
      <w:r w:rsidRPr="006A2BC6">
        <w:rPr>
          <w:rFonts w:cs="Times New Roman"/>
          <w:b/>
          <w:bCs/>
          <w:szCs w:val="24"/>
        </w:rPr>
        <w:t>Requiring respondents to submit more than an original and two copies of any document.</w:t>
      </w:r>
    </w:p>
    <w:p w:rsidR="00174B16" w:rsidRPr="006A2BC6" w:rsidP="006A2BC6" w14:paraId="591FEC76" w14:textId="77777777">
      <w:pPr>
        <w:spacing w:line="276" w:lineRule="auto"/>
        <w:contextualSpacing/>
        <w:rPr>
          <w:rFonts w:cs="Times New Roman"/>
          <w:szCs w:val="24"/>
        </w:rPr>
      </w:pPr>
    </w:p>
    <w:p w:rsidR="00174B16" w:rsidRPr="006A2BC6" w:rsidP="006A2BC6" w14:paraId="38BF4874" w14:textId="77777777">
      <w:pPr>
        <w:spacing w:line="276" w:lineRule="auto"/>
        <w:contextualSpacing/>
        <w:rPr>
          <w:rFonts w:cs="Times New Roman"/>
          <w:szCs w:val="24"/>
        </w:rPr>
      </w:pPr>
      <w:r w:rsidRPr="006A2BC6">
        <w:rPr>
          <w:rFonts w:cs="Times New Roman"/>
          <w:szCs w:val="24"/>
        </w:rPr>
        <w:t>This information collection does not require respondents to submit more than an original and two copies of any document.</w:t>
      </w:r>
    </w:p>
    <w:p w:rsidR="00174B16" w:rsidRPr="006A2BC6" w:rsidP="006A2BC6" w14:paraId="1D4B5EF6" w14:textId="77777777">
      <w:pPr>
        <w:spacing w:line="276" w:lineRule="auto"/>
        <w:contextualSpacing/>
        <w:rPr>
          <w:rFonts w:cs="Times New Roman"/>
          <w:szCs w:val="24"/>
        </w:rPr>
      </w:pPr>
    </w:p>
    <w:p w:rsidR="00071B16" w:rsidRPr="006A2BC6" w:rsidP="006A2BC6" w14:paraId="6F86CE85" w14:textId="77777777">
      <w:pPr>
        <w:pStyle w:val="ListParagraph"/>
        <w:numPr>
          <w:ilvl w:val="1"/>
          <w:numId w:val="6"/>
        </w:numPr>
        <w:spacing w:line="276" w:lineRule="auto"/>
        <w:rPr>
          <w:rFonts w:cs="Times New Roman"/>
          <w:b/>
          <w:bCs/>
          <w:szCs w:val="24"/>
        </w:rPr>
      </w:pPr>
      <w:r w:rsidRPr="006A2BC6">
        <w:rPr>
          <w:rFonts w:cs="Times New Roman"/>
          <w:b/>
          <w:bCs/>
          <w:szCs w:val="24"/>
        </w:rPr>
        <w:t>Requiring respondents to retain records, other than health, medical, government contract, grant-in-aid, or tax records for more than three years.</w:t>
      </w:r>
    </w:p>
    <w:p w:rsidR="00174B16" w:rsidRPr="006A2BC6" w:rsidP="006A2BC6" w14:paraId="21ADA547" w14:textId="77777777">
      <w:pPr>
        <w:spacing w:line="276" w:lineRule="auto"/>
        <w:contextualSpacing/>
        <w:rPr>
          <w:rFonts w:cs="Times New Roman"/>
          <w:szCs w:val="24"/>
        </w:rPr>
      </w:pPr>
    </w:p>
    <w:p w:rsidR="00174B16" w:rsidRPr="006A2BC6" w:rsidP="006A2BC6" w14:paraId="1DAA4A12" w14:textId="77777777">
      <w:pPr>
        <w:spacing w:line="276" w:lineRule="auto"/>
        <w:contextualSpacing/>
        <w:rPr>
          <w:rFonts w:cs="Times New Roman"/>
          <w:szCs w:val="24"/>
        </w:rPr>
      </w:pPr>
      <w:r w:rsidRPr="006A2BC6">
        <w:rPr>
          <w:rFonts w:cs="Times New Roman"/>
          <w:szCs w:val="24"/>
        </w:rPr>
        <w:t>This information collection does not require respondents to retain records (other than health, medical, government contract, grant-in-aid, or tax records) for more than three years.</w:t>
      </w:r>
    </w:p>
    <w:p w:rsidR="00174B16" w:rsidRPr="006A2BC6" w:rsidP="006A2BC6" w14:paraId="28E84DA3" w14:textId="77777777">
      <w:pPr>
        <w:spacing w:line="276" w:lineRule="auto"/>
        <w:contextualSpacing/>
        <w:rPr>
          <w:rFonts w:cs="Times New Roman"/>
          <w:szCs w:val="24"/>
        </w:rPr>
      </w:pPr>
    </w:p>
    <w:p w:rsidR="00071B16" w:rsidRPr="006A2BC6" w:rsidP="006A2BC6" w14:paraId="72F7296C" w14:textId="77777777">
      <w:pPr>
        <w:pStyle w:val="ListParagraph"/>
        <w:numPr>
          <w:ilvl w:val="1"/>
          <w:numId w:val="6"/>
        </w:numPr>
        <w:spacing w:line="276" w:lineRule="auto"/>
        <w:rPr>
          <w:rFonts w:cs="Times New Roman"/>
          <w:b/>
          <w:bCs/>
          <w:szCs w:val="24"/>
        </w:rPr>
      </w:pPr>
      <w:r w:rsidRPr="006A2BC6">
        <w:rPr>
          <w:rFonts w:cs="Times New Roman"/>
          <w:b/>
          <w:bCs/>
          <w:szCs w:val="24"/>
        </w:rPr>
        <w:t>In connection with a statistical survey, that is not designed to produce valid and reliable results that can be generalized to the universe of study.</w:t>
      </w:r>
    </w:p>
    <w:p w:rsidR="00174B16" w:rsidRPr="006A2BC6" w:rsidP="006A2BC6" w14:paraId="0EFD11D1" w14:textId="77777777">
      <w:pPr>
        <w:spacing w:line="276" w:lineRule="auto"/>
        <w:contextualSpacing/>
        <w:rPr>
          <w:rFonts w:cs="Times New Roman"/>
          <w:szCs w:val="24"/>
        </w:rPr>
      </w:pPr>
    </w:p>
    <w:p w:rsidR="00174B16" w:rsidRPr="006A2BC6" w:rsidP="006A2BC6" w14:paraId="1DA142E3" w14:textId="77777777">
      <w:pPr>
        <w:spacing w:line="276" w:lineRule="auto"/>
        <w:contextualSpacing/>
        <w:rPr>
          <w:rFonts w:cs="Times New Roman"/>
          <w:szCs w:val="24"/>
        </w:rPr>
      </w:pPr>
      <w:r w:rsidRPr="006A2BC6">
        <w:rPr>
          <w:rFonts w:cs="Times New Roman"/>
          <w:szCs w:val="24"/>
        </w:rPr>
        <w:t>T</w:t>
      </w:r>
      <w:r w:rsidRPr="006A2BC6" w:rsidR="00DF3547">
        <w:rPr>
          <w:rFonts w:cs="Times New Roman"/>
          <w:szCs w:val="24"/>
        </w:rPr>
        <w:t xml:space="preserve">his information collection does not include a statistical survey.  </w:t>
      </w:r>
    </w:p>
    <w:p w:rsidR="00174B16" w:rsidRPr="006A2BC6" w:rsidP="006A2BC6" w14:paraId="4E8FCEA3" w14:textId="77777777">
      <w:pPr>
        <w:spacing w:line="276" w:lineRule="auto"/>
        <w:contextualSpacing/>
        <w:rPr>
          <w:rFonts w:cs="Times New Roman"/>
          <w:szCs w:val="24"/>
        </w:rPr>
      </w:pPr>
    </w:p>
    <w:p w:rsidR="00071B16" w:rsidRPr="006A2BC6" w:rsidP="006A2BC6" w14:paraId="7DF72AB0" w14:textId="77777777">
      <w:pPr>
        <w:pStyle w:val="ListParagraph"/>
        <w:numPr>
          <w:ilvl w:val="1"/>
          <w:numId w:val="6"/>
        </w:numPr>
        <w:spacing w:line="276" w:lineRule="auto"/>
        <w:rPr>
          <w:rFonts w:cs="Times New Roman"/>
          <w:b/>
          <w:bCs/>
          <w:szCs w:val="24"/>
        </w:rPr>
      </w:pPr>
      <w:r w:rsidRPr="006A2BC6">
        <w:rPr>
          <w:rFonts w:cs="Times New Roman"/>
          <w:b/>
          <w:bCs/>
          <w:szCs w:val="24"/>
        </w:rPr>
        <w:t>Requiring the use of a statistical data classification that has not been reviewed and approved by OMB.</w:t>
      </w:r>
    </w:p>
    <w:p w:rsidR="00174B16" w:rsidRPr="006A2BC6" w:rsidP="006A2BC6" w14:paraId="0E2D9C39" w14:textId="77777777">
      <w:pPr>
        <w:spacing w:line="276" w:lineRule="auto"/>
        <w:contextualSpacing/>
        <w:rPr>
          <w:rFonts w:cs="Times New Roman"/>
          <w:szCs w:val="24"/>
        </w:rPr>
      </w:pPr>
    </w:p>
    <w:p w:rsidR="00174B16" w:rsidRPr="006A2BC6" w:rsidP="006A2BC6" w14:paraId="06CEFAF8" w14:textId="77777777">
      <w:pPr>
        <w:spacing w:line="276" w:lineRule="auto"/>
        <w:contextualSpacing/>
        <w:rPr>
          <w:rFonts w:cs="Times New Roman"/>
          <w:szCs w:val="24"/>
        </w:rPr>
      </w:pPr>
      <w:r w:rsidRPr="006A2BC6">
        <w:rPr>
          <w:rFonts w:cs="Times New Roman"/>
          <w:szCs w:val="24"/>
        </w:rPr>
        <w:t>This information collection does not use a statistical data classification that has not been reviewed and approved by OMB.</w:t>
      </w:r>
    </w:p>
    <w:p w:rsidR="00174B16" w:rsidRPr="006A2BC6" w:rsidP="006A2BC6" w14:paraId="4D7EC1C7" w14:textId="77777777">
      <w:pPr>
        <w:spacing w:line="276" w:lineRule="auto"/>
        <w:contextualSpacing/>
        <w:rPr>
          <w:rFonts w:cs="Times New Roman"/>
          <w:szCs w:val="24"/>
        </w:rPr>
      </w:pPr>
    </w:p>
    <w:p w:rsidR="00071B16" w:rsidRPr="006A2BC6" w:rsidP="006A2BC6" w14:paraId="12DCC64A" w14:textId="77777777">
      <w:pPr>
        <w:pStyle w:val="ListParagraph"/>
        <w:numPr>
          <w:ilvl w:val="1"/>
          <w:numId w:val="6"/>
        </w:numPr>
        <w:spacing w:line="276" w:lineRule="auto"/>
        <w:rPr>
          <w:rFonts w:cs="Times New Roman"/>
          <w:b/>
          <w:bCs/>
          <w:szCs w:val="24"/>
        </w:rPr>
      </w:pPr>
      <w:r w:rsidRPr="006A2BC6">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6A2BC6" w:rsidP="006A2BC6" w14:paraId="3AAFB3F0" w14:textId="77777777">
      <w:pPr>
        <w:spacing w:line="276" w:lineRule="auto"/>
        <w:contextualSpacing/>
        <w:rPr>
          <w:rFonts w:cs="Times New Roman"/>
          <w:szCs w:val="24"/>
        </w:rPr>
      </w:pPr>
    </w:p>
    <w:p w:rsidR="00174B16" w:rsidRPr="006A2BC6" w:rsidP="006A2BC6" w14:paraId="0196DABA" w14:textId="77777777">
      <w:pPr>
        <w:spacing w:line="276" w:lineRule="auto"/>
        <w:contextualSpacing/>
        <w:rPr>
          <w:rFonts w:cs="Times New Roman"/>
          <w:szCs w:val="24"/>
        </w:rPr>
      </w:pPr>
      <w:r w:rsidRPr="006A2BC6">
        <w:rPr>
          <w:rFonts w:cs="Times New Roman"/>
          <w:szCs w:val="24"/>
        </w:rPr>
        <w:t xml:space="preserve">This information collection does not include a pledge of confidentiality that is not supported by established authorities or policies. </w:t>
      </w:r>
    </w:p>
    <w:p w:rsidR="00174B16" w:rsidRPr="006A2BC6" w:rsidP="006A2BC6" w14:paraId="1351D190" w14:textId="77777777">
      <w:pPr>
        <w:spacing w:line="276" w:lineRule="auto"/>
        <w:contextualSpacing/>
        <w:rPr>
          <w:rFonts w:cs="Times New Roman"/>
          <w:szCs w:val="24"/>
        </w:rPr>
      </w:pPr>
    </w:p>
    <w:p w:rsidR="00174B16" w:rsidRPr="006A2BC6" w:rsidP="006A2BC6" w14:paraId="44E1396F" w14:textId="77777777">
      <w:pPr>
        <w:pStyle w:val="ListParagraph"/>
        <w:numPr>
          <w:ilvl w:val="1"/>
          <w:numId w:val="6"/>
        </w:numPr>
        <w:spacing w:line="276" w:lineRule="auto"/>
        <w:rPr>
          <w:rFonts w:cs="Times New Roman"/>
          <w:b/>
          <w:bCs/>
          <w:szCs w:val="24"/>
        </w:rPr>
      </w:pPr>
      <w:r w:rsidRPr="006A2BC6">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6A2BC6" w:rsidP="006A2BC6" w14:paraId="0F653E8B" w14:textId="77777777">
      <w:pPr>
        <w:spacing w:line="276" w:lineRule="auto"/>
        <w:contextualSpacing/>
        <w:rPr>
          <w:rFonts w:cs="Times New Roman"/>
          <w:szCs w:val="24"/>
        </w:rPr>
      </w:pPr>
    </w:p>
    <w:p w:rsidR="00174B16" w:rsidRPr="006A2BC6" w:rsidP="006A2BC6" w14:paraId="3A1D02CF" w14:textId="77777777">
      <w:pPr>
        <w:spacing w:line="276" w:lineRule="auto"/>
        <w:contextualSpacing/>
        <w:rPr>
          <w:rFonts w:cs="Times New Roman"/>
          <w:szCs w:val="24"/>
        </w:rPr>
      </w:pPr>
      <w:r w:rsidRPr="006A2BC6">
        <w:rPr>
          <w:rFonts w:cs="Times New Roman"/>
          <w:szCs w:val="24"/>
        </w:rPr>
        <w:t xml:space="preserve">This information collection does not require respondents to </w:t>
      </w:r>
      <w:r w:rsidRPr="006A2BC6" w:rsidR="007C221D">
        <w:rPr>
          <w:rFonts w:cs="Times New Roman"/>
          <w:szCs w:val="24"/>
        </w:rPr>
        <w:t xml:space="preserve">submit </w:t>
      </w:r>
      <w:r w:rsidRPr="006A2BC6" w:rsidR="002177E8">
        <w:rPr>
          <w:rFonts w:cs="Times New Roman"/>
          <w:szCs w:val="24"/>
        </w:rPr>
        <w:t>trade secrets or other confidential information.</w:t>
      </w:r>
    </w:p>
    <w:p w:rsidR="00174B16" w:rsidRPr="006A2BC6" w:rsidP="006A2BC6" w14:paraId="06018E67" w14:textId="77777777">
      <w:pPr>
        <w:spacing w:line="276" w:lineRule="auto"/>
        <w:contextualSpacing/>
        <w:rPr>
          <w:rFonts w:cs="Times New Roman"/>
          <w:szCs w:val="24"/>
        </w:rPr>
      </w:pPr>
    </w:p>
    <w:p w:rsidR="00071B16" w:rsidRPr="006A2BC6" w:rsidP="006A2BC6" w14:paraId="04C0B8AC" w14:textId="77777777">
      <w:pPr>
        <w:pStyle w:val="ListParagraph"/>
        <w:numPr>
          <w:ilvl w:val="0"/>
          <w:numId w:val="6"/>
        </w:numPr>
        <w:spacing w:line="276" w:lineRule="auto"/>
        <w:rPr>
          <w:rFonts w:cs="Times New Roman"/>
          <w:b/>
          <w:bCs/>
          <w:szCs w:val="24"/>
        </w:rPr>
      </w:pPr>
      <w:r w:rsidRPr="006A2BC6">
        <w:rPr>
          <w:rFonts w:cs="Times New Roman"/>
          <w:b/>
          <w:bCs/>
          <w:szCs w:val="24"/>
        </w:rPr>
        <w:t>Federal Register Notice:</w:t>
      </w:r>
    </w:p>
    <w:p w:rsidR="00174B16" w:rsidRPr="006A2BC6" w:rsidP="006A2BC6" w14:paraId="70795B40" w14:textId="77777777">
      <w:pPr>
        <w:spacing w:line="276" w:lineRule="auto"/>
        <w:contextualSpacing/>
        <w:rPr>
          <w:rFonts w:cs="Times New Roman"/>
          <w:szCs w:val="24"/>
        </w:rPr>
      </w:pPr>
    </w:p>
    <w:p w:rsidR="009244A1" w:rsidRPr="006A2BC6" w:rsidP="006A2BC6" w14:paraId="7AAE8C00" w14:textId="77777777">
      <w:pPr>
        <w:pStyle w:val="ListParagraph"/>
        <w:numPr>
          <w:ilvl w:val="1"/>
          <w:numId w:val="6"/>
        </w:numPr>
        <w:spacing w:line="276" w:lineRule="auto"/>
        <w:rPr>
          <w:rFonts w:cs="Times New Roman"/>
          <w:b/>
          <w:bCs/>
          <w:szCs w:val="24"/>
        </w:rPr>
      </w:pPr>
      <w:r w:rsidRPr="006A2BC6">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6A2BC6" w:rsidP="006A2BC6" w14:paraId="153DCF9E" w14:textId="77777777">
      <w:pPr>
        <w:pStyle w:val="ListParagraph"/>
        <w:spacing w:line="276" w:lineRule="auto"/>
        <w:ind w:left="1440"/>
        <w:rPr>
          <w:rFonts w:cs="Times New Roman"/>
          <w:color w:val="000000"/>
          <w:szCs w:val="24"/>
        </w:rPr>
      </w:pPr>
    </w:p>
    <w:p w:rsidR="00174B16" w:rsidRPr="006A2BC6" w:rsidP="006A2BC6" w14:paraId="7F529E5C" w14:textId="6EFD72D3">
      <w:pPr>
        <w:spacing w:line="276" w:lineRule="auto"/>
        <w:contextualSpacing/>
        <w:rPr>
          <w:rFonts w:cs="Times New Roman"/>
          <w:szCs w:val="24"/>
        </w:rPr>
      </w:pPr>
      <w:r w:rsidRPr="006A2BC6">
        <w:rPr>
          <w:rFonts w:cs="Times New Roman"/>
          <w:color w:val="000000"/>
          <w:szCs w:val="24"/>
        </w:rPr>
        <w:t>A 60-day Federal Register Notice inviting public comments was published on</w:t>
      </w:r>
      <w:r w:rsidR="005A759D">
        <w:rPr>
          <w:rFonts w:cs="Times New Roman"/>
          <w:color w:val="000000"/>
          <w:szCs w:val="24"/>
        </w:rPr>
        <w:t xml:space="preserve"> June 7, 2023, at 88 FR 37259. </w:t>
      </w:r>
      <w:r w:rsidR="00570B14">
        <w:rPr>
          <w:rFonts w:cs="Times New Roman"/>
          <w:color w:val="000000"/>
          <w:szCs w:val="24"/>
        </w:rPr>
        <w:t xml:space="preserve"> Two public comments</w:t>
      </w:r>
      <w:r w:rsidR="005A759D">
        <w:rPr>
          <w:rFonts w:cs="Times New Roman"/>
          <w:color w:val="000000"/>
          <w:szCs w:val="24"/>
        </w:rPr>
        <w:t xml:space="preserve"> were received.</w:t>
      </w:r>
      <w:r w:rsidRPr="006A2BC6">
        <w:rPr>
          <w:rFonts w:cs="Times New Roman"/>
          <w:color w:val="000000" w:themeColor="text1"/>
          <w:szCs w:val="24"/>
        </w:rPr>
        <w:t xml:space="preserve"> </w:t>
      </w:r>
    </w:p>
    <w:p w:rsidR="00174B16" w:rsidP="006A2BC6" w14:paraId="1F9237F2" w14:textId="24E0D28A">
      <w:pPr>
        <w:spacing w:line="276" w:lineRule="auto"/>
        <w:contextualSpacing/>
        <w:rPr>
          <w:rFonts w:cs="Times New Roman"/>
          <w:szCs w:val="24"/>
        </w:rPr>
      </w:pPr>
    </w:p>
    <w:p w:rsidR="00570B14" w:rsidRPr="008B3616" w:rsidP="00570B14" w14:paraId="57C7F800" w14:textId="46F2B90C">
      <w:pPr>
        <w:spacing w:after="240"/>
        <w:contextualSpacing/>
        <w:rPr>
          <w:rFonts w:cs="Times New Roman"/>
          <w:color w:val="000000" w:themeColor="text1"/>
          <w:szCs w:val="24"/>
        </w:rPr>
      </w:pPr>
      <w:r w:rsidRPr="00BC3182">
        <w:rPr>
          <w:rFonts w:cs="Times New Roman"/>
          <w:b/>
          <w:bCs/>
          <w:i/>
          <w:iCs/>
          <w:color w:val="000000" w:themeColor="text1"/>
          <w:szCs w:val="24"/>
        </w:rPr>
        <w:t xml:space="preserve">Comment </w:t>
      </w:r>
      <w:r>
        <w:rPr>
          <w:rFonts w:cs="Times New Roman"/>
          <w:b/>
          <w:bCs/>
          <w:i/>
          <w:iCs/>
          <w:color w:val="000000" w:themeColor="text1"/>
          <w:szCs w:val="24"/>
        </w:rPr>
        <w:t>1</w:t>
      </w:r>
      <w:r w:rsidRPr="00BC3182">
        <w:rPr>
          <w:rFonts w:cs="Times New Roman"/>
          <w:b/>
          <w:bCs/>
          <w:i/>
          <w:iCs/>
          <w:color w:val="000000" w:themeColor="text1"/>
          <w:szCs w:val="24"/>
        </w:rPr>
        <w:t xml:space="preserve"> (FEMA-202</w:t>
      </w:r>
      <w:r>
        <w:rPr>
          <w:rFonts w:cs="Times New Roman"/>
          <w:b/>
          <w:bCs/>
          <w:i/>
          <w:iCs/>
          <w:color w:val="000000" w:themeColor="text1"/>
          <w:szCs w:val="24"/>
        </w:rPr>
        <w:t>3</w:t>
      </w:r>
      <w:r w:rsidRPr="00BC3182">
        <w:rPr>
          <w:rFonts w:cs="Times New Roman"/>
          <w:b/>
          <w:bCs/>
          <w:i/>
          <w:iCs/>
          <w:color w:val="000000" w:themeColor="text1"/>
          <w:szCs w:val="24"/>
        </w:rPr>
        <w:t>-001</w:t>
      </w:r>
      <w:r>
        <w:rPr>
          <w:rFonts w:cs="Times New Roman"/>
          <w:b/>
          <w:bCs/>
          <w:i/>
          <w:iCs/>
          <w:color w:val="000000" w:themeColor="text1"/>
          <w:szCs w:val="24"/>
        </w:rPr>
        <w:t>5</w:t>
      </w:r>
      <w:r w:rsidRPr="00BC3182">
        <w:rPr>
          <w:rFonts w:cs="Times New Roman"/>
          <w:b/>
          <w:bCs/>
          <w:i/>
          <w:iCs/>
          <w:color w:val="000000" w:themeColor="text1"/>
          <w:szCs w:val="24"/>
        </w:rPr>
        <w:t>-000</w:t>
      </w:r>
      <w:r>
        <w:rPr>
          <w:rFonts w:cs="Times New Roman"/>
          <w:b/>
          <w:bCs/>
          <w:i/>
          <w:iCs/>
          <w:color w:val="000000" w:themeColor="text1"/>
          <w:szCs w:val="24"/>
        </w:rPr>
        <w:t>2</w:t>
      </w:r>
      <w:r w:rsidRPr="00BC3182">
        <w:rPr>
          <w:rFonts w:cs="Times New Roman"/>
          <w:b/>
          <w:bCs/>
          <w:i/>
          <w:iCs/>
          <w:color w:val="000000" w:themeColor="text1"/>
          <w:szCs w:val="24"/>
        </w:rPr>
        <w:t>):</w:t>
      </w:r>
      <w:r w:rsidRPr="00BC3182">
        <w:rPr>
          <w:rFonts w:cs="Times New Roman"/>
          <w:color w:val="000000" w:themeColor="text1"/>
          <w:szCs w:val="24"/>
        </w:rPr>
        <w:t xml:space="preserve">  The commenter </w:t>
      </w:r>
      <w:r>
        <w:rPr>
          <w:rFonts w:cs="Times New Roman"/>
          <w:color w:val="000000" w:themeColor="text1"/>
          <w:szCs w:val="24"/>
        </w:rPr>
        <w:t xml:space="preserve">noted that FEMA must provide the instrument but does not collect any information with it and suggested that FEMA should discontinue the collection and the other Federal Agencies that collect information with this instrument should </w:t>
      </w:r>
      <w:r w:rsidR="002214D0">
        <w:rPr>
          <w:rFonts w:cs="Times New Roman"/>
          <w:color w:val="000000" w:themeColor="text1"/>
          <w:szCs w:val="24"/>
        </w:rPr>
        <w:t>create and submit their own information collections to OMB for approval</w:t>
      </w:r>
      <w:r w:rsidRPr="00BC3182">
        <w:rPr>
          <w:rFonts w:cs="Times New Roman"/>
          <w:color w:val="000000" w:themeColor="text1"/>
          <w:szCs w:val="24"/>
        </w:rPr>
        <w:t>.</w:t>
      </w:r>
    </w:p>
    <w:p w:rsidR="00570B14" w:rsidRPr="00BC3182" w:rsidP="00570B14" w14:paraId="2D820B04" w14:textId="77777777">
      <w:pPr>
        <w:spacing w:after="240"/>
        <w:contextualSpacing/>
        <w:rPr>
          <w:rFonts w:cs="Times New Roman"/>
          <w:color w:val="000000" w:themeColor="text1"/>
          <w:szCs w:val="24"/>
        </w:rPr>
      </w:pPr>
    </w:p>
    <w:p w:rsidR="00570B14" w:rsidRPr="00BC3182" w:rsidP="676009EB" w14:paraId="70ED6B52" w14:textId="56F46CAA">
      <w:pPr>
        <w:spacing w:after="240"/>
        <w:contextualSpacing/>
        <w:rPr>
          <w:rFonts w:cs="Times New Roman"/>
          <w:color w:val="000000" w:themeColor="text1"/>
        </w:rPr>
      </w:pPr>
      <w:r w:rsidRPr="676009EB">
        <w:rPr>
          <w:rFonts w:cs="Times New Roman"/>
          <w:i/>
          <w:iCs/>
          <w:color w:val="000000" w:themeColor="text1"/>
        </w:rPr>
        <w:t>FEMA Response to Comment 3:</w:t>
      </w:r>
      <w:r w:rsidRPr="676009EB">
        <w:rPr>
          <w:rFonts w:cs="Times New Roman"/>
          <w:color w:val="000000" w:themeColor="text1"/>
        </w:rPr>
        <w:t xml:space="preserve">  </w:t>
      </w:r>
      <w:r w:rsidRPr="676009EB" w:rsidR="002214D0">
        <w:rPr>
          <w:rFonts w:cs="Times New Roman"/>
          <w:color w:val="000000" w:themeColor="text1"/>
        </w:rPr>
        <w:t xml:space="preserve">FEMA is converting this information collection into a common form collection to more accurately reflect </w:t>
      </w:r>
      <w:r w:rsidRPr="676009EB" w:rsidR="00D94AFC">
        <w:rPr>
          <w:rFonts w:cs="Times New Roman"/>
          <w:color w:val="000000" w:themeColor="text1"/>
        </w:rPr>
        <w:t>FEMA’s establishment of a standard form</w:t>
      </w:r>
      <w:r w:rsidRPr="676009EB" w:rsidR="00C44869">
        <w:rPr>
          <w:rFonts w:cs="Times New Roman"/>
          <w:color w:val="000000" w:themeColor="text1"/>
        </w:rPr>
        <w:t xml:space="preserve"> to address </w:t>
      </w:r>
      <w:r w:rsidRPr="676009EB" w:rsidR="002214D0">
        <w:rPr>
          <w:rFonts w:cs="Times New Roman"/>
          <w:color w:val="000000" w:themeColor="text1"/>
        </w:rPr>
        <w:t xml:space="preserve">the situation pointed out by the commenter but </w:t>
      </w:r>
      <w:r w:rsidRPr="676009EB" w:rsidR="00C44869">
        <w:rPr>
          <w:rFonts w:cs="Times New Roman"/>
          <w:color w:val="000000" w:themeColor="text1"/>
        </w:rPr>
        <w:t xml:space="preserve">notes the common form collection </w:t>
      </w:r>
      <w:r w:rsidRPr="676009EB" w:rsidR="002214D0">
        <w:rPr>
          <w:rFonts w:cs="Times New Roman"/>
          <w:color w:val="000000" w:themeColor="text1"/>
        </w:rPr>
        <w:t>allows other Federal Agencies to request OMB approval to collect information with FEMA Form FF-206-FY-21-116 (formerly 086-0-32) under this information collection</w:t>
      </w:r>
      <w:r w:rsidRPr="676009EB">
        <w:rPr>
          <w:rFonts w:cs="Times New Roman"/>
          <w:color w:val="000000" w:themeColor="text1"/>
        </w:rPr>
        <w:t>.</w:t>
      </w:r>
    </w:p>
    <w:p w:rsidR="00570B14" w:rsidRPr="008B3616" w:rsidP="00570B14" w14:paraId="5F3B24F2" w14:textId="77777777">
      <w:pPr>
        <w:spacing w:after="240"/>
        <w:contextualSpacing/>
        <w:rPr>
          <w:rFonts w:cs="Times New Roman"/>
          <w:i/>
          <w:iCs/>
          <w:color w:val="000000" w:themeColor="text1"/>
          <w:szCs w:val="24"/>
        </w:rPr>
      </w:pPr>
    </w:p>
    <w:p w:rsidR="00570B14" w:rsidRPr="008B3616" w:rsidP="00570B14" w14:paraId="7905B337" w14:textId="348AF35F">
      <w:pPr>
        <w:spacing w:after="240"/>
        <w:contextualSpacing/>
        <w:rPr>
          <w:rFonts w:cs="Times New Roman"/>
          <w:color w:val="000000" w:themeColor="text1"/>
          <w:szCs w:val="24"/>
        </w:rPr>
      </w:pPr>
      <w:r w:rsidRPr="00BC3182">
        <w:rPr>
          <w:rFonts w:cs="Times New Roman"/>
          <w:b/>
          <w:bCs/>
          <w:i/>
          <w:iCs/>
          <w:color w:val="000000" w:themeColor="text1"/>
          <w:szCs w:val="24"/>
        </w:rPr>
        <w:t xml:space="preserve">Comment </w:t>
      </w:r>
      <w:r>
        <w:rPr>
          <w:rFonts w:cs="Times New Roman"/>
          <w:b/>
          <w:bCs/>
          <w:i/>
          <w:iCs/>
          <w:color w:val="000000" w:themeColor="text1"/>
          <w:szCs w:val="24"/>
        </w:rPr>
        <w:t>2</w:t>
      </w:r>
      <w:r w:rsidRPr="00BC3182">
        <w:rPr>
          <w:rFonts w:cs="Times New Roman"/>
          <w:b/>
          <w:bCs/>
          <w:i/>
          <w:iCs/>
          <w:color w:val="000000" w:themeColor="text1"/>
          <w:szCs w:val="24"/>
        </w:rPr>
        <w:t xml:space="preserve"> (FEMA-202</w:t>
      </w:r>
      <w:r>
        <w:rPr>
          <w:rFonts w:cs="Times New Roman"/>
          <w:b/>
          <w:bCs/>
          <w:i/>
          <w:iCs/>
          <w:color w:val="000000" w:themeColor="text1"/>
          <w:szCs w:val="24"/>
        </w:rPr>
        <w:t>3</w:t>
      </w:r>
      <w:r w:rsidRPr="00BC3182">
        <w:rPr>
          <w:rFonts w:cs="Times New Roman"/>
          <w:b/>
          <w:bCs/>
          <w:i/>
          <w:iCs/>
          <w:color w:val="000000" w:themeColor="text1"/>
          <w:szCs w:val="24"/>
        </w:rPr>
        <w:t>-001</w:t>
      </w:r>
      <w:r>
        <w:rPr>
          <w:rFonts w:cs="Times New Roman"/>
          <w:b/>
          <w:bCs/>
          <w:i/>
          <w:iCs/>
          <w:color w:val="000000" w:themeColor="text1"/>
          <w:szCs w:val="24"/>
        </w:rPr>
        <w:t>5</w:t>
      </w:r>
      <w:r w:rsidRPr="00BC3182">
        <w:rPr>
          <w:rFonts w:cs="Times New Roman"/>
          <w:b/>
          <w:bCs/>
          <w:i/>
          <w:iCs/>
          <w:color w:val="000000" w:themeColor="text1"/>
          <w:szCs w:val="24"/>
        </w:rPr>
        <w:t>-0003):</w:t>
      </w:r>
      <w:r w:rsidRPr="00BC3182">
        <w:rPr>
          <w:rFonts w:cs="Times New Roman"/>
          <w:color w:val="000000" w:themeColor="text1"/>
          <w:szCs w:val="24"/>
        </w:rPr>
        <w:t xml:space="preserve">  The commenter </w:t>
      </w:r>
      <w:r>
        <w:rPr>
          <w:rFonts w:cs="Times New Roman"/>
          <w:color w:val="000000" w:themeColor="text1"/>
          <w:szCs w:val="24"/>
        </w:rPr>
        <w:t>strongly requested that FEMA finalize the release of the instrument without change by the expiration date and some technical comments</w:t>
      </w:r>
      <w:r w:rsidRPr="00BC3182">
        <w:rPr>
          <w:rFonts w:cs="Times New Roman"/>
          <w:color w:val="000000" w:themeColor="text1"/>
          <w:szCs w:val="24"/>
        </w:rPr>
        <w:t>.</w:t>
      </w:r>
    </w:p>
    <w:p w:rsidR="00570B14" w:rsidRPr="00BC3182" w:rsidP="00570B14" w14:paraId="6AB946AE" w14:textId="77777777">
      <w:pPr>
        <w:spacing w:after="240"/>
        <w:contextualSpacing/>
        <w:rPr>
          <w:rFonts w:cs="Times New Roman"/>
          <w:color w:val="000000" w:themeColor="text1"/>
          <w:szCs w:val="24"/>
        </w:rPr>
      </w:pPr>
    </w:p>
    <w:p w:rsidR="00570B14" w:rsidRPr="00BC3182" w:rsidP="676009EB" w14:paraId="60D96B3C" w14:textId="0C2AFE71">
      <w:pPr>
        <w:spacing w:after="240"/>
        <w:contextualSpacing/>
        <w:rPr>
          <w:rFonts w:cs="Times New Roman"/>
          <w:color w:val="000000" w:themeColor="text1"/>
        </w:rPr>
      </w:pPr>
      <w:r w:rsidRPr="676009EB">
        <w:rPr>
          <w:rFonts w:cs="Times New Roman"/>
          <w:i/>
          <w:iCs/>
          <w:color w:val="000000" w:themeColor="text1"/>
        </w:rPr>
        <w:t>FEMA Response to Comment 3:</w:t>
      </w:r>
      <w:r w:rsidRPr="676009EB">
        <w:rPr>
          <w:rFonts w:cs="Times New Roman"/>
          <w:color w:val="000000" w:themeColor="text1"/>
        </w:rPr>
        <w:t xml:space="preserve">  </w:t>
      </w:r>
      <w:r w:rsidRPr="676009EB" w:rsidR="002214D0">
        <w:rPr>
          <w:rFonts w:cs="Times New Roman"/>
          <w:color w:val="000000" w:themeColor="text1"/>
        </w:rPr>
        <w:t>FEMA will submit a revision of this information collection to OMB before the expiration date of September 30, 2023</w:t>
      </w:r>
      <w:r w:rsidRPr="676009EB">
        <w:rPr>
          <w:rFonts w:cs="Times New Roman"/>
          <w:color w:val="000000" w:themeColor="text1"/>
        </w:rPr>
        <w:t>.</w:t>
      </w:r>
      <w:r w:rsidRPr="676009EB" w:rsidR="002214D0">
        <w:rPr>
          <w:rFonts w:cs="Times New Roman"/>
          <w:color w:val="000000" w:themeColor="text1"/>
        </w:rPr>
        <w:t xml:space="preserve">  The revision affects the information collection and not the instrument and while the </w:t>
      </w:r>
      <w:r w:rsidRPr="676009EB" w:rsidR="002457E2">
        <w:rPr>
          <w:rFonts w:cs="Times New Roman"/>
          <w:color w:val="000000" w:themeColor="text1"/>
        </w:rPr>
        <w:t>collection will not be finalized by September 30</w:t>
      </w:r>
      <w:r w:rsidRPr="676009EB" w:rsidR="002457E2">
        <w:rPr>
          <w:rFonts w:cs="Times New Roman"/>
          <w:color w:val="000000" w:themeColor="text1"/>
          <w:vertAlign w:val="superscript"/>
        </w:rPr>
        <w:t>th</w:t>
      </w:r>
      <w:r w:rsidRPr="676009EB" w:rsidR="002457E2">
        <w:rPr>
          <w:rFonts w:cs="Times New Roman"/>
          <w:color w:val="000000" w:themeColor="text1"/>
        </w:rPr>
        <w:t xml:space="preserve">, the information collection will not expire and </w:t>
      </w:r>
      <w:r w:rsidRPr="676009EB" w:rsidR="00C44869">
        <w:rPr>
          <w:rFonts w:cs="Times New Roman"/>
          <w:color w:val="000000" w:themeColor="text1"/>
        </w:rPr>
        <w:t>will enable</w:t>
      </w:r>
      <w:r w:rsidRPr="676009EB" w:rsidR="002457E2">
        <w:rPr>
          <w:rFonts w:cs="Times New Roman"/>
          <w:color w:val="000000" w:themeColor="text1"/>
        </w:rPr>
        <w:t xml:space="preserve"> the other Federal Agencies to collect information with FEMA Form FF-206-FY-21-116 (formerly 086-0-32) until the conversion to a common form collection is approved by OMB.</w:t>
      </w:r>
    </w:p>
    <w:p w:rsidR="00570B14" w:rsidRPr="008B3616" w:rsidP="00570B14" w14:paraId="0FF3B777" w14:textId="77777777">
      <w:pPr>
        <w:spacing w:after="240"/>
        <w:contextualSpacing/>
        <w:rPr>
          <w:rFonts w:cs="Times New Roman"/>
          <w:i/>
          <w:iCs/>
          <w:color w:val="000000" w:themeColor="text1"/>
          <w:szCs w:val="24"/>
        </w:rPr>
      </w:pPr>
    </w:p>
    <w:p w:rsidR="00174B16" w:rsidRPr="008357E2" w:rsidP="006A2BC6" w14:paraId="4778F097" w14:textId="5A0B2D44">
      <w:pPr>
        <w:spacing w:line="276" w:lineRule="auto"/>
        <w:contextualSpacing/>
        <w:rPr>
          <w:rFonts w:cs="Times New Roman"/>
          <w:color w:val="000000" w:themeColor="text1"/>
        </w:rPr>
      </w:pPr>
      <w:r w:rsidRPr="008357E2">
        <w:rPr>
          <w:rFonts w:cs="Times New Roman"/>
          <w:color w:val="000000" w:themeColor="text1"/>
        </w:rPr>
        <w:t>A 30-day Federal Register Notice inviting public comments was published o</w:t>
      </w:r>
      <w:r w:rsidRPr="00E27B60">
        <w:rPr>
          <w:rFonts w:cs="Times New Roman"/>
          <w:color w:val="000000" w:themeColor="text1"/>
        </w:rPr>
        <w:t xml:space="preserve">n </w:t>
      </w:r>
      <w:r w:rsidRPr="008357E2" w:rsidR="00E27B60">
        <w:rPr>
          <w:rFonts w:cs="Times New Roman"/>
          <w:color w:val="000000" w:themeColor="text1"/>
        </w:rPr>
        <w:t>September 27, 2023, at 88 FR 66491</w:t>
      </w:r>
      <w:r w:rsidRPr="008357E2">
        <w:rPr>
          <w:rFonts w:cs="Times New Roman"/>
          <w:color w:val="000000" w:themeColor="text1"/>
        </w:rPr>
        <w:t xml:space="preserve">.  </w:t>
      </w:r>
      <w:r w:rsidRPr="008357E2" w:rsidR="00E27B60">
        <w:rPr>
          <w:rFonts w:cs="Times New Roman"/>
          <w:color w:val="000000" w:themeColor="text1"/>
        </w:rPr>
        <w:t>The public comment period is open until October 27, 2023</w:t>
      </w:r>
      <w:r w:rsidRPr="008357E2">
        <w:rPr>
          <w:rFonts w:cs="Times New Roman"/>
          <w:color w:val="000000" w:themeColor="text1"/>
        </w:rPr>
        <w:t>.</w:t>
      </w:r>
    </w:p>
    <w:p w:rsidR="00174B16" w:rsidRPr="008357E2" w:rsidP="006A2BC6" w14:paraId="05B2BB1C" w14:textId="77777777">
      <w:pPr>
        <w:spacing w:line="276" w:lineRule="auto"/>
        <w:contextualSpacing/>
        <w:rPr>
          <w:rFonts w:cs="Times New Roman"/>
          <w:color w:val="000000" w:themeColor="text1"/>
        </w:rPr>
      </w:pPr>
    </w:p>
    <w:p w:rsidR="00071B16" w:rsidRPr="006A2BC6" w:rsidP="006A2BC6" w14:paraId="34C0C404" w14:textId="77777777">
      <w:pPr>
        <w:pStyle w:val="ListParagraph"/>
        <w:numPr>
          <w:ilvl w:val="1"/>
          <w:numId w:val="6"/>
        </w:numPr>
        <w:spacing w:line="276" w:lineRule="auto"/>
        <w:rPr>
          <w:rFonts w:cs="Times New Roman"/>
          <w:b/>
          <w:bCs/>
          <w:szCs w:val="24"/>
        </w:rPr>
      </w:pPr>
      <w:r w:rsidRPr="006A2BC6">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318B0" w:rsidRPr="006A2BC6" w:rsidP="006A2BC6" w14:paraId="622C92AF" w14:textId="77777777">
      <w:pPr>
        <w:pStyle w:val="ListParagraph"/>
        <w:spacing w:line="276" w:lineRule="auto"/>
        <w:ind w:left="1440"/>
        <w:rPr>
          <w:rFonts w:cs="Times New Roman"/>
          <w:b/>
          <w:bCs/>
          <w:szCs w:val="24"/>
        </w:rPr>
      </w:pPr>
    </w:p>
    <w:p w:rsidR="00E0266A" w:rsidRPr="006A2BC6" w:rsidP="00A90464" w14:paraId="63043D7B" w14:textId="77777777">
      <w:pPr>
        <w:tabs>
          <w:tab w:val="left" w:pos="360"/>
        </w:tabs>
        <w:spacing w:line="276" w:lineRule="auto"/>
        <w:contextualSpacing/>
        <w:rPr>
          <w:rFonts w:cs="Times New Roman"/>
          <w:szCs w:val="24"/>
        </w:rPr>
      </w:pPr>
      <w:r w:rsidRPr="006A2BC6">
        <w:rPr>
          <w:rFonts w:cs="Times New Roman"/>
          <w:szCs w:val="24"/>
        </w:rPr>
        <w:t xml:space="preserve">FEMA has had an ongoing relationship with representatives of </w:t>
      </w:r>
      <w:r w:rsidRPr="006A2BC6" w:rsidR="00D5765F">
        <w:rPr>
          <w:rFonts w:cs="Times New Roman"/>
          <w:szCs w:val="24"/>
        </w:rPr>
        <w:t>F</w:t>
      </w:r>
      <w:r w:rsidRPr="006A2BC6">
        <w:rPr>
          <w:rFonts w:cs="Times New Roman"/>
          <w:szCs w:val="24"/>
        </w:rPr>
        <w:t xml:space="preserve">ederally-regulated lending institutions and </w:t>
      </w:r>
      <w:r w:rsidRPr="006A2BC6" w:rsidR="00D5765F">
        <w:rPr>
          <w:rFonts w:cs="Times New Roman"/>
          <w:szCs w:val="24"/>
        </w:rPr>
        <w:t>F</w:t>
      </w:r>
      <w:r w:rsidRPr="006A2BC6">
        <w:rPr>
          <w:rFonts w:cs="Times New Roman"/>
          <w:szCs w:val="24"/>
        </w:rPr>
        <w:t xml:space="preserve">ederal entities for lending regulation in part, which allows FEMA to obtain their views on the </w:t>
      </w:r>
      <w:r w:rsidRPr="006A2BC6" w:rsidR="00BC7CFB">
        <w:rPr>
          <w:rFonts w:cs="Times New Roman"/>
          <w:szCs w:val="24"/>
        </w:rPr>
        <w:t xml:space="preserve">Standard Flood Hazard Determination Form </w:t>
      </w:r>
      <w:r w:rsidRPr="006A2BC6" w:rsidR="001128E8">
        <w:rPr>
          <w:rFonts w:cs="Times New Roman"/>
          <w:szCs w:val="24"/>
        </w:rPr>
        <w:t>(</w:t>
      </w:r>
      <w:r w:rsidRPr="006A2BC6" w:rsidR="00BC7CFB">
        <w:rPr>
          <w:rFonts w:cs="Times New Roman"/>
          <w:szCs w:val="24"/>
        </w:rPr>
        <w:t>FF-119-FY-22-128 (</w:t>
      </w:r>
      <w:r w:rsidRPr="006A2BC6" w:rsidR="001128E8">
        <w:rPr>
          <w:rFonts w:cs="Times New Roman"/>
          <w:szCs w:val="24"/>
        </w:rPr>
        <w:t>f</w:t>
      </w:r>
      <w:r w:rsidRPr="006A2BC6" w:rsidR="00BC7CFB">
        <w:rPr>
          <w:rFonts w:cs="Times New Roman"/>
          <w:szCs w:val="24"/>
        </w:rPr>
        <w:t>ormerly 086-0-32)</w:t>
      </w:r>
      <w:r w:rsidRPr="006A2BC6" w:rsidR="001128E8">
        <w:rPr>
          <w:rFonts w:cs="Times New Roman"/>
          <w:szCs w:val="24"/>
        </w:rPr>
        <w:t>)</w:t>
      </w:r>
      <w:r w:rsidRPr="006A2BC6">
        <w:rPr>
          <w:rFonts w:cs="Times New Roman"/>
          <w:szCs w:val="24"/>
        </w:rPr>
        <w:t xml:space="preserve"> and its use.  These entities include Federal Agency Lenders, the Federal National Mortgage Association, the Federal Home Loan Mortgage Corporation, and the Government National Mortgage Association.</w:t>
      </w:r>
      <w:r w:rsidRPr="006A2BC6" w:rsidR="001128E8">
        <w:rPr>
          <w:rFonts w:cs="Times New Roman"/>
          <w:szCs w:val="24"/>
        </w:rPr>
        <w:t xml:space="preserve">  </w:t>
      </w:r>
      <w:r w:rsidRPr="006A2BC6">
        <w:rPr>
          <w:rFonts w:cs="Times New Roman"/>
          <w:szCs w:val="24"/>
        </w:rPr>
        <w:t xml:space="preserve">The </w:t>
      </w:r>
      <w:r w:rsidRPr="006A2BC6" w:rsidR="00D5765F">
        <w:rPr>
          <w:rFonts w:cs="Times New Roman"/>
          <w:szCs w:val="24"/>
        </w:rPr>
        <w:t>F</w:t>
      </w:r>
      <w:r w:rsidRPr="006A2BC6">
        <w:rPr>
          <w:rFonts w:cs="Times New Roman"/>
          <w:szCs w:val="24"/>
        </w:rPr>
        <w:t>ederal</w:t>
      </w:r>
      <w:r w:rsidRPr="006A2BC6" w:rsidR="001128E8">
        <w:rPr>
          <w:rFonts w:cs="Times New Roman"/>
          <w:szCs w:val="24"/>
        </w:rPr>
        <w:t xml:space="preserve"> </w:t>
      </w:r>
      <w:r w:rsidRPr="006A2BC6">
        <w:rPr>
          <w:rFonts w:cs="Times New Roman"/>
          <w:szCs w:val="24"/>
        </w:rPr>
        <w:t xml:space="preserve">regulatory agencies, </w:t>
      </w:r>
      <w:r w:rsidRPr="006A2BC6" w:rsidR="009D1814">
        <w:rPr>
          <w:rFonts w:cs="Times New Roman"/>
          <w:szCs w:val="24"/>
        </w:rPr>
        <w:t>Government Sponsored Enterprises (</w:t>
      </w:r>
      <w:r w:rsidRPr="006A2BC6">
        <w:rPr>
          <w:rFonts w:cs="Times New Roman"/>
          <w:szCs w:val="24"/>
        </w:rPr>
        <w:t>GSEs</w:t>
      </w:r>
      <w:r w:rsidRPr="006A2BC6" w:rsidR="009D1814">
        <w:rPr>
          <w:rFonts w:cs="Times New Roman"/>
          <w:szCs w:val="24"/>
        </w:rPr>
        <w:t>)</w:t>
      </w:r>
      <w:r w:rsidRPr="006A2BC6">
        <w:rPr>
          <w:rFonts w:cs="Times New Roman"/>
          <w:szCs w:val="24"/>
        </w:rPr>
        <w:t xml:space="preserve">, lender trades and the National Flood Association (NFA) attend three days of flood and compliance courses and participate on panels at a yearly National Flood Conference each year.  </w:t>
      </w:r>
    </w:p>
    <w:p w:rsidR="00174B16" w:rsidRPr="006A2BC6" w:rsidP="006A2BC6" w14:paraId="34B785D4" w14:textId="77777777">
      <w:pPr>
        <w:spacing w:line="276" w:lineRule="auto"/>
        <w:contextualSpacing/>
        <w:rPr>
          <w:rFonts w:cs="Times New Roman"/>
          <w:szCs w:val="24"/>
        </w:rPr>
      </w:pPr>
    </w:p>
    <w:p w:rsidR="00071B16" w:rsidRPr="006A2BC6" w:rsidP="006A2BC6" w14:paraId="7F95F04D" w14:textId="77777777">
      <w:pPr>
        <w:pStyle w:val="ListParagraph"/>
        <w:numPr>
          <w:ilvl w:val="1"/>
          <w:numId w:val="6"/>
        </w:numPr>
        <w:spacing w:line="276" w:lineRule="auto"/>
        <w:rPr>
          <w:rFonts w:cs="Times New Roman"/>
          <w:b/>
          <w:bCs/>
          <w:szCs w:val="24"/>
        </w:rPr>
      </w:pPr>
      <w:r w:rsidRPr="006A2BC6">
        <w:rPr>
          <w:rFonts w:cs="Times New Roman"/>
          <w:b/>
          <w:bCs/>
          <w:szCs w:val="24"/>
        </w:rPr>
        <w:t xml:space="preserve">Describe </w:t>
      </w:r>
      <w:r w:rsidRPr="006A2BC6" w:rsidR="00E655F0">
        <w:rPr>
          <w:rFonts w:cs="Times New Roman"/>
          <w:b/>
          <w:bCs/>
          <w:szCs w:val="24"/>
        </w:rPr>
        <w:t>consultations</w:t>
      </w:r>
      <w:r w:rsidRPr="006A2BC6">
        <w:rPr>
          <w:rFonts w:cs="Times New Roman"/>
          <w:b/>
          <w:bCs/>
          <w:szCs w:val="24"/>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CB053F" w:rsidRPr="006A2BC6" w:rsidP="00A90464" w14:paraId="3630B575" w14:textId="77777777">
      <w:pPr>
        <w:spacing w:line="276" w:lineRule="auto"/>
        <w:contextualSpacing/>
        <w:rPr>
          <w:rFonts w:cs="Times New Roman"/>
          <w:szCs w:val="24"/>
        </w:rPr>
      </w:pPr>
    </w:p>
    <w:p w:rsidR="00E0266A" w:rsidRPr="006A2BC6" w:rsidP="00A90464" w14:paraId="05AE0A2C" w14:textId="5EF676F4">
      <w:pPr>
        <w:spacing w:line="276" w:lineRule="auto"/>
        <w:contextualSpacing/>
        <w:rPr>
          <w:rFonts w:cs="Times New Roman"/>
          <w:szCs w:val="24"/>
        </w:rPr>
      </w:pPr>
      <w:r w:rsidRPr="006A2BC6">
        <w:rPr>
          <w:rFonts w:cs="Times New Roman"/>
          <w:szCs w:val="24"/>
        </w:rPr>
        <w:t>FEMA provides a forum for consultation and ongoing communications with the lending industry and third-party providers of flood hazard determination services to that lending industry.  These include attendance at an annual conference and providing a liaison in F</w:t>
      </w:r>
      <w:r w:rsidR="00317B7F">
        <w:rPr>
          <w:rFonts w:cs="Times New Roman"/>
          <w:szCs w:val="24"/>
        </w:rPr>
        <w:t>E</w:t>
      </w:r>
      <w:r w:rsidRPr="006A2BC6">
        <w:rPr>
          <w:rFonts w:cs="Times New Roman"/>
          <w:szCs w:val="24"/>
        </w:rPr>
        <w:t xml:space="preserve">MA’s </w:t>
      </w:r>
      <w:r w:rsidRPr="006A2BC6">
        <w:rPr>
          <w:rFonts w:cs="Times New Roman"/>
          <w:iCs/>
          <w:szCs w:val="24"/>
        </w:rPr>
        <w:t xml:space="preserve">Federal Insurance Directorate to assist and respond as necessary.  That </w:t>
      </w:r>
      <w:r w:rsidRPr="006A2BC6" w:rsidR="00D5765F">
        <w:rPr>
          <w:rFonts w:cs="Times New Roman"/>
          <w:iCs/>
          <w:szCs w:val="24"/>
        </w:rPr>
        <w:t>l</w:t>
      </w:r>
      <w:r w:rsidRPr="006A2BC6">
        <w:rPr>
          <w:rFonts w:cs="Times New Roman"/>
          <w:iCs/>
          <w:szCs w:val="24"/>
        </w:rPr>
        <w:t xml:space="preserve">iaison is </w:t>
      </w:r>
      <w:r w:rsidRPr="006A2BC6">
        <w:rPr>
          <w:rFonts w:cs="Times New Roman"/>
          <w:szCs w:val="24"/>
        </w:rPr>
        <w:t xml:space="preserve">available to lenders and determination companies and their lender clients on an ongoing basis. </w:t>
      </w:r>
    </w:p>
    <w:p w:rsidR="00174B16" w:rsidRPr="006A2BC6" w:rsidP="006A2BC6" w14:paraId="00C8E419" w14:textId="77777777">
      <w:pPr>
        <w:spacing w:line="276" w:lineRule="auto"/>
        <w:contextualSpacing/>
        <w:rPr>
          <w:rFonts w:cs="Times New Roman"/>
          <w:szCs w:val="24"/>
        </w:rPr>
      </w:pPr>
    </w:p>
    <w:p w:rsidR="00E655F0" w:rsidRPr="006A2BC6" w:rsidP="006A2BC6" w14:paraId="35E349B5" w14:textId="77777777">
      <w:pPr>
        <w:pStyle w:val="ListParagraph"/>
        <w:numPr>
          <w:ilvl w:val="0"/>
          <w:numId w:val="6"/>
        </w:numPr>
        <w:spacing w:line="276" w:lineRule="auto"/>
        <w:rPr>
          <w:rFonts w:cs="Times New Roman"/>
          <w:b/>
          <w:bCs/>
          <w:szCs w:val="24"/>
        </w:rPr>
      </w:pPr>
      <w:r w:rsidRPr="006A2BC6">
        <w:rPr>
          <w:rFonts w:cs="Times New Roman"/>
          <w:b/>
          <w:bCs/>
          <w:szCs w:val="24"/>
        </w:rPr>
        <w:t>Explain any decision to provide any payments or gift to respondents, other than remuneration of contractors or grantees.</w:t>
      </w:r>
    </w:p>
    <w:p w:rsidR="00174B16" w:rsidRPr="006A2BC6" w:rsidP="006A2BC6" w14:paraId="6B8F6830" w14:textId="77777777">
      <w:pPr>
        <w:spacing w:line="276" w:lineRule="auto"/>
        <w:contextualSpacing/>
        <w:rPr>
          <w:rFonts w:cs="Times New Roman"/>
          <w:szCs w:val="24"/>
        </w:rPr>
      </w:pPr>
    </w:p>
    <w:p w:rsidR="00E0266A" w:rsidRPr="006A2BC6" w:rsidP="006A2BC6" w14:paraId="779CF105" w14:textId="77777777">
      <w:pPr>
        <w:spacing w:line="276" w:lineRule="auto"/>
        <w:contextualSpacing/>
        <w:rPr>
          <w:rFonts w:cs="Times New Roman"/>
          <w:szCs w:val="24"/>
        </w:rPr>
      </w:pPr>
      <w:r w:rsidRPr="006A2BC6">
        <w:rPr>
          <w:rFonts w:cs="Times New Roman"/>
          <w:szCs w:val="24"/>
        </w:rPr>
        <w:t xml:space="preserve">FEMA does not provide payments or gifts to respondents in exchange for a benefit sought. </w:t>
      </w:r>
    </w:p>
    <w:p w:rsidR="00174B16" w:rsidRPr="006A2BC6" w:rsidP="006A2BC6" w14:paraId="5AD7491F" w14:textId="77777777">
      <w:pPr>
        <w:spacing w:line="276" w:lineRule="auto"/>
        <w:contextualSpacing/>
        <w:rPr>
          <w:rFonts w:cs="Times New Roman"/>
          <w:szCs w:val="24"/>
        </w:rPr>
      </w:pPr>
    </w:p>
    <w:p w:rsidR="00E655F0" w:rsidRPr="006A2BC6" w:rsidP="006A2BC6" w14:paraId="101D114B" w14:textId="77777777">
      <w:pPr>
        <w:pStyle w:val="ListParagraph"/>
        <w:numPr>
          <w:ilvl w:val="0"/>
          <w:numId w:val="6"/>
        </w:numPr>
        <w:spacing w:line="276" w:lineRule="auto"/>
        <w:rPr>
          <w:rFonts w:cs="Times New Roman"/>
          <w:b/>
          <w:bCs/>
          <w:szCs w:val="24"/>
        </w:rPr>
      </w:pPr>
      <w:r w:rsidRPr="006A2BC6">
        <w:rPr>
          <w:rFonts w:cs="Times New Roman"/>
          <w:b/>
          <w:bCs/>
          <w:szCs w:val="24"/>
        </w:rPr>
        <w:t>Describe any assurance of confidentiality provided to respondents.  Present the basis for the assurance in statute, regulation, or agency policy.</w:t>
      </w:r>
    </w:p>
    <w:p w:rsidR="00174B16" w:rsidRPr="006A2BC6" w:rsidP="006A2BC6" w14:paraId="462D145B" w14:textId="77777777">
      <w:pPr>
        <w:spacing w:line="276" w:lineRule="auto"/>
        <w:contextualSpacing/>
        <w:rPr>
          <w:rFonts w:cs="Times New Roman"/>
          <w:szCs w:val="24"/>
        </w:rPr>
      </w:pPr>
    </w:p>
    <w:p w:rsidR="00E0266A" w:rsidRPr="006A2BC6" w:rsidP="006A2BC6" w14:paraId="4A72C40B" w14:textId="77777777">
      <w:pPr>
        <w:spacing w:line="276" w:lineRule="auto"/>
        <w:contextualSpacing/>
        <w:rPr>
          <w:rFonts w:cs="Times New Roman"/>
          <w:szCs w:val="24"/>
        </w:rPr>
      </w:pPr>
      <w:r w:rsidRPr="006A2BC6">
        <w:rPr>
          <w:rFonts w:cs="Times New Roman"/>
          <w:szCs w:val="24"/>
        </w:rPr>
        <w:t>A Privacy Threshold Analysis (PTA) was completed by FEMA and adjudicated by the D</w:t>
      </w:r>
      <w:r w:rsidRPr="006A2BC6" w:rsidR="001128E8">
        <w:rPr>
          <w:rFonts w:cs="Times New Roman"/>
          <w:szCs w:val="24"/>
        </w:rPr>
        <w:t>epartment of Homeland Security</w:t>
      </w:r>
      <w:r w:rsidRPr="006A2BC6" w:rsidR="000E4E5D">
        <w:rPr>
          <w:rFonts w:cs="Times New Roman"/>
          <w:szCs w:val="24"/>
        </w:rPr>
        <w:t>’s</w:t>
      </w:r>
      <w:r w:rsidRPr="006A2BC6">
        <w:rPr>
          <w:rFonts w:cs="Times New Roman"/>
          <w:szCs w:val="24"/>
        </w:rPr>
        <w:t xml:space="preserve"> Privacy Office on June 1</w:t>
      </w:r>
      <w:r w:rsidRPr="006A2BC6" w:rsidR="00964B20">
        <w:rPr>
          <w:rFonts w:cs="Times New Roman"/>
          <w:szCs w:val="24"/>
        </w:rPr>
        <w:t>0</w:t>
      </w:r>
      <w:r w:rsidRPr="006A2BC6">
        <w:rPr>
          <w:rFonts w:cs="Times New Roman"/>
          <w:szCs w:val="24"/>
        </w:rPr>
        <w:t>, 20</w:t>
      </w:r>
      <w:r w:rsidRPr="006A2BC6" w:rsidR="00964B20">
        <w:rPr>
          <w:rFonts w:cs="Times New Roman"/>
          <w:szCs w:val="24"/>
        </w:rPr>
        <w:t>2</w:t>
      </w:r>
      <w:r w:rsidRPr="006A2BC6">
        <w:rPr>
          <w:rFonts w:cs="Times New Roman"/>
          <w:szCs w:val="24"/>
        </w:rPr>
        <w:t xml:space="preserve">1.  </w:t>
      </w:r>
    </w:p>
    <w:p w:rsidR="00FE03CF" w:rsidRPr="006A2BC6" w:rsidP="006A2BC6" w14:paraId="2FD7C3CC" w14:textId="77777777">
      <w:pPr>
        <w:spacing w:line="276" w:lineRule="auto"/>
        <w:contextualSpacing/>
        <w:rPr>
          <w:rFonts w:cs="Times New Roman"/>
          <w:szCs w:val="24"/>
        </w:rPr>
      </w:pPr>
    </w:p>
    <w:p w:rsidR="00FE03CF" w:rsidP="006A2BC6" w14:paraId="037F2EDF" w14:textId="68E591FD">
      <w:pPr>
        <w:spacing w:line="276" w:lineRule="auto"/>
        <w:contextualSpacing/>
        <w:rPr>
          <w:rFonts w:cs="Times New Roman"/>
          <w:szCs w:val="24"/>
        </w:rPr>
      </w:pPr>
      <w:r w:rsidRPr="006A2BC6">
        <w:rPr>
          <w:rFonts w:cs="Times New Roman"/>
          <w:szCs w:val="24"/>
        </w:rPr>
        <w:t>No Privacy Information Assessment (PIA) or System of Record Notice (SORN) is required</w:t>
      </w:r>
      <w:r w:rsidR="00856A15">
        <w:rPr>
          <w:rFonts w:cs="Times New Roman"/>
          <w:szCs w:val="24"/>
        </w:rPr>
        <w:t xml:space="preserve"> since FEMA does not collect any information under this collection</w:t>
      </w:r>
      <w:r w:rsidRPr="006A2BC6">
        <w:rPr>
          <w:rFonts w:cs="Times New Roman"/>
          <w:szCs w:val="24"/>
        </w:rPr>
        <w:t>.</w:t>
      </w:r>
    </w:p>
    <w:p w:rsidR="00856A15" w:rsidP="006A2BC6" w14:paraId="4A1E8F52" w14:textId="51E099FB">
      <w:pPr>
        <w:spacing w:line="276" w:lineRule="auto"/>
        <w:contextualSpacing/>
        <w:rPr>
          <w:rFonts w:cs="Times New Roman"/>
          <w:szCs w:val="24"/>
        </w:rPr>
      </w:pPr>
    </w:p>
    <w:p w:rsidR="00856A15" w:rsidRPr="006A2BC6" w:rsidP="006A2BC6" w14:paraId="308003C8" w14:textId="6CB3DD09">
      <w:pPr>
        <w:spacing w:line="276" w:lineRule="auto"/>
        <w:contextualSpacing/>
        <w:rPr>
          <w:rFonts w:cs="Times New Roman"/>
          <w:szCs w:val="24"/>
        </w:rPr>
      </w:pPr>
      <w:r>
        <w:rPr>
          <w:rFonts w:cs="Times New Roman"/>
          <w:szCs w:val="24"/>
        </w:rPr>
        <w:t>Regulated lending institutions, Federal Agency lenders, the Federal National Mortgage Association, the Federal Home Loan Mortgage Corporation, and the Government National Mortgage Association, and others who may use the form must follow their own Agencies’ policies for Privacy Act compliance.</w:t>
      </w:r>
    </w:p>
    <w:p w:rsidR="00E0266A" w:rsidRPr="006A2BC6" w:rsidP="006A2BC6" w14:paraId="4135D89C" w14:textId="77777777">
      <w:pPr>
        <w:spacing w:line="276" w:lineRule="auto"/>
        <w:contextualSpacing/>
        <w:rPr>
          <w:rFonts w:cs="Times New Roman"/>
          <w:szCs w:val="24"/>
        </w:rPr>
      </w:pPr>
    </w:p>
    <w:p w:rsidR="00E0266A" w:rsidRPr="006A2BC6" w:rsidP="006A2BC6" w14:paraId="49C3A9F8" w14:textId="77777777">
      <w:pPr>
        <w:spacing w:line="276" w:lineRule="auto"/>
        <w:contextualSpacing/>
        <w:rPr>
          <w:rFonts w:cs="Times New Roman"/>
          <w:szCs w:val="24"/>
        </w:rPr>
      </w:pPr>
      <w:r w:rsidRPr="006A2BC6">
        <w:rPr>
          <w:rFonts w:cs="Times New Roman"/>
          <w:szCs w:val="24"/>
        </w:rPr>
        <w:t>There are no assurances of confidentiality provided to the respondents for this information collection.</w:t>
      </w:r>
    </w:p>
    <w:p w:rsidR="00174B16" w:rsidRPr="006A2BC6" w:rsidP="006A2BC6" w14:paraId="725C6C01" w14:textId="77777777">
      <w:pPr>
        <w:spacing w:line="276" w:lineRule="auto"/>
        <w:contextualSpacing/>
        <w:rPr>
          <w:rFonts w:cs="Times New Roman"/>
          <w:szCs w:val="24"/>
        </w:rPr>
      </w:pPr>
    </w:p>
    <w:p w:rsidR="00B3312A" w:rsidRPr="006A2BC6" w:rsidP="006A2BC6" w14:paraId="5EA84531" w14:textId="77777777">
      <w:pPr>
        <w:pStyle w:val="ListParagraph"/>
        <w:numPr>
          <w:ilvl w:val="0"/>
          <w:numId w:val="6"/>
        </w:numPr>
        <w:spacing w:line="276" w:lineRule="auto"/>
        <w:rPr>
          <w:rFonts w:cs="Times New Roman"/>
          <w:b/>
          <w:bCs/>
          <w:szCs w:val="24"/>
        </w:rPr>
      </w:pPr>
      <w:r w:rsidRPr="006A2BC6">
        <w:rPr>
          <w:rFonts w:cs="Times New Roman"/>
          <w:b/>
          <w:bCs/>
          <w:szCs w:val="24"/>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6A2BC6" w:rsidR="009B2B7F">
        <w:rPr>
          <w:rFonts w:cs="Times New Roman"/>
          <w:b/>
          <w:bCs/>
          <w:szCs w:val="24"/>
        </w:rPr>
        <w:t>to</w:t>
      </w:r>
      <w:r w:rsidRPr="006A2BC6">
        <w:rPr>
          <w:rFonts w:cs="Times New Roman"/>
          <w:b/>
          <w:bCs/>
          <w:szCs w:val="24"/>
        </w:rPr>
        <w:t xml:space="preserve"> be taken to obtain their consent.</w:t>
      </w:r>
    </w:p>
    <w:p w:rsidR="00EE0EFD" w:rsidRPr="006A2BC6" w:rsidP="006A2BC6" w14:paraId="7873591D" w14:textId="77777777">
      <w:pPr>
        <w:spacing w:line="276" w:lineRule="auto"/>
        <w:contextualSpacing/>
        <w:rPr>
          <w:rFonts w:cs="Times New Roman"/>
          <w:szCs w:val="24"/>
        </w:rPr>
      </w:pPr>
    </w:p>
    <w:p w:rsidR="00F92C3F" w:rsidRPr="006A2BC6" w:rsidP="006A2BC6" w14:paraId="7C2EB873" w14:textId="77777777">
      <w:pPr>
        <w:spacing w:line="276" w:lineRule="auto"/>
        <w:contextualSpacing/>
        <w:rPr>
          <w:rFonts w:cs="Times New Roman"/>
          <w:szCs w:val="24"/>
        </w:rPr>
      </w:pPr>
      <w:r w:rsidRPr="006A2BC6">
        <w:rPr>
          <w:rFonts w:cs="Times New Roman"/>
          <w:szCs w:val="24"/>
        </w:rPr>
        <w:t>There are no questions of a sensitive nature.</w:t>
      </w:r>
    </w:p>
    <w:p w:rsidR="00EE0EFD" w:rsidRPr="006A2BC6" w:rsidP="006A2BC6" w14:paraId="27670AFD" w14:textId="77777777">
      <w:pPr>
        <w:spacing w:line="276" w:lineRule="auto"/>
        <w:contextualSpacing/>
        <w:rPr>
          <w:rFonts w:cs="Times New Roman"/>
          <w:szCs w:val="24"/>
        </w:rPr>
      </w:pPr>
    </w:p>
    <w:p w:rsidR="00B3312A" w:rsidRPr="006A2BC6" w:rsidP="006A2BC6" w14:paraId="371D6573" w14:textId="77777777">
      <w:pPr>
        <w:pStyle w:val="ListParagraph"/>
        <w:numPr>
          <w:ilvl w:val="0"/>
          <w:numId w:val="6"/>
        </w:numPr>
        <w:spacing w:line="276" w:lineRule="auto"/>
        <w:rPr>
          <w:rFonts w:cs="Times New Roman"/>
          <w:b/>
          <w:bCs/>
          <w:szCs w:val="24"/>
        </w:rPr>
      </w:pPr>
      <w:r w:rsidRPr="006A2BC6">
        <w:rPr>
          <w:rFonts w:cs="Times New Roman"/>
          <w:b/>
          <w:bCs/>
          <w:szCs w:val="24"/>
        </w:rPr>
        <w:t>Provide estimates of the hour burden of the collection of information.  The stat</w:t>
      </w:r>
      <w:r w:rsidRPr="006A2BC6" w:rsidR="006B5A7B">
        <w:rPr>
          <w:rFonts w:cs="Times New Roman"/>
          <w:b/>
          <w:bCs/>
          <w:szCs w:val="24"/>
        </w:rPr>
        <w:t>ement</w:t>
      </w:r>
      <w:r w:rsidRPr="006A2BC6">
        <w:rPr>
          <w:rFonts w:cs="Times New Roman"/>
          <w:b/>
          <w:bCs/>
          <w:szCs w:val="24"/>
        </w:rPr>
        <w:t xml:space="preserve"> should:</w:t>
      </w:r>
    </w:p>
    <w:p w:rsidR="00EE0EFD" w:rsidRPr="006A2BC6" w:rsidP="006A2BC6" w14:paraId="7DC9C8F0" w14:textId="77777777">
      <w:pPr>
        <w:spacing w:line="276" w:lineRule="auto"/>
        <w:contextualSpacing/>
        <w:rPr>
          <w:rFonts w:cs="Times New Roman"/>
          <w:szCs w:val="24"/>
        </w:rPr>
      </w:pPr>
    </w:p>
    <w:p w:rsidR="00B3312A" w:rsidRPr="006A2BC6" w:rsidP="006A2BC6" w14:paraId="412E8910" w14:textId="77777777">
      <w:pPr>
        <w:pStyle w:val="ListParagraph"/>
        <w:numPr>
          <w:ilvl w:val="1"/>
          <w:numId w:val="6"/>
        </w:numPr>
        <w:spacing w:line="276" w:lineRule="auto"/>
        <w:rPr>
          <w:rFonts w:cs="Times New Roman"/>
          <w:b/>
          <w:bCs/>
          <w:szCs w:val="24"/>
        </w:rPr>
      </w:pPr>
      <w:r w:rsidRPr="006A2BC6">
        <w:rPr>
          <w:rFonts w:cs="Times New Roman"/>
          <w:b/>
          <w:bCs/>
          <w:szCs w:val="24"/>
        </w:rPr>
        <w:t xml:space="preserve">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w:t>
      </w:r>
      <w:r w:rsidRPr="006A2BC6">
        <w:rPr>
          <w:rFonts w:cs="Times New Roman"/>
          <w:b/>
          <w:bCs/>
          <w:szCs w:val="24"/>
        </w:rPr>
        <w:t>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6A2BC6" w:rsidP="006A2BC6" w14:paraId="314CF79D" w14:textId="77777777">
      <w:pPr>
        <w:spacing w:line="276" w:lineRule="auto"/>
        <w:contextualSpacing/>
        <w:rPr>
          <w:rFonts w:cs="Times New Roman"/>
          <w:szCs w:val="24"/>
        </w:rPr>
      </w:pPr>
    </w:p>
    <w:p w:rsidR="00F15BA0" w:rsidRPr="008357E2" w:rsidP="006A2BC6" w14:paraId="70C422D7" w14:textId="31D3D34C">
      <w:pPr>
        <w:spacing w:line="276" w:lineRule="auto"/>
        <w:contextualSpacing/>
        <w:rPr>
          <w:rFonts w:cs="Times New Roman"/>
          <w:color w:val="000000" w:themeColor="text1"/>
          <w:szCs w:val="24"/>
        </w:rPr>
      </w:pPr>
      <w:r w:rsidRPr="006A2BC6">
        <w:rPr>
          <w:rFonts w:cs="Times New Roman"/>
          <w:b/>
          <w:bCs/>
          <w:szCs w:val="24"/>
        </w:rPr>
        <w:t xml:space="preserve">FEMA Form FF-119-FY-22-128 (formerly 086-0-32), </w:t>
      </w:r>
      <w:r w:rsidRPr="00A90464">
        <w:rPr>
          <w:rFonts w:cs="Times New Roman"/>
          <w:b/>
          <w:bCs/>
          <w:szCs w:val="24"/>
        </w:rPr>
        <w:t>[Standard Flood Hazard Determination Form</w:t>
      </w:r>
      <w:r w:rsidRPr="006A2BC6">
        <w:rPr>
          <w:rFonts w:cs="Times New Roman"/>
          <w:b/>
          <w:bCs/>
          <w:szCs w:val="24"/>
        </w:rPr>
        <w:t>:</w:t>
      </w:r>
      <w:r w:rsidRPr="006A2BC6">
        <w:rPr>
          <w:rFonts w:cs="Times New Roman"/>
          <w:szCs w:val="24"/>
        </w:rPr>
        <w:t xml:space="preserve"> is estimated to </w:t>
      </w:r>
      <w:r w:rsidRPr="008357E2">
        <w:rPr>
          <w:rFonts w:cs="Times New Roman"/>
          <w:color w:val="000000" w:themeColor="text1"/>
          <w:szCs w:val="24"/>
        </w:rPr>
        <w:t xml:space="preserve">have </w:t>
      </w:r>
      <w:r w:rsidRPr="008357E2" w:rsidR="002457E2">
        <w:rPr>
          <w:rFonts w:cs="Times New Roman"/>
          <w:color w:val="000000" w:themeColor="text1"/>
          <w:szCs w:val="24"/>
        </w:rPr>
        <w:t>1</w:t>
      </w:r>
      <w:r w:rsidRPr="008357E2" w:rsidR="00C94DFF">
        <w:rPr>
          <w:rFonts w:cs="Times New Roman"/>
          <w:color w:val="000000" w:themeColor="text1"/>
          <w:szCs w:val="24"/>
        </w:rPr>
        <w:t xml:space="preserve"> </w:t>
      </w:r>
      <w:r w:rsidRPr="008357E2">
        <w:rPr>
          <w:rFonts w:cs="Times New Roman"/>
          <w:color w:val="000000" w:themeColor="text1"/>
          <w:szCs w:val="24"/>
        </w:rPr>
        <w:t>respondent</w:t>
      </w:r>
      <w:r w:rsidRPr="008357E2" w:rsidR="00C94DFF">
        <w:rPr>
          <w:rFonts w:cs="Times New Roman"/>
          <w:color w:val="000000" w:themeColor="text1"/>
          <w:szCs w:val="24"/>
        </w:rPr>
        <w:t xml:space="preserve"> times 1 response per year for </w:t>
      </w:r>
      <w:bookmarkStart w:id="7" w:name="_Hlk135135180"/>
      <w:r w:rsidRPr="008357E2" w:rsidR="002457E2">
        <w:rPr>
          <w:rFonts w:cs="Times New Roman"/>
          <w:color w:val="000000" w:themeColor="text1"/>
          <w:szCs w:val="24"/>
        </w:rPr>
        <w:t>1</w:t>
      </w:r>
      <w:r w:rsidRPr="008357E2" w:rsidR="00C94DFF">
        <w:rPr>
          <w:rFonts w:cs="Times New Roman"/>
          <w:color w:val="000000" w:themeColor="text1"/>
          <w:szCs w:val="24"/>
        </w:rPr>
        <w:t xml:space="preserve"> total</w:t>
      </w:r>
      <w:r w:rsidRPr="008357E2">
        <w:rPr>
          <w:rFonts w:cs="Times New Roman"/>
          <w:color w:val="000000" w:themeColor="text1"/>
          <w:szCs w:val="24"/>
        </w:rPr>
        <w:t xml:space="preserve"> response</w:t>
      </w:r>
      <w:bookmarkEnd w:id="7"/>
      <w:r w:rsidRPr="008357E2">
        <w:rPr>
          <w:rFonts w:cs="Times New Roman"/>
          <w:color w:val="000000" w:themeColor="text1"/>
          <w:szCs w:val="24"/>
        </w:rPr>
        <w:t>s per year</w:t>
      </w:r>
      <w:r w:rsidRPr="008357E2" w:rsidR="00C94DFF">
        <w:rPr>
          <w:rFonts w:cs="Times New Roman"/>
          <w:color w:val="000000" w:themeColor="text1"/>
          <w:szCs w:val="24"/>
        </w:rPr>
        <w:t xml:space="preserve"> (</w:t>
      </w:r>
      <w:r w:rsidRPr="008357E2" w:rsidR="002457E2">
        <w:rPr>
          <w:rFonts w:cs="Times New Roman"/>
          <w:color w:val="000000" w:themeColor="text1"/>
          <w:szCs w:val="24"/>
        </w:rPr>
        <w:t>1</w:t>
      </w:r>
      <w:r w:rsidRPr="008357E2" w:rsidR="00C94DFF">
        <w:rPr>
          <w:rFonts w:cs="Times New Roman"/>
          <w:color w:val="000000" w:themeColor="text1"/>
          <w:szCs w:val="24"/>
        </w:rPr>
        <w:t xml:space="preserve"> x 1 = </w:t>
      </w:r>
      <w:r w:rsidRPr="008357E2" w:rsidR="002457E2">
        <w:rPr>
          <w:rFonts w:cs="Times New Roman"/>
          <w:color w:val="000000" w:themeColor="text1"/>
          <w:szCs w:val="24"/>
        </w:rPr>
        <w:t>1</w:t>
      </w:r>
      <w:r w:rsidRPr="008357E2" w:rsidR="00C94DFF">
        <w:rPr>
          <w:rFonts w:cs="Times New Roman"/>
          <w:color w:val="000000" w:themeColor="text1"/>
          <w:szCs w:val="24"/>
        </w:rPr>
        <w:t>)</w:t>
      </w:r>
      <w:r w:rsidRPr="008357E2" w:rsidR="00F213F1">
        <w:rPr>
          <w:rFonts w:cs="Times New Roman"/>
          <w:color w:val="000000" w:themeColor="text1"/>
          <w:szCs w:val="24"/>
        </w:rPr>
        <w:t xml:space="preserve">.  </w:t>
      </w:r>
      <w:r w:rsidRPr="008357E2">
        <w:rPr>
          <w:rFonts w:cs="Times New Roman"/>
          <w:color w:val="000000" w:themeColor="text1"/>
          <w:szCs w:val="24"/>
        </w:rPr>
        <w:t xml:space="preserve">It is estimated that each response will require </w:t>
      </w:r>
      <w:r w:rsidRPr="008357E2" w:rsidR="002457E2">
        <w:rPr>
          <w:rFonts w:cs="Times New Roman"/>
          <w:color w:val="000000" w:themeColor="text1"/>
          <w:szCs w:val="24"/>
        </w:rPr>
        <w:t>1.0</w:t>
      </w:r>
      <w:r w:rsidRPr="008357E2">
        <w:rPr>
          <w:rFonts w:cs="Times New Roman"/>
          <w:color w:val="000000" w:themeColor="text1"/>
          <w:szCs w:val="24"/>
        </w:rPr>
        <w:t xml:space="preserve"> burden hours</w:t>
      </w:r>
      <w:r w:rsidRPr="008357E2" w:rsidR="00D00B3F">
        <w:rPr>
          <w:rFonts w:cs="Times New Roman"/>
          <w:color w:val="000000" w:themeColor="text1"/>
          <w:szCs w:val="24"/>
        </w:rPr>
        <w:t xml:space="preserve"> (</w:t>
      </w:r>
      <w:r w:rsidRPr="008357E2" w:rsidR="002457E2">
        <w:rPr>
          <w:rFonts w:cs="Times New Roman"/>
          <w:color w:val="000000" w:themeColor="text1"/>
          <w:szCs w:val="24"/>
        </w:rPr>
        <w:t>6</w:t>
      </w:r>
      <w:r w:rsidRPr="008357E2" w:rsidR="00D00B3F">
        <w:rPr>
          <w:rFonts w:cs="Times New Roman"/>
          <w:color w:val="000000" w:themeColor="text1"/>
          <w:szCs w:val="24"/>
        </w:rPr>
        <w:t>0 minutes)</w:t>
      </w:r>
      <w:r w:rsidRPr="008357E2">
        <w:rPr>
          <w:rFonts w:cs="Times New Roman"/>
          <w:color w:val="000000" w:themeColor="text1"/>
          <w:szCs w:val="24"/>
        </w:rPr>
        <w:t xml:space="preserve"> to complete, therefore </w:t>
      </w:r>
      <w:r w:rsidRPr="008357E2" w:rsidR="002457E2">
        <w:rPr>
          <w:rFonts w:cs="Times New Roman"/>
          <w:color w:val="000000" w:themeColor="text1"/>
          <w:szCs w:val="24"/>
        </w:rPr>
        <w:t>1</w:t>
      </w:r>
      <w:r w:rsidRPr="008357E2" w:rsidR="00033513">
        <w:rPr>
          <w:rFonts w:cs="Times New Roman"/>
          <w:color w:val="000000" w:themeColor="text1"/>
          <w:szCs w:val="24"/>
        </w:rPr>
        <w:t xml:space="preserve"> </w:t>
      </w:r>
      <w:r w:rsidRPr="00E27B60">
        <w:rPr>
          <w:rFonts w:cs="Times New Roman"/>
          <w:color w:val="000000" w:themeColor="text1"/>
          <w:szCs w:val="24"/>
        </w:rPr>
        <w:t xml:space="preserve">responses times </w:t>
      </w:r>
      <w:r w:rsidRPr="008357E2" w:rsidR="002457E2">
        <w:rPr>
          <w:rFonts w:cs="Times New Roman"/>
          <w:color w:val="000000" w:themeColor="text1"/>
          <w:szCs w:val="24"/>
        </w:rPr>
        <w:t>1</w:t>
      </w:r>
      <w:r w:rsidRPr="008357E2" w:rsidR="00D74C71">
        <w:rPr>
          <w:rFonts w:cs="Times New Roman"/>
          <w:color w:val="000000" w:themeColor="text1"/>
          <w:szCs w:val="24"/>
        </w:rPr>
        <w:t>.</w:t>
      </w:r>
      <w:r w:rsidRPr="008357E2" w:rsidR="002457E2">
        <w:rPr>
          <w:rFonts w:cs="Times New Roman"/>
          <w:color w:val="000000" w:themeColor="text1"/>
          <w:szCs w:val="24"/>
        </w:rPr>
        <w:t>0</w:t>
      </w:r>
      <w:r w:rsidRPr="00E27B60">
        <w:rPr>
          <w:rFonts w:cs="Times New Roman"/>
          <w:color w:val="000000" w:themeColor="text1"/>
          <w:szCs w:val="24"/>
        </w:rPr>
        <w:t xml:space="preserve"> </w:t>
      </w:r>
      <w:r w:rsidRPr="008357E2">
        <w:rPr>
          <w:rFonts w:cs="Times New Roman"/>
          <w:color w:val="000000" w:themeColor="text1"/>
          <w:szCs w:val="24"/>
        </w:rPr>
        <w:t xml:space="preserve">hours equals </w:t>
      </w:r>
      <w:r w:rsidRPr="008357E2" w:rsidR="002457E2">
        <w:rPr>
          <w:rFonts w:cs="Times New Roman"/>
          <w:color w:val="000000" w:themeColor="text1"/>
          <w:szCs w:val="24"/>
        </w:rPr>
        <w:t>1</w:t>
      </w:r>
      <w:r w:rsidRPr="008357E2">
        <w:rPr>
          <w:rFonts w:cs="Times New Roman"/>
          <w:color w:val="000000" w:themeColor="text1"/>
          <w:szCs w:val="24"/>
        </w:rPr>
        <w:t xml:space="preserve"> total annual burden hours (</w:t>
      </w:r>
      <w:r w:rsidRPr="008357E2" w:rsidR="002457E2">
        <w:rPr>
          <w:rFonts w:cs="Times New Roman"/>
          <w:color w:val="000000" w:themeColor="text1"/>
          <w:szCs w:val="24"/>
        </w:rPr>
        <w:t>1</w:t>
      </w:r>
      <w:r w:rsidRPr="00E27B60">
        <w:rPr>
          <w:rFonts w:cs="Times New Roman"/>
          <w:color w:val="000000" w:themeColor="text1"/>
          <w:szCs w:val="24"/>
        </w:rPr>
        <w:t xml:space="preserve"> x </w:t>
      </w:r>
      <w:r w:rsidRPr="008357E2" w:rsidR="002457E2">
        <w:rPr>
          <w:rFonts w:cs="Times New Roman"/>
          <w:color w:val="000000" w:themeColor="text1"/>
          <w:szCs w:val="24"/>
        </w:rPr>
        <w:t>1.0</w:t>
      </w:r>
      <w:r w:rsidRPr="008357E2">
        <w:rPr>
          <w:rFonts w:cs="Times New Roman"/>
          <w:color w:val="000000" w:themeColor="text1"/>
          <w:szCs w:val="24"/>
        </w:rPr>
        <w:t xml:space="preserve"> = </w:t>
      </w:r>
      <w:r w:rsidRPr="008357E2" w:rsidR="002457E2">
        <w:rPr>
          <w:rFonts w:cs="Times New Roman"/>
          <w:color w:val="000000" w:themeColor="text1"/>
          <w:szCs w:val="24"/>
        </w:rPr>
        <w:t>1</w:t>
      </w:r>
      <w:r w:rsidRPr="008357E2">
        <w:rPr>
          <w:rFonts w:cs="Times New Roman"/>
          <w:color w:val="000000" w:themeColor="text1"/>
          <w:szCs w:val="24"/>
        </w:rPr>
        <w:t>).</w:t>
      </w:r>
    </w:p>
    <w:p w:rsidR="0090301E" w:rsidRPr="008357E2" w:rsidP="006A2BC6" w14:paraId="2F798605" w14:textId="77777777">
      <w:pPr>
        <w:spacing w:line="276" w:lineRule="auto"/>
        <w:contextualSpacing/>
        <w:rPr>
          <w:rFonts w:cs="Times New Roman"/>
          <w:color w:val="000000" w:themeColor="text1"/>
          <w:szCs w:val="24"/>
        </w:rPr>
      </w:pPr>
    </w:p>
    <w:p w:rsidR="00C94DFF" w:rsidRPr="008357E2" w:rsidP="00A90464" w14:paraId="641747A7" w14:textId="60F1E72F">
      <w:pPr>
        <w:spacing w:line="276" w:lineRule="auto"/>
        <w:contextualSpacing/>
        <w:rPr>
          <w:rFonts w:cs="Times New Roman"/>
          <w:color w:val="000000" w:themeColor="text1"/>
          <w:szCs w:val="24"/>
        </w:rPr>
      </w:pPr>
      <w:bookmarkStart w:id="8" w:name="_Hlk145328797"/>
      <w:r w:rsidRPr="008357E2">
        <w:rPr>
          <w:rFonts w:cs="Times New Roman"/>
          <w:color w:val="000000" w:themeColor="text1"/>
          <w:szCs w:val="24"/>
        </w:rPr>
        <w:t xml:space="preserve">Usability testing </w:t>
      </w:r>
      <w:r w:rsidRPr="008357E2" w:rsidR="002457E2">
        <w:rPr>
          <w:rFonts w:cs="Times New Roman"/>
          <w:color w:val="000000" w:themeColor="text1"/>
          <w:szCs w:val="24"/>
        </w:rPr>
        <w:t>was</w:t>
      </w:r>
      <w:r w:rsidRPr="008357E2">
        <w:rPr>
          <w:rFonts w:cs="Times New Roman"/>
          <w:color w:val="000000" w:themeColor="text1"/>
          <w:szCs w:val="24"/>
        </w:rPr>
        <w:t xml:space="preserve"> conducted on this collection.  As result, an increase of 87,834 burden hours </w:t>
      </w:r>
      <w:r w:rsidRPr="008357E2" w:rsidR="002457E2">
        <w:rPr>
          <w:rFonts w:cs="Times New Roman"/>
          <w:color w:val="000000" w:themeColor="text1"/>
          <w:szCs w:val="24"/>
        </w:rPr>
        <w:t>was</w:t>
      </w:r>
      <w:r w:rsidRPr="008357E2">
        <w:rPr>
          <w:rFonts w:cs="Times New Roman"/>
          <w:color w:val="000000" w:themeColor="text1"/>
          <w:szCs w:val="24"/>
        </w:rPr>
        <w:t xml:space="preserve"> recognized and </w:t>
      </w:r>
      <w:r w:rsidRPr="008357E2" w:rsidR="002457E2">
        <w:rPr>
          <w:rFonts w:cs="Times New Roman"/>
          <w:color w:val="000000" w:themeColor="text1"/>
          <w:szCs w:val="24"/>
        </w:rPr>
        <w:t xml:space="preserve">previously </w:t>
      </w:r>
      <w:r w:rsidRPr="008357E2">
        <w:rPr>
          <w:rFonts w:cs="Times New Roman"/>
          <w:color w:val="000000" w:themeColor="text1"/>
          <w:szCs w:val="24"/>
        </w:rPr>
        <w:t>included as an update to the collection.</w:t>
      </w:r>
      <w:r w:rsidRPr="008357E2" w:rsidR="0017371C">
        <w:rPr>
          <w:rFonts w:cs="Times New Roman"/>
          <w:color w:val="000000" w:themeColor="text1"/>
          <w:szCs w:val="24"/>
        </w:rPr>
        <w:t xml:space="preserve">  The increase </w:t>
      </w:r>
      <w:r w:rsidRPr="008357E2" w:rsidR="002373CB">
        <w:rPr>
          <w:rFonts w:cs="Times New Roman"/>
          <w:color w:val="000000" w:themeColor="text1"/>
          <w:szCs w:val="24"/>
        </w:rPr>
        <w:t xml:space="preserve">was </w:t>
      </w:r>
      <w:r w:rsidRPr="008357E2" w:rsidR="0017371C">
        <w:rPr>
          <w:rFonts w:cs="Times New Roman"/>
          <w:color w:val="000000" w:themeColor="text1"/>
          <w:szCs w:val="24"/>
        </w:rPr>
        <w:t>due to expanding the Average Burden Per Response to four decimal places of a repeating three to represent one-third of an hour from two places used in the previous reinstatement</w:t>
      </w:r>
      <w:r w:rsidRPr="008357E2" w:rsidR="002373CB">
        <w:rPr>
          <w:rFonts w:cs="Times New Roman"/>
          <w:color w:val="000000" w:themeColor="text1"/>
          <w:szCs w:val="24"/>
        </w:rPr>
        <w:t>, but that increase is being negated by the revision to a common form collection</w:t>
      </w:r>
      <w:r w:rsidRPr="008357E2" w:rsidR="0017371C">
        <w:rPr>
          <w:rFonts w:cs="Times New Roman"/>
          <w:color w:val="000000" w:themeColor="text1"/>
          <w:szCs w:val="24"/>
        </w:rPr>
        <w:t>.</w:t>
      </w:r>
    </w:p>
    <w:p w:rsidR="002457E2" w:rsidRPr="008357E2" w:rsidP="00A90464" w14:paraId="4EA8C122" w14:textId="75531A5B">
      <w:pPr>
        <w:spacing w:line="276" w:lineRule="auto"/>
        <w:contextualSpacing/>
        <w:rPr>
          <w:rFonts w:cs="Times New Roman"/>
          <w:color w:val="000000" w:themeColor="text1"/>
          <w:szCs w:val="24"/>
        </w:rPr>
      </w:pPr>
    </w:p>
    <w:p w:rsidR="002457E2" w:rsidRPr="008357E2" w:rsidP="00A90464" w14:paraId="1026F904" w14:textId="680B405B">
      <w:pPr>
        <w:spacing w:line="276" w:lineRule="auto"/>
        <w:contextualSpacing/>
        <w:rPr>
          <w:rFonts w:cs="Times New Roman"/>
          <w:color w:val="000000" w:themeColor="text1"/>
          <w:szCs w:val="24"/>
        </w:rPr>
      </w:pPr>
      <w:r w:rsidRPr="008357E2">
        <w:rPr>
          <w:rFonts w:cs="Times New Roman"/>
          <w:color w:val="000000" w:themeColor="text1"/>
          <w:szCs w:val="24"/>
        </w:rPr>
        <w:t xml:space="preserve">After reviewing the public comments received from the 60-Day public comment period, FEMA is revising this information collection to a common form collection, which will reduce the burden to the public by </w:t>
      </w:r>
      <w:r w:rsidRPr="008357E2" w:rsidR="002373CB">
        <w:rPr>
          <w:rFonts w:cs="Times New Roman"/>
          <w:color w:val="000000" w:themeColor="text1"/>
          <w:szCs w:val="24"/>
        </w:rPr>
        <w:t xml:space="preserve">8,783,366 </w:t>
      </w:r>
      <w:r w:rsidRPr="008357E2">
        <w:rPr>
          <w:rFonts w:cs="Times New Roman"/>
          <w:color w:val="000000" w:themeColor="text1"/>
          <w:szCs w:val="24"/>
        </w:rPr>
        <w:t>burden hours to a total of one (1) burden hour.</w:t>
      </w:r>
    </w:p>
    <w:bookmarkEnd w:id="8"/>
    <w:p w:rsidR="00FA2D0D" w:rsidRPr="008357E2" w:rsidP="006A2BC6" w14:paraId="6C24C9B3" w14:textId="77777777">
      <w:pPr>
        <w:spacing w:line="276" w:lineRule="auto"/>
        <w:contextualSpacing/>
        <w:rPr>
          <w:rFonts w:cs="Times New Roman"/>
          <w:color w:val="000000" w:themeColor="text1"/>
          <w:szCs w:val="24"/>
        </w:rPr>
      </w:pPr>
    </w:p>
    <w:p w:rsidR="00B3312A" w:rsidRPr="006A2BC6" w:rsidP="006A2BC6" w14:paraId="5A5AD7C7" w14:textId="77777777">
      <w:pPr>
        <w:pStyle w:val="ListParagraph"/>
        <w:numPr>
          <w:ilvl w:val="1"/>
          <w:numId w:val="6"/>
        </w:numPr>
        <w:spacing w:line="276" w:lineRule="auto"/>
        <w:rPr>
          <w:rFonts w:cs="Times New Roman"/>
          <w:szCs w:val="24"/>
        </w:rPr>
      </w:pPr>
      <w:r w:rsidRPr="006A2BC6">
        <w:rPr>
          <w:rFonts w:cs="Times New Roman"/>
          <w:b/>
          <w:bCs/>
          <w:szCs w:val="24"/>
        </w:rPr>
        <w:t>If this request for approval covers more than one form, provide separate hour burden estimates for each form and aggregate the hour burdens in Item 13 of OMB Form 83-I</w:t>
      </w:r>
      <w:r w:rsidRPr="006A2BC6">
        <w:rPr>
          <w:rFonts w:cs="Times New Roman"/>
          <w:szCs w:val="24"/>
        </w:rPr>
        <w:t>.</w:t>
      </w:r>
    </w:p>
    <w:p w:rsidR="00EE0EFD" w:rsidRPr="006A2BC6" w:rsidP="006A2BC6" w14:paraId="6A14E1F4" w14:textId="77777777">
      <w:pPr>
        <w:spacing w:line="276" w:lineRule="auto"/>
        <w:contextualSpacing/>
        <w:rPr>
          <w:rFonts w:cs="Times New Roman"/>
          <w:szCs w:val="24"/>
        </w:rPr>
      </w:pPr>
    </w:p>
    <w:p w:rsidR="00EE0EFD" w:rsidRPr="006A2BC6" w:rsidP="006A2BC6" w14:paraId="3E2D46BA" w14:textId="77777777">
      <w:pPr>
        <w:spacing w:line="276" w:lineRule="auto"/>
        <w:contextualSpacing/>
        <w:rPr>
          <w:rFonts w:cs="Times New Roman"/>
          <w:szCs w:val="24"/>
        </w:rPr>
      </w:pPr>
      <w:r w:rsidRPr="006A2BC6">
        <w:rPr>
          <w:rFonts w:cs="Times New Roman"/>
          <w:szCs w:val="24"/>
        </w:rPr>
        <w:t>Please see our response for 12a above and 12c below.</w:t>
      </w:r>
    </w:p>
    <w:p w:rsidR="00EE0EFD" w:rsidRPr="006A2BC6" w:rsidP="006A2BC6" w14:paraId="69FF156D" w14:textId="77777777">
      <w:pPr>
        <w:spacing w:line="276" w:lineRule="auto"/>
        <w:contextualSpacing/>
        <w:rPr>
          <w:rFonts w:cs="Times New Roman"/>
          <w:szCs w:val="24"/>
        </w:rPr>
      </w:pPr>
    </w:p>
    <w:p w:rsidR="003165CC" w:rsidRPr="006A2BC6" w:rsidP="006A2BC6" w14:paraId="79E5D7DA" w14:textId="77777777">
      <w:pPr>
        <w:pStyle w:val="ListParagraph"/>
        <w:numPr>
          <w:ilvl w:val="1"/>
          <w:numId w:val="6"/>
        </w:numPr>
        <w:spacing w:line="276" w:lineRule="auto"/>
        <w:rPr>
          <w:rFonts w:cs="Times New Roman"/>
          <w:b/>
          <w:bCs/>
          <w:szCs w:val="24"/>
        </w:rPr>
      </w:pPr>
      <w:r w:rsidRPr="006A2BC6">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6A2BC6" w:rsidR="00521714">
        <w:rPr>
          <w:rFonts w:cs="Times New Roman"/>
          <w:b/>
          <w:bCs/>
          <w:szCs w:val="24"/>
        </w:rPr>
        <w:t xml:space="preserve">5 (1.61 for </w:t>
      </w:r>
      <w:r w:rsidRPr="006A2BC6" w:rsidR="00424F8A">
        <w:rPr>
          <w:rFonts w:cs="Times New Roman"/>
          <w:b/>
          <w:bCs/>
          <w:szCs w:val="24"/>
        </w:rPr>
        <w:t>S</w:t>
      </w:r>
      <w:r w:rsidRPr="006A2BC6" w:rsidR="00521714">
        <w:rPr>
          <w:rFonts w:cs="Times New Roman"/>
          <w:b/>
          <w:bCs/>
          <w:szCs w:val="24"/>
        </w:rPr>
        <w:t xml:space="preserve">tate and local </w:t>
      </w:r>
      <w:r w:rsidRPr="006A2BC6" w:rsidR="00424F8A">
        <w:rPr>
          <w:rFonts w:cs="Times New Roman"/>
          <w:b/>
          <w:bCs/>
          <w:szCs w:val="24"/>
        </w:rPr>
        <w:t xml:space="preserve">government </w:t>
      </w:r>
      <w:r w:rsidRPr="006A2BC6" w:rsidR="00521714">
        <w:rPr>
          <w:rFonts w:cs="Times New Roman"/>
          <w:b/>
          <w:bCs/>
          <w:szCs w:val="24"/>
        </w:rPr>
        <w:t>employees)</w:t>
      </w:r>
      <w:r w:rsidRPr="006A2BC6">
        <w:rPr>
          <w:rFonts w:cs="Times New Roman"/>
          <w:b/>
          <w:bCs/>
          <w:szCs w:val="24"/>
        </w:rPr>
        <w:t xml:space="preserve"> and this total should be entered in the cell for “Avg. Hourly Wage Rate.”  The cost to the respondents of contracting </w:t>
      </w:r>
      <w:r w:rsidRPr="006A2BC6" w:rsidR="009B2B7F">
        <w:rPr>
          <w:rFonts w:cs="Times New Roman"/>
          <w:b/>
          <w:bCs/>
          <w:szCs w:val="24"/>
        </w:rPr>
        <w:t>out</w:t>
      </w:r>
      <w:r w:rsidRPr="006A2BC6">
        <w:rPr>
          <w:rFonts w:cs="Times New Roman"/>
          <w:b/>
          <w:bCs/>
          <w:szCs w:val="24"/>
        </w:rPr>
        <w:t xml:space="preserve"> to paying outside parties for information collection activities should not be included here.  Instead this cost should be included in Item 13.</w:t>
      </w:r>
    </w:p>
    <w:p w:rsidR="0017371C" w:rsidRPr="006A2BC6" w:rsidP="00A90464" w14:paraId="0196BD8F" w14:textId="77777777">
      <w:pPr>
        <w:spacing w:line="276" w:lineRule="auto"/>
        <w:contextualSpacing/>
        <w:rPr>
          <w:rFonts w:cs="Times New Roman"/>
          <w:szCs w:val="24"/>
        </w:rPr>
      </w:pPr>
      <w:r w:rsidRPr="006A2BC6">
        <w:rPr>
          <w:rFonts w:cs="Times New Roman"/>
          <w:szCs w:val="24"/>
        </w:rPr>
        <w:br w:type="page"/>
      </w:r>
    </w:p>
    <w:p w:rsidR="000E4E5D" w:rsidRPr="006A2BC6" w:rsidP="006A2BC6" w14:paraId="0EF2D811" w14:textId="77777777">
      <w:pPr>
        <w:spacing w:line="276" w:lineRule="auto"/>
        <w:contextualSpacing/>
        <w:rPr>
          <w:rFonts w:cs="Times New Roman"/>
          <w:szCs w:val="24"/>
        </w:rPr>
      </w:pPr>
    </w:p>
    <w:tbl>
      <w:tblPr>
        <w:tblW w:w="101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960"/>
        <w:gridCol w:w="1136"/>
        <w:gridCol w:w="1160"/>
        <w:gridCol w:w="976"/>
        <w:gridCol w:w="980"/>
        <w:gridCol w:w="860"/>
        <w:gridCol w:w="726"/>
        <w:gridCol w:w="1251"/>
      </w:tblGrid>
      <w:tr w14:paraId="604A490E" w14:textId="77777777" w:rsidTr="0082152E">
        <w:tblPrEx>
          <w:tblW w:w="101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64"/>
          <w:jc w:val="center"/>
        </w:trPr>
        <w:tc>
          <w:tcPr>
            <w:tcW w:w="10169" w:type="dxa"/>
            <w:gridSpan w:val="9"/>
            <w:shd w:val="clear" w:color="000000" w:fill="95B3D7"/>
            <w:vAlign w:val="bottom"/>
            <w:hideMark/>
          </w:tcPr>
          <w:p w:rsidR="00CD1C5D" w:rsidRPr="00490ECB" w:rsidP="0082152E" w14:paraId="1557B1BC" w14:textId="77777777">
            <w:pPr>
              <w:jc w:val="center"/>
              <w:rPr>
                <w:rFonts w:eastAsia="Times New Roman" w:cs="Times New Roman"/>
                <w:b/>
                <w:bCs/>
                <w:color w:val="000000"/>
                <w:sz w:val="20"/>
                <w:szCs w:val="20"/>
              </w:rPr>
            </w:pPr>
            <w:bookmarkStart w:id="9" w:name="_Hlk134717095"/>
            <w:r w:rsidRPr="00490ECB">
              <w:rPr>
                <w:rFonts w:eastAsia="Times New Roman" w:cs="Times New Roman"/>
                <w:b/>
                <w:bCs/>
                <w:color w:val="000000"/>
                <w:sz w:val="20"/>
                <w:szCs w:val="20"/>
              </w:rPr>
              <w:t>Estimated Annualized Burden Hours and Costs</w:t>
            </w:r>
            <w:bookmarkEnd w:id="9"/>
          </w:p>
        </w:tc>
      </w:tr>
      <w:tr w14:paraId="2528E6F8" w14:textId="77777777" w:rsidTr="0082152E">
        <w:tblPrEx>
          <w:tblW w:w="10169" w:type="dxa"/>
          <w:jc w:val="center"/>
          <w:tblLook w:val="04A0"/>
        </w:tblPrEx>
        <w:trPr>
          <w:trHeight w:val="960"/>
          <w:jc w:val="center"/>
        </w:trPr>
        <w:tc>
          <w:tcPr>
            <w:tcW w:w="1120" w:type="dxa"/>
            <w:shd w:val="clear" w:color="000000" w:fill="95B3D7"/>
            <w:vAlign w:val="bottom"/>
            <w:hideMark/>
          </w:tcPr>
          <w:p w:rsidR="00CD1C5D" w:rsidRPr="00490ECB" w:rsidP="0082152E" w14:paraId="1CE198C9" w14:textId="77777777">
            <w:pPr>
              <w:jc w:val="center"/>
              <w:rPr>
                <w:rFonts w:eastAsia="Times New Roman" w:cs="Times New Roman"/>
                <w:color w:val="000000"/>
                <w:sz w:val="18"/>
                <w:szCs w:val="18"/>
              </w:rPr>
            </w:pPr>
            <w:r w:rsidRPr="00490ECB">
              <w:rPr>
                <w:rFonts w:eastAsia="Times New Roman" w:cs="Times New Roman"/>
                <w:color w:val="000000"/>
                <w:sz w:val="18"/>
                <w:szCs w:val="18"/>
              </w:rPr>
              <w:t>Type of Respondent</w:t>
            </w:r>
          </w:p>
        </w:tc>
        <w:tc>
          <w:tcPr>
            <w:tcW w:w="1960" w:type="dxa"/>
            <w:shd w:val="clear" w:color="000000" w:fill="95B3D7"/>
            <w:vAlign w:val="bottom"/>
            <w:hideMark/>
          </w:tcPr>
          <w:p w:rsidR="00CD1C5D" w:rsidRPr="00490ECB" w:rsidP="0082152E" w14:paraId="15AF0807" w14:textId="77777777">
            <w:pPr>
              <w:jc w:val="center"/>
              <w:rPr>
                <w:rFonts w:eastAsia="Times New Roman" w:cs="Times New Roman"/>
                <w:color w:val="000000"/>
                <w:sz w:val="18"/>
                <w:szCs w:val="18"/>
              </w:rPr>
            </w:pPr>
            <w:r w:rsidRPr="00490ECB">
              <w:rPr>
                <w:rFonts w:eastAsia="Times New Roman" w:cs="Times New Roman"/>
                <w:color w:val="000000"/>
                <w:sz w:val="18"/>
                <w:szCs w:val="18"/>
              </w:rPr>
              <w:t>Form Name / Form No.</w:t>
            </w:r>
          </w:p>
        </w:tc>
        <w:tc>
          <w:tcPr>
            <w:tcW w:w="1136" w:type="dxa"/>
            <w:shd w:val="clear" w:color="000000" w:fill="95B3D7"/>
            <w:vAlign w:val="bottom"/>
            <w:hideMark/>
          </w:tcPr>
          <w:p w:rsidR="00CD1C5D" w:rsidRPr="00490ECB" w:rsidP="0082152E" w14:paraId="76D3A013" w14:textId="77777777">
            <w:pPr>
              <w:jc w:val="center"/>
              <w:rPr>
                <w:rFonts w:eastAsia="Times New Roman" w:cs="Times New Roman"/>
                <w:color w:val="000000"/>
                <w:sz w:val="18"/>
                <w:szCs w:val="18"/>
              </w:rPr>
            </w:pPr>
            <w:r w:rsidRPr="00490ECB">
              <w:rPr>
                <w:rFonts w:eastAsia="Times New Roman" w:cs="Times New Roman"/>
                <w:color w:val="000000"/>
                <w:sz w:val="18"/>
                <w:szCs w:val="18"/>
              </w:rPr>
              <w:t>No. of Respondents</w:t>
            </w:r>
          </w:p>
        </w:tc>
        <w:tc>
          <w:tcPr>
            <w:tcW w:w="1160" w:type="dxa"/>
            <w:shd w:val="clear" w:color="000000" w:fill="95B3D7"/>
            <w:vAlign w:val="bottom"/>
            <w:hideMark/>
          </w:tcPr>
          <w:p w:rsidR="00CD1C5D" w:rsidRPr="00490ECB" w:rsidP="0082152E" w14:paraId="2FB0E733" w14:textId="77777777">
            <w:pPr>
              <w:jc w:val="center"/>
              <w:rPr>
                <w:rFonts w:eastAsia="Times New Roman" w:cs="Times New Roman"/>
                <w:color w:val="000000"/>
                <w:sz w:val="18"/>
                <w:szCs w:val="18"/>
              </w:rPr>
            </w:pPr>
            <w:r w:rsidRPr="00490ECB">
              <w:rPr>
                <w:rFonts w:eastAsia="Times New Roman" w:cs="Times New Roman"/>
                <w:color w:val="000000"/>
                <w:sz w:val="18"/>
                <w:szCs w:val="18"/>
              </w:rPr>
              <w:t>No. of Responses per Respondent</w:t>
            </w:r>
          </w:p>
        </w:tc>
        <w:tc>
          <w:tcPr>
            <w:tcW w:w="976" w:type="dxa"/>
            <w:shd w:val="clear" w:color="000000" w:fill="95B3D7"/>
            <w:vAlign w:val="bottom"/>
            <w:hideMark/>
          </w:tcPr>
          <w:p w:rsidR="00CD1C5D" w:rsidRPr="00490ECB" w:rsidP="0082152E" w14:paraId="30A25164" w14:textId="77777777">
            <w:pPr>
              <w:jc w:val="center"/>
              <w:rPr>
                <w:rFonts w:eastAsia="Times New Roman" w:cs="Times New Roman"/>
                <w:color w:val="000000"/>
                <w:sz w:val="18"/>
                <w:szCs w:val="18"/>
              </w:rPr>
            </w:pPr>
            <w:r w:rsidRPr="00490ECB">
              <w:rPr>
                <w:rFonts w:eastAsia="Times New Roman" w:cs="Times New Roman"/>
                <w:color w:val="000000"/>
                <w:sz w:val="18"/>
                <w:szCs w:val="18"/>
              </w:rPr>
              <w:t>Total No. of Responses</w:t>
            </w:r>
          </w:p>
        </w:tc>
        <w:tc>
          <w:tcPr>
            <w:tcW w:w="980" w:type="dxa"/>
            <w:shd w:val="clear" w:color="000000" w:fill="95B3D7"/>
            <w:vAlign w:val="bottom"/>
            <w:hideMark/>
          </w:tcPr>
          <w:p w:rsidR="00CD1C5D" w:rsidRPr="00490ECB" w:rsidP="0082152E" w14:paraId="5E193634" w14:textId="77777777">
            <w:pPr>
              <w:jc w:val="center"/>
              <w:rPr>
                <w:rFonts w:eastAsia="Times New Roman" w:cs="Times New Roman"/>
                <w:color w:val="000000"/>
                <w:sz w:val="18"/>
                <w:szCs w:val="18"/>
              </w:rPr>
            </w:pPr>
            <w:r w:rsidRPr="00490ECB">
              <w:rPr>
                <w:rFonts w:eastAsia="Times New Roman" w:cs="Times New Roman"/>
                <w:color w:val="000000"/>
                <w:sz w:val="18"/>
                <w:szCs w:val="18"/>
              </w:rPr>
              <w:t>Avg. Burden per Response (in hours)</w:t>
            </w:r>
          </w:p>
        </w:tc>
        <w:tc>
          <w:tcPr>
            <w:tcW w:w="860" w:type="dxa"/>
            <w:shd w:val="clear" w:color="000000" w:fill="95B3D7"/>
            <w:vAlign w:val="bottom"/>
            <w:hideMark/>
          </w:tcPr>
          <w:p w:rsidR="00CD1C5D" w:rsidRPr="00490ECB" w:rsidP="0082152E" w14:paraId="084150AC" w14:textId="77777777">
            <w:pPr>
              <w:jc w:val="center"/>
              <w:rPr>
                <w:rFonts w:eastAsia="Times New Roman" w:cs="Times New Roman"/>
                <w:color w:val="000000"/>
                <w:sz w:val="18"/>
                <w:szCs w:val="18"/>
              </w:rPr>
            </w:pPr>
            <w:r w:rsidRPr="00490ECB">
              <w:rPr>
                <w:rFonts w:eastAsia="Times New Roman" w:cs="Times New Roman"/>
                <w:color w:val="000000"/>
                <w:sz w:val="18"/>
                <w:szCs w:val="18"/>
              </w:rPr>
              <w:t>Total Annual Burden (in hours)</w:t>
            </w:r>
          </w:p>
        </w:tc>
        <w:tc>
          <w:tcPr>
            <w:tcW w:w="726" w:type="dxa"/>
            <w:shd w:val="clear" w:color="000000" w:fill="95B3D7"/>
            <w:vAlign w:val="bottom"/>
            <w:hideMark/>
          </w:tcPr>
          <w:p w:rsidR="00CD1C5D" w:rsidRPr="00490ECB" w:rsidP="0082152E" w14:paraId="4CC0798D" w14:textId="77777777">
            <w:pPr>
              <w:jc w:val="center"/>
              <w:rPr>
                <w:rFonts w:eastAsia="Times New Roman" w:cs="Times New Roman"/>
                <w:color w:val="000000"/>
                <w:sz w:val="18"/>
                <w:szCs w:val="18"/>
              </w:rPr>
            </w:pPr>
            <w:r w:rsidRPr="00490ECB">
              <w:rPr>
                <w:rFonts w:eastAsia="Times New Roman" w:cs="Times New Roman"/>
                <w:color w:val="000000"/>
                <w:sz w:val="18"/>
                <w:szCs w:val="18"/>
              </w:rPr>
              <w:t>Avg. Hourly Wage Rate</w:t>
            </w:r>
          </w:p>
        </w:tc>
        <w:tc>
          <w:tcPr>
            <w:tcW w:w="1251" w:type="dxa"/>
            <w:shd w:val="clear" w:color="000000" w:fill="95B3D7"/>
            <w:vAlign w:val="bottom"/>
            <w:hideMark/>
          </w:tcPr>
          <w:p w:rsidR="00CD1C5D" w:rsidRPr="00490ECB" w:rsidP="0082152E" w14:paraId="0F03F05D" w14:textId="77777777">
            <w:pPr>
              <w:jc w:val="center"/>
              <w:rPr>
                <w:rFonts w:eastAsia="Times New Roman" w:cs="Times New Roman"/>
                <w:color w:val="000000"/>
                <w:sz w:val="18"/>
                <w:szCs w:val="18"/>
              </w:rPr>
            </w:pPr>
            <w:r w:rsidRPr="00490ECB">
              <w:rPr>
                <w:rFonts w:eastAsia="Times New Roman" w:cs="Times New Roman"/>
                <w:color w:val="000000"/>
                <w:sz w:val="18"/>
                <w:szCs w:val="18"/>
              </w:rPr>
              <w:t>Total Annual Respondent Cost</w:t>
            </w:r>
          </w:p>
        </w:tc>
      </w:tr>
      <w:tr w14:paraId="7578BAAC" w14:textId="77777777" w:rsidTr="0082152E">
        <w:tblPrEx>
          <w:tblW w:w="10169" w:type="dxa"/>
          <w:jc w:val="center"/>
          <w:tblLook w:val="04A0"/>
        </w:tblPrEx>
        <w:trPr>
          <w:trHeight w:val="1294"/>
          <w:jc w:val="center"/>
        </w:trPr>
        <w:tc>
          <w:tcPr>
            <w:tcW w:w="1120" w:type="dxa"/>
            <w:shd w:val="clear" w:color="auto" w:fill="auto"/>
            <w:vAlign w:val="center"/>
            <w:hideMark/>
          </w:tcPr>
          <w:p w:rsidR="00CD1C5D" w:rsidRPr="00490ECB" w:rsidP="0082152E" w14:paraId="2D318100" w14:textId="17C9204E">
            <w:pPr>
              <w:jc w:val="center"/>
              <w:rPr>
                <w:rFonts w:eastAsia="Times New Roman" w:cs="Times New Roman"/>
                <w:color w:val="000000"/>
                <w:sz w:val="18"/>
                <w:szCs w:val="18"/>
              </w:rPr>
            </w:pPr>
            <w:r>
              <w:rPr>
                <w:rFonts w:eastAsia="Times New Roman" w:cs="Times New Roman"/>
                <w:color w:val="000000"/>
                <w:sz w:val="18"/>
                <w:szCs w:val="18"/>
              </w:rPr>
              <w:t>Federal Government</w:t>
            </w:r>
          </w:p>
        </w:tc>
        <w:tc>
          <w:tcPr>
            <w:tcW w:w="1960" w:type="dxa"/>
            <w:shd w:val="clear" w:color="auto" w:fill="auto"/>
            <w:vAlign w:val="center"/>
            <w:hideMark/>
          </w:tcPr>
          <w:p w:rsidR="00CD1C5D" w:rsidRPr="00490ECB" w:rsidP="0082152E" w14:paraId="5F2EACB9" w14:textId="7EE42B3A">
            <w:pPr>
              <w:jc w:val="center"/>
              <w:rPr>
                <w:rFonts w:eastAsia="Times New Roman" w:cs="Times New Roman"/>
                <w:color w:val="000000"/>
                <w:sz w:val="18"/>
                <w:szCs w:val="18"/>
              </w:rPr>
            </w:pPr>
            <w:r>
              <w:rPr>
                <w:rFonts w:eastAsia="Times New Roman" w:cs="Times New Roman"/>
                <w:color w:val="000000"/>
                <w:sz w:val="18"/>
                <w:szCs w:val="18"/>
              </w:rPr>
              <w:t>Standard Flood Hazard Determination Form (SFHDF)</w:t>
            </w:r>
            <w:r w:rsidRPr="00490ECB">
              <w:rPr>
                <w:rFonts w:eastAsia="Times New Roman" w:cs="Times New Roman"/>
                <w:color w:val="000000"/>
                <w:sz w:val="18"/>
                <w:szCs w:val="18"/>
              </w:rPr>
              <w:t xml:space="preserve"> </w:t>
            </w:r>
            <w:r>
              <w:rPr>
                <w:rFonts w:eastAsia="Times New Roman" w:cs="Times New Roman"/>
                <w:color w:val="000000"/>
                <w:sz w:val="18"/>
                <w:szCs w:val="18"/>
              </w:rPr>
              <w:t xml:space="preserve">/ </w:t>
            </w:r>
            <w:r>
              <w:rPr>
                <w:rFonts w:eastAsia="Times New Roman" w:cs="Times New Roman"/>
                <w:color w:val="000000"/>
                <w:sz w:val="18"/>
                <w:szCs w:val="18"/>
              </w:rPr>
              <w:br/>
            </w:r>
            <w:r w:rsidRPr="00151CD5">
              <w:rPr>
                <w:rFonts w:eastAsia="Times New Roman" w:cs="Times New Roman"/>
                <w:color w:val="000000"/>
                <w:sz w:val="18"/>
                <w:szCs w:val="18"/>
              </w:rPr>
              <w:t>FF-</w:t>
            </w:r>
            <w:r w:rsidR="004A021B">
              <w:rPr>
                <w:rFonts w:eastAsia="Times New Roman" w:cs="Times New Roman"/>
                <w:color w:val="000000"/>
                <w:sz w:val="18"/>
                <w:szCs w:val="18"/>
              </w:rPr>
              <w:t>206</w:t>
            </w:r>
            <w:r w:rsidRPr="00151CD5">
              <w:rPr>
                <w:rFonts w:eastAsia="Times New Roman" w:cs="Times New Roman"/>
                <w:color w:val="000000"/>
                <w:sz w:val="18"/>
                <w:szCs w:val="18"/>
              </w:rPr>
              <w:t>-FY-2</w:t>
            </w:r>
            <w:r w:rsidR="004A021B">
              <w:rPr>
                <w:rFonts w:eastAsia="Times New Roman" w:cs="Times New Roman"/>
                <w:color w:val="000000"/>
                <w:sz w:val="18"/>
                <w:szCs w:val="18"/>
              </w:rPr>
              <w:t>1</w:t>
            </w:r>
            <w:r w:rsidRPr="00151CD5">
              <w:rPr>
                <w:rFonts w:eastAsia="Times New Roman" w:cs="Times New Roman"/>
                <w:color w:val="000000"/>
                <w:sz w:val="18"/>
                <w:szCs w:val="18"/>
              </w:rPr>
              <w:t>-1</w:t>
            </w:r>
            <w:r w:rsidR="004A021B">
              <w:rPr>
                <w:rFonts w:eastAsia="Times New Roman" w:cs="Times New Roman"/>
                <w:color w:val="000000"/>
                <w:sz w:val="18"/>
                <w:szCs w:val="18"/>
              </w:rPr>
              <w:t>16</w:t>
            </w:r>
            <w:r w:rsidRPr="00151CD5">
              <w:rPr>
                <w:rFonts w:eastAsia="Times New Roman" w:cs="Times New Roman"/>
                <w:color w:val="000000"/>
                <w:sz w:val="18"/>
                <w:szCs w:val="18"/>
              </w:rPr>
              <w:t xml:space="preserve"> </w:t>
            </w:r>
            <w:r w:rsidRPr="00490ECB">
              <w:rPr>
                <w:rFonts w:eastAsia="Times New Roman" w:cs="Times New Roman"/>
                <w:color w:val="000000"/>
                <w:sz w:val="18"/>
                <w:szCs w:val="18"/>
              </w:rPr>
              <w:t>(formerly 086-0-03</w:t>
            </w:r>
            <w:r w:rsidR="004A021B">
              <w:rPr>
                <w:rFonts w:eastAsia="Times New Roman" w:cs="Times New Roman"/>
                <w:color w:val="000000"/>
                <w:sz w:val="18"/>
                <w:szCs w:val="18"/>
              </w:rPr>
              <w:t>2</w:t>
            </w:r>
            <w:r w:rsidRPr="00490ECB">
              <w:rPr>
                <w:rFonts w:eastAsia="Times New Roman" w:cs="Times New Roman"/>
                <w:color w:val="000000"/>
                <w:sz w:val="18"/>
                <w:szCs w:val="18"/>
              </w:rPr>
              <w:t>)</w:t>
            </w:r>
          </w:p>
        </w:tc>
        <w:tc>
          <w:tcPr>
            <w:tcW w:w="1136" w:type="dxa"/>
            <w:shd w:val="clear" w:color="auto" w:fill="auto"/>
            <w:vAlign w:val="center"/>
            <w:hideMark/>
          </w:tcPr>
          <w:p w:rsidR="00CD1C5D" w:rsidRPr="00490ECB" w:rsidP="0082152E" w14:paraId="1CA5193D" w14:textId="19E90E9B">
            <w:pPr>
              <w:jc w:val="center"/>
              <w:rPr>
                <w:rFonts w:eastAsia="Times New Roman" w:cs="Times New Roman"/>
                <w:color w:val="000000"/>
                <w:sz w:val="18"/>
                <w:szCs w:val="18"/>
              </w:rPr>
            </w:pPr>
            <w:r>
              <w:rPr>
                <w:rFonts w:eastAsia="Times New Roman" w:cs="Times New Roman"/>
                <w:color w:val="000000"/>
                <w:sz w:val="18"/>
                <w:szCs w:val="18"/>
              </w:rPr>
              <w:t>1</w:t>
            </w:r>
          </w:p>
        </w:tc>
        <w:tc>
          <w:tcPr>
            <w:tcW w:w="1160" w:type="dxa"/>
            <w:shd w:val="clear" w:color="auto" w:fill="auto"/>
            <w:vAlign w:val="center"/>
            <w:hideMark/>
          </w:tcPr>
          <w:p w:rsidR="00CD1C5D" w:rsidRPr="00490ECB" w:rsidP="0082152E" w14:paraId="04C5FF72" w14:textId="77777777">
            <w:pPr>
              <w:jc w:val="center"/>
              <w:rPr>
                <w:rFonts w:eastAsia="Times New Roman" w:cs="Times New Roman"/>
                <w:color w:val="000000"/>
                <w:sz w:val="18"/>
                <w:szCs w:val="18"/>
              </w:rPr>
            </w:pPr>
            <w:r w:rsidRPr="00490ECB">
              <w:rPr>
                <w:rFonts w:eastAsia="Times New Roman" w:cs="Times New Roman"/>
                <w:color w:val="000000"/>
                <w:sz w:val="18"/>
                <w:szCs w:val="18"/>
              </w:rPr>
              <w:t>1</w:t>
            </w:r>
          </w:p>
        </w:tc>
        <w:tc>
          <w:tcPr>
            <w:tcW w:w="976" w:type="dxa"/>
            <w:shd w:val="clear" w:color="auto" w:fill="auto"/>
            <w:vAlign w:val="center"/>
            <w:hideMark/>
          </w:tcPr>
          <w:p w:rsidR="00CD1C5D" w:rsidRPr="00490ECB" w:rsidP="0082152E" w14:paraId="3AE57A6D" w14:textId="1CE2019D">
            <w:pPr>
              <w:jc w:val="center"/>
              <w:rPr>
                <w:rFonts w:eastAsia="Times New Roman" w:cs="Times New Roman"/>
                <w:color w:val="000000"/>
                <w:sz w:val="18"/>
                <w:szCs w:val="18"/>
              </w:rPr>
            </w:pPr>
            <w:r>
              <w:rPr>
                <w:rFonts w:eastAsia="Times New Roman" w:cs="Times New Roman"/>
                <w:color w:val="000000"/>
                <w:sz w:val="18"/>
                <w:szCs w:val="18"/>
              </w:rPr>
              <w:t>1</w:t>
            </w:r>
          </w:p>
        </w:tc>
        <w:tc>
          <w:tcPr>
            <w:tcW w:w="980" w:type="dxa"/>
            <w:shd w:val="clear" w:color="auto" w:fill="auto"/>
            <w:noWrap/>
            <w:vAlign w:val="center"/>
            <w:hideMark/>
          </w:tcPr>
          <w:p w:rsidR="00CD1C5D" w:rsidRPr="00490ECB" w:rsidP="0082152E" w14:paraId="1096826A" w14:textId="2564AB72">
            <w:pPr>
              <w:jc w:val="center"/>
              <w:rPr>
                <w:rFonts w:eastAsia="Times New Roman" w:cs="Times New Roman"/>
                <w:color w:val="000000"/>
                <w:sz w:val="18"/>
                <w:szCs w:val="18"/>
              </w:rPr>
            </w:pPr>
            <w:r>
              <w:rPr>
                <w:rFonts w:eastAsia="Times New Roman" w:cs="Times New Roman"/>
                <w:color w:val="000000"/>
                <w:sz w:val="18"/>
                <w:szCs w:val="18"/>
              </w:rPr>
              <w:t>1</w:t>
            </w:r>
          </w:p>
        </w:tc>
        <w:tc>
          <w:tcPr>
            <w:tcW w:w="860" w:type="dxa"/>
            <w:shd w:val="clear" w:color="auto" w:fill="auto"/>
            <w:noWrap/>
            <w:vAlign w:val="center"/>
            <w:hideMark/>
          </w:tcPr>
          <w:p w:rsidR="00CD1C5D" w:rsidRPr="00490ECB" w:rsidP="0082152E" w14:paraId="7915D5AD" w14:textId="249240A6">
            <w:pPr>
              <w:jc w:val="center"/>
              <w:rPr>
                <w:rFonts w:eastAsia="Times New Roman" w:cs="Times New Roman"/>
                <w:color w:val="000000"/>
                <w:sz w:val="18"/>
                <w:szCs w:val="18"/>
              </w:rPr>
            </w:pPr>
            <w:r>
              <w:rPr>
                <w:rFonts w:eastAsia="Times New Roman" w:cs="Times New Roman"/>
                <w:color w:val="000000"/>
                <w:sz w:val="18"/>
                <w:szCs w:val="18"/>
              </w:rPr>
              <w:t>1</w:t>
            </w:r>
          </w:p>
        </w:tc>
        <w:tc>
          <w:tcPr>
            <w:tcW w:w="726" w:type="dxa"/>
            <w:shd w:val="clear" w:color="auto" w:fill="auto"/>
            <w:vAlign w:val="center"/>
            <w:hideMark/>
          </w:tcPr>
          <w:p w:rsidR="00CD1C5D" w:rsidRPr="00490ECB" w:rsidP="0082152E" w14:paraId="55B33E64" w14:textId="77777777">
            <w:pPr>
              <w:jc w:val="center"/>
              <w:rPr>
                <w:rFonts w:eastAsia="Times New Roman" w:cs="Times New Roman"/>
                <w:color w:val="000000"/>
                <w:sz w:val="18"/>
                <w:szCs w:val="18"/>
              </w:rPr>
            </w:pPr>
            <w:r>
              <w:rPr>
                <w:rFonts w:eastAsia="Times New Roman" w:cs="Times New Roman"/>
                <w:color w:val="000000"/>
                <w:sz w:val="18"/>
                <w:szCs w:val="18"/>
              </w:rPr>
              <w:t>$</w:t>
            </w:r>
            <w:r w:rsidR="008224CE">
              <w:rPr>
                <w:rFonts w:eastAsia="Times New Roman" w:cs="Times New Roman"/>
                <w:color w:val="000000"/>
                <w:sz w:val="18"/>
                <w:szCs w:val="18"/>
              </w:rPr>
              <w:t>28.68</w:t>
            </w:r>
          </w:p>
        </w:tc>
        <w:tc>
          <w:tcPr>
            <w:tcW w:w="1251" w:type="dxa"/>
            <w:shd w:val="clear" w:color="auto" w:fill="auto"/>
            <w:noWrap/>
            <w:vAlign w:val="center"/>
            <w:hideMark/>
          </w:tcPr>
          <w:p w:rsidR="00CD1C5D" w:rsidRPr="00490ECB" w:rsidP="0082152E" w14:paraId="586D5593" w14:textId="7D697DCC">
            <w:pPr>
              <w:jc w:val="center"/>
              <w:rPr>
                <w:rFonts w:eastAsia="Times New Roman" w:cs="Times New Roman"/>
                <w:color w:val="000000"/>
                <w:sz w:val="18"/>
                <w:szCs w:val="18"/>
              </w:rPr>
            </w:pPr>
            <w:r w:rsidRPr="00490ECB">
              <w:rPr>
                <w:rFonts w:eastAsia="Times New Roman" w:cs="Times New Roman"/>
                <w:color w:val="000000"/>
                <w:sz w:val="18"/>
                <w:szCs w:val="18"/>
              </w:rPr>
              <w:t>$</w:t>
            </w:r>
            <w:r w:rsidR="004A63C7">
              <w:rPr>
                <w:rFonts w:eastAsia="Times New Roman" w:cs="Times New Roman"/>
                <w:color w:val="000000"/>
                <w:sz w:val="18"/>
                <w:szCs w:val="18"/>
              </w:rPr>
              <w:t>29</w:t>
            </w:r>
          </w:p>
        </w:tc>
      </w:tr>
      <w:tr w14:paraId="73797850" w14:textId="77777777" w:rsidTr="0082152E">
        <w:tblPrEx>
          <w:tblW w:w="10169" w:type="dxa"/>
          <w:jc w:val="center"/>
          <w:tblLook w:val="04A0"/>
        </w:tblPrEx>
        <w:trPr>
          <w:trHeight w:val="264"/>
          <w:jc w:val="center"/>
        </w:trPr>
        <w:tc>
          <w:tcPr>
            <w:tcW w:w="1120" w:type="dxa"/>
            <w:shd w:val="clear" w:color="auto" w:fill="auto"/>
            <w:vAlign w:val="center"/>
            <w:hideMark/>
          </w:tcPr>
          <w:p w:rsidR="00CD1C5D" w:rsidRPr="00490ECB" w:rsidP="0082152E" w14:paraId="339E4342" w14:textId="77777777">
            <w:pPr>
              <w:jc w:val="center"/>
              <w:rPr>
                <w:rFonts w:eastAsia="Times New Roman" w:cs="Times New Roman"/>
                <w:b/>
                <w:bCs/>
                <w:color w:val="000000"/>
                <w:sz w:val="18"/>
                <w:szCs w:val="18"/>
              </w:rPr>
            </w:pPr>
            <w:r w:rsidRPr="00490ECB">
              <w:rPr>
                <w:rFonts w:eastAsia="Times New Roman" w:cs="Times New Roman"/>
                <w:b/>
                <w:bCs/>
                <w:color w:val="000000"/>
                <w:sz w:val="18"/>
                <w:szCs w:val="18"/>
              </w:rPr>
              <w:t>Total</w:t>
            </w:r>
          </w:p>
        </w:tc>
        <w:tc>
          <w:tcPr>
            <w:tcW w:w="1960" w:type="dxa"/>
            <w:shd w:val="clear" w:color="000000" w:fill="000000"/>
            <w:vAlign w:val="center"/>
            <w:hideMark/>
          </w:tcPr>
          <w:p w:rsidR="00CD1C5D" w:rsidRPr="00490ECB" w:rsidP="0082152E" w14:paraId="59870EAC" w14:textId="77777777">
            <w:pPr>
              <w:jc w:val="center"/>
              <w:rPr>
                <w:rFonts w:eastAsia="Times New Roman" w:cs="Times New Roman"/>
                <w:color w:val="000000"/>
                <w:sz w:val="18"/>
                <w:szCs w:val="18"/>
              </w:rPr>
            </w:pPr>
            <w:r w:rsidRPr="00490ECB">
              <w:rPr>
                <w:rFonts w:eastAsia="Times New Roman" w:cs="Times New Roman"/>
                <w:color w:val="000000"/>
                <w:sz w:val="18"/>
                <w:szCs w:val="18"/>
              </w:rPr>
              <w:t> </w:t>
            </w:r>
          </w:p>
        </w:tc>
        <w:tc>
          <w:tcPr>
            <w:tcW w:w="1136" w:type="dxa"/>
            <w:shd w:val="clear" w:color="auto" w:fill="auto"/>
            <w:vAlign w:val="center"/>
            <w:hideMark/>
          </w:tcPr>
          <w:p w:rsidR="00CD1C5D" w:rsidRPr="00FE3EE4" w:rsidP="0082152E" w14:paraId="2D4AB234" w14:textId="530BF265">
            <w:pPr>
              <w:jc w:val="center"/>
              <w:rPr>
                <w:rFonts w:eastAsia="Times New Roman" w:cs="Times New Roman"/>
                <w:b/>
                <w:bCs/>
                <w:color w:val="000000"/>
                <w:sz w:val="18"/>
                <w:szCs w:val="18"/>
              </w:rPr>
            </w:pPr>
            <w:r>
              <w:rPr>
                <w:rFonts w:eastAsia="Times New Roman" w:cs="Times New Roman"/>
                <w:b/>
                <w:bCs/>
                <w:color w:val="000000"/>
                <w:sz w:val="18"/>
                <w:szCs w:val="18"/>
              </w:rPr>
              <w:t>1</w:t>
            </w:r>
          </w:p>
        </w:tc>
        <w:tc>
          <w:tcPr>
            <w:tcW w:w="1160" w:type="dxa"/>
            <w:shd w:val="clear" w:color="000000" w:fill="000000"/>
            <w:vAlign w:val="center"/>
            <w:hideMark/>
          </w:tcPr>
          <w:p w:rsidR="00CD1C5D" w:rsidRPr="00FE3EE4" w:rsidP="0082152E" w14:paraId="25A346F0"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 </w:t>
            </w:r>
          </w:p>
        </w:tc>
        <w:tc>
          <w:tcPr>
            <w:tcW w:w="976" w:type="dxa"/>
            <w:shd w:val="clear" w:color="auto" w:fill="auto"/>
            <w:vAlign w:val="center"/>
            <w:hideMark/>
          </w:tcPr>
          <w:p w:rsidR="00CD1C5D" w:rsidRPr="00FE3EE4" w:rsidP="0082152E" w14:paraId="03E53B0F" w14:textId="0C5EED21">
            <w:pPr>
              <w:jc w:val="center"/>
              <w:rPr>
                <w:rFonts w:eastAsia="Times New Roman" w:cs="Times New Roman"/>
                <w:b/>
                <w:bCs/>
                <w:color w:val="000000"/>
                <w:sz w:val="18"/>
                <w:szCs w:val="18"/>
              </w:rPr>
            </w:pPr>
            <w:r>
              <w:rPr>
                <w:rFonts w:eastAsia="Times New Roman" w:cs="Times New Roman"/>
                <w:b/>
                <w:bCs/>
                <w:color w:val="000000"/>
                <w:sz w:val="18"/>
                <w:szCs w:val="18"/>
              </w:rPr>
              <w:t>1</w:t>
            </w:r>
          </w:p>
        </w:tc>
        <w:tc>
          <w:tcPr>
            <w:tcW w:w="980" w:type="dxa"/>
            <w:shd w:val="clear" w:color="000000" w:fill="000000"/>
            <w:noWrap/>
            <w:vAlign w:val="center"/>
            <w:hideMark/>
          </w:tcPr>
          <w:p w:rsidR="00CD1C5D" w:rsidRPr="00FE3EE4" w:rsidP="0082152E" w14:paraId="0C176813"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 </w:t>
            </w:r>
          </w:p>
        </w:tc>
        <w:tc>
          <w:tcPr>
            <w:tcW w:w="860" w:type="dxa"/>
            <w:shd w:val="clear" w:color="auto" w:fill="auto"/>
            <w:noWrap/>
            <w:vAlign w:val="center"/>
            <w:hideMark/>
          </w:tcPr>
          <w:p w:rsidR="00CD1C5D" w:rsidRPr="00FE3EE4" w:rsidP="0082152E" w14:paraId="79004829" w14:textId="2C365C09">
            <w:pPr>
              <w:jc w:val="center"/>
              <w:rPr>
                <w:rFonts w:eastAsia="Times New Roman" w:cs="Times New Roman"/>
                <w:b/>
                <w:bCs/>
                <w:color w:val="000000"/>
                <w:sz w:val="18"/>
                <w:szCs w:val="18"/>
              </w:rPr>
            </w:pPr>
            <w:r>
              <w:rPr>
                <w:rFonts w:eastAsia="Times New Roman" w:cs="Times New Roman"/>
                <w:b/>
                <w:bCs/>
                <w:color w:val="000000"/>
                <w:sz w:val="18"/>
                <w:szCs w:val="18"/>
              </w:rPr>
              <w:t>1</w:t>
            </w:r>
          </w:p>
        </w:tc>
        <w:tc>
          <w:tcPr>
            <w:tcW w:w="726" w:type="dxa"/>
            <w:shd w:val="clear" w:color="000000" w:fill="000000"/>
            <w:vAlign w:val="center"/>
            <w:hideMark/>
          </w:tcPr>
          <w:p w:rsidR="00CD1C5D" w:rsidRPr="00FE3EE4" w:rsidP="0082152E" w14:paraId="1ADD53FE" w14:textId="77777777">
            <w:pPr>
              <w:jc w:val="center"/>
              <w:rPr>
                <w:rFonts w:eastAsia="Times New Roman" w:cs="Times New Roman"/>
                <w:b/>
                <w:bCs/>
                <w:color w:val="000000"/>
                <w:sz w:val="18"/>
                <w:szCs w:val="18"/>
              </w:rPr>
            </w:pPr>
            <w:r w:rsidRPr="00FE3EE4">
              <w:rPr>
                <w:rFonts w:eastAsia="Times New Roman" w:cs="Times New Roman"/>
                <w:b/>
                <w:bCs/>
                <w:color w:val="000000"/>
                <w:sz w:val="18"/>
                <w:szCs w:val="18"/>
              </w:rPr>
              <w:t> </w:t>
            </w:r>
          </w:p>
        </w:tc>
        <w:tc>
          <w:tcPr>
            <w:tcW w:w="1251" w:type="dxa"/>
            <w:shd w:val="clear" w:color="auto" w:fill="auto"/>
            <w:noWrap/>
            <w:vAlign w:val="center"/>
            <w:hideMark/>
          </w:tcPr>
          <w:p w:rsidR="00CD1C5D" w:rsidRPr="00FE3EE4" w:rsidP="0082152E" w14:paraId="37EBFDEE" w14:textId="04D94434">
            <w:pPr>
              <w:jc w:val="center"/>
              <w:rPr>
                <w:rFonts w:eastAsia="Times New Roman" w:cs="Times New Roman"/>
                <w:b/>
                <w:bCs/>
                <w:color w:val="000000"/>
                <w:sz w:val="18"/>
                <w:szCs w:val="18"/>
              </w:rPr>
            </w:pPr>
            <w:r w:rsidRPr="00FE3EE4">
              <w:rPr>
                <w:rFonts w:eastAsia="Times New Roman" w:cs="Times New Roman"/>
                <w:b/>
                <w:bCs/>
                <w:color w:val="000000"/>
                <w:sz w:val="18"/>
                <w:szCs w:val="18"/>
              </w:rPr>
              <w:t>$</w:t>
            </w:r>
            <w:r w:rsidR="004A63C7">
              <w:rPr>
                <w:rFonts w:eastAsia="Times New Roman" w:cs="Times New Roman"/>
                <w:b/>
                <w:bCs/>
                <w:color w:val="000000"/>
                <w:sz w:val="18"/>
                <w:szCs w:val="18"/>
              </w:rPr>
              <w:t>29</w:t>
            </w:r>
          </w:p>
        </w:tc>
      </w:tr>
    </w:tbl>
    <w:p w:rsidR="00926982" w:rsidRPr="00A90464" w:rsidP="00AC49FB" w14:paraId="160981A3" w14:textId="77777777">
      <w:pPr>
        <w:spacing w:line="276" w:lineRule="auto"/>
        <w:contextualSpacing/>
        <w:rPr>
          <w:sz w:val="18"/>
          <w:szCs w:val="18"/>
        </w:rPr>
      </w:pPr>
      <w:r w:rsidRPr="00A90464">
        <w:rPr>
          <w:sz w:val="18"/>
          <w:szCs w:val="18"/>
        </w:rPr>
        <w:t>Note:  The “Avg. Hourly Wage Rate” for each respondent include a 1.45 multiplier to reflect a fully-loaded wage rate.</w:t>
      </w:r>
    </w:p>
    <w:p w:rsidR="00EE0EFD" w:rsidRPr="00A90464" w:rsidP="00AC49FB" w14:paraId="05BF0556" w14:textId="77777777">
      <w:pPr>
        <w:spacing w:line="276" w:lineRule="auto"/>
        <w:contextualSpacing/>
        <w:rPr>
          <w:sz w:val="18"/>
          <w:szCs w:val="18"/>
        </w:rPr>
      </w:pPr>
      <w:r w:rsidRPr="00A90464">
        <w:rPr>
          <w:sz w:val="18"/>
          <w:szCs w:val="18"/>
        </w:rPr>
        <w:t>“Type of Respondent should be entered exactly as chosen in Question 3 of the OMB Form 83-I.</w:t>
      </w:r>
    </w:p>
    <w:p w:rsidR="00F15BA0" w:rsidRPr="00A90464" w:rsidP="00AC49FB" w14:paraId="0C3C73C9" w14:textId="77777777">
      <w:pPr>
        <w:spacing w:line="276" w:lineRule="auto"/>
        <w:contextualSpacing/>
        <w:rPr>
          <w:sz w:val="18"/>
          <w:szCs w:val="18"/>
        </w:rPr>
      </w:pPr>
    </w:p>
    <w:p w:rsidR="00AC49FB" w:rsidRPr="00926982" w:rsidP="00AC49FB" w14:paraId="06329AB3" w14:textId="77777777">
      <w:pPr>
        <w:spacing w:line="276" w:lineRule="auto"/>
        <w:contextualSpacing/>
        <w:rPr>
          <w:b/>
          <w:bCs/>
        </w:rPr>
      </w:pPr>
      <w:r>
        <w:rPr>
          <w:b/>
          <w:bCs/>
        </w:rPr>
        <w:t>I</w:t>
      </w:r>
      <w:r w:rsidRPr="00926982" w:rsidR="00C36628">
        <w:rPr>
          <w:b/>
          <w:bCs/>
        </w:rPr>
        <w:t>nstruction</w:t>
      </w:r>
      <w:r w:rsidR="00C36628">
        <w:rPr>
          <w:b/>
          <w:bCs/>
        </w:rPr>
        <w:t>s</w:t>
      </w:r>
      <w:r w:rsidRPr="00926982">
        <w:rPr>
          <w:b/>
          <w:bCs/>
        </w:rPr>
        <w:t xml:space="preserve"> for Wage-rate category multiplier:  Take each non-loaded “Avg. Hourly Wage Rate” from the BLS website table and multiply that number by 1.45.</w:t>
      </w:r>
      <w:r>
        <w:rPr>
          <w:rStyle w:val="FootnoteReference"/>
          <w:b/>
          <w:bCs/>
        </w:rPr>
        <w:footnoteReference w:id="3"/>
      </w:r>
      <w:r w:rsidRPr="00926982">
        <w:rPr>
          <w:b/>
          <w:bCs/>
        </w:rPr>
        <w:t xml:space="preserve">  For example, a non-loaded BLS table wage rate of $42.51 would be multiplied by 1.45, and the entry for the “Avg. Hourly Wage Rate” would be $61.64.</w:t>
      </w:r>
    </w:p>
    <w:p w:rsidR="00926982" w:rsidP="00AC49FB" w14:paraId="5E656CBD" w14:textId="77777777">
      <w:pPr>
        <w:spacing w:line="276" w:lineRule="auto"/>
        <w:contextualSpacing/>
      </w:pPr>
    </w:p>
    <w:p w:rsidR="006B13DE" w:rsidRPr="00AD6EF4" w:rsidP="006B13DE" w14:paraId="740972D6" w14:textId="40EB0B6E">
      <w:pPr>
        <w:tabs>
          <w:tab w:val="left" w:pos="-720"/>
        </w:tabs>
        <w:suppressAutoHyphens/>
      </w:pPr>
      <w:r w:rsidRPr="00AD6EF4">
        <w:t>According to the U.S. Department of Labor, Bureau of Labor Statistics</w:t>
      </w:r>
      <w:r>
        <w:t>,</w:t>
      </w:r>
      <w:r w:rsidRPr="00AD6EF4">
        <w:t xml:space="preserve"> the May 20</w:t>
      </w:r>
      <w:r>
        <w:t>22</w:t>
      </w:r>
      <w:r w:rsidRPr="00AD6EF4">
        <w:t xml:space="preserve"> Occupational Employment and Wage Estimates wage rate for </w:t>
      </w:r>
      <w:r w:rsidR="00DF189D">
        <w:rPr>
          <w:rFonts w:cs="Times New Roman"/>
          <w:color w:val="0000FF"/>
          <w:szCs w:val="24"/>
        </w:rPr>
        <w:t xml:space="preserve">General Office Clerks </w:t>
      </w:r>
      <w:r w:rsidRPr="00AD6EF4">
        <w:t>(</w:t>
      </w:r>
      <w:r>
        <w:t>SOC</w:t>
      </w:r>
      <w:r w:rsidRPr="00AD6EF4">
        <w:t xml:space="preserve"> </w:t>
      </w:r>
      <w:r w:rsidRPr="00AF15EA" w:rsidR="00AF15EA">
        <w:t>43-9061</w:t>
      </w:r>
      <w:r w:rsidRPr="00AD6EF4">
        <w:t xml:space="preserve">) is </w:t>
      </w:r>
      <w:r w:rsidR="00E330BA">
        <w:rPr>
          <w:rFonts w:cs="Times New Roman"/>
          <w:color w:val="0000FF"/>
          <w:szCs w:val="24"/>
        </w:rPr>
        <w:t>19.78</w:t>
      </w:r>
      <w:r w:rsidRPr="009D068B">
        <w:rPr>
          <w:rStyle w:val="FootnoteReference"/>
        </w:rPr>
        <w:t xml:space="preserve"> </w:t>
      </w:r>
      <w:r>
        <w:rPr>
          <w:rStyle w:val="FootnoteReference"/>
        </w:rPr>
        <w:footnoteReference w:id="4"/>
      </w:r>
      <w:r>
        <w:t xml:space="preserve">  </w:t>
      </w:r>
      <w:r w:rsidRPr="00AD6EF4">
        <w:t>Including the wage rate multiplier of 1.4</w:t>
      </w:r>
      <w:r>
        <w:t>5</w:t>
      </w:r>
      <w:r w:rsidRPr="00AD6EF4">
        <w:t>, the fully-loaded wage rate</w:t>
      </w:r>
      <w:r>
        <w:t xml:space="preserve"> is</w:t>
      </w:r>
      <w:r w:rsidRPr="00AD6EF4">
        <w:t xml:space="preserve"> </w:t>
      </w:r>
      <w:r w:rsidRPr="007E62FC">
        <w:rPr>
          <w:color w:val="0000FF"/>
        </w:rPr>
        <w:t>$</w:t>
      </w:r>
      <w:r w:rsidRPr="007E62FC" w:rsidR="00010A31">
        <w:rPr>
          <w:color w:val="0000FF"/>
        </w:rPr>
        <w:t>28.68</w:t>
      </w:r>
      <w:r w:rsidRPr="00AD6EF4">
        <w:t xml:space="preserve"> per hour.  </w:t>
      </w:r>
      <w:r>
        <w:t>T</w:t>
      </w:r>
      <w:r w:rsidRPr="00AD6EF4">
        <w:t xml:space="preserve">herefore, the burden hour cost is estimated to be </w:t>
      </w:r>
      <w:r w:rsidR="00CF4F56">
        <w:t>$</w:t>
      </w:r>
      <w:r w:rsidR="00213D72">
        <w:t>29</w:t>
      </w:r>
      <w:r w:rsidR="00CF4F56">
        <w:t xml:space="preserve"> </w:t>
      </w:r>
      <w:r>
        <w:t xml:space="preserve">annually </w:t>
      </w:r>
      <w:r w:rsidRPr="00AD6EF4">
        <w:t>(</w:t>
      </w:r>
      <w:r w:rsidRPr="00030A5F">
        <w:rPr>
          <w:color w:val="0000FF"/>
        </w:rPr>
        <w:t>$</w:t>
      </w:r>
      <w:r w:rsidR="004C748B">
        <w:rPr>
          <w:color w:val="0000FF"/>
        </w:rPr>
        <w:t>28.68</w:t>
      </w:r>
      <w:r>
        <w:t xml:space="preserve"> x </w:t>
      </w:r>
      <w:r w:rsidR="004B78F2">
        <w:rPr>
          <w:color w:val="0000FF"/>
        </w:rPr>
        <w:t>1</w:t>
      </w:r>
      <w:r>
        <w:t xml:space="preserve"> hours = </w:t>
      </w:r>
      <w:r w:rsidRPr="007E62FC">
        <w:rPr>
          <w:color w:val="0000FF"/>
        </w:rPr>
        <w:t>$</w:t>
      </w:r>
      <w:r w:rsidR="004A63C7">
        <w:rPr>
          <w:color w:val="0000FF"/>
        </w:rPr>
        <w:t>28</w:t>
      </w:r>
      <w:r w:rsidR="007E62FC">
        <w:rPr>
          <w:color w:val="0000FF"/>
        </w:rPr>
        <w:t>.68</w:t>
      </w:r>
      <w:r w:rsidR="007E62FC">
        <w:t xml:space="preserve">(rounded up to </w:t>
      </w:r>
      <w:r w:rsidRPr="007E62FC" w:rsidR="007E62FC">
        <w:rPr>
          <w:color w:val="0000FF"/>
        </w:rPr>
        <w:t>$</w:t>
      </w:r>
      <w:r w:rsidR="004A63C7">
        <w:rPr>
          <w:color w:val="0000FF"/>
        </w:rPr>
        <w:t>29</w:t>
      </w:r>
      <w:r w:rsidR="007E62FC">
        <w:t>))</w:t>
      </w:r>
      <w:r w:rsidRPr="00AD6EF4">
        <w:t>.</w:t>
      </w:r>
    </w:p>
    <w:p w:rsidR="000B5188" w:rsidP="00AC49FB" w14:paraId="29877654" w14:textId="77777777">
      <w:pPr>
        <w:spacing w:line="276" w:lineRule="auto"/>
        <w:contextualSpacing/>
      </w:pPr>
    </w:p>
    <w:p w:rsidR="003165CC" w:rsidRPr="00926982" w:rsidP="003165CC" w14:paraId="4CD32E49" w14:textId="77777777">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926982" w14:paraId="5CA38215" w14:textId="77777777">
      <w:pPr>
        <w:spacing w:line="276" w:lineRule="auto"/>
        <w:contextualSpacing/>
      </w:pPr>
    </w:p>
    <w:p w:rsidR="00AC49FB" w:rsidRPr="00926982" w:rsidP="00AC49FB" w14:paraId="07C2381F" w14:textId="77777777">
      <w:pPr>
        <w:pStyle w:val="ListParagraph"/>
        <w:spacing w:line="276" w:lineRule="auto"/>
        <w:rPr>
          <w:b/>
          <w:bCs/>
        </w:rPr>
      </w:pPr>
      <w:r w:rsidRPr="00926982">
        <w:rPr>
          <w:b/>
          <w:bCs/>
        </w:rPr>
        <w:t>The cost estimates should be split into two components:</w:t>
      </w:r>
    </w:p>
    <w:p w:rsidR="00926982" w:rsidP="00926982" w14:paraId="40EFC498" w14:textId="77777777">
      <w:pPr>
        <w:spacing w:line="276" w:lineRule="auto"/>
        <w:contextualSpacing/>
      </w:pPr>
    </w:p>
    <w:p w:rsidR="0017371C" w:rsidP="00926982" w14:paraId="4955D20F" w14:textId="77777777">
      <w:pPr>
        <w:spacing w:line="276" w:lineRule="auto"/>
      </w:pPr>
      <w:r>
        <w:rPr>
          <w:rFonts w:cs="Times New Roman"/>
          <w:color w:val="2B579A"/>
          <w:szCs w:val="24"/>
          <w:shd w:val="clear" w:color="auto" w:fill="E6E6E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5pt;height:186.75pt" o:oleicon="f" o:ole="">
            <v:imagedata r:id="rId10" o:title=""/>
          </v:shape>
          <o:OLEObject Type="Embed" ProgID="Excel.Sheet.12" ShapeID="_x0000_i1025" DrawAspect="Content" ObjectID="_1757312150" r:id="rId11"/>
        </w:object>
      </w:r>
    </w:p>
    <w:p w:rsidR="0017371C" w:rsidP="00A90464" w14:paraId="7C68774A" w14:textId="77777777">
      <w:pPr>
        <w:spacing w:line="276" w:lineRule="auto"/>
        <w:contextualSpacing/>
      </w:pPr>
    </w:p>
    <w:p w:rsidR="00AC49FB" w:rsidP="006A2BC6" w14:paraId="4EB55D06" w14:textId="77777777">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A90464" w14:paraId="1EBE94DC" w14:textId="77777777">
      <w:pPr>
        <w:spacing w:line="276" w:lineRule="auto"/>
        <w:contextualSpacing/>
      </w:pPr>
    </w:p>
    <w:p w:rsidR="0017371C" w:rsidP="00A90464" w14:paraId="1061820F" w14:textId="77777777">
      <w:pPr>
        <w:spacing w:line="276" w:lineRule="auto"/>
        <w:contextualSpacing/>
      </w:pPr>
      <w:r>
        <w:t>There are no operation or maintenance costs associated with this information collection.</w:t>
      </w:r>
    </w:p>
    <w:p w:rsidR="0017371C" w:rsidP="00A90464" w14:paraId="07C72D87" w14:textId="77777777">
      <w:pPr>
        <w:spacing w:line="276" w:lineRule="auto"/>
        <w:contextualSpacing/>
      </w:pPr>
    </w:p>
    <w:p w:rsidR="00AC49FB" w:rsidRPr="00926982" w:rsidP="006A2BC6" w14:paraId="7F2A50BB" w14:textId="77777777">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A90464" w14:paraId="15681B16" w14:textId="77777777">
      <w:pPr>
        <w:spacing w:line="276" w:lineRule="auto"/>
        <w:contextualSpacing/>
      </w:pPr>
    </w:p>
    <w:p w:rsidR="00926982" w:rsidP="00A90464" w14:paraId="55E3C5ED" w14:textId="77777777">
      <w:pPr>
        <w:spacing w:line="276" w:lineRule="auto"/>
        <w:contextualSpacing/>
      </w:pPr>
      <w:r w:rsidRPr="00A90464">
        <w:t>There are no capital or start-up costs associated with this information collection.</w:t>
      </w:r>
    </w:p>
    <w:p w:rsidR="00926982" w:rsidP="00A90464" w14:paraId="1E2CF203" w14:textId="77777777">
      <w:pPr>
        <w:spacing w:line="276" w:lineRule="auto"/>
        <w:contextualSpacing/>
      </w:pPr>
    </w:p>
    <w:p w:rsidR="00AC49FB" w:rsidRPr="00926982" w:rsidP="006A2BC6" w14:paraId="3D4D198F" w14:textId="77777777">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7371C" w:rsidP="00A90464" w14:paraId="51DA4CD4" w14:textId="77777777">
      <w:pPr>
        <w:spacing w:line="276" w:lineRule="auto"/>
        <w:contextualSpacing/>
      </w:pPr>
      <w:r>
        <w:br w:type="page"/>
      </w:r>
    </w:p>
    <w:p w:rsidR="00F15BA0" w:rsidP="001D3D89" w14:paraId="3EC23E9A" w14:textId="77777777">
      <w:pPr>
        <w:spacing w:line="276" w:lineRule="auto"/>
      </w:pPr>
    </w:p>
    <w:tbl>
      <w:tblPr>
        <w:tblStyle w:val="TableGrid2"/>
        <w:tblW w:w="0" w:type="auto"/>
        <w:tblLook w:val="04A0"/>
      </w:tblPr>
      <w:tblGrid>
        <w:gridCol w:w="7375"/>
        <w:gridCol w:w="1975"/>
      </w:tblGrid>
      <w:tr w14:paraId="3BEE205B" w14:textId="77777777" w:rsidTr="00521714">
        <w:tblPrEx>
          <w:tblW w:w="0" w:type="auto"/>
          <w:tblLook w:val="04A0"/>
        </w:tblPrEx>
        <w:tc>
          <w:tcPr>
            <w:tcW w:w="9350" w:type="dxa"/>
            <w:gridSpan w:val="2"/>
            <w:shd w:val="clear" w:color="auto" w:fill="8EAADB" w:themeFill="accent1" w:themeFillTint="99"/>
          </w:tcPr>
          <w:p w:rsidR="009A4214" w:rsidRPr="008D1279" w:rsidP="002A2783" w14:paraId="3CE86EC4" w14:textId="77777777">
            <w:pPr>
              <w:jc w:val="center"/>
              <w:rPr>
                <w:rFonts w:ascii="Times New Roman" w:eastAsia="Calibri" w:hAnsi="Times New Roman" w:cs="Times New Roman"/>
                <w:b/>
                <w:sz w:val="20"/>
                <w:szCs w:val="20"/>
              </w:rPr>
            </w:pPr>
            <w:bookmarkStart w:id="10" w:name="_Hlk51849777"/>
            <w:r w:rsidRPr="008D1279">
              <w:rPr>
                <w:rFonts w:ascii="Times New Roman" w:eastAsia="Calibri" w:hAnsi="Times New Roman" w:cs="Times New Roman"/>
                <w:b/>
                <w:sz w:val="20"/>
                <w:szCs w:val="20"/>
              </w:rPr>
              <w:t>Annual Cost to the Federal Government</w:t>
            </w:r>
          </w:p>
        </w:tc>
      </w:tr>
      <w:tr w14:paraId="5A385712" w14:textId="77777777" w:rsidTr="00521714">
        <w:tblPrEx>
          <w:tblW w:w="0" w:type="auto"/>
          <w:tblLook w:val="04A0"/>
        </w:tblPrEx>
        <w:tc>
          <w:tcPr>
            <w:tcW w:w="7375" w:type="dxa"/>
            <w:shd w:val="clear" w:color="auto" w:fill="8EAADB" w:themeFill="accent1" w:themeFillTint="99"/>
          </w:tcPr>
          <w:p w:rsidR="009A4214" w:rsidRPr="00A90464" w:rsidP="002A2783" w14:paraId="395C2404" w14:textId="77777777">
            <w:pPr>
              <w:jc w:val="center"/>
              <w:rPr>
                <w:rFonts w:ascii="Times New Roman" w:eastAsia="Calibri" w:hAnsi="Times New Roman" w:cs="Times New Roman"/>
                <w:sz w:val="18"/>
                <w:szCs w:val="18"/>
              </w:rPr>
            </w:pPr>
            <w:r w:rsidRPr="00A90464">
              <w:rPr>
                <w:rFonts w:ascii="Times New Roman" w:eastAsia="Calibri" w:hAnsi="Times New Roman" w:cs="Times New Roman"/>
                <w:sz w:val="18"/>
                <w:szCs w:val="18"/>
              </w:rPr>
              <w:t>Item</w:t>
            </w:r>
          </w:p>
        </w:tc>
        <w:tc>
          <w:tcPr>
            <w:tcW w:w="1975" w:type="dxa"/>
            <w:shd w:val="clear" w:color="auto" w:fill="8EAADB" w:themeFill="accent1" w:themeFillTint="99"/>
          </w:tcPr>
          <w:p w:rsidR="009A4214" w:rsidRPr="00A90464" w:rsidP="002A2783" w14:paraId="1EDE88F1" w14:textId="77777777">
            <w:pPr>
              <w:jc w:val="center"/>
              <w:rPr>
                <w:rFonts w:ascii="Times New Roman" w:eastAsia="Calibri" w:hAnsi="Times New Roman" w:cs="Times New Roman"/>
                <w:sz w:val="18"/>
                <w:szCs w:val="18"/>
              </w:rPr>
            </w:pPr>
            <w:r w:rsidRPr="00A90464">
              <w:rPr>
                <w:rFonts w:ascii="Times New Roman" w:eastAsia="Calibri" w:hAnsi="Times New Roman" w:cs="Times New Roman"/>
                <w:sz w:val="18"/>
                <w:szCs w:val="18"/>
              </w:rPr>
              <w:t>Cost ($)</w:t>
            </w:r>
          </w:p>
        </w:tc>
      </w:tr>
      <w:tr w14:paraId="157E0962" w14:textId="77777777" w:rsidTr="002A2783">
        <w:tblPrEx>
          <w:tblW w:w="0" w:type="auto"/>
          <w:tblLook w:val="04A0"/>
        </w:tblPrEx>
        <w:tc>
          <w:tcPr>
            <w:tcW w:w="7375" w:type="dxa"/>
          </w:tcPr>
          <w:p w:rsidR="009A4214" w:rsidRPr="00A90464" w:rsidP="002A2783" w14:paraId="3E713F5B" w14:textId="77777777">
            <w:pPr>
              <w:rPr>
                <w:rFonts w:ascii="Times New Roman" w:eastAsia="Calibri" w:hAnsi="Times New Roman" w:cs="Times New Roman"/>
                <w:sz w:val="18"/>
                <w:szCs w:val="18"/>
              </w:rPr>
            </w:pPr>
            <w:r w:rsidRPr="00A90464">
              <w:rPr>
                <w:rFonts w:ascii="Times New Roman" w:eastAsia="Calibri" w:hAnsi="Times New Roman" w:cs="Times New Roman"/>
                <w:b/>
                <w:bCs/>
                <w:sz w:val="18"/>
                <w:szCs w:val="18"/>
              </w:rPr>
              <w:t>Contract Costs</w:t>
            </w:r>
            <w:r w:rsidRPr="00A90464">
              <w:rPr>
                <w:rFonts w:ascii="Times New Roman" w:eastAsia="Calibri" w:hAnsi="Times New Roman" w:cs="Times New Roman"/>
                <w:sz w:val="18"/>
                <w:szCs w:val="18"/>
              </w:rPr>
              <w:t>:</w:t>
            </w:r>
          </w:p>
          <w:p w:rsidR="009A4214" w:rsidRPr="00A90464" w:rsidP="002A2783" w14:paraId="19985C87" w14:textId="77777777">
            <w:pPr>
              <w:rPr>
                <w:rFonts w:ascii="Times New Roman" w:eastAsia="Calibri" w:hAnsi="Times New Roman" w:cs="Times New Roman"/>
                <w:sz w:val="18"/>
                <w:szCs w:val="18"/>
              </w:rPr>
            </w:pPr>
          </w:p>
        </w:tc>
        <w:tc>
          <w:tcPr>
            <w:tcW w:w="1975" w:type="dxa"/>
            <w:vAlign w:val="center"/>
          </w:tcPr>
          <w:p w:rsidR="009A4214" w:rsidRPr="00A90464" w:rsidP="002A2783" w14:paraId="0522720D" w14:textId="77777777">
            <w:pPr>
              <w:jc w:val="right"/>
              <w:rPr>
                <w:rFonts w:ascii="Times New Roman" w:eastAsia="Calibri" w:hAnsi="Times New Roman" w:cs="Times New Roman"/>
                <w:sz w:val="18"/>
                <w:szCs w:val="18"/>
              </w:rPr>
            </w:pPr>
            <w:r w:rsidRPr="00A90464">
              <w:rPr>
                <w:rFonts w:ascii="Times New Roman" w:eastAsia="Calibri" w:hAnsi="Times New Roman" w:cs="Times New Roman"/>
                <w:sz w:val="18"/>
                <w:szCs w:val="18"/>
              </w:rPr>
              <w:t>0$</w:t>
            </w:r>
          </w:p>
        </w:tc>
      </w:tr>
      <w:tr w14:paraId="71777EC1" w14:textId="77777777" w:rsidTr="002A2783">
        <w:tblPrEx>
          <w:tblW w:w="0" w:type="auto"/>
          <w:tblLook w:val="04A0"/>
        </w:tblPrEx>
        <w:tc>
          <w:tcPr>
            <w:tcW w:w="7375" w:type="dxa"/>
          </w:tcPr>
          <w:p w:rsidR="00BB4FA7" w:rsidRPr="00A90464" w:rsidP="002A2783" w14:paraId="1F3AB1F8" w14:textId="77777777">
            <w:pPr>
              <w:rPr>
                <w:rFonts w:ascii="Times New Roman" w:eastAsia="Calibri" w:hAnsi="Times New Roman" w:cs="Times New Roman"/>
                <w:sz w:val="18"/>
                <w:szCs w:val="18"/>
              </w:rPr>
            </w:pPr>
            <w:r w:rsidRPr="00A90464">
              <w:rPr>
                <w:rFonts w:ascii="Times New Roman" w:eastAsia="Calibri" w:hAnsi="Times New Roman" w:cs="Times New Roman"/>
                <w:b/>
                <w:bCs/>
                <w:sz w:val="18"/>
                <w:szCs w:val="18"/>
              </w:rPr>
              <w:t>Staff Salaries</w:t>
            </w:r>
            <w:r w:rsidRPr="00A90464">
              <w:rPr>
                <w:rFonts w:ascii="Times New Roman" w:eastAsia="Calibri" w:hAnsi="Times New Roman" w:cs="Times New Roman"/>
                <w:sz w:val="18"/>
                <w:szCs w:val="18"/>
              </w:rPr>
              <w:t xml:space="preserve">: </w:t>
            </w:r>
          </w:p>
          <w:p w:rsidR="00DB3232" w:rsidRPr="00A90464" w:rsidP="002A2783" w14:paraId="29CA47DE" w14:textId="77777777">
            <w:pPr>
              <w:rPr>
                <w:rFonts w:ascii="Times New Roman" w:eastAsia="Calibri" w:hAnsi="Times New Roman" w:cs="Times New Roman"/>
                <w:sz w:val="18"/>
                <w:szCs w:val="18"/>
              </w:rPr>
            </w:pPr>
            <w:r w:rsidRPr="00A90464">
              <w:rPr>
                <w:rFonts w:ascii="Times New Roman" w:eastAsia="Calibri" w:hAnsi="Times New Roman" w:cs="Times New Roman"/>
                <w:sz w:val="18"/>
                <w:szCs w:val="18"/>
              </w:rPr>
              <w:t xml:space="preserve">GS-13 Step </w:t>
            </w:r>
            <w:r w:rsidRPr="00A90464" w:rsidR="00BB4FA7">
              <w:rPr>
                <w:rFonts w:ascii="Times New Roman" w:eastAsia="Calibri" w:hAnsi="Times New Roman" w:cs="Times New Roman"/>
                <w:sz w:val="18"/>
                <w:szCs w:val="18"/>
              </w:rPr>
              <w:t>5</w:t>
            </w:r>
            <w:r w:rsidRPr="00A90464">
              <w:rPr>
                <w:rFonts w:ascii="Times New Roman" w:eastAsia="Calibri" w:hAnsi="Times New Roman" w:cs="Times New Roman"/>
                <w:sz w:val="18"/>
                <w:szCs w:val="18"/>
              </w:rPr>
              <w:t xml:space="preserve"> in Washington DC</w:t>
            </w:r>
            <w:r w:rsidR="0017371C">
              <w:rPr>
                <w:rFonts w:ascii="Times New Roman" w:eastAsia="Calibri" w:hAnsi="Times New Roman" w:cs="Times New Roman"/>
                <w:sz w:val="18"/>
                <w:szCs w:val="18"/>
              </w:rPr>
              <w:t xml:space="preserve"> for 20 hours per year</w:t>
            </w:r>
            <w:r w:rsidRPr="00A90464">
              <w:rPr>
                <w:rFonts w:ascii="Times New Roman" w:eastAsia="Calibri" w:hAnsi="Times New Roman" w:cs="Times New Roman"/>
                <w:sz w:val="18"/>
                <w:szCs w:val="18"/>
              </w:rPr>
              <w:t xml:space="preserve">. </w:t>
            </w:r>
            <w:r w:rsidR="0017371C">
              <w:rPr>
                <w:rFonts w:ascii="Times New Roman" w:eastAsia="Calibri" w:hAnsi="Times New Roman" w:cs="Times New Roman"/>
                <w:sz w:val="18"/>
                <w:szCs w:val="18"/>
              </w:rPr>
              <w:br/>
            </w:r>
            <w:r w:rsidRPr="00A90464">
              <w:rPr>
                <w:rFonts w:ascii="Times New Roman" w:eastAsia="Calibri" w:hAnsi="Times New Roman" w:cs="Times New Roman"/>
                <w:sz w:val="18"/>
                <w:szCs w:val="18"/>
              </w:rPr>
              <w:t>Annual Cost of (20 hours per year x $</w:t>
            </w:r>
            <w:r w:rsidRPr="00A90464" w:rsidR="00BB4FA7">
              <w:rPr>
                <w:rFonts w:ascii="Times New Roman" w:eastAsia="Calibri" w:hAnsi="Times New Roman" w:cs="Times New Roman"/>
                <w:sz w:val="18"/>
                <w:szCs w:val="18"/>
              </w:rPr>
              <w:t xml:space="preserve">60.83 </w:t>
            </w:r>
            <w:r w:rsidR="0017371C">
              <w:rPr>
                <w:rFonts w:ascii="Times New Roman" w:eastAsia="Calibri" w:hAnsi="Times New Roman" w:cs="Times New Roman"/>
                <w:sz w:val="18"/>
                <w:szCs w:val="18"/>
              </w:rPr>
              <w:t xml:space="preserve">hourly </w:t>
            </w:r>
            <w:r w:rsidRPr="00A90464" w:rsidR="00171FF4">
              <w:rPr>
                <w:rFonts w:ascii="Times New Roman" w:eastAsia="Calibri" w:hAnsi="Times New Roman" w:cs="Times New Roman"/>
                <w:sz w:val="18"/>
                <w:szCs w:val="18"/>
              </w:rPr>
              <w:t>wage rate</w:t>
            </w:r>
            <w:r w:rsidRPr="00A90464">
              <w:rPr>
                <w:rFonts w:ascii="Times New Roman" w:eastAsia="Calibri" w:hAnsi="Times New Roman" w:cs="Times New Roman"/>
                <w:sz w:val="18"/>
                <w:szCs w:val="18"/>
              </w:rPr>
              <w:t xml:space="preserve"> x 1.4</w:t>
            </w:r>
            <w:r w:rsidRPr="00A90464" w:rsidR="00BB4FA7">
              <w:rPr>
                <w:rFonts w:ascii="Times New Roman" w:eastAsia="Calibri" w:hAnsi="Times New Roman" w:cs="Times New Roman"/>
                <w:sz w:val="18"/>
                <w:szCs w:val="18"/>
              </w:rPr>
              <w:t>5</w:t>
            </w:r>
            <w:r w:rsidRPr="00A90464">
              <w:rPr>
                <w:rFonts w:ascii="Times New Roman" w:eastAsia="Calibri" w:hAnsi="Times New Roman" w:cs="Times New Roman"/>
                <w:sz w:val="18"/>
                <w:szCs w:val="18"/>
              </w:rPr>
              <w:t xml:space="preserve"> wage </w:t>
            </w:r>
            <w:r w:rsidRPr="00A90464" w:rsidR="00171FF4">
              <w:rPr>
                <w:rFonts w:ascii="Times New Roman" w:eastAsia="Calibri" w:hAnsi="Times New Roman" w:cs="Times New Roman"/>
                <w:sz w:val="18"/>
                <w:szCs w:val="18"/>
              </w:rPr>
              <w:t>multiplier</w:t>
            </w:r>
            <w:r w:rsidRPr="00A90464">
              <w:rPr>
                <w:rFonts w:ascii="Times New Roman" w:eastAsia="Calibri" w:hAnsi="Times New Roman" w:cs="Times New Roman"/>
                <w:sz w:val="18"/>
                <w:szCs w:val="18"/>
              </w:rPr>
              <w:t xml:space="preserve"> = $1</w:t>
            </w:r>
            <w:r w:rsidR="0017371C">
              <w:rPr>
                <w:rFonts w:ascii="Times New Roman" w:eastAsia="Calibri" w:hAnsi="Times New Roman" w:cs="Times New Roman"/>
                <w:sz w:val="18"/>
                <w:szCs w:val="18"/>
              </w:rPr>
              <w:t>,</w:t>
            </w:r>
            <w:r w:rsidRPr="00A90464" w:rsidR="00BB4FA7">
              <w:rPr>
                <w:rFonts w:ascii="Times New Roman" w:eastAsia="Calibri" w:hAnsi="Times New Roman" w:cs="Times New Roman"/>
                <w:sz w:val="18"/>
                <w:szCs w:val="18"/>
              </w:rPr>
              <w:t>764</w:t>
            </w:r>
            <w:r w:rsidRPr="00A90464">
              <w:rPr>
                <w:rFonts w:ascii="Times New Roman" w:eastAsia="Calibri" w:hAnsi="Times New Roman" w:cs="Times New Roman"/>
                <w:sz w:val="18"/>
                <w:szCs w:val="18"/>
              </w:rPr>
              <w:t>)</w:t>
            </w:r>
          </w:p>
        </w:tc>
        <w:tc>
          <w:tcPr>
            <w:tcW w:w="1975" w:type="dxa"/>
            <w:vAlign w:val="center"/>
          </w:tcPr>
          <w:p w:rsidR="009A4214" w:rsidRPr="00A90464" w:rsidP="002A2783" w14:paraId="5033E225" w14:textId="77777777">
            <w:pPr>
              <w:jc w:val="right"/>
              <w:rPr>
                <w:rFonts w:ascii="Times New Roman" w:eastAsia="Calibri" w:hAnsi="Times New Roman" w:cs="Times New Roman"/>
                <w:sz w:val="18"/>
                <w:szCs w:val="18"/>
              </w:rPr>
            </w:pPr>
            <w:r w:rsidRPr="00A90464">
              <w:rPr>
                <w:rFonts w:ascii="Times New Roman" w:eastAsia="Calibri" w:hAnsi="Times New Roman" w:cs="Times New Roman"/>
                <w:sz w:val="18"/>
                <w:szCs w:val="18"/>
              </w:rPr>
              <w:t>$</w:t>
            </w:r>
            <w:r w:rsidRPr="00A90464" w:rsidR="00DB3232">
              <w:rPr>
                <w:rFonts w:ascii="Times New Roman" w:eastAsia="Calibri" w:hAnsi="Times New Roman" w:cs="Times New Roman"/>
                <w:sz w:val="18"/>
                <w:szCs w:val="18"/>
              </w:rPr>
              <w:t>1</w:t>
            </w:r>
            <w:r w:rsidRPr="00A90464">
              <w:rPr>
                <w:rFonts w:ascii="Times New Roman" w:eastAsia="Calibri" w:hAnsi="Times New Roman" w:cs="Times New Roman"/>
                <w:sz w:val="18"/>
                <w:szCs w:val="18"/>
              </w:rPr>
              <w:t>,764</w:t>
            </w:r>
          </w:p>
        </w:tc>
      </w:tr>
      <w:tr w14:paraId="1A37A676" w14:textId="77777777" w:rsidTr="002A2783">
        <w:tblPrEx>
          <w:tblW w:w="0" w:type="auto"/>
          <w:tblLook w:val="04A0"/>
        </w:tblPrEx>
        <w:tc>
          <w:tcPr>
            <w:tcW w:w="7375" w:type="dxa"/>
          </w:tcPr>
          <w:p w:rsidR="009A4214" w:rsidRPr="00A90464" w:rsidP="002A2783" w14:paraId="10469FBD" w14:textId="77777777">
            <w:pPr>
              <w:rPr>
                <w:rFonts w:ascii="Times New Roman" w:eastAsia="Calibri" w:hAnsi="Times New Roman" w:cs="Times New Roman"/>
                <w:sz w:val="18"/>
                <w:szCs w:val="18"/>
              </w:rPr>
            </w:pPr>
            <w:r w:rsidRPr="00A90464">
              <w:rPr>
                <w:rFonts w:ascii="Times New Roman" w:eastAsia="Calibri" w:hAnsi="Times New Roman" w:cs="Times New Roman"/>
                <w:b/>
                <w:bCs/>
                <w:sz w:val="18"/>
                <w:szCs w:val="18"/>
              </w:rPr>
              <w:t>Facilities</w:t>
            </w:r>
            <w:r w:rsidRPr="00A90464">
              <w:rPr>
                <w:rFonts w:ascii="Times New Roman" w:eastAsia="Calibri" w:hAnsi="Times New Roman" w:cs="Times New Roman"/>
                <w:sz w:val="18"/>
                <w:szCs w:val="18"/>
              </w:rPr>
              <w:t xml:space="preserve"> [cost for renting, overhead, etc. for data collection activity]</w:t>
            </w:r>
          </w:p>
        </w:tc>
        <w:tc>
          <w:tcPr>
            <w:tcW w:w="1975" w:type="dxa"/>
            <w:vAlign w:val="center"/>
          </w:tcPr>
          <w:p w:rsidR="009A4214" w:rsidRPr="00A90464" w:rsidP="002A2783" w14:paraId="006ABF40" w14:textId="77777777">
            <w:pPr>
              <w:jc w:val="right"/>
              <w:rPr>
                <w:rFonts w:ascii="Times New Roman" w:eastAsia="Calibri" w:hAnsi="Times New Roman" w:cs="Times New Roman"/>
                <w:sz w:val="18"/>
                <w:szCs w:val="18"/>
              </w:rPr>
            </w:pPr>
            <w:r w:rsidRPr="00A90464">
              <w:rPr>
                <w:rFonts w:ascii="Times New Roman" w:eastAsia="Calibri" w:hAnsi="Times New Roman" w:cs="Times New Roman"/>
                <w:sz w:val="18"/>
                <w:szCs w:val="18"/>
              </w:rPr>
              <w:t>0$</w:t>
            </w:r>
          </w:p>
        </w:tc>
      </w:tr>
      <w:tr w14:paraId="0319C8AE" w14:textId="77777777" w:rsidTr="002A2783">
        <w:tblPrEx>
          <w:tblW w:w="0" w:type="auto"/>
          <w:tblLook w:val="04A0"/>
        </w:tblPrEx>
        <w:tc>
          <w:tcPr>
            <w:tcW w:w="7375" w:type="dxa"/>
          </w:tcPr>
          <w:p w:rsidR="009A4214" w:rsidRPr="00A90464" w:rsidP="002A2783" w14:paraId="63F9B6C9" w14:textId="77777777">
            <w:pPr>
              <w:rPr>
                <w:rFonts w:ascii="Times New Roman" w:eastAsia="Calibri" w:hAnsi="Times New Roman" w:cs="Times New Roman"/>
                <w:sz w:val="18"/>
                <w:szCs w:val="18"/>
              </w:rPr>
            </w:pPr>
            <w:r w:rsidRPr="00A90464">
              <w:rPr>
                <w:rFonts w:ascii="Times New Roman" w:eastAsia="Calibri" w:hAnsi="Times New Roman" w:cs="Times New Roman"/>
                <w:b/>
                <w:bCs/>
                <w:sz w:val="18"/>
                <w:szCs w:val="18"/>
              </w:rPr>
              <w:t>Computer Hardware and Software</w:t>
            </w:r>
            <w:r w:rsidRPr="00A90464">
              <w:rPr>
                <w:rFonts w:ascii="Times New Roman" w:eastAsia="Calibri" w:hAnsi="Times New Roman" w:cs="Times New Roman"/>
                <w:sz w:val="18"/>
                <w:szCs w:val="18"/>
              </w:rPr>
              <w:t xml:space="preserve"> [cost of equipment annual lifecycle]</w:t>
            </w:r>
          </w:p>
        </w:tc>
        <w:tc>
          <w:tcPr>
            <w:tcW w:w="1975" w:type="dxa"/>
            <w:vAlign w:val="center"/>
          </w:tcPr>
          <w:p w:rsidR="009A4214" w:rsidRPr="00A90464" w:rsidP="002A2783" w14:paraId="7DE63204" w14:textId="77777777">
            <w:pPr>
              <w:jc w:val="right"/>
              <w:rPr>
                <w:rFonts w:ascii="Times New Roman" w:eastAsia="Calibri" w:hAnsi="Times New Roman" w:cs="Times New Roman"/>
                <w:sz w:val="18"/>
                <w:szCs w:val="18"/>
              </w:rPr>
            </w:pPr>
            <w:r w:rsidRPr="00A90464">
              <w:rPr>
                <w:rFonts w:ascii="Times New Roman" w:eastAsia="Calibri" w:hAnsi="Times New Roman" w:cs="Times New Roman"/>
                <w:sz w:val="18"/>
                <w:szCs w:val="18"/>
              </w:rPr>
              <w:t>0$</w:t>
            </w:r>
          </w:p>
        </w:tc>
      </w:tr>
      <w:tr w14:paraId="63873640" w14:textId="77777777" w:rsidTr="002A2783">
        <w:tblPrEx>
          <w:tblW w:w="0" w:type="auto"/>
          <w:tblLook w:val="04A0"/>
        </w:tblPrEx>
        <w:tc>
          <w:tcPr>
            <w:tcW w:w="7375" w:type="dxa"/>
          </w:tcPr>
          <w:p w:rsidR="009A4214" w:rsidRPr="00A90464" w:rsidP="002A2783" w14:paraId="0F346D31" w14:textId="77777777">
            <w:pPr>
              <w:rPr>
                <w:rFonts w:ascii="Times New Roman" w:eastAsia="Calibri" w:hAnsi="Times New Roman" w:cs="Times New Roman"/>
                <w:sz w:val="18"/>
                <w:szCs w:val="18"/>
              </w:rPr>
            </w:pPr>
            <w:r w:rsidRPr="00A90464">
              <w:rPr>
                <w:rFonts w:ascii="Times New Roman" w:eastAsia="Calibri" w:hAnsi="Times New Roman" w:cs="Times New Roman"/>
                <w:b/>
                <w:bCs/>
                <w:sz w:val="18"/>
                <w:szCs w:val="18"/>
              </w:rPr>
              <w:t>Equipment Maintenance</w:t>
            </w:r>
            <w:r w:rsidRPr="00A90464">
              <w:rPr>
                <w:rFonts w:ascii="Times New Roman" w:eastAsia="Calibri" w:hAnsi="Times New Roman" w:cs="Times New Roman"/>
                <w:sz w:val="18"/>
                <w:szCs w:val="18"/>
              </w:rPr>
              <w:t xml:space="preserve"> [cost of annual maintenance/service agreements for equipment]</w:t>
            </w:r>
          </w:p>
        </w:tc>
        <w:tc>
          <w:tcPr>
            <w:tcW w:w="1975" w:type="dxa"/>
            <w:vAlign w:val="center"/>
          </w:tcPr>
          <w:p w:rsidR="009A4214" w:rsidRPr="00A90464" w:rsidP="002A2783" w14:paraId="694DAA32" w14:textId="77777777">
            <w:pPr>
              <w:jc w:val="right"/>
              <w:rPr>
                <w:rFonts w:ascii="Times New Roman" w:eastAsia="Calibri" w:hAnsi="Times New Roman" w:cs="Times New Roman"/>
                <w:sz w:val="18"/>
                <w:szCs w:val="18"/>
              </w:rPr>
            </w:pPr>
            <w:r w:rsidRPr="00A90464">
              <w:rPr>
                <w:rFonts w:ascii="Times New Roman" w:eastAsia="Calibri" w:hAnsi="Times New Roman" w:cs="Times New Roman"/>
                <w:sz w:val="18"/>
                <w:szCs w:val="18"/>
              </w:rPr>
              <w:t>0$</w:t>
            </w:r>
          </w:p>
        </w:tc>
      </w:tr>
      <w:tr w14:paraId="2A56A210" w14:textId="77777777" w:rsidTr="002A2783">
        <w:tblPrEx>
          <w:tblW w:w="0" w:type="auto"/>
          <w:tblLook w:val="04A0"/>
        </w:tblPrEx>
        <w:tc>
          <w:tcPr>
            <w:tcW w:w="7375" w:type="dxa"/>
          </w:tcPr>
          <w:p w:rsidR="009A4214" w:rsidRPr="00A90464" w:rsidP="002A2783" w14:paraId="55391947" w14:textId="77777777">
            <w:pPr>
              <w:rPr>
                <w:rFonts w:ascii="Times New Roman" w:eastAsia="Calibri" w:hAnsi="Times New Roman" w:cs="Times New Roman"/>
                <w:sz w:val="18"/>
                <w:szCs w:val="18"/>
              </w:rPr>
            </w:pPr>
            <w:r w:rsidRPr="00A90464">
              <w:rPr>
                <w:rFonts w:ascii="Times New Roman" w:eastAsia="Calibri" w:hAnsi="Times New Roman" w:cs="Times New Roman"/>
                <w:b/>
                <w:bCs/>
                <w:sz w:val="18"/>
                <w:szCs w:val="18"/>
              </w:rPr>
              <w:t>Travel</w:t>
            </w:r>
            <w:r w:rsidRPr="00A90464">
              <w:rPr>
                <w:rFonts w:ascii="Times New Roman" w:eastAsia="Calibri" w:hAnsi="Times New Roman" w:cs="Times New Roman"/>
                <w:sz w:val="18"/>
                <w:szCs w:val="18"/>
              </w:rPr>
              <w:t xml:space="preserve"> (not to exceed)</w:t>
            </w:r>
          </w:p>
        </w:tc>
        <w:tc>
          <w:tcPr>
            <w:tcW w:w="1975" w:type="dxa"/>
            <w:vAlign w:val="center"/>
          </w:tcPr>
          <w:p w:rsidR="009A4214" w:rsidRPr="00A90464" w:rsidP="002A2783" w14:paraId="0A8BA571" w14:textId="77777777">
            <w:pPr>
              <w:jc w:val="right"/>
              <w:rPr>
                <w:rFonts w:ascii="Times New Roman" w:eastAsia="Calibri" w:hAnsi="Times New Roman" w:cs="Times New Roman"/>
                <w:sz w:val="18"/>
                <w:szCs w:val="18"/>
              </w:rPr>
            </w:pPr>
            <w:r w:rsidRPr="00A90464">
              <w:rPr>
                <w:rFonts w:ascii="Times New Roman" w:eastAsia="Calibri" w:hAnsi="Times New Roman" w:cs="Times New Roman"/>
                <w:sz w:val="18"/>
                <w:szCs w:val="18"/>
              </w:rPr>
              <w:t>0$</w:t>
            </w:r>
          </w:p>
        </w:tc>
      </w:tr>
      <w:tr w14:paraId="39395C93" w14:textId="77777777" w:rsidTr="002A2783">
        <w:tblPrEx>
          <w:tblW w:w="0" w:type="auto"/>
          <w:tblLook w:val="04A0"/>
        </w:tblPrEx>
        <w:tc>
          <w:tcPr>
            <w:tcW w:w="7375" w:type="dxa"/>
          </w:tcPr>
          <w:p w:rsidR="009A4214" w:rsidRPr="00A90464" w:rsidP="002A2783" w14:paraId="58941AA0" w14:textId="77777777">
            <w:pPr>
              <w:rPr>
                <w:rFonts w:ascii="Times New Roman" w:eastAsia="Calibri" w:hAnsi="Times New Roman" w:cs="Times New Roman"/>
                <w:b/>
                <w:sz w:val="18"/>
                <w:szCs w:val="18"/>
              </w:rPr>
            </w:pPr>
            <w:r w:rsidRPr="00A90464">
              <w:rPr>
                <w:rFonts w:ascii="Times New Roman" w:eastAsia="Calibri" w:hAnsi="Times New Roman" w:cs="Times New Roman"/>
                <w:b/>
                <w:sz w:val="18"/>
                <w:szCs w:val="18"/>
              </w:rPr>
              <w:t>Total</w:t>
            </w:r>
          </w:p>
        </w:tc>
        <w:tc>
          <w:tcPr>
            <w:tcW w:w="1975" w:type="dxa"/>
            <w:vAlign w:val="center"/>
          </w:tcPr>
          <w:p w:rsidR="009A4214" w:rsidRPr="00A90464" w:rsidP="002A2783" w14:paraId="44CE4BA9" w14:textId="77777777">
            <w:pPr>
              <w:jc w:val="right"/>
              <w:rPr>
                <w:rFonts w:ascii="Times New Roman" w:eastAsia="Calibri" w:hAnsi="Times New Roman" w:cs="Times New Roman"/>
                <w:b/>
                <w:bCs/>
                <w:sz w:val="18"/>
                <w:szCs w:val="18"/>
              </w:rPr>
            </w:pPr>
            <w:r w:rsidRPr="00A90464">
              <w:rPr>
                <w:rFonts w:ascii="Times New Roman" w:eastAsia="Calibri" w:hAnsi="Times New Roman" w:cs="Times New Roman"/>
                <w:b/>
                <w:bCs/>
                <w:sz w:val="18"/>
                <w:szCs w:val="18"/>
              </w:rPr>
              <w:t>$</w:t>
            </w:r>
            <w:r w:rsidRPr="00A90464" w:rsidR="00BB4FA7">
              <w:rPr>
                <w:rFonts w:ascii="Times New Roman" w:eastAsia="Calibri" w:hAnsi="Times New Roman" w:cs="Times New Roman"/>
                <w:b/>
                <w:bCs/>
                <w:sz w:val="18"/>
                <w:szCs w:val="18"/>
              </w:rPr>
              <w:t>1,764</w:t>
            </w:r>
          </w:p>
        </w:tc>
      </w:tr>
      <w:tr w14:paraId="2501BE65" w14:textId="77777777" w:rsidTr="002A2783">
        <w:tblPrEx>
          <w:tblW w:w="0" w:type="auto"/>
          <w:tblLook w:val="04A0"/>
        </w:tblPrEx>
        <w:tc>
          <w:tcPr>
            <w:tcW w:w="9350" w:type="dxa"/>
            <w:gridSpan w:val="2"/>
          </w:tcPr>
          <w:p w:rsidR="009A4214" w:rsidRPr="00A90464" w:rsidP="002A2783" w14:paraId="68A1467F" w14:textId="77777777">
            <w:pPr>
              <w:rPr>
                <w:rFonts w:ascii="Times New Roman" w:eastAsia="Calibri" w:hAnsi="Times New Roman" w:cs="Times New Roman"/>
                <w:sz w:val="18"/>
                <w:szCs w:val="18"/>
              </w:rPr>
            </w:pPr>
            <w:r w:rsidRPr="00A90464">
              <w:rPr>
                <w:rFonts w:ascii="Times New Roman" w:eastAsia="Calibri" w:hAnsi="Times New Roman" w:cs="Times New Roman"/>
                <w:sz w:val="18"/>
                <w:szCs w:val="18"/>
                <w:vertAlign w:val="superscript"/>
              </w:rPr>
              <w:t>1</w:t>
            </w:r>
            <w:r w:rsidRPr="00A90464">
              <w:rPr>
                <w:rFonts w:ascii="Times New Roman" w:eastAsia="Calibri" w:hAnsi="Times New Roman" w:cs="Times New Roman"/>
                <w:sz w:val="18"/>
                <w:szCs w:val="18"/>
              </w:rPr>
              <w:t xml:space="preserve"> Office of Personnel Management 202</w:t>
            </w:r>
            <w:r w:rsidRPr="00A90464" w:rsidR="005E37D3">
              <w:rPr>
                <w:rFonts w:ascii="Times New Roman" w:eastAsia="Calibri" w:hAnsi="Times New Roman" w:cs="Times New Roman"/>
                <w:sz w:val="18"/>
                <w:szCs w:val="18"/>
              </w:rPr>
              <w:t>3</w:t>
            </w:r>
            <w:r w:rsidRPr="00A90464">
              <w:rPr>
                <w:rFonts w:ascii="Times New Roman" w:eastAsia="Calibri" w:hAnsi="Times New Roman" w:cs="Times New Roman"/>
                <w:sz w:val="18"/>
                <w:szCs w:val="18"/>
              </w:rPr>
              <w:t xml:space="preserve"> Pay and Leave Tables for the Washington-Baltimore-Arlington, DC-MD-VA-WV-PA locality. Available online at </w:t>
            </w:r>
            <w:r w:rsidRPr="00A90464" w:rsidR="005E37D3">
              <w:rPr>
                <w:rStyle w:val="Hyperlink"/>
                <w:rFonts w:ascii="Times New Roman" w:eastAsia="Calibri" w:hAnsi="Times New Roman" w:cs="Times New Roman"/>
                <w:sz w:val="18"/>
                <w:szCs w:val="18"/>
              </w:rPr>
              <w:t xml:space="preserve"> </w:t>
            </w:r>
            <w:hyperlink r:id="rId12" w:history="1">
              <w:r w:rsidRPr="00A90464" w:rsidR="005E37D3">
                <w:rPr>
                  <w:rStyle w:val="Hyperlink"/>
                  <w:rFonts w:ascii="Times New Roman" w:eastAsia="Times New Roman" w:hAnsi="Times New Roman" w:cs="Times New Roman"/>
                  <w:sz w:val="18"/>
                  <w:szCs w:val="18"/>
                </w:rPr>
                <w:t>https://www.opm.gov/policy-data-oversight/pay-leave/salaries-wages/salary-tables/pdf/2023/DCB_h.pdf</w:t>
              </w:r>
            </w:hyperlink>
            <w:r w:rsidRPr="00A90464">
              <w:rPr>
                <w:rFonts w:ascii="Times New Roman" w:eastAsia="Calibri" w:hAnsi="Times New Roman" w:cs="Times New Roman"/>
                <w:sz w:val="18"/>
                <w:szCs w:val="18"/>
              </w:rPr>
              <w:t>. Accesse</w:t>
            </w:r>
            <w:r w:rsidRPr="00A90464" w:rsidR="005E37D3">
              <w:rPr>
                <w:rFonts w:ascii="Times New Roman" w:eastAsia="Calibri" w:hAnsi="Times New Roman" w:cs="Times New Roman"/>
                <w:sz w:val="18"/>
                <w:szCs w:val="18"/>
              </w:rPr>
              <w:t>d December</w:t>
            </w:r>
            <w:r w:rsidRPr="00A90464">
              <w:rPr>
                <w:rFonts w:ascii="Times New Roman" w:eastAsia="Calibri" w:hAnsi="Times New Roman" w:cs="Times New Roman"/>
                <w:sz w:val="18"/>
                <w:szCs w:val="18"/>
              </w:rPr>
              <w:t xml:space="preserve"> 2</w:t>
            </w:r>
            <w:r w:rsidRPr="00A90464" w:rsidR="005E37D3">
              <w:rPr>
                <w:rFonts w:ascii="Times New Roman" w:eastAsia="Calibri" w:hAnsi="Times New Roman" w:cs="Times New Roman"/>
                <w:sz w:val="18"/>
                <w:szCs w:val="18"/>
              </w:rPr>
              <w:t>9</w:t>
            </w:r>
            <w:r w:rsidRPr="00A90464">
              <w:rPr>
                <w:rFonts w:ascii="Times New Roman" w:eastAsia="Calibri" w:hAnsi="Times New Roman" w:cs="Times New Roman"/>
                <w:sz w:val="18"/>
                <w:szCs w:val="18"/>
              </w:rPr>
              <w:t>, 2022</w:t>
            </w:r>
            <w:r w:rsidRPr="00A90464" w:rsidR="005E37D3">
              <w:rPr>
                <w:rFonts w:ascii="Times New Roman" w:eastAsia="Calibri" w:hAnsi="Times New Roman" w:cs="Times New Roman"/>
                <w:sz w:val="18"/>
                <w:szCs w:val="18"/>
              </w:rPr>
              <w:t>.</w:t>
            </w:r>
          </w:p>
          <w:p w:rsidR="009A4214" w:rsidRPr="00A90464" w:rsidP="002A2783" w14:paraId="0E1A60D7" w14:textId="77777777">
            <w:pPr>
              <w:rPr>
                <w:rFonts w:ascii="Times New Roman" w:eastAsia="Calibri" w:hAnsi="Times New Roman" w:cs="Times New Roman"/>
                <w:sz w:val="18"/>
                <w:szCs w:val="18"/>
              </w:rPr>
            </w:pPr>
            <w:r w:rsidRPr="00A90464">
              <w:rPr>
                <w:rFonts w:ascii="Times New Roman" w:eastAsia="Calibri" w:hAnsi="Times New Roman" w:cs="Times New Roman"/>
                <w:sz w:val="18"/>
                <w:szCs w:val="18"/>
                <w:vertAlign w:val="superscript"/>
              </w:rPr>
              <w:t>2</w:t>
            </w:r>
            <w:r w:rsidRPr="00A90464">
              <w:rPr>
                <w:rFonts w:ascii="Times New Roman" w:eastAsia="Calibri" w:hAnsi="Times New Roman" w:cs="Times New Roman"/>
                <w:sz w:val="18"/>
                <w:szCs w:val="18"/>
              </w:rPr>
              <w:t xml:space="preserve"> Wage rate includes a 1.45 multiplier to reflect the fully-loaded wage rate.</w:t>
            </w:r>
          </w:p>
        </w:tc>
      </w:tr>
      <w:bookmarkEnd w:id="10"/>
    </w:tbl>
    <w:p w:rsidR="00926982" w:rsidP="00A90464" w14:paraId="4EF1FB90" w14:textId="77777777">
      <w:pPr>
        <w:spacing w:line="276" w:lineRule="auto"/>
        <w:contextualSpacing/>
      </w:pPr>
    </w:p>
    <w:p w:rsidR="00AC49FB" w:rsidRPr="00425D0D" w:rsidP="006A2BC6" w14:paraId="344C991B" w14:textId="77777777">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6A2BC6" w14:paraId="799A79D2" w14:textId="77777777">
      <w:pPr>
        <w:pStyle w:val="ListParagraph"/>
        <w:spacing w:line="276" w:lineRule="auto"/>
      </w:pPr>
    </w:p>
    <w:p w:rsidR="00055F6D" w:rsidRPr="001D3D89" w:rsidP="006A2BC6" w14:paraId="36406566" w14:textId="77777777">
      <w:pPr>
        <w:pStyle w:val="ListParagraph"/>
        <w:spacing w:line="276" w:lineRule="auto"/>
        <w:rPr>
          <w:i/>
          <w:iCs/>
          <w:sz w:val="20"/>
          <w:szCs w:val="20"/>
        </w:rPr>
      </w:pPr>
      <w:r w:rsidRPr="001D3D89">
        <w:rPr>
          <w:i/>
          <w:iCs/>
          <w:sz w:val="20"/>
          <w:szCs w:val="20"/>
        </w:rPr>
        <w:t xml:space="preserve">A </w:t>
      </w:r>
      <w:bookmarkStart w:id="11" w:name="_Hlk116570215"/>
      <w:r w:rsidR="00054513">
        <w:rPr>
          <w:b/>
          <w:bCs/>
          <w:i/>
          <w:iCs/>
          <w:sz w:val="20"/>
          <w:szCs w:val="20"/>
        </w:rPr>
        <w:t>“</w:t>
      </w:r>
      <w:bookmarkEnd w:id="11"/>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6A2BC6" w14:paraId="5F7EDA7C" w14:textId="77777777">
      <w:pPr>
        <w:pStyle w:val="ListParagraph"/>
        <w:spacing w:line="276" w:lineRule="auto"/>
        <w:rPr>
          <w:i/>
          <w:iCs/>
          <w:sz w:val="20"/>
          <w:szCs w:val="20"/>
        </w:rPr>
      </w:pPr>
    </w:p>
    <w:p w:rsidR="00055F6D" w:rsidRPr="001D3D89" w:rsidP="006A2BC6" w14:paraId="2090BE7C" w14:textId="77777777">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6A2BC6" w14:paraId="6BE8630D" w14:textId="77777777">
      <w:pPr>
        <w:pStyle w:val="ListParagraph"/>
        <w:spacing w:line="276" w:lineRule="auto"/>
        <w:rPr>
          <w:i/>
          <w:iCs/>
          <w:sz w:val="20"/>
          <w:szCs w:val="20"/>
        </w:rPr>
      </w:pPr>
    </w:p>
    <w:p w:rsidR="00055F6D" w:rsidRPr="001D3D89" w:rsidP="006A2BC6" w14:paraId="4D2CD8EA" w14:textId="77777777">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6A2BC6" w14:paraId="4C8A7820" w14:textId="77777777">
      <w:pPr>
        <w:pStyle w:val="ListParagraph"/>
        <w:spacing w:line="276" w:lineRule="auto"/>
      </w:pPr>
    </w:p>
    <w:p w:rsidR="0017371C" w:rsidP="00A90464" w14:paraId="772F4BC6" w14:textId="77777777">
      <w:pPr>
        <w:spacing w:line="276" w:lineRule="auto"/>
        <w:contextualSpacing/>
      </w:pPr>
      <w:r>
        <w:br w:type="page"/>
      </w:r>
    </w:p>
    <w:p w:rsidR="0072755A" w:rsidP="0072755A" w14:paraId="6C7AD733" w14:textId="77777777">
      <w:pPr>
        <w:spacing w:line="276" w:lineRule="auto"/>
        <w:contextualSpacing/>
      </w:pPr>
    </w:p>
    <w:tbl>
      <w:tblPr>
        <w:tblW w:w="10080" w:type="dxa"/>
        <w:jc w:val="center"/>
        <w:tblLayout w:type="fixed"/>
        <w:tblLook w:val="04A0"/>
      </w:tblPr>
      <w:tblGrid>
        <w:gridCol w:w="2790"/>
        <w:gridCol w:w="1513"/>
        <w:gridCol w:w="907"/>
        <w:gridCol w:w="990"/>
        <w:gridCol w:w="1440"/>
        <w:gridCol w:w="1180"/>
        <w:gridCol w:w="1260"/>
      </w:tblGrid>
      <w:tr w14:paraId="45261D99" w14:textId="77777777" w:rsidTr="00A90464">
        <w:tblPrEx>
          <w:tblW w:w="10080" w:type="dxa"/>
          <w:jc w:val="center"/>
          <w:tblLayout w:type="fixed"/>
          <w:tblLook w:val="04A0"/>
        </w:tblPrEx>
        <w:trPr>
          <w:trHeight w:val="288"/>
          <w:jc w:val="center"/>
        </w:trPr>
        <w:tc>
          <w:tcPr>
            <w:tcW w:w="1008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72755A" w:rsidRPr="00C56AA0" w:rsidP="0082152E" w14:paraId="3F9EAB80" w14:textId="77777777">
            <w:pPr>
              <w:jc w:val="center"/>
              <w:rPr>
                <w:rFonts w:eastAsia="Times New Roman" w:cs="Times New Roman"/>
                <w:b/>
                <w:bCs/>
                <w:color w:val="000000"/>
                <w:sz w:val="20"/>
                <w:szCs w:val="20"/>
              </w:rPr>
            </w:pPr>
            <w:r w:rsidRPr="00C56AA0">
              <w:rPr>
                <w:rFonts w:eastAsia="Times New Roman" w:cs="Times New Roman"/>
                <w:b/>
                <w:bCs/>
                <w:color w:val="000000"/>
                <w:sz w:val="20"/>
                <w:szCs w:val="20"/>
              </w:rPr>
              <w:t>Itemized Changes in Annual Burden Hours</w:t>
            </w:r>
          </w:p>
        </w:tc>
      </w:tr>
      <w:tr w14:paraId="7350184A" w14:textId="77777777" w:rsidTr="00A90464">
        <w:tblPrEx>
          <w:tblW w:w="10080" w:type="dxa"/>
          <w:jc w:val="center"/>
          <w:tblLayout w:type="fixed"/>
          <w:tblLook w:val="04A0"/>
        </w:tblPrEx>
        <w:trPr>
          <w:trHeight w:val="890"/>
          <w:jc w:val="center"/>
        </w:trPr>
        <w:tc>
          <w:tcPr>
            <w:tcW w:w="2790" w:type="dxa"/>
            <w:tcBorders>
              <w:top w:val="nil"/>
              <w:left w:val="single" w:sz="8" w:space="0" w:color="auto"/>
              <w:bottom w:val="single" w:sz="4" w:space="0" w:color="auto"/>
              <w:right w:val="single" w:sz="4" w:space="0" w:color="auto"/>
            </w:tcBorders>
            <w:shd w:val="clear" w:color="000000" w:fill="95B3D7"/>
            <w:vAlign w:val="bottom"/>
            <w:hideMark/>
          </w:tcPr>
          <w:p w:rsidR="0072755A" w:rsidRPr="00FE3EE4" w:rsidP="0082152E" w14:paraId="624A5717" w14:textId="77777777">
            <w:pPr>
              <w:jc w:val="center"/>
              <w:rPr>
                <w:rFonts w:eastAsia="Times New Roman" w:cs="Times New Roman"/>
                <w:color w:val="000000"/>
                <w:sz w:val="18"/>
                <w:szCs w:val="18"/>
              </w:rPr>
            </w:pPr>
            <w:r w:rsidRPr="00FE3EE4">
              <w:rPr>
                <w:rFonts w:eastAsia="Times New Roman" w:cs="Times New Roman"/>
                <w:color w:val="000000"/>
                <w:sz w:val="18"/>
                <w:szCs w:val="18"/>
              </w:rPr>
              <w:t>Data Collection Activity/Instrument</w:t>
            </w:r>
          </w:p>
        </w:tc>
        <w:tc>
          <w:tcPr>
            <w:tcW w:w="1513" w:type="dxa"/>
            <w:tcBorders>
              <w:top w:val="nil"/>
              <w:left w:val="nil"/>
              <w:bottom w:val="single" w:sz="4" w:space="0" w:color="auto"/>
              <w:right w:val="single" w:sz="4" w:space="0" w:color="auto"/>
            </w:tcBorders>
            <w:shd w:val="clear" w:color="000000" w:fill="95B3D7"/>
            <w:vAlign w:val="bottom"/>
            <w:hideMark/>
          </w:tcPr>
          <w:p w:rsidR="0072755A" w:rsidRPr="00FE3EE4" w:rsidP="0082152E" w14:paraId="58FBE565" w14:textId="77777777">
            <w:pPr>
              <w:jc w:val="center"/>
              <w:rPr>
                <w:rFonts w:eastAsia="Times New Roman" w:cs="Times New Roman"/>
                <w:color w:val="000000"/>
                <w:sz w:val="18"/>
                <w:szCs w:val="18"/>
              </w:rPr>
            </w:pPr>
            <w:r w:rsidRPr="00FE3EE4">
              <w:rPr>
                <w:rFonts w:eastAsia="Times New Roman" w:cs="Times New Roman"/>
                <w:color w:val="000000"/>
                <w:sz w:val="18"/>
                <w:szCs w:val="18"/>
              </w:rPr>
              <w:t>Program Change (hours currently on OMB Inventory)</w:t>
            </w:r>
          </w:p>
        </w:tc>
        <w:tc>
          <w:tcPr>
            <w:tcW w:w="907" w:type="dxa"/>
            <w:tcBorders>
              <w:top w:val="nil"/>
              <w:left w:val="nil"/>
              <w:bottom w:val="single" w:sz="4" w:space="0" w:color="auto"/>
              <w:right w:val="single" w:sz="4" w:space="0" w:color="auto"/>
            </w:tcBorders>
            <w:shd w:val="clear" w:color="000000" w:fill="95B3D7"/>
            <w:vAlign w:val="bottom"/>
            <w:hideMark/>
          </w:tcPr>
          <w:p w:rsidR="0072755A" w:rsidRPr="00FE3EE4" w:rsidP="0082152E" w14:paraId="529C3DF0" w14:textId="77777777">
            <w:pPr>
              <w:jc w:val="center"/>
              <w:rPr>
                <w:rFonts w:eastAsia="Times New Roman" w:cs="Times New Roman"/>
                <w:color w:val="000000"/>
                <w:sz w:val="18"/>
                <w:szCs w:val="18"/>
              </w:rPr>
            </w:pPr>
            <w:r w:rsidRPr="00FE3EE4">
              <w:rPr>
                <w:rFonts w:eastAsia="Times New Roman" w:cs="Times New Roman"/>
                <w:color w:val="000000"/>
                <w:sz w:val="18"/>
                <w:szCs w:val="18"/>
              </w:rPr>
              <w:t>Program Change (New)</w:t>
            </w:r>
          </w:p>
        </w:tc>
        <w:tc>
          <w:tcPr>
            <w:tcW w:w="990" w:type="dxa"/>
            <w:tcBorders>
              <w:top w:val="nil"/>
              <w:left w:val="nil"/>
              <w:bottom w:val="single" w:sz="4" w:space="0" w:color="auto"/>
              <w:right w:val="single" w:sz="4" w:space="0" w:color="auto"/>
            </w:tcBorders>
            <w:shd w:val="clear" w:color="000000" w:fill="95B3D7"/>
            <w:vAlign w:val="bottom"/>
            <w:hideMark/>
          </w:tcPr>
          <w:p w:rsidR="0072755A" w:rsidRPr="00FE3EE4" w:rsidP="0082152E" w14:paraId="4F010FC1" w14:textId="77777777">
            <w:pPr>
              <w:jc w:val="center"/>
              <w:rPr>
                <w:rFonts w:eastAsia="Times New Roman" w:cs="Times New Roman"/>
                <w:color w:val="000000"/>
                <w:sz w:val="18"/>
                <w:szCs w:val="18"/>
              </w:rPr>
            </w:pPr>
            <w:r w:rsidRPr="00FE3EE4">
              <w:rPr>
                <w:rFonts w:eastAsia="Times New Roman" w:cs="Times New Roman"/>
                <w:color w:val="000000"/>
                <w:sz w:val="18"/>
                <w:szCs w:val="18"/>
              </w:rPr>
              <w:t>Difference</w:t>
            </w:r>
          </w:p>
        </w:tc>
        <w:tc>
          <w:tcPr>
            <w:tcW w:w="1440" w:type="dxa"/>
            <w:tcBorders>
              <w:top w:val="nil"/>
              <w:left w:val="nil"/>
              <w:bottom w:val="single" w:sz="4" w:space="0" w:color="auto"/>
              <w:right w:val="single" w:sz="4" w:space="0" w:color="auto"/>
            </w:tcBorders>
            <w:shd w:val="clear" w:color="000000" w:fill="95B3D7"/>
            <w:vAlign w:val="bottom"/>
            <w:hideMark/>
          </w:tcPr>
          <w:p w:rsidR="0072755A" w:rsidRPr="00FE3EE4" w:rsidP="0082152E" w14:paraId="76C64AB5" w14:textId="77777777">
            <w:pPr>
              <w:jc w:val="center"/>
              <w:rPr>
                <w:rFonts w:eastAsia="Times New Roman" w:cs="Times New Roman"/>
                <w:color w:val="000000"/>
                <w:sz w:val="18"/>
                <w:szCs w:val="18"/>
              </w:rPr>
            </w:pPr>
            <w:r w:rsidRPr="00FE3EE4">
              <w:rPr>
                <w:rFonts w:eastAsia="Times New Roman" w:cs="Times New Roman"/>
                <w:color w:val="000000"/>
                <w:sz w:val="18"/>
                <w:szCs w:val="18"/>
              </w:rPr>
              <w:t>Adjustment (hours currently on OMB Inventory)</w:t>
            </w:r>
          </w:p>
        </w:tc>
        <w:tc>
          <w:tcPr>
            <w:tcW w:w="1180" w:type="dxa"/>
            <w:tcBorders>
              <w:top w:val="nil"/>
              <w:left w:val="nil"/>
              <w:bottom w:val="single" w:sz="4" w:space="0" w:color="auto"/>
              <w:right w:val="single" w:sz="4" w:space="0" w:color="auto"/>
            </w:tcBorders>
            <w:shd w:val="clear" w:color="000000" w:fill="95B3D7"/>
            <w:vAlign w:val="bottom"/>
            <w:hideMark/>
          </w:tcPr>
          <w:p w:rsidR="0072755A" w:rsidRPr="00FE3EE4" w:rsidP="0082152E" w14:paraId="302CFBAA" w14:textId="77777777">
            <w:pPr>
              <w:jc w:val="center"/>
              <w:rPr>
                <w:rFonts w:eastAsia="Times New Roman" w:cs="Times New Roman"/>
                <w:color w:val="000000"/>
                <w:sz w:val="18"/>
                <w:szCs w:val="18"/>
              </w:rPr>
            </w:pPr>
            <w:r w:rsidRPr="00FE3EE4">
              <w:rPr>
                <w:rFonts w:eastAsia="Times New Roman" w:cs="Times New Roman"/>
                <w:color w:val="000000"/>
                <w:sz w:val="18"/>
                <w:szCs w:val="18"/>
              </w:rPr>
              <w:t>Adjustment (New)</w:t>
            </w:r>
          </w:p>
        </w:tc>
        <w:tc>
          <w:tcPr>
            <w:tcW w:w="1260" w:type="dxa"/>
            <w:tcBorders>
              <w:top w:val="nil"/>
              <w:left w:val="nil"/>
              <w:bottom w:val="single" w:sz="4" w:space="0" w:color="auto"/>
              <w:right w:val="single" w:sz="8" w:space="0" w:color="auto"/>
            </w:tcBorders>
            <w:shd w:val="clear" w:color="000000" w:fill="95B3D7"/>
            <w:vAlign w:val="bottom"/>
            <w:hideMark/>
          </w:tcPr>
          <w:p w:rsidR="0072755A" w:rsidRPr="00FE3EE4" w:rsidP="0082152E" w14:paraId="48BF709D" w14:textId="77777777">
            <w:pPr>
              <w:jc w:val="center"/>
              <w:rPr>
                <w:rFonts w:eastAsia="Times New Roman" w:cs="Times New Roman"/>
                <w:color w:val="000000"/>
                <w:sz w:val="18"/>
                <w:szCs w:val="18"/>
              </w:rPr>
            </w:pPr>
            <w:r w:rsidRPr="00FE3EE4">
              <w:rPr>
                <w:rFonts w:eastAsia="Times New Roman" w:cs="Times New Roman"/>
                <w:color w:val="000000"/>
                <w:sz w:val="18"/>
                <w:szCs w:val="18"/>
              </w:rPr>
              <w:t>Difference</w:t>
            </w:r>
          </w:p>
        </w:tc>
      </w:tr>
      <w:tr w14:paraId="6683FF70" w14:textId="77777777" w:rsidTr="00A90464">
        <w:tblPrEx>
          <w:tblW w:w="10080" w:type="dxa"/>
          <w:jc w:val="center"/>
          <w:tblLayout w:type="fixed"/>
          <w:tblLook w:val="04A0"/>
        </w:tblPrEx>
        <w:trPr>
          <w:trHeight w:val="935"/>
          <w:jc w:val="center"/>
        </w:trPr>
        <w:tc>
          <w:tcPr>
            <w:tcW w:w="2790" w:type="dxa"/>
            <w:tcBorders>
              <w:top w:val="nil"/>
              <w:left w:val="single" w:sz="8" w:space="0" w:color="auto"/>
              <w:bottom w:val="single" w:sz="4" w:space="0" w:color="auto"/>
              <w:right w:val="single" w:sz="4" w:space="0" w:color="auto"/>
            </w:tcBorders>
            <w:shd w:val="clear" w:color="auto" w:fill="auto"/>
            <w:vAlign w:val="center"/>
            <w:hideMark/>
          </w:tcPr>
          <w:p w:rsidR="0072755A" w:rsidRPr="00FE3EE4" w:rsidP="0082152E" w14:paraId="62C0C63E" w14:textId="3ED771F0">
            <w:pPr>
              <w:jc w:val="center"/>
              <w:rPr>
                <w:rFonts w:eastAsia="Times New Roman" w:cs="Times New Roman"/>
                <w:color w:val="000000"/>
                <w:sz w:val="18"/>
                <w:szCs w:val="18"/>
              </w:rPr>
            </w:pPr>
            <w:r>
              <w:rPr>
                <w:rFonts w:eastAsia="Times New Roman" w:cs="Times New Roman"/>
                <w:color w:val="000000"/>
                <w:sz w:val="18"/>
                <w:szCs w:val="18"/>
              </w:rPr>
              <w:t>Standard Flood Hazard Determination Form (SFHDF)</w:t>
            </w:r>
            <w:r w:rsidRPr="00490ECB">
              <w:rPr>
                <w:rFonts w:eastAsia="Times New Roman" w:cs="Times New Roman"/>
                <w:color w:val="000000"/>
                <w:sz w:val="18"/>
                <w:szCs w:val="18"/>
              </w:rPr>
              <w:t xml:space="preserve"> </w:t>
            </w:r>
            <w:r>
              <w:rPr>
                <w:rFonts w:eastAsia="Times New Roman" w:cs="Times New Roman"/>
                <w:color w:val="000000"/>
                <w:sz w:val="18"/>
                <w:szCs w:val="18"/>
              </w:rPr>
              <w:t xml:space="preserve">/ </w:t>
            </w:r>
            <w:r>
              <w:rPr>
                <w:rFonts w:eastAsia="Times New Roman" w:cs="Times New Roman"/>
                <w:color w:val="000000"/>
                <w:sz w:val="18"/>
                <w:szCs w:val="18"/>
              </w:rPr>
              <w:br/>
            </w:r>
            <w:r w:rsidRPr="0082152E">
              <w:rPr>
                <w:rFonts w:eastAsia="Times New Roman" w:cs="Times New Roman"/>
                <w:color w:val="000000"/>
                <w:sz w:val="18"/>
                <w:szCs w:val="18"/>
              </w:rPr>
              <w:t>FF-</w:t>
            </w:r>
            <w:r w:rsidR="004A021B">
              <w:rPr>
                <w:rFonts w:eastAsia="Times New Roman" w:cs="Times New Roman"/>
                <w:color w:val="000000"/>
                <w:sz w:val="18"/>
                <w:szCs w:val="18"/>
              </w:rPr>
              <w:t>206</w:t>
            </w:r>
            <w:r w:rsidRPr="0082152E">
              <w:rPr>
                <w:rFonts w:eastAsia="Times New Roman" w:cs="Times New Roman"/>
                <w:color w:val="000000"/>
                <w:sz w:val="18"/>
                <w:szCs w:val="18"/>
              </w:rPr>
              <w:t>-FY-2</w:t>
            </w:r>
            <w:r w:rsidR="004A021B">
              <w:rPr>
                <w:rFonts w:eastAsia="Times New Roman" w:cs="Times New Roman"/>
                <w:color w:val="000000"/>
                <w:sz w:val="18"/>
                <w:szCs w:val="18"/>
              </w:rPr>
              <w:t>1</w:t>
            </w:r>
            <w:r w:rsidRPr="0082152E">
              <w:rPr>
                <w:rFonts w:eastAsia="Times New Roman" w:cs="Times New Roman"/>
                <w:color w:val="000000"/>
                <w:sz w:val="18"/>
                <w:szCs w:val="18"/>
              </w:rPr>
              <w:t>-1</w:t>
            </w:r>
            <w:r w:rsidR="004A021B">
              <w:rPr>
                <w:rFonts w:eastAsia="Times New Roman" w:cs="Times New Roman"/>
                <w:color w:val="000000"/>
                <w:sz w:val="18"/>
                <w:szCs w:val="18"/>
              </w:rPr>
              <w:t>16</w:t>
            </w:r>
            <w:r w:rsidRPr="0082152E">
              <w:rPr>
                <w:rFonts w:eastAsia="Times New Roman" w:cs="Times New Roman"/>
                <w:color w:val="000000"/>
                <w:sz w:val="18"/>
                <w:szCs w:val="18"/>
              </w:rPr>
              <w:t xml:space="preserve"> </w:t>
            </w:r>
            <w:r w:rsidRPr="00490ECB">
              <w:rPr>
                <w:rFonts w:eastAsia="Times New Roman" w:cs="Times New Roman"/>
                <w:color w:val="000000"/>
                <w:sz w:val="18"/>
                <w:szCs w:val="18"/>
              </w:rPr>
              <w:t>(formerly 086-0-03</w:t>
            </w:r>
            <w:r w:rsidR="004A021B">
              <w:rPr>
                <w:rFonts w:eastAsia="Times New Roman" w:cs="Times New Roman"/>
                <w:color w:val="000000"/>
                <w:sz w:val="18"/>
                <w:szCs w:val="18"/>
              </w:rPr>
              <w:t>2</w:t>
            </w:r>
            <w:r w:rsidRPr="00490ECB">
              <w:rPr>
                <w:rFonts w:eastAsia="Times New Roman" w:cs="Times New Roman"/>
                <w:color w:val="000000"/>
                <w:sz w:val="18"/>
                <w:szCs w:val="18"/>
              </w:rPr>
              <w:t>)</w:t>
            </w:r>
          </w:p>
        </w:tc>
        <w:tc>
          <w:tcPr>
            <w:tcW w:w="1513" w:type="dxa"/>
            <w:tcBorders>
              <w:top w:val="nil"/>
              <w:left w:val="nil"/>
              <w:bottom w:val="single" w:sz="4" w:space="0" w:color="auto"/>
              <w:right w:val="single" w:sz="4" w:space="0" w:color="auto"/>
            </w:tcBorders>
            <w:shd w:val="clear" w:color="auto" w:fill="auto"/>
            <w:vAlign w:val="center"/>
          </w:tcPr>
          <w:p w:rsidR="0072755A" w:rsidRPr="00FE3EE4" w:rsidP="0082152E" w14:paraId="18822001" w14:textId="77777777">
            <w:pPr>
              <w:jc w:val="center"/>
              <w:rPr>
                <w:rFonts w:eastAsia="Times New Roman" w:cs="Times New Roman"/>
                <w:color w:val="000000"/>
                <w:sz w:val="18"/>
                <w:szCs w:val="18"/>
              </w:rPr>
            </w:pPr>
          </w:p>
        </w:tc>
        <w:tc>
          <w:tcPr>
            <w:tcW w:w="907" w:type="dxa"/>
            <w:tcBorders>
              <w:top w:val="nil"/>
              <w:left w:val="nil"/>
              <w:bottom w:val="single" w:sz="4" w:space="0" w:color="auto"/>
              <w:right w:val="single" w:sz="4" w:space="0" w:color="auto"/>
            </w:tcBorders>
            <w:shd w:val="clear" w:color="auto" w:fill="auto"/>
            <w:vAlign w:val="center"/>
          </w:tcPr>
          <w:p w:rsidR="0072755A" w:rsidRPr="00FE3EE4" w:rsidP="0082152E" w14:paraId="531273EB" w14:textId="77777777">
            <w:pPr>
              <w:jc w:val="center"/>
              <w:rPr>
                <w:rFonts w:eastAsia="Times New Roman" w:cs="Times New Roman"/>
                <w:color w:val="000000"/>
                <w:sz w:val="18"/>
                <w:szCs w:val="18"/>
              </w:rPr>
            </w:pPr>
          </w:p>
        </w:tc>
        <w:tc>
          <w:tcPr>
            <w:tcW w:w="990" w:type="dxa"/>
            <w:tcBorders>
              <w:top w:val="nil"/>
              <w:left w:val="nil"/>
              <w:bottom w:val="single" w:sz="4" w:space="0" w:color="auto"/>
              <w:right w:val="single" w:sz="4" w:space="0" w:color="auto"/>
            </w:tcBorders>
            <w:shd w:val="clear" w:color="auto" w:fill="auto"/>
            <w:vAlign w:val="center"/>
          </w:tcPr>
          <w:p w:rsidR="0072755A" w:rsidRPr="00FE3EE4" w:rsidP="0082152E" w14:paraId="05F5E8FF" w14:textId="77777777">
            <w:pPr>
              <w:jc w:val="center"/>
              <w:rPr>
                <w:rFonts w:eastAsia="Times New Roman" w:cs="Times New Roman"/>
                <w:color w:val="000000"/>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rsidR="0072755A" w:rsidRPr="00FE3EE4" w:rsidP="0082152E" w14:paraId="45F84452" w14:textId="77777777">
            <w:pPr>
              <w:jc w:val="center"/>
              <w:rPr>
                <w:rFonts w:eastAsia="Times New Roman" w:cs="Times New Roman"/>
                <w:color w:val="000000"/>
                <w:sz w:val="18"/>
                <w:szCs w:val="18"/>
              </w:rPr>
            </w:pPr>
            <w:r>
              <w:rPr>
                <w:rFonts w:eastAsia="Times New Roman" w:cs="Times New Roman"/>
                <w:color w:val="000000"/>
                <w:sz w:val="18"/>
                <w:szCs w:val="18"/>
              </w:rPr>
              <w:t>8,783,367</w:t>
            </w:r>
          </w:p>
        </w:tc>
        <w:tc>
          <w:tcPr>
            <w:tcW w:w="1180" w:type="dxa"/>
            <w:tcBorders>
              <w:top w:val="nil"/>
              <w:left w:val="nil"/>
              <w:bottom w:val="single" w:sz="4" w:space="0" w:color="auto"/>
              <w:right w:val="single" w:sz="4" w:space="0" w:color="auto"/>
            </w:tcBorders>
            <w:shd w:val="clear" w:color="auto" w:fill="auto"/>
            <w:vAlign w:val="center"/>
            <w:hideMark/>
          </w:tcPr>
          <w:p w:rsidR="0072755A" w:rsidRPr="00FE3EE4" w:rsidP="0082152E" w14:paraId="6061D4C7" w14:textId="2600A8D4">
            <w:pPr>
              <w:jc w:val="center"/>
              <w:rPr>
                <w:rFonts w:eastAsia="Times New Roman" w:cs="Times New Roman"/>
                <w:color w:val="000000"/>
                <w:sz w:val="18"/>
                <w:szCs w:val="18"/>
              </w:rPr>
            </w:pPr>
            <w:r>
              <w:rPr>
                <w:rFonts w:eastAsia="Times New Roman" w:cs="Times New Roman"/>
                <w:color w:val="000000"/>
                <w:sz w:val="18"/>
                <w:szCs w:val="18"/>
              </w:rPr>
              <w:t>1</w:t>
            </w:r>
          </w:p>
        </w:tc>
        <w:tc>
          <w:tcPr>
            <w:tcW w:w="1260" w:type="dxa"/>
            <w:tcBorders>
              <w:top w:val="nil"/>
              <w:left w:val="nil"/>
              <w:bottom w:val="single" w:sz="4" w:space="0" w:color="auto"/>
              <w:right w:val="single" w:sz="4" w:space="0" w:color="auto"/>
            </w:tcBorders>
            <w:shd w:val="clear" w:color="auto" w:fill="auto"/>
            <w:vAlign w:val="center"/>
            <w:hideMark/>
          </w:tcPr>
          <w:p w:rsidR="0072755A" w:rsidRPr="00FE3EE4" w:rsidP="0082152E" w14:paraId="242CD214" w14:textId="445985FB">
            <w:pPr>
              <w:jc w:val="center"/>
              <w:rPr>
                <w:rFonts w:eastAsia="Times New Roman" w:cs="Times New Roman"/>
                <w:color w:val="000000"/>
                <w:sz w:val="18"/>
                <w:szCs w:val="18"/>
              </w:rPr>
            </w:pPr>
            <w:r>
              <w:rPr>
                <w:rFonts w:eastAsia="Times New Roman" w:cs="Times New Roman"/>
                <w:color w:val="000000"/>
                <w:sz w:val="18"/>
                <w:szCs w:val="18"/>
              </w:rPr>
              <w:t>-8,783,366</w:t>
            </w:r>
          </w:p>
        </w:tc>
      </w:tr>
      <w:tr w14:paraId="59D19B9E" w14:textId="77777777" w:rsidTr="00A90464">
        <w:tblPrEx>
          <w:tblW w:w="10080" w:type="dxa"/>
          <w:jc w:val="center"/>
          <w:tblLayout w:type="fixed"/>
          <w:tblLook w:val="04A0"/>
        </w:tblPrEx>
        <w:trPr>
          <w:trHeight w:val="276"/>
          <w:jc w:val="center"/>
        </w:trPr>
        <w:tc>
          <w:tcPr>
            <w:tcW w:w="2790" w:type="dxa"/>
            <w:tcBorders>
              <w:top w:val="nil"/>
              <w:left w:val="single" w:sz="8" w:space="0" w:color="auto"/>
              <w:bottom w:val="single" w:sz="8" w:space="0" w:color="auto"/>
              <w:right w:val="single" w:sz="4" w:space="0" w:color="auto"/>
            </w:tcBorders>
            <w:shd w:val="clear" w:color="auto" w:fill="auto"/>
            <w:vAlign w:val="center"/>
            <w:hideMark/>
          </w:tcPr>
          <w:p w:rsidR="0072755A" w:rsidRPr="00FE3EE4" w:rsidP="0082152E" w14:paraId="70EB5209" w14:textId="77777777">
            <w:pPr>
              <w:rPr>
                <w:rFonts w:eastAsia="Times New Roman" w:cs="Times New Roman"/>
                <w:b/>
                <w:bCs/>
                <w:color w:val="000000"/>
                <w:sz w:val="18"/>
                <w:szCs w:val="18"/>
              </w:rPr>
            </w:pPr>
            <w:r w:rsidRPr="00FE3EE4">
              <w:rPr>
                <w:rFonts w:eastAsia="Times New Roman" w:cs="Times New Roman"/>
                <w:b/>
                <w:bCs/>
                <w:color w:val="000000"/>
                <w:sz w:val="18"/>
                <w:szCs w:val="18"/>
              </w:rPr>
              <w:t>Total</w:t>
            </w:r>
          </w:p>
        </w:tc>
        <w:tc>
          <w:tcPr>
            <w:tcW w:w="1513" w:type="dxa"/>
            <w:tcBorders>
              <w:top w:val="nil"/>
              <w:left w:val="nil"/>
              <w:bottom w:val="single" w:sz="8" w:space="0" w:color="auto"/>
              <w:right w:val="single" w:sz="4" w:space="0" w:color="auto"/>
            </w:tcBorders>
            <w:shd w:val="clear" w:color="auto" w:fill="auto"/>
            <w:vAlign w:val="center"/>
          </w:tcPr>
          <w:p w:rsidR="0072755A" w:rsidRPr="00FE3EE4" w:rsidP="0082152E" w14:paraId="0EB7281F" w14:textId="77777777">
            <w:pPr>
              <w:jc w:val="center"/>
              <w:rPr>
                <w:rFonts w:eastAsia="Times New Roman" w:cs="Times New Roman"/>
                <w:b/>
                <w:bCs/>
                <w:color w:val="000000"/>
                <w:sz w:val="18"/>
                <w:szCs w:val="18"/>
              </w:rPr>
            </w:pPr>
          </w:p>
        </w:tc>
        <w:tc>
          <w:tcPr>
            <w:tcW w:w="907" w:type="dxa"/>
            <w:tcBorders>
              <w:top w:val="nil"/>
              <w:left w:val="nil"/>
              <w:bottom w:val="single" w:sz="8" w:space="0" w:color="auto"/>
              <w:right w:val="single" w:sz="4" w:space="0" w:color="auto"/>
            </w:tcBorders>
            <w:shd w:val="clear" w:color="auto" w:fill="auto"/>
            <w:vAlign w:val="center"/>
          </w:tcPr>
          <w:p w:rsidR="0072755A" w:rsidRPr="00FE3EE4" w:rsidP="0082152E" w14:paraId="238AE2B0" w14:textId="77777777">
            <w:pPr>
              <w:jc w:val="center"/>
              <w:rPr>
                <w:rFonts w:eastAsia="Times New Roman" w:cs="Times New Roman"/>
                <w:b/>
                <w:bCs/>
                <w:color w:val="000000"/>
                <w:sz w:val="18"/>
                <w:szCs w:val="18"/>
              </w:rPr>
            </w:pPr>
          </w:p>
        </w:tc>
        <w:tc>
          <w:tcPr>
            <w:tcW w:w="990" w:type="dxa"/>
            <w:tcBorders>
              <w:top w:val="nil"/>
              <w:left w:val="nil"/>
              <w:bottom w:val="single" w:sz="8" w:space="0" w:color="auto"/>
              <w:right w:val="single" w:sz="4" w:space="0" w:color="auto"/>
            </w:tcBorders>
            <w:shd w:val="clear" w:color="auto" w:fill="auto"/>
            <w:vAlign w:val="center"/>
          </w:tcPr>
          <w:p w:rsidR="0072755A" w:rsidRPr="00FE3EE4" w:rsidP="0082152E" w14:paraId="222740F9" w14:textId="77777777">
            <w:pPr>
              <w:jc w:val="center"/>
              <w:rPr>
                <w:rFonts w:eastAsia="Times New Roman" w:cs="Times New Roman"/>
                <w:b/>
                <w:bCs/>
                <w:color w:val="000000"/>
                <w:sz w:val="18"/>
                <w:szCs w:val="18"/>
              </w:rPr>
            </w:pPr>
          </w:p>
        </w:tc>
        <w:tc>
          <w:tcPr>
            <w:tcW w:w="1440" w:type="dxa"/>
            <w:tcBorders>
              <w:top w:val="nil"/>
              <w:left w:val="nil"/>
              <w:bottom w:val="single" w:sz="8" w:space="0" w:color="auto"/>
              <w:right w:val="single" w:sz="4" w:space="0" w:color="auto"/>
            </w:tcBorders>
            <w:shd w:val="clear" w:color="auto" w:fill="auto"/>
            <w:vAlign w:val="center"/>
            <w:hideMark/>
          </w:tcPr>
          <w:p w:rsidR="0072755A" w:rsidRPr="00FE3EE4" w:rsidP="0082152E" w14:paraId="56F44B6D" w14:textId="77777777">
            <w:pPr>
              <w:jc w:val="center"/>
              <w:rPr>
                <w:rFonts w:eastAsia="Times New Roman" w:cs="Times New Roman"/>
                <w:b/>
                <w:bCs/>
                <w:color w:val="000000"/>
                <w:sz w:val="18"/>
                <w:szCs w:val="18"/>
              </w:rPr>
            </w:pPr>
            <w:r>
              <w:rPr>
                <w:rFonts w:eastAsia="Times New Roman" w:cs="Times New Roman"/>
                <w:b/>
                <w:bCs/>
                <w:color w:val="000000"/>
                <w:sz w:val="18"/>
                <w:szCs w:val="18"/>
              </w:rPr>
              <w:t>8,783,367</w:t>
            </w:r>
          </w:p>
        </w:tc>
        <w:tc>
          <w:tcPr>
            <w:tcW w:w="1180" w:type="dxa"/>
            <w:tcBorders>
              <w:top w:val="nil"/>
              <w:left w:val="nil"/>
              <w:bottom w:val="single" w:sz="8" w:space="0" w:color="auto"/>
              <w:right w:val="single" w:sz="4" w:space="0" w:color="auto"/>
            </w:tcBorders>
            <w:shd w:val="clear" w:color="auto" w:fill="auto"/>
            <w:vAlign w:val="center"/>
            <w:hideMark/>
          </w:tcPr>
          <w:p w:rsidR="0072755A" w:rsidRPr="0072755A" w:rsidP="0082152E" w14:paraId="74FE6C90" w14:textId="761A24C3">
            <w:pPr>
              <w:jc w:val="center"/>
              <w:rPr>
                <w:rFonts w:eastAsia="Times New Roman" w:cs="Times New Roman"/>
                <w:b/>
                <w:bCs/>
                <w:color w:val="000000"/>
                <w:sz w:val="18"/>
                <w:szCs w:val="18"/>
              </w:rPr>
            </w:pPr>
            <w:r>
              <w:rPr>
                <w:rFonts w:eastAsia="Times New Roman" w:cs="Times New Roman"/>
                <w:b/>
                <w:bCs/>
                <w:color w:val="000000"/>
                <w:sz w:val="18"/>
                <w:szCs w:val="18"/>
              </w:rPr>
              <w:t>1</w:t>
            </w:r>
          </w:p>
        </w:tc>
        <w:tc>
          <w:tcPr>
            <w:tcW w:w="1260" w:type="dxa"/>
            <w:tcBorders>
              <w:top w:val="nil"/>
              <w:left w:val="nil"/>
              <w:bottom w:val="single" w:sz="8" w:space="0" w:color="auto"/>
              <w:right w:val="single" w:sz="4" w:space="0" w:color="auto"/>
            </w:tcBorders>
            <w:shd w:val="clear" w:color="auto" w:fill="auto"/>
            <w:vAlign w:val="center"/>
            <w:hideMark/>
          </w:tcPr>
          <w:p w:rsidR="0072755A" w:rsidRPr="00FE3EE4" w:rsidP="0082152E" w14:paraId="5F97B397" w14:textId="04D9ED73">
            <w:pPr>
              <w:jc w:val="center"/>
              <w:rPr>
                <w:rFonts w:eastAsia="Times New Roman" w:cs="Times New Roman"/>
                <w:b/>
                <w:bCs/>
                <w:color w:val="000000"/>
                <w:sz w:val="18"/>
                <w:szCs w:val="18"/>
              </w:rPr>
            </w:pPr>
            <w:r>
              <w:rPr>
                <w:rFonts w:eastAsia="Times New Roman" w:cs="Times New Roman"/>
                <w:b/>
                <w:bCs/>
                <w:color w:val="000000"/>
                <w:sz w:val="18"/>
                <w:szCs w:val="18"/>
              </w:rPr>
              <w:t>-8,783,366</w:t>
            </w:r>
          </w:p>
        </w:tc>
      </w:tr>
    </w:tbl>
    <w:p w:rsidR="002D3CCF" w:rsidP="00373428" w14:paraId="594BEE97" w14:textId="77777777">
      <w:pPr>
        <w:pStyle w:val="ListParagraph"/>
        <w:spacing w:line="276" w:lineRule="auto"/>
        <w:ind w:left="0"/>
      </w:pPr>
    </w:p>
    <w:p w:rsidR="002D3CCF" w:rsidRPr="001D3D89" w:rsidP="00055F6D" w14:paraId="510CE9CD" w14:textId="1422466B">
      <w:pPr>
        <w:pStyle w:val="ListParagraph"/>
        <w:spacing w:line="276" w:lineRule="auto"/>
      </w:pPr>
      <w:r w:rsidRPr="001D3D89">
        <w:rPr>
          <w:b/>
          <w:bCs/>
          <w:i/>
          <w:iCs/>
        </w:rPr>
        <w:t>Explain:</w:t>
      </w:r>
      <w:r w:rsidRPr="001D3D89">
        <w:t xml:space="preserve">  </w:t>
      </w:r>
      <w:r w:rsidR="0072755A">
        <w:t xml:space="preserve">The </w:t>
      </w:r>
      <w:r w:rsidR="002373CB">
        <w:t xml:space="preserve">decrease in burden hours is due to the conversion of this information collection to a common forms collection to reflect </w:t>
      </w:r>
      <w:r w:rsidR="00067701">
        <w:t xml:space="preserve">that </w:t>
      </w:r>
      <w:r w:rsidR="002373CB">
        <w:t xml:space="preserve">FEMA provides this instrument for other Federal Agencies to </w:t>
      </w:r>
      <w:r w:rsidR="00982C8E">
        <w:t>use but</w:t>
      </w:r>
      <w:r w:rsidR="002373CB">
        <w:t xml:space="preserve"> does not collect any information itself.  The one burden hour is the minimum that ROCIS will accept. </w:t>
      </w:r>
      <w:r w:rsidR="00C81E19">
        <w:rPr>
          <w:rFonts w:cs="Times New Roman"/>
        </w:rPr>
        <w:t xml:space="preserve"> No changes have been made to the information that is being collected.</w:t>
      </w:r>
    </w:p>
    <w:p w:rsidR="002D3CCF" w:rsidP="00151CD5" w14:paraId="77723A3B" w14:textId="77777777">
      <w:pPr>
        <w:spacing w:line="276" w:lineRule="auto"/>
        <w:contextualSpacing/>
      </w:pPr>
    </w:p>
    <w:tbl>
      <w:tblPr>
        <w:tblW w:w="10070" w:type="dxa"/>
        <w:jc w:val="center"/>
        <w:tblLayout w:type="fixed"/>
        <w:tblLook w:val="04A0"/>
      </w:tblPr>
      <w:tblGrid>
        <w:gridCol w:w="2780"/>
        <w:gridCol w:w="1530"/>
        <w:gridCol w:w="900"/>
        <w:gridCol w:w="990"/>
        <w:gridCol w:w="1350"/>
        <w:gridCol w:w="1170"/>
        <w:gridCol w:w="1350"/>
      </w:tblGrid>
      <w:tr w14:paraId="12C22C80" w14:textId="77777777" w:rsidTr="00A90464">
        <w:tblPrEx>
          <w:tblW w:w="10070" w:type="dxa"/>
          <w:jc w:val="center"/>
          <w:tblLayout w:type="fixed"/>
          <w:tblLook w:val="04A0"/>
        </w:tblPrEx>
        <w:trPr>
          <w:trHeight w:val="288"/>
          <w:jc w:val="center"/>
        </w:trPr>
        <w:tc>
          <w:tcPr>
            <w:tcW w:w="10070" w:type="dxa"/>
            <w:gridSpan w:val="7"/>
            <w:tcBorders>
              <w:top w:val="single" w:sz="8" w:space="0" w:color="auto"/>
              <w:left w:val="single" w:sz="8" w:space="0" w:color="auto"/>
              <w:bottom w:val="single" w:sz="4" w:space="0" w:color="auto"/>
              <w:right w:val="single" w:sz="8" w:space="0" w:color="000000"/>
            </w:tcBorders>
            <w:shd w:val="clear" w:color="000000" w:fill="95B3D7"/>
            <w:vAlign w:val="bottom"/>
            <w:hideMark/>
          </w:tcPr>
          <w:p w:rsidR="0072755A" w:rsidRPr="00C56AA0" w:rsidP="0082152E" w14:paraId="7430E4B0" w14:textId="77777777">
            <w:pPr>
              <w:jc w:val="center"/>
              <w:rPr>
                <w:rFonts w:eastAsia="Times New Roman" w:cs="Times New Roman"/>
                <w:b/>
                <w:bCs/>
                <w:color w:val="000000"/>
                <w:sz w:val="20"/>
                <w:szCs w:val="20"/>
              </w:rPr>
            </w:pPr>
            <w:r w:rsidRPr="00C56AA0">
              <w:rPr>
                <w:rFonts w:eastAsia="Times New Roman" w:cs="Times New Roman"/>
                <w:b/>
                <w:bCs/>
                <w:color w:val="000000"/>
                <w:sz w:val="20"/>
                <w:szCs w:val="20"/>
              </w:rPr>
              <w:t>Itemized Changes in Annual Cost Burden</w:t>
            </w:r>
          </w:p>
        </w:tc>
      </w:tr>
      <w:tr w14:paraId="28BC0C9C" w14:textId="77777777" w:rsidTr="00C31F48">
        <w:tblPrEx>
          <w:tblW w:w="10070" w:type="dxa"/>
          <w:jc w:val="center"/>
          <w:tblLayout w:type="fixed"/>
          <w:tblLook w:val="04A0"/>
        </w:tblPrEx>
        <w:trPr>
          <w:trHeight w:val="827"/>
          <w:jc w:val="center"/>
        </w:trPr>
        <w:tc>
          <w:tcPr>
            <w:tcW w:w="2780" w:type="dxa"/>
            <w:tcBorders>
              <w:top w:val="nil"/>
              <w:left w:val="single" w:sz="8" w:space="0" w:color="auto"/>
              <w:bottom w:val="single" w:sz="4" w:space="0" w:color="auto"/>
              <w:right w:val="single" w:sz="4" w:space="0" w:color="auto"/>
            </w:tcBorders>
            <w:shd w:val="clear" w:color="000000" w:fill="95B3D7"/>
            <w:vAlign w:val="bottom"/>
            <w:hideMark/>
          </w:tcPr>
          <w:p w:rsidR="0072755A" w:rsidRPr="00FE3EE4" w:rsidP="0082152E" w14:paraId="3E31E804" w14:textId="77777777">
            <w:pPr>
              <w:jc w:val="center"/>
              <w:rPr>
                <w:rFonts w:eastAsia="Times New Roman" w:cs="Times New Roman"/>
                <w:color w:val="000000"/>
                <w:sz w:val="18"/>
                <w:szCs w:val="18"/>
              </w:rPr>
            </w:pPr>
            <w:r w:rsidRPr="00FE3EE4">
              <w:rPr>
                <w:rFonts w:cs="Times New Roman"/>
                <w:color w:val="000000"/>
                <w:sz w:val="18"/>
                <w:szCs w:val="18"/>
              </w:rPr>
              <w:t>Data Collection Activity/Instrument</w:t>
            </w:r>
          </w:p>
        </w:tc>
        <w:tc>
          <w:tcPr>
            <w:tcW w:w="1530" w:type="dxa"/>
            <w:tcBorders>
              <w:top w:val="nil"/>
              <w:left w:val="nil"/>
              <w:bottom w:val="single" w:sz="4" w:space="0" w:color="auto"/>
              <w:right w:val="single" w:sz="4" w:space="0" w:color="auto"/>
            </w:tcBorders>
            <w:shd w:val="clear" w:color="000000" w:fill="95B3D7"/>
            <w:vAlign w:val="bottom"/>
            <w:hideMark/>
          </w:tcPr>
          <w:p w:rsidR="0072755A" w:rsidRPr="00FE3EE4" w:rsidP="0082152E" w14:paraId="1B9EC02A" w14:textId="77777777">
            <w:pPr>
              <w:jc w:val="center"/>
              <w:rPr>
                <w:rFonts w:eastAsia="Times New Roman" w:cs="Times New Roman"/>
                <w:color w:val="000000"/>
                <w:sz w:val="18"/>
                <w:szCs w:val="18"/>
              </w:rPr>
            </w:pPr>
            <w:r w:rsidRPr="00FE3EE4">
              <w:rPr>
                <w:rFonts w:cs="Times New Roman"/>
                <w:color w:val="000000"/>
                <w:sz w:val="18"/>
                <w:szCs w:val="18"/>
              </w:rPr>
              <w:t>Program Change (cost currently on OMB Inventory)</w:t>
            </w:r>
          </w:p>
        </w:tc>
        <w:tc>
          <w:tcPr>
            <w:tcW w:w="900" w:type="dxa"/>
            <w:tcBorders>
              <w:top w:val="nil"/>
              <w:left w:val="nil"/>
              <w:bottom w:val="single" w:sz="4" w:space="0" w:color="auto"/>
              <w:right w:val="single" w:sz="4" w:space="0" w:color="auto"/>
            </w:tcBorders>
            <w:shd w:val="clear" w:color="000000" w:fill="95B3D7"/>
            <w:vAlign w:val="bottom"/>
            <w:hideMark/>
          </w:tcPr>
          <w:p w:rsidR="0072755A" w:rsidRPr="00FE3EE4" w:rsidP="0082152E" w14:paraId="343ED583" w14:textId="77777777">
            <w:pPr>
              <w:jc w:val="center"/>
              <w:rPr>
                <w:rFonts w:eastAsia="Times New Roman" w:cs="Times New Roman"/>
                <w:color w:val="000000"/>
                <w:sz w:val="18"/>
                <w:szCs w:val="18"/>
              </w:rPr>
            </w:pPr>
            <w:r w:rsidRPr="00FE3EE4">
              <w:rPr>
                <w:rFonts w:cs="Times New Roman"/>
                <w:color w:val="000000"/>
                <w:sz w:val="18"/>
                <w:szCs w:val="18"/>
              </w:rPr>
              <w:t>Program Change (New)</w:t>
            </w:r>
          </w:p>
        </w:tc>
        <w:tc>
          <w:tcPr>
            <w:tcW w:w="990" w:type="dxa"/>
            <w:tcBorders>
              <w:top w:val="nil"/>
              <w:left w:val="nil"/>
              <w:bottom w:val="single" w:sz="4" w:space="0" w:color="auto"/>
              <w:right w:val="single" w:sz="4" w:space="0" w:color="auto"/>
            </w:tcBorders>
            <w:shd w:val="clear" w:color="000000" w:fill="95B3D7"/>
            <w:vAlign w:val="bottom"/>
            <w:hideMark/>
          </w:tcPr>
          <w:p w:rsidR="0072755A" w:rsidRPr="00FE3EE4" w:rsidP="0082152E" w14:paraId="6991DCA7" w14:textId="77777777">
            <w:pPr>
              <w:jc w:val="center"/>
              <w:rPr>
                <w:rFonts w:eastAsia="Times New Roman" w:cs="Times New Roman"/>
                <w:color w:val="000000"/>
                <w:sz w:val="18"/>
                <w:szCs w:val="18"/>
              </w:rPr>
            </w:pPr>
            <w:r w:rsidRPr="00FE3EE4">
              <w:rPr>
                <w:rFonts w:cs="Times New Roman"/>
                <w:color w:val="000000"/>
                <w:sz w:val="18"/>
                <w:szCs w:val="18"/>
              </w:rPr>
              <w:t>Difference</w:t>
            </w:r>
          </w:p>
        </w:tc>
        <w:tc>
          <w:tcPr>
            <w:tcW w:w="1350" w:type="dxa"/>
            <w:tcBorders>
              <w:top w:val="nil"/>
              <w:left w:val="nil"/>
              <w:bottom w:val="single" w:sz="4" w:space="0" w:color="auto"/>
              <w:right w:val="single" w:sz="4" w:space="0" w:color="auto"/>
            </w:tcBorders>
            <w:shd w:val="clear" w:color="000000" w:fill="95B3D7"/>
            <w:vAlign w:val="bottom"/>
            <w:hideMark/>
          </w:tcPr>
          <w:p w:rsidR="0072755A" w:rsidRPr="00FE3EE4" w:rsidP="0082152E" w14:paraId="1BCAD93F" w14:textId="77777777">
            <w:pPr>
              <w:jc w:val="center"/>
              <w:rPr>
                <w:rFonts w:eastAsia="Times New Roman" w:cs="Times New Roman"/>
                <w:color w:val="000000"/>
                <w:sz w:val="18"/>
                <w:szCs w:val="18"/>
              </w:rPr>
            </w:pPr>
            <w:r w:rsidRPr="00FE3EE4">
              <w:rPr>
                <w:rFonts w:cs="Times New Roman"/>
                <w:color w:val="000000"/>
                <w:sz w:val="18"/>
                <w:szCs w:val="18"/>
              </w:rPr>
              <w:t>Adjustment (cost currently on OMB Inventory)</w:t>
            </w:r>
          </w:p>
        </w:tc>
        <w:tc>
          <w:tcPr>
            <w:tcW w:w="1170" w:type="dxa"/>
            <w:tcBorders>
              <w:top w:val="nil"/>
              <w:left w:val="nil"/>
              <w:bottom w:val="single" w:sz="4" w:space="0" w:color="auto"/>
              <w:right w:val="single" w:sz="4" w:space="0" w:color="auto"/>
            </w:tcBorders>
            <w:shd w:val="clear" w:color="000000" w:fill="95B3D7"/>
            <w:vAlign w:val="center"/>
            <w:hideMark/>
          </w:tcPr>
          <w:p w:rsidR="0072755A" w:rsidRPr="00FE3EE4" w:rsidP="0082152E" w14:paraId="4FFD12EA" w14:textId="77777777">
            <w:pPr>
              <w:jc w:val="center"/>
              <w:rPr>
                <w:rFonts w:eastAsia="Times New Roman" w:cs="Times New Roman"/>
                <w:color w:val="000000"/>
                <w:sz w:val="18"/>
                <w:szCs w:val="18"/>
              </w:rPr>
            </w:pPr>
            <w:r w:rsidRPr="00FE3EE4">
              <w:rPr>
                <w:rFonts w:cs="Times New Roman"/>
                <w:color w:val="000000"/>
                <w:sz w:val="18"/>
                <w:szCs w:val="18"/>
              </w:rPr>
              <w:t>Adjustment (New)</w:t>
            </w:r>
          </w:p>
        </w:tc>
        <w:tc>
          <w:tcPr>
            <w:tcW w:w="1350" w:type="dxa"/>
            <w:tcBorders>
              <w:top w:val="nil"/>
              <w:left w:val="nil"/>
              <w:bottom w:val="single" w:sz="4" w:space="0" w:color="auto"/>
              <w:right w:val="single" w:sz="8" w:space="0" w:color="auto"/>
            </w:tcBorders>
            <w:shd w:val="clear" w:color="000000" w:fill="95B3D7"/>
            <w:vAlign w:val="bottom"/>
            <w:hideMark/>
          </w:tcPr>
          <w:p w:rsidR="0072755A" w:rsidRPr="00FE3EE4" w:rsidP="0082152E" w14:paraId="3ACB6A5C" w14:textId="77777777">
            <w:pPr>
              <w:jc w:val="center"/>
              <w:rPr>
                <w:rFonts w:eastAsia="Times New Roman" w:cs="Times New Roman"/>
                <w:color w:val="000000"/>
                <w:sz w:val="18"/>
                <w:szCs w:val="18"/>
              </w:rPr>
            </w:pPr>
            <w:r w:rsidRPr="00FE3EE4">
              <w:rPr>
                <w:rFonts w:cs="Times New Roman"/>
                <w:color w:val="000000"/>
                <w:sz w:val="18"/>
                <w:szCs w:val="18"/>
              </w:rPr>
              <w:t>Difference</w:t>
            </w:r>
          </w:p>
        </w:tc>
      </w:tr>
      <w:tr w14:paraId="0DB66814" w14:textId="77777777" w:rsidTr="00C31F48">
        <w:tblPrEx>
          <w:tblW w:w="10070" w:type="dxa"/>
          <w:jc w:val="center"/>
          <w:tblLayout w:type="fixed"/>
          <w:tblLook w:val="04A0"/>
        </w:tblPrEx>
        <w:trPr>
          <w:trHeight w:val="908"/>
          <w:jc w:val="center"/>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72755A" w:rsidRPr="00FE3EE4" w:rsidP="0082152E" w14:paraId="513C978F" w14:textId="2AB2A690">
            <w:pPr>
              <w:jc w:val="center"/>
              <w:rPr>
                <w:rFonts w:eastAsia="Times New Roman" w:cs="Times New Roman"/>
                <w:color w:val="000000"/>
                <w:sz w:val="18"/>
                <w:szCs w:val="18"/>
              </w:rPr>
            </w:pPr>
            <w:r>
              <w:rPr>
                <w:rFonts w:eastAsia="Times New Roman" w:cs="Times New Roman"/>
                <w:color w:val="000000"/>
                <w:sz w:val="18"/>
                <w:szCs w:val="18"/>
              </w:rPr>
              <w:t>Standard Flood Hazard Determination Form (SFHDF)</w:t>
            </w:r>
            <w:r w:rsidRPr="00490ECB">
              <w:rPr>
                <w:rFonts w:eastAsia="Times New Roman" w:cs="Times New Roman"/>
                <w:color w:val="000000"/>
                <w:sz w:val="18"/>
                <w:szCs w:val="18"/>
              </w:rPr>
              <w:t xml:space="preserve"> </w:t>
            </w:r>
            <w:r>
              <w:rPr>
                <w:rFonts w:eastAsia="Times New Roman" w:cs="Times New Roman"/>
                <w:color w:val="000000"/>
                <w:sz w:val="18"/>
                <w:szCs w:val="18"/>
              </w:rPr>
              <w:t xml:space="preserve">/ </w:t>
            </w:r>
            <w:r w:rsidRPr="0082152E">
              <w:rPr>
                <w:rFonts w:eastAsia="Times New Roman" w:cs="Times New Roman"/>
                <w:color w:val="000000"/>
                <w:sz w:val="18"/>
                <w:szCs w:val="18"/>
              </w:rPr>
              <w:t>FF-</w:t>
            </w:r>
            <w:r w:rsidR="004A021B">
              <w:rPr>
                <w:rFonts w:eastAsia="Times New Roman" w:cs="Times New Roman"/>
                <w:color w:val="000000"/>
                <w:sz w:val="18"/>
                <w:szCs w:val="18"/>
              </w:rPr>
              <w:t>206</w:t>
            </w:r>
            <w:r w:rsidRPr="0082152E">
              <w:rPr>
                <w:rFonts w:eastAsia="Times New Roman" w:cs="Times New Roman"/>
                <w:color w:val="000000"/>
                <w:sz w:val="18"/>
                <w:szCs w:val="18"/>
              </w:rPr>
              <w:t>-FY-2</w:t>
            </w:r>
            <w:r w:rsidR="004A021B">
              <w:rPr>
                <w:rFonts w:eastAsia="Times New Roman" w:cs="Times New Roman"/>
                <w:color w:val="000000"/>
                <w:sz w:val="18"/>
                <w:szCs w:val="18"/>
              </w:rPr>
              <w:t>1</w:t>
            </w:r>
            <w:r w:rsidRPr="0082152E">
              <w:rPr>
                <w:rFonts w:eastAsia="Times New Roman" w:cs="Times New Roman"/>
                <w:color w:val="000000"/>
                <w:sz w:val="18"/>
                <w:szCs w:val="18"/>
              </w:rPr>
              <w:t>-1</w:t>
            </w:r>
            <w:r w:rsidR="004A021B">
              <w:rPr>
                <w:rFonts w:eastAsia="Times New Roman" w:cs="Times New Roman"/>
                <w:color w:val="000000"/>
                <w:sz w:val="18"/>
                <w:szCs w:val="18"/>
              </w:rPr>
              <w:t>16</w:t>
            </w:r>
            <w:r w:rsidRPr="0082152E">
              <w:rPr>
                <w:rFonts w:eastAsia="Times New Roman" w:cs="Times New Roman"/>
                <w:color w:val="000000"/>
                <w:sz w:val="18"/>
                <w:szCs w:val="18"/>
              </w:rPr>
              <w:t xml:space="preserve"> </w:t>
            </w:r>
            <w:r w:rsidRPr="00490ECB">
              <w:rPr>
                <w:rFonts w:eastAsia="Times New Roman" w:cs="Times New Roman"/>
                <w:color w:val="000000"/>
                <w:sz w:val="18"/>
                <w:szCs w:val="18"/>
              </w:rPr>
              <w:t>(formerly 086-0-03</w:t>
            </w:r>
            <w:r w:rsidR="004A021B">
              <w:rPr>
                <w:rFonts w:eastAsia="Times New Roman" w:cs="Times New Roman"/>
                <w:color w:val="000000"/>
                <w:sz w:val="18"/>
                <w:szCs w:val="18"/>
              </w:rPr>
              <w:t>2</w:t>
            </w:r>
            <w:r w:rsidRPr="00490ECB">
              <w:rPr>
                <w:rFonts w:eastAsia="Times New Roman" w:cs="Times New Roman"/>
                <w:color w:val="000000"/>
                <w:sz w:val="18"/>
                <w:szCs w:val="18"/>
              </w:rPr>
              <w:t>)</w:t>
            </w:r>
          </w:p>
        </w:tc>
        <w:tc>
          <w:tcPr>
            <w:tcW w:w="1530" w:type="dxa"/>
            <w:tcBorders>
              <w:top w:val="nil"/>
              <w:left w:val="single" w:sz="4" w:space="0" w:color="auto"/>
              <w:bottom w:val="single" w:sz="4" w:space="0" w:color="auto"/>
              <w:right w:val="single" w:sz="4" w:space="0" w:color="auto"/>
            </w:tcBorders>
            <w:shd w:val="clear" w:color="auto" w:fill="auto"/>
            <w:vAlign w:val="center"/>
          </w:tcPr>
          <w:p w:rsidR="0072755A" w:rsidRPr="00FE3EE4" w:rsidP="0082152E" w14:paraId="1C8F2F74" w14:textId="77777777">
            <w:pPr>
              <w:jc w:val="center"/>
              <w:rPr>
                <w:rFonts w:eastAsia="Times New Roman" w:cs="Times New Roman"/>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tcPr>
          <w:p w:rsidR="0072755A" w:rsidRPr="00FE3EE4" w:rsidP="0082152E" w14:paraId="3C1C3B33" w14:textId="77777777">
            <w:pPr>
              <w:jc w:val="center"/>
              <w:rPr>
                <w:rFonts w:eastAsia="Times New Roman" w:cs="Times New Roman"/>
                <w:color w:val="000000"/>
                <w:sz w:val="18"/>
                <w:szCs w:val="18"/>
              </w:rPr>
            </w:pPr>
          </w:p>
        </w:tc>
        <w:tc>
          <w:tcPr>
            <w:tcW w:w="990" w:type="dxa"/>
            <w:tcBorders>
              <w:top w:val="nil"/>
              <w:left w:val="nil"/>
              <w:bottom w:val="single" w:sz="4" w:space="0" w:color="auto"/>
              <w:right w:val="single" w:sz="8" w:space="0" w:color="auto"/>
            </w:tcBorders>
            <w:shd w:val="clear" w:color="auto" w:fill="auto"/>
            <w:vAlign w:val="center"/>
          </w:tcPr>
          <w:p w:rsidR="0072755A" w:rsidRPr="00FE3EE4" w:rsidP="0082152E" w14:paraId="2217E700" w14:textId="77777777">
            <w:pPr>
              <w:jc w:val="center"/>
              <w:rPr>
                <w:rFonts w:eastAsia="Times New Roman" w:cs="Times New Roman"/>
                <w:color w:val="000000"/>
                <w:sz w:val="18"/>
                <w:szCs w:val="18"/>
              </w:rPr>
            </w:pPr>
          </w:p>
        </w:tc>
        <w:tc>
          <w:tcPr>
            <w:tcW w:w="1350" w:type="dxa"/>
            <w:tcBorders>
              <w:top w:val="nil"/>
              <w:left w:val="single" w:sz="4" w:space="0" w:color="auto"/>
              <w:bottom w:val="single" w:sz="4" w:space="0" w:color="auto"/>
              <w:right w:val="single" w:sz="4" w:space="0" w:color="auto"/>
            </w:tcBorders>
            <w:shd w:val="clear" w:color="auto" w:fill="auto"/>
            <w:vAlign w:val="center"/>
            <w:hideMark/>
          </w:tcPr>
          <w:p w:rsidR="0072755A" w:rsidRPr="00FE3EE4" w:rsidP="0082152E" w14:paraId="0A05ABD1" w14:textId="77777777">
            <w:pPr>
              <w:jc w:val="center"/>
              <w:rPr>
                <w:rFonts w:eastAsia="Times New Roman" w:cs="Times New Roman"/>
                <w:color w:val="000000"/>
                <w:sz w:val="18"/>
                <w:szCs w:val="18"/>
              </w:rPr>
            </w:pPr>
            <w:r>
              <w:rPr>
                <w:color w:val="000000"/>
                <w:sz w:val="18"/>
                <w:szCs w:val="18"/>
              </w:rPr>
              <w:t>$214,138,487</w:t>
            </w:r>
          </w:p>
        </w:tc>
        <w:tc>
          <w:tcPr>
            <w:tcW w:w="1170" w:type="dxa"/>
            <w:tcBorders>
              <w:top w:val="nil"/>
              <w:left w:val="nil"/>
              <w:bottom w:val="single" w:sz="4" w:space="0" w:color="auto"/>
              <w:right w:val="single" w:sz="4" w:space="0" w:color="auto"/>
            </w:tcBorders>
            <w:shd w:val="clear" w:color="auto" w:fill="auto"/>
            <w:vAlign w:val="center"/>
            <w:hideMark/>
          </w:tcPr>
          <w:p w:rsidR="0072755A" w:rsidRPr="00FE3EE4" w:rsidP="0082152E" w14:paraId="169D28FA" w14:textId="7EC6BDC6">
            <w:pPr>
              <w:jc w:val="center"/>
              <w:rPr>
                <w:rFonts w:eastAsia="Times New Roman" w:cs="Times New Roman"/>
                <w:color w:val="000000"/>
                <w:sz w:val="18"/>
                <w:szCs w:val="18"/>
              </w:rPr>
            </w:pPr>
            <w:r w:rsidRPr="00490ECB">
              <w:rPr>
                <w:rFonts w:eastAsia="Times New Roman" w:cs="Times New Roman"/>
                <w:color w:val="000000"/>
                <w:sz w:val="18"/>
                <w:szCs w:val="18"/>
              </w:rPr>
              <w:t>$</w:t>
            </w:r>
            <w:r w:rsidR="002373CB">
              <w:rPr>
                <w:rFonts w:eastAsia="Times New Roman" w:cs="Times New Roman"/>
                <w:color w:val="000000"/>
                <w:sz w:val="18"/>
                <w:szCs w:val="18"/>
              </w:rPr>
              <w:t>29</w:t>
            </w:r>
          </w:p>
        </w:tc>
        <w:tc>
          <w:tcPr>
            <w:tcW w:w="1350" w:type="dxa"/>
            <w:tcBorders>
              <w:top w:val="nil"/>
              <w:left w:val="nil"/>
              <w:bottom w:val="single" w:sz="4" w:space="0" w:color="auto"/>
              <w:right w:val="single" w:sz="8" w:space="0" w:color="auto"/>
            </w:tcBorders>
            <w:shd w:val="clear" w:color="auto" w:fill="auto"/>
            <w:vAlign w:val="center"/>
            <w:hideMark/>
          </w:tcPr>
          <w:p w:rsidR="0072755A" w:rsidRPr="00FE3EE4" w:rsidP="0082152E" w14:paraId="2639AD34" w14:textId="7974203B">
            <w:pPr>
              <w:jc w:val="center"/>
              <w:rPr>
                <w:rFonts w:eastAsia="Times New Roman" w:cs="Times New Roman"/>
                <w:color w:val="000000"/>
                <w:sz w:val="18"/>
                <w:szCs w:val="18"/>
              </w:rPr>
            </w:pPr>
            <w:r>
              <w:rPr>
                <w:rFonts w:cs="Times New Roman"/>
                <w:color w:val="000000"/>
                <w:sz w:val="18"/>
                <w:szCs w:val="18"/>
              </w:rPr>
              <w:t>-$214,138,458</w:t>
            </w:r>
          </w:p>
        </w:tc>
      </w:tr>
      <w:tr w14:paraId="62093375" w14:textId="77777777" w:rsidTr="00C31F48">
        <w:tblPrEx>
          <w:tblW w:w="10070" w:type="dxa"/>
          <w:jc w:val="center"/>
          <w:tblLayout w:type="fixed"/>
          <w:tblLook w:val="04A0"/>
        </w:tblPrEx>
        <w:trPr>
          <w:trHeight w:val="276"/>
          <w:jc w:val="center"/>
        </w:trPr>
        <w:tc>
          <w:tcPr>
            <w:tcW w:w="2780" w:type="dxa"/>
            <w:tcBorders>
              <w:top w:val="nil"/>
              <w:left w:val="single" w:sz="8" w:space="0" w:color="auto"/>
              <w:bottom w:val="single" w:sz="8" w:space="0" w:color="auto"/>
              <w:right w:val="single" w:sz="4" w:space="0" w:color="auto"/>
            </w:tcBorders>
            <w:shd w:val="clear" w:color="auto" w:fill="auto"/>
            <w:vAlign w:val="center"/>
            <w:hideMark/>
          </w:tcPr>
          <w:p w:rsidR="0072755A" w:rsidRPr="00FE3EE4" w:rsidP="0082152E" w14:paraId="29C385FB" w14:textId="77777777">
            <w:pPr>
              <w:rPr>
                <w:rFonts w:eastAsia="Times New Roman" w:cs="Times New Roman"/>
                <w:b/>
                <w:bCs/>
                <w:color w:val="000000"/>
                <w:sz w:val="18"/>
                <w:szCs w:val="18"/>
              </w:rPr>
            </w:pPr>
            <w:r w:rsidRPr="00FE3EE4">
              <w:rPr>
                <w:rFonts w:cs="Times New Roman"/>
                <w:b/>
                <w:bCs/>
                <w:color w:val="000000"/>
                <w:sz w:val="18"/>
                <w:szCs w:val="18"/>
              </w:rPr>
              <w:t>Total</w:t>
            </w:r>
          </w:p>
        </w:tc>
        <w:tc>
          <w:tcPr>
            <w:tcW w:w="1530" w:type="dxa"/>
            <w:tcBorders>
              <w:top w:val="nil"/>
              <w:left w:val="nil"/>
              <w:bottom w:val="single" w:sz="8" w:space="0" w:color="auto"/>
              <w:right w:val="single" w:sz="4" w:space="0" w:color="auto"/>
            </w:tcBorders>
            <w:shd w:val="clear" w:color="auto" w:fill="auto"/>
            <w:vAlign w:val="center"/>
          </w:tcPr>
          <w:p w:rsidR="0072755A" w:rsidRPr="00FE3EE4" w:rsidP="0082152E" w14:paraId="4CF7C94C" w14:textId="77777777">
            <w:pPr>
              <w:jc w:val="center"/>
              <w:rPr>
                <w:rFonts w:eastAsia="Times New Roman" w:cs="Times New Roman"/>
                <w:b/>
                <w:bCs/>
                <w:color w:val="000000"/>
                <w:sz w:val="18"/>
                <w:szCs w:val="18"/>
              </w:rPr>
            </w:pPr>
          </w:p>
        </w:tc>
        <w:tc>
          <w:tcPr>
            <w:tcW w:w="900" w:type="dxa"/>
            <w:tcBorders>
              <w:top w:val="nil"/>
              <w:left w:val="nil"/>
              <w:bottom w:val="single" w:sz="8" w:space="0" w:color="auto"/>
              <w:right w:val="single" w:sz="4" w:space="0" w:color="auto"/>
            </w:tcBorders>
            <w:shd w:val="clear" w:color="auto" w:fill="auto"/>
            <w:vAlign w:val="center"/>
          </w:tcPr>
          <w:p w:rsidR="0072755A" w:rsidRPr="00FE3EE4" w:rsidP="0082152E" w14:paraId="58F23DA7" w14:textId="77777777">
            <w:pPr>
              <w:jc w:val="center"/>
              <w:rPr>
                <w:rFonts w:eastAsia="Times New Roman" w:cs="Times New Roman"/>
                <w:b/>
                <w:bCs/>
                <w:color w:val="000000"/>
                <w:sz w:val="18"/>
                <w:szCs w:val="18"/>
              </w:rPr>
            </w:pPr>
          </w:p>
        </w:tc>
        <w:tc>
          <w:tcPr>
            <w:tcW w:w="990" w:type="dxa"/>
            <w:tcBorders>
              <w:top w:val="nil"/>
              <w:left w:val="nil"/>
              <w:bottom w:val="single" w:sz="8" w:space="0" w:color="auto"/>
              <w:right w:val="single" w:sz="4" w:space="0" w:color="auto"/>
            </w:tcBorders>
            <w:shd w:val="clear" w:color="auto" w:fill="auto"/>
            <w:vAlign w:val="center"/>
          </w:tcPr>
          <w:p w:rsidR="0072755A" w:rsidRPr="00FE3EE4" w:rsidP="0082152E" w14:paraId="60340FB9" w14:textId="77777777">
            <w:pPr>
              <w:jc w:val="center"/>
              <w:rPr>
                <w:rFonts w:eastAsia="Times New Roman" w:cs="Times New Roman"/>
                <w:b/>
                <w:bCs/>
                <w:color w:val="000000"/>
                <w:sz w:val="18"/>
                <w:szCs w:val="18"/>
              </w:rPr>
            </w:pPr>
          </w:p>
        </w:tc>
        <w:tc>
          <w:tcPr>
            <w:tcW w:w="1350" w:type="dxa"/>
            <w:tcBorders>
              <w:top w:val="nil"/>
              <w:left w:val="nil"/>
              <w:bottom w:val="single" w:sz="8" w:space="0" w:color="auto"/>
              <w:right w:val="single" w:sz="4" w:space="0" w:color="auto"/>
            </w:tcBorders>
            <w:shd w:val="clear" w:color="auto" w:fill="auto"/>
            <w:vAlign w:val="center"/>
            <w:hideMark/>
          </w:tcPr>
          <w:p w:rsidR="0072755A" w:rsidRPr="0072755A" w:rsidP="0082152E" w14:paraId="484C272A" w14:textId="77777777">
            <w:pPr>
              <w:jc w:val="center"/>
              <w:rPr>
                <w:rFonts w:eastAsia="Times New Roman" w:cs="Times New Roman"/>
                <w:b/>
                <w:bCs/>
                <w:color w:val="000000"/>
                <w:sz w:val="18"/>
                <w:szCs w:val="18"/>
              </w:rPr>
            </w:pPr>
            <w:r w:rsidRPr="0072755A">
              <w:rPr>
                <w:rFonts w:cs="Times New Roman"/>
                <w:b/>
                <w:bCs/>
                <w:color w:val="000000"/>
                <w:sz w:val="18"/>
                <w:szCs w:val="18"/>
              </w:rPr>
              <w:t xml:space="preserve">$214,138,487 </w:t>
            </w:r>
          </w:p>
        </w:tc>
        <w:tc>
          <w:tcPr>
            <w:tcW w:w="1170" w:type="dxa"/>
            <w:tcBorders>
              <w:top w:val="nil"/>
              <w:left w:val="nil"/>
              <w:bottom w:val="single" w:sz="8" w:space="0" w:color="auto"/>
              <w:right w:val="single" w:sz="4" w:space="0" w:color="auto"/>
            </w:tcBorders>
            <w:shd w:val="clear" w:color="auto" w:fill="auto"/>
            <w:vAlign w:val="center"/>
            <w:hideMark/>
          </w:tcPr>
          <w:p w:rsidR="0072755A" w:rsidRPr="0072755A" w:rsidP="0082152E" w14:paraId="2C8752DF" w14:textId="247B800A">
            <w:pPr>
              <w:jc w:val="center"/>
              <w:rPr>
                <w:rFonts w:eastAsia="Times New Roman" w:cs="Times New Roman"/>
                <w:b/>
                <w:bCs/>
                <w:color w:val="000000"/>
                <w:sz w:val="18"/>
                <w:szCs w:val="18"/>
              </w:rPr>
            </w:pPr>
            <w:r w:rsidRPr="0072755A">
              <w:rPr>
                <w:rFonts w:cs="Times New Roman"/>
                <w:b/>
                <w:bCs/>
                <w:color w:val="000000"/>
                <w:sz w:val="18"/>
                <w:szCs w:val="18"/>
              </w:rPr>
              <w:t>$</w:t>
            </w:r>
            <w:r w:rsidR="002373CB">
              <w:rPr>
                <w:rFonts w:eastAsia="Times New Roman" w:cs="Times New Roman"/>
                <w:b/>
                <w:bCs/>
                <w:color w:val="000000"/>
                <w:sz w:val="18"/>
                <w:szCs w:val="18"/>
              </w:rPr>
              <w:t>29</w:t>
            </w:r>
          </w:p>
        </w:tc>
        <w:tc>
          <w:tcPr>
            <w:tcW w:w="1350" w:type="dxa"/>
            <w:tcBorders>
              <w:top w:val="nil"/>
              <w:left w:val="nil"/>
              <w:bottom w:val="single" w:sz="8" w:space="0" w:color="auto"/>
              <w:right w:val="single" w:sz="4" w:space="0" w:color="auto"/>
            </w:tcBorders>
            <w:shd w:val="clear" w:color="auto" w:fill="auto"/>
            <w:vAlign w:val="center"/>
            <w:hideMark/>
          </w:tcPr>
          <w:p w:rsidR="0072755A" w:rsidRPr="0072755A" w:rsidP="0082152E" w14:paraId="5E82FBF8" w14:textId="5A86A1B5">
            <w:pPr>
              <w:jc w:val="center"/>
              <w:rPr>
                <w:rFonts w:eastAsia="Times New Roman" w:cs="Times New Roman"/>
                <w:b/>
                <w:bCs/>
                <w:color w:val="000000"/>
                <w:sz w:val="18"/>
                <w:szCs w:val="18"/>
              </w:rPr>
            </w:pPr>
            <w:r>
              <w:rPr>
                <w:rFonts w:cs="Times New Roman"/>
                <w:b/>
                <w:bCs/>
                <w:color w:val="000000"/>
                <w:sz w:val="18"/>
                <w:szCs w:val="18"/>
              </w:rPr>
              <w:t>-$214,138,458</w:t>
            </w:r>
          </w:p>
        </w:tc>
      </w:tr>
    </w:tbl>
    <w:p w:rsidR="0072755A" w:rsidRPr="006A2BC6" w:rsidP="006A2BC6" w14:paraId="1607EB98" w14:textId="77777777">
      <w:pPr>
        <w:spacing w:line="276" w:lineRule="auto"/>
        <w:contextualSpacing/>
        <w:rPr>
          <w:szCs w:val="24"/>
        </w:rPr>
      </w:pPr>
    </w:p>
    <w:p w:rsidR="002D3CCF" w:rsidRPr="006A2BC6" w:rsidP="006A2BC6" w14:paraId="48E5E2C3" w14:textId="0E880FD4">
      <w:pPr>
        <w:pStyle w:val="ListParagraph"/>
        <w:spacing w:line="276" w:lineRule="auto"/>
        <w:rPr>
          <w:szCs w:val="24"/>
        </w:rPr>
      </w:pPr>
      <w:r w:rsidRPr="006A2BC6">
        <w:rPr>
          <w:b/>
          <w:bCs/>
          <w:i/>
          <w:iCs/>
          <w:szCs w:val="24"/>
        </w:rPr>
        <w:t>Explain:</w:t>
      </w:r>
      <w:r w:rsidRPr="006A2BC6">
        <w:rPr>
          <w:szCs w:val="24"/>
        </w:rPr>
        <w:t xml:space="preserve">  </w:t>
      </w:r>
      <w:r w:rsidRPr="006A2BC6" w:rsidR="0072755A">
        <w:rPr>
          <w:szCs w:val="24"/>
        </w:rPr>
        <w:t xml:space="preserve">The </w:t>
      </w:r>
      <w:r w:rsidR="002373CB">
        <w:rPr>
          <w:szCs w:val="24"/>
        </w:rPr>
        <w:t xml:space="preserve">decrease in burden cost is </w:t>
      </w:r>
      <w:r w:rsidR="00F95E77">
        <w:rPr>
          <w:szCs w:val="24"/>
        </w:rPr>
        <w:t xml:space="preserve">due to the conversion to a common </w:t>
      </w:r>
      <w:r w:rsidR="009A7745">
        <w:rPr>
          <w:szCs w:val="24"/>
        </w:rPr>
        <w:t>forms collection that</w:t>
      </w:r>
      <w:r w:rsidR="00F40B9F">
        <w:rPr>
          <w:szCs w:val="24"/>
        </w:rPr>
        <w:t xml:space="preserve"> is used by other agencies and not collected by FEMA. </w:t>
      </w:r>
    </w:p>
    <w:p w:rsidR="002D3CCF" w:rsidRPr="006A2BC6" w:rsidP="00A90464" w14:paraId="363923B0" w14:textId="77777777">
      <w:pPr>
        <w:spacing w:line="276" w:lineRule="auto"/>
        <w:contextualSpacing/>
        <w:rPr>
          <w:szCs w:val="24"/>
        </w:rPr>
      </w:pPr>
    </w:p>
    <w:p w:rsidR="00AC49FB" w:rsidRPr="006A2BC6" w:rsidP="006A2BC6" w14:paraId="491AF067" w14:textId="77777777">
      <w:pPr>
        <w:pStyle w:val="ListParagraph"/>
        <w:numPr>
          <w:ilvl w:val="0"/>
          <w:numId w:val="6"/>
        </w:numPr>
        <w:spacing w:line="276" w:lineRule="auto"/>
        <w:rPr>
          <w:b/>
          <w:bCs/>
          <w:szCs w:val="24"/>
        </w:rPr>
      </w:pPr>
      <w:r w:rsidRPr="006A2BC6">
        <w:rPr>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RPr="006A2BC6" w:rsidP="00A90464" w14:paraId="2985749D" w14:textId="77777777">
      <w:pPr>
        <w:spacing w:line="276" w:lineRule="auto"/>
        <w:contextualSpacing/>
        <w:rPr>
          <w:szCs w:val="24"/>
        </w:rPr>
      </w:pPr>
    </w:p>
    <w:p w:rsidR="007D191C" w:rsidRPr="006A2BC6" w:rsidP="00A90464" w14:paraId="7FD772AA" w14:textId="77777777">
      <w:pPr>
        <w:spacing w:line="276" w:lineRule="auto"/>
        <w:contextualSpacing/>
        <w:rPr>
          <w:rFonts w:cs="Times New Roman"/>
          <w:szCs w:val="24"/>
        </w:rPr>
      </w:pPr>
      <w:r w:rsidRPr="006A2BC6">
        <w:rPr>
          <w:rFonts w:cs="Times New Roman"/>
          <w:szCs w:val="24"/>
        </w:rPr>
        <w:t>FEMA does not intend to employ the use of statistics or the publication thereof for this information collection.</w:t>
      </w:r>
    </w:p>
    <w:p w:rsidR="001D3D89" w:rsidRPr="006A2BC6" w:rsidP="00A90464" w14:paraId="0756D67A" w14:textId="77777777">
      <w:pPr>
        <w:spacing w:line="276" w:lineRule="auto"/>
        <w:contextualSpacing/>
        <w:rPr>
          <w:szCs w:val="24"/>
        </w:rPr>
      </w:pPr>
    </w:p>
    <w:p w:rsidR="00AC49FB" w:rsidRPr="006A2BC6" w:rsidP="006A2BC6" w14:paraId="296EBD65" w14:textId="77777777">
      <w:pPr>
        <w:pStyle w:val="ListParagraph"/>
        <w:numPr>
          <w:ilvl w:val="0"/>
          <w:numId w:val="6"/>
        </w:numPr>
        <w:spacing w:line="276" w:lineRule="auto"/>
        <w:rPr>
          <w:b/>
          <w:bCs/>
          <w:szCs w:val="24"/>
        </w:rPr>
      </w:pPr>
      <w:r w:rsidRPr="006A2BC6">
        <w:rPr>
          <w:b/>
          <w:bCs/>
          <w:szCs w:val="24"/>
        </w:rPr>
        <w:t>If seeking approval no to display the expiration date for OMB approval of the information collection, explain reasons that display would be inappropriate.</w:t>
      </w:r>
    </w:p>
    <w:p w:rsidR="001D3D89" w:rsidRPr="006A2BC6" w:rsidP="00A90464" w14:paraId="18649294" w14:textId="77777777">
      <w:pPr>
        <w:spacing w:line="276" w:lineRule="auto"/>
        <w:contextualSpacing/>
        <w:rPr>
          <w:szCs w:val="24"/>
        </w:rPr>
      </w:pPr>
    </w:p>
    <w:p w:rsidR="007D191C" w:rsidRPr="006A2BC6" w:rsidP="00A90464" w14:paraId="6557E4CC" w14:textId="77777777">
      <w:pPr>
        <w:spacing w:line="276" w:lineRule="auto"/>
        <w:contextualSpacing/>
        <w:rPr>
          <w:rFonts w:cs="Times New Roman"/>
          <w:b/>
          <w:bCs/>
          <w:color w:val="000000"/>
          <w:szCs w:val="24"/>
        </w:rPr>
      </w:pPr>
      <w:r w:rsidRPr="006A2BC6">
        <w:rPr>
          <w:rFonts w:cs="Times New Roman"/>
          <w:color w:val="000000"/>
          <w:szCs w:val="24"/>
        </w:rPr>
        <w:t>FEMA will display the expiration date for OMB approval of this information collection.</w:t>
      </w:r>
      <w:r w:rsidRPr="006A2BC6">
        <w:rPr>
          <w:rFonts w:cs="Times New Roman"/>
          <w:b/>
          <w:bCs/>
          <w:color w:val="000000"/>
          <w:szCs w:val="24"/>
        </w:rPr>
        <w:fldChar w:fldCharType="begin"/>
      </w:r>
      <w:r w:rsidRPr="006A2BC6">
        <w:rPr>
          <w:rFonts w:cs="Times New Roman"/>
          <w:b/>
          <w:bCs/>
          <w:color w:val="000000"/>
          <w:szCs w:val="24"/>
        </w:rPr>
        <w:instrText>ADVANCE \R 0.95</w:instrText>
      </w:r>
      <w:r w:rsidRPr="006A2BC6">
        <w:rPr>
          <w:rFonts w:cs="Times New Roman"/>
          <w:b/>
          <w:bCs/>
          <w:color w:val="000000"/>
          <w:szCs w:val="24"/>
        </w:rPr>
        <w:fldChar w:fldCharType="end"/>
      </w:r>
    </w:p>
    <w:p w:rsidR="001D3D89" w:rsidRPr="006A2BC6" w:rsidP="00A90464" w14:paraId="77F14650" w14:textId="77777777">
      <w:pPr>
        <w:spacing w:line="276" w:lineRule="auto"/>
        <w:contextualSpacing/>
        <w:rPr>
          <w:szCs w:val="24"/>
        </w:rPr>
      </w:pPr>
    </w:p>
    <w:p w:rsidR="00AC49FB" w:rsidRPr="006A2BC6" w:rsidP="006A2BC6" w14:paraId="7E2373F4" w14:textId="77777777">
      <w:pPr>
        <w:pStyle w:val="ListParagraph"/>
        <w:numPr>
          <w:ilvl w:val="0"/>
          <w:numId w:val="6"/>
        </w:numPr>
        <w:spacing w:line="276" w:lineRule="auto"/>
        <w:rPr>
          <w:b/>
          <w:bCs/>
          <w:szCs w:val="24"/>
        </w:rPr>
      </w:pPr>
      <w:r w:rsidRPr="006A2BC6">
        <w:rPr>
          <w:b/>
          <w:bCs/>
          <w:szCs w:val="24"/>
        </w:rPr>
        <w:t xml:space="preserve">Explain each </w:t>
      </w:r>
      <w:r w:rsidRPr="006A2BC6" w:rsidR="00055F6D">
        <w:rPr>
          <w:b/>
          <w:bCs/>
          <w:szCs w:val="24"/>
        </w:rPr>
        <w:t>exception to the certification state identified in Item 19 “Certification for Paperwork Reduction Act Submission,” of OMB Form 83-I.</w:t>
      </w:r>
    </w:p>
    <w:p w:rsidR="001D3D89" w:rsidRPr="006A2BC6" w:rsidP="00A90464" w14:paraId="31245273" w14:textId="77777777">
      <w:pPr>
        <w:spacing w:line="276" w:lineRule="auto"/>
        <w:contextualSpacing/>
        <w:rPr>
          <w:szCs w:val="24"/>
        </w:rPr>
      </w:pPr>
    </w:p>
    <w:p w:rsidR="001D3D89" w:rsidRPr="006A2BC6" w:rsidP="00A90464" w14:paraId="597BD487" w14:textId="77777777">
      <w:pPr>
        <w:spacing w:line="276" w:lineRule="auto"/>
        <w:contextualSpacing/>
        <w:rPr>
          <w:szCs w:val="24"/>
        </w:rPr>
      </w:pPr>
      <w:r w:rsidRPr="006A2BC6">
        <w:rPr>
          <w:rFonts w:cs="Times New Roman"/>
          <w:szCs w:val="24"/>
        </w:rPr>
        <w:t>This collection does not seek exception to “Certification for Paperwork Reduction Act Submissions</w:t>
      </w:r>
      <w:r w:rsidRPr="006A2BC6" w:rsidR="007D191C">
        <w:rPr>
          <w:rFonts w:cs="Times New Roman"/>
          <w:szCs w:val="24"/>
        </w:rPr>
        <w:t>.</w:t>
      </w:r>
      <w:r w:rsidRPr="006A2BC6">
        <w:rPr>
          <w:rFonts w:cs="Times New Roman"/>
          <w:szCs w:val="24"/>
        </w:rPr>
        <w:t xml:space="preserve">”  </w:t>
      </w:r>
    </w:p>
    <w:p w:rsidR="001D3D89" w:rsidRPr="006A2BC6" w:rsidP="00A90464" w14:paraId="7E951535" w14:textId="77777777">
      <w:pPr>
        <w:spacing w:line="276" w:lineRule="auto"/>
        <w:contextualSpacing/>
        <w:rPr>
          <w:szCs w:val="24"/>
        </w:rPr>
      </w:pPr>
    </w:p>
    <w:sectPr>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3269CF8B" w14:textId="77777777">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201C" w:rsidP="00E655F0" w14:paraId="1899CE64" w14:textId="77777777">
      <w:r>
        <w:separator/>
      </w:r>
    </w:p>
  </w:footnote>
  <w:footnote w:type="continuationSeparator" w:id="1">
    <w:p w:rsidR="00EE201C" w:rsidP="00E655F0" w14:paraId="1FED62EF" w14:textId="77777777">
      <w:r>
        <w:continuationSeparator/>
      </w:r>
    </w:p>
  </w:footnote>
  <w:footnote w:type="continuationNotice" w:id="2">
    <w:p w:rsidR="00EE201C" w14:paraId="21065665" w14:textId="77777777"/>
  </w:footnote>
  <w:footnote w:id="3">
    <w:p w:rsidR="00A73CD7" w:rsidRPr="00C7639E" w14:paraId="40D66717" w14:textId="77777777">
      <w:pPr>
        <w:pStyle w:val="FootnoteText"/>
        <w:rPr>
          <w:sz w:val="18"/>
          <w:szCs w:val="18"/>
        </w:rPr>
      </w:pPr>
      <w:r w:rsidRPr="008B19B1">
        <w:rPr>
          <w:rStyle w:val="FootnoteReference"/>
          <w:sz w:val="16"/>
          <w:szCs w:val="16"/>
        </w:rPr>
        <w:footnoteRef/>
      </w:r>
      <w:r w:rsidRPr="008B19B1">
        <w:rPr>
          <w:sz w:val="16"/>
          <w:szCs w:val="16"/>
        </w:rPr>
        <w:t xml:space="preserve"> </w:t>
      </w:r>
      <w:r w:rsidRPr="00C7639E">
        <w:rPr>
          <w:rFonts w:cs="Times New Roman"/>
          <w:sz w:val="18"/>
          <w:szCs w:val="18"/>
        </w:rPr>
        <w:t xml:space="preserve">Bureau of Labor Statistics, Employer Costs for Employee Compensation, Table 1.  Available at </w:t>
      </w:r>
      <w:hyperlink r:id="rId1" w:history="1">
        <w:r w:rsidRPr="00C7639E" w:rsidR="00403955">
          <w:rPr>
            <w:rStyle w:val="Hyperlink"/>
            <w:rFonts w:cs="Times New Roman"/>
            <w:sz w:val="18"/>
            <w:szCs w:val="18"/>
          </w:rPr>
          <w:t>https://www.bls.gov/news.release/archives/ecec_03172023.pdf</w:t>
        </w:r>
      </w:hyperlink>
      <w:r w:rsidRPr="00C7639E">
        <w:rPr>
          <w:rFonts w:cs="Times New Roman"/>
          <w:sz w:val="18"/>
          <w:szCs w:val="18"/>
        </w:rPr>
        <w:t xml:space="preserve">.  </w:t>
      </w:r>
      <w:r w:rsidRPr="00C7639E">
        <w:rPr>
          <w:rStyle w:val="normaltextrun"/>
          <w:rFonts w:eastAsia="Times New Roman" w:cs="Times New Roman"/>
          <w:color w:val="000000"/>
          <w:sz w:val="18"/>
          <w:szCs w:val="18"/>
          <w:shd w:val="clear" w:color="auto" w:fill="FFFFFF"/>
        </w:rPr>
        <w:t>Acces</w:t>
      </w:r>
      <w:r w:rsidRPr="00C7639E" w:rsidR="00403955">
        <w:rPr>
          <w:rStyle w:val="normaltextrun"/>
          <w:rFonts w:eastAsia="Times New Roman" w:cs="Times New Roman"/>
          <w:color w:val="000000"/>
          <w:sz w:val="18"/>
          <w:szCs w:val="18"/>
          <w:shd w:val="clear" w:color="auto" w:fill="FFFFFF"/>
        </w:rPr>
        <w:t>sed</w:t>
      </w:r>
      <w:r w:rsidRPr="00C7639E">
        <w:rPr>
          <w:rStyle w:val="normaltextrun"/>
          <w:rFonts w:eastAsia="Times New Roman" w:cs="Times New Roman"/>
          <w:color w:val="000000"/>
          <w:sz w:val="18"/>
          <w:szCs w:val="18"/>
          <w:shd w:val="clear" w:color="auto" w:fill="FFFFFF"/>
        </w:rPr>
        <w:t xml:space="preserve"> Ma</w:t>
      </w:r>
      <w:r w:rsidRPr="00C7639E" w:rsidR="005E37D3">
        <w:rPr>
          <w:rStyle w:val="normaltextrun"/>
          <w:rFonts w:eastAsia="Times New Roman" w:cs="Times New Roman"/>
          <w:color w:val="000000"/>
          <w:sz w:val="18"/>
          <w:szCs w:val="18"/>
          <w:shd w:val="clear" w:color="auto" w:fill="FFFFFF"/>
        </w:rPr>
        <w:t>rch</w:t>
      </w:r>
      <w:r w:rsidRPr="00C7639E">
        <w:rPr>
          <w:rStyle w:val="normaltextrun"/>
          <w:rFonts w:eastAsia="Times New Roman" w:cs="Times New Roman"/>
          <w:color w:val="000000"/>
          <w:sz w:val="18"/>
          <w:szCs w:val="18"/>
          <w:shd w:val="clear" w:color="auto" w:fill="FFFFFF"/>
        </w:rPr>
        <w:t xml:space="preserve"> </w:t>
      </w:r>
      <w:r w:rsidRPr="00C7639E" w:rsidR="005E37D3">
        <w:rPr>
          <w:rStyle w:val="normaltextrun"/>
          <w:rFonts w:eastAsia="Times New Roman" w:cs="Times New Roman"/>
          <w:color w:val="000000"/>
          <w:sz w:val="18"/>
          <w:szCs w:val="18"/>
          <w:shd w:val="clear" w:color="auto" w:fill="FFFFFF"/>
        </w:rPr>
        <w:t>20</w:t>
      </w:r>
      <w:r w:rsidRPr="00C7639E">
        <w:rPr>
          <w:rStyle w:val="normaltextrun"/>
          <w:rFonts w:eastAsia="Times New Roman" w:cs="Times New Roman"/>
          <w:color w:val="000000"/>
          <w:sz w:val="18"/>
          <w:szCs w:val="18"/>
          <w:shd w:val="clear" w:color="auto" w:fill="FFFFFF"/>
        </w:rPr>
        <w:t>, 202</w:t>
      </w:r>
      <w:r w:rsidRPr="00C7639E" w:rsidR="00403955">
        <w:rPr>
          <w:rStyle w:val="normaltextrun"/>
          <w:rFonts w:eastAsia="Times New Roman" w:cs="Times New Roman"/>
          <w:color w:val="000000"/>
          <w:sz w:val="18"/>
          <w:szCs w:val="18"/>
          <w:shd w:val="clear" w:color="auto" w:fill="FFFFFF"/>
        </w:rPr>
        <w:t>3</w:t>
      </w:r>
      <w:r w:rsidRPr="00C7639E">
        <w:rPr>
          <w:rFonts w:cs="Times New Roman"/>
          <w:sz w:val="18"/>
          <w:szCs w:val="18"/>
        </w:rPr>
        <w:t>.  The wage multiplier is calculated by dividing total compensation for all workers of $</w:t>
      </w:r>
      <w:r w:rsidRPr="00C7639E" w:rsidR="00403955">
        <w:rPr>
          <w:rFonts w:cs="Times New Roman"/>
          <w:sz w:val="18"/>
          <w:szCs w:val="18"/>
        </w:rPr>
        <w:t>31.32</w:t>
      </w:r>
      <w:r w:rsidRPr="00C7639E">
        <w:rPr>
          <w:rFonts w:cs="Times New Roman"/>
          <w:sz w:val="18"/>
          <w:szCs w:val="18"/>
        </w:rPr>
        <w:t xml:space="preserve"> by wages and salaries for all workers of $2</w:t>
      </w:r>
      <w:r w:rsidRPr="00C7639E" w:rsidR="00403955">
        <w:rPr>
          <w:rFonts w:cs="Times New Roman"/>
          <w:sz w:val="18"/>
          <w:szCs w:val="18"/>
        </w:rPr>
        <w:t>1</w:t>
      </w:r>
      <w:r w:rsidRPr="00C7639E">
        <w:rPr>
          <w:rFonts w:cs="Times New Roman"/>
          <w:sz w:val="18"/>
          <w:szCs w:val="18"/>
        </w:rPr>
        <w:t>.</w:t>
      </w:r>
      <w:r w:rsidRPr="00C7639E" w:rsidR="00403955">
        <w:rPr>
          <w:rFonts w:cs="Times New Roman"/>
          <w:sz w:val="18"/>
          <w:szCs w:val="18"/>
        </w:rPr>
        <w:t>60</w:t>
      </w:r>
      <w:r w:rsidRPr="00C7639E" w:rsidR="00F15BA0">
        <w:rPr>
          <w:rFonts w:cs="Times New Roman"/>
          <w:sz w:val="18"/>
          <w:szCs w:val="18"/>
        </w:rPr>
        <w:t xml:space="preserve"> </w:t>
      </w:r>
      <w:r w:rsidRPr="00C7639E" w:rsidR="0012121D">
        <w:rPr>
          <w:rFonts w:cs="Times New Roman"/>
          <w:sz w:val="18"/>
          <w:szCs w:val="18"/>
        </w:rPr>
        <w:t>x</w:t>
      </w:r>
      <w:r w:rsidRPr="00C7639E">
        <w:rPr>
          <w:rFonts w:cs="Times New Roman"/>
          <w:sz w:val="18"/>
          <w:szCs w:val="18"/>
        </w:rPr>
        <w:t xml:space="preserve"> per hour yielding a benefits multiplier of approximately 1.45.</w:t>
      </w:r>
    </w:p>
  </w:footnote>
  <w:footnote w:id="4">
    <w:p w:rsidR="006B13DE" w:rsidRPr="00C7639E" w:rsidP="006B13DE" w14:paraId="7C3DA1B0" w14:textId="77777777">
      <w:pPr>
        <w:pStyle w:val="FootnoteText"/>
        <w:rPr>
          <w:rFonts w:cs="Times New Roman"/>
          <w:sz w:val="18"/>
          <w:szCs w:val="18"/>
        </w:rPr>
      </w:pPr>
      <w:r w:rsidRPr="00C7639E">
        <w:rPr>
          <w:rStyle w:val="FootnoteReference"/>
          <w:rFonts w:cs="Times New Roman"/>
          <w:sz w:val="18"/>
          <w:szCs w:val="18"/>
        </w:rPr>
        <w:footnoteRef/>
      </w:r>
      <w:r w:rsidRPr="00C7639E">
        <w:rPr>
          <w:rFonts w:cs="Times New Roman"/>
          <w:sz w:val="18"/>
          <w:szCs w:val="18"/>
        </w:rPr>
        <w:t xml:space="preserve"> Information on the mean wage rate from the U.S. Department of Labor, Bureau of Labor Statistics is available online at: </w:t>
      </w:r>
      <w:hyperlink r:id="rId2" w:history="1">
        <w:r w:rsidRPr="00C7639E">
          <w:rPr>
            <w:rStyle w:val="Hyperlink"/>
            <w:rFonts w:cs="Times New Roman"/>
            <w:sz w:val="18"/>
            <w:szCs w:val="18"/>
          </w:rPr>
          <w:t>https://www.bls.gov/oes/2022/may/oes_nat.htm</w:t>
        </w:r>
      </w:hyperlink>
    </w:p>
    <w:p w:rsidR="006B13DE" w:rsidRPr="002F0868" w:rsidP="006B13DE" w14:paraId="6370CFF3"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1034CC84" w14:textId="77777777">
    <w:pPr>
      <w:pStyle w:val="Header"/>
      <w:jc w:val="center"/>
    </w:pPr>
    <w:r>
      <w:t>1660-0040 - Standard Flood Hazard Determination Form (SFHDF)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36F3DBB"/>
    <w:multiLevelType w:val="hybridMultilevel"/>
    <w:tmpl w:val="D1A432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15C3531"/>
    <w:multiLevelType w:val="hybridMultilevel"/>
    <w:tmpl w:val="D7D6AB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61087703">
    <w:abstractNumId w:val="6"/>
  </w:num>
  <w:num w:numId="2" w16cid:durableId="1812332869">
    <w:abstractNumId w:val="9"/>
  </w:num>
  <w:num w:numId="3" w16cid:durableId="1590456945">
    <w:abstractNumId w:val="2"/>
  </w:num>
  <w:num w:numId="4" w16cid:durableId="1039623265">
    <w:abstractNumId w:val="5"/>
  </w:num>
  <w:num w:numId="5" w16cid:durableId="1056390354">
    <w:abstractNumId w:val="3"/>
  </w:num>
  <w:num w:numId="6" w16cid:durableId="1566255602">
    <w:abstractNumId w:val="4"/>
  </w:num>
  <w:num w:numId="7" w16cid:durableId="1328752252">
    <w:abstractNumId w:val="1"/>
  </w:num>
  <w:num w:numId="8" w16cid:durableId="1490366096">
    <w:abstractNumId w:val="0"/>
  </w:num>
  <w:num w:numId="9" w16cid:durableId="5528910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170110">
    <w:abstractNumId w:val="8"/>
  </w:num>
  <w:num w:numId="11" w16cid:durableId="1296596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10A31"/>
    <w:rsid w:val="00021D08"/>
    <w:rsid w:val="00030A5F"/>
    <w:rsid w:val="00033513"/>
    <w:rsid w:val="0003449D"/>
    <w:rsid w:val="0003651A"/>
    <w:rsid w:val="00054513"/>
    <w:rsid w:val="00055F6D"/>
    <w:rsid w:val="00060D58"/>
    <w:rsid w:val="00067701"/>
    <w:rsid w:val="00067D64"/>
    <w:rsid w:val="00071B16"/>
    <w:rsid w:val="00076BBA"/>
    <w:rsid w:val="00083D0C"/>
    <w:rsid w:val="0009191E"/>
    <w:rsid w:val="000A1BBF"/>
    <w:rsid w:val="000B36F8"/>
    <w:rsid w:val="000B5188"/>
    <w:rsid w:val="000C33A1"/>
    <w:rsid w:val="000C508D"/>
    <w:rsid w:val="000D34F9"/>
    <w:rsid w:val="000D59B0"/>
    <w:rsid w:val="000D5AF4"/>
    <w:rsid w:val="000E4E5D"/>
    <w:rsid w:val="000F0AAB"/>
    <w:rsid w:val="001128E8"/>
    <w:rsid w:val="00113022"/>
    <w:rsid w:val="0012121D"/>
    <w:rsid w:val="001436BF"/>
    <w:rsid w:val="00143A61"/>
    <w:rsid w:val="00143ACC"/>
    <w:rsid w:val="00151CD5"/>
    <w:rsid w:val="00160C8C"/>
    <w:rsid w:val="0017082D"/>
    <w:rsid w:val="00171FF4"/>
    <w:rsid w:val="0017371C"/>
    <w:rsid w:val="00174B16"/>
    <w:rsid w:val="00184547"/>
    <w:rsid w:val="001928CB"/>
    <w:rsid w:val="00197251"/>
    <w:rsid w:val="00197AF7"/>
    <w:rsid w:val="001B06BF"/>
    <w:rsid w:val="001C0E0E"/>
    <w:rsid w:val="001C57CA"/>
    <w:rsid w:val="001C73EE"/>
    <w:rsid w:val="001D05EE"/>
    <w:rsid w:val="001D3D89"/>
    <w:rsid w:val="001E16F5"/>
    <w:rsid w:val="00213D72"/>
    <w:rsid w:val="00214FBF"/>
    <w:rsid w:val="002177E8"/>
    <w:rsid w:val="00220F28"/>
    <w:rsid w:val="002214D0"/>
    <w:rsid w:val="00221674"/>
    <w:rsid w:val="00224FAA"/>
    <w:rsid w:val="002340E2"/>
    <w:rsid w:val="00234CB0"/>
    <w:rsid w:val="002373CB"/>
    <w:rsid w:val="002457E2"/>
    <w:rsid w:val="0024686B"/>
    <w:rsid w:val="00253D9C"/>
    <w:rsid w:val="00257732"/>
    <w:rsid w:val="0026416D"/>
    <w:rsid w:val="00276D43"/>
    <w:rsid w:val="002A2783"/>
    <w:rsid w:val="002A29C9"/>
    <w:rsid w:val="002A30FE"/>
    <w:rsid w:val="002A6107"/>
    <w:rsid w:val="002D0AA9"/>
    <w:rsid w:val="002D3CCF"/>
    <w:rsid w:val="002E29B4"/>
    <w:rsid w:val="002E625F"/>
    <w:rsid w:val="002E7F6A"/>
    <w:rsid w:val="002F0868"/>
    <w:rsid w:val="002F391E"/>
    <w:rsid w:val="002F3FAA"/>
    <w:rsid w:val="002F421F"/>
    <w:rsid w:val="003165CC"/>
    <w:rsid w:val="00317B7F"/>
    <w:rsid w:val="003275D0"/>
    <w:rsid w:val="003318B0"/>
    <w:rsid w:val="003318E6"/>
    <w:rsid w:val="00332F01"/>
    <w:rsid w:val="0033569B"/>
    <w:rsid w:val="00342C6A"/>
    <w:rsid w:val="003444D6"/>
    <w:rsid w:val="00347429"/>
    <w:rsid w:val="00373428"/>
    <w:rsid w:val="00393DAF"/>
    <w:rsid w:val="003979CD"/>
    <w:rsid w:val="003A014E"/>
    <w:rsid w:val="003A4DFA"/>
    <w:rsid w:val="003A7E63"/>
    <w:rsid w:val="003B5523"/>
    <w:rsid w:val="003C544D"/>
    <w:rsid w:val="003D098D"/>
    <w:rsid w:val="003E0623"/>
    <w:rsid w:val="003E33A0"/>
    <w:rsid w:val="00403955"/>
    <w:rsid w:val="004127BB"/>
    <w:rsid w:val="0042002A"/>
    <w:rsid w:val="00422BC3"/>
    <w:rsid w:val="00424F8A"/>
    <w:rsid w:val="00425D0D"/>
    <w:rsid w:val="00427B92"/>
    <w:rsid w:val="00427E8F"/>
    <w:rsid w:val="004317A1"/>
    <w:rsid w:val="0043438D"/>
    <w:rsid w:val="00441971"/>
    <w:rsid w:val="00464AFB"/>
    <w:rsid w:val="00490ECB"/>
    <w:rsid w:val="00492ECC"/>
    <w:rsid w:val="00497504"/>
    <w:rsid w:val="004A021B"/>
    <w:rsid w:val="004A42D2"/>
    <w:rsid w:val="004A63C7"/>
    <w:rsid w:val="004A6D73"/>
    <w:rsid w:val="004A7386"/>
    <w:rsid w:val="004B0139"/>
    <w:rsid w:val="004B5B07"/>
    <w:rsid w:val="004B60EA"/>
    <w:rsid w:val="004B78F2"/>
    <w:rsid w:val="004C15B0"/>
    <w:rsid w:val="004C47F6"/>
    <w:rsid w:val="004C748B"/>
    <w:rsid w:val="004F3187"/>
    <w:rsid w:val="00521714"/>
    <w:rsid w:val="00527A15"/>
    <w:rsid w:val="00533CD3"/>
    <w:rsid w:val="005421D9"/>
    <w:rsid w:val="0054401B"/>
    <w:rsid w:val="00544C0D"/>
    <w:rsid w:val="0055042E"/>
    <w:rsid w:val="0055051D"/>
    <w:rsid w:val="00553560"/>
    <w:rsid w:val="00557238"/>
    <w:rsid w:val="00565508"/>
    <w:rsid w:val="00567F03"/>
    <w:rsid w:val="00570251"/>
    <w:rsid w:val="00570B14"/>
    <w:rsid w:val="00571D64"/>
    <w:rsid w:val="00571DF2"/>
    <w:rsid w:val="0057295C"/>
    <w:rsid w:val="0057695E"/>
    <w:rsid w:val="005802F1"/>
    <w:rsid w:val="005817F9"/>
    <w:rsid w:val="005A759D"/>
    <w:rsid w:val="005B27C0"/>
    <w:rsid w:val="005B29CC"/>
    <w:rsid w:val="005B49B1"/>
    <w:rsid w:val="005B4A52"/>
    <w:rsid w:val="005B516E"/>
    <w:rsid w:val="005C5B84"/>
    <w:rsid w:val="005D6E7A"/>
    <w:rsid w:val="005E37D3"/>
    <w:rsid w:val="005F5019"/>
    <w:rsid w:val="0061082C"/>
    <w:rsid w:val="00612DB0"/>
    <w:rsid w:val="00614A11"/>
    <w:rsid w:val="00627F1E"/>
    <w:rsid w:val="00635E63"/>
    <w:rsid w:val="00640B9D"/>
    <w:rsid w:val="00644E58"/>
    <w:rsid w:val="00660EE5"/>
    <w:rsid w:val="00662390"/>
    <w:rsid w:val="00666EF2"/>
    <w:rsid w:val="00685578"/>
    <w:rsid w:val="00690C02"/>
    <w:rsid w:val="006A2BC6"/>
    <w:rsid w:val="006A42E7"/>
    <w:rsid w:val="006A7298"/>
    <w:rsid w:val="006B13DE"/>
    <w:rsid w:val="006B5A7B"/>
    <w:rsid w:val="006D583B"/>
    <w:rsid w:val="006E3F19"/>
    <w:rsid w:val="006E77C3"/>
    <w:rsid w:val="006F0B0F"/>
    <w:rsid w:val="00701242"/>
    <w:rsid w:val="0071105B"/>
    <w:rsid w:val="00721D5A"/>
    <w:rsid w:val="0072755A"/>
    <w:rsid w:val="00732192"/>
    <w:rsid w:val="00732450"/>
    <w:rsid w:val="0073355B"/>
    <w:rsid w:val="00735545"/>
    <w:rsid w:val="007422DA"/>
    <w:rsid w:val="0074781C"/>
    <w:rsid w:val="00750556"/>
    <w:rsid w:val="0075496D"/>
    <w:rsid w:val="00762569"/>
    <w:rsid w:val="007750B8"/>
    <w:rsid w:val="007A335C"/>
    <w:rsid w:val="007B332C"/>
    <w:rsid w:val="007B6FA2"/>
    <w:rsid w:val="007C221D"/>
    <w:rsid w:val="007C478A"/>
    <w:rsid w:val="007D191C"/>
    <w:rsid w:val="007E1497"/>
    <w:rsid w:val="007E62FC"/>
    <w:rsid w:val="00812C3B"/>
    <w:rsid w:val="00813D10"/>
    <w:rsid w:val="0082152E"/>
    <w:rsid w:val="008224CE"/>
    <w:rsid w:val="0082520B"/>
    <w:rsid w:val="008258E2"/>
    <w:rsid w:val="0083172A"/>
    <w:rsid w:val="008357E2"/>
    <w:rsid w:val="00845951"/>
    <w:rsid w:val="0085011B"/>
    <w:rsid w:val="00856A15"/>
    <w:rsid w:val="00863E12"/>
    <w:rsid w:val="0086443C"/>
    <w:rsid w:val="0089217C"/>
    <w:rsid w:val="00896521"/>
    <w:rsid w:val="00896EFE"/>
    <w:rsid w:val="008B14AB"/>
    <w:rsid w:val="008B19B1"/>
    <w:rsid w:val="008B3616"/>
    <w:rsid w:val="008B7DA9"/>
    <w:rsid w:val="008C355D"/>
    <w:rsid w:val="008C362D"/>
    <w:rsid w:val="008C4214"/>
    <w:rsid w:val="008D1279"/>
    <w:rsid w:val="008E069A"/>
    <w:rsid w:val="00901659"/>
    <w:rsid w:val="0090224E"/>
    <w:rsid w:val="00902D94"/>
    <w:rsid w:val="0090301E"/>
    <w:rsid w:val="00903113"/>
    <w:rsid w:val="009108D7"/>
    <w:rsid w:val="0091116A"/>
    <w:rsid w:val="00913DED"/>
    <w:rsid w:val="009244A1"/>
    <w:rsid w:val="009260E2"/>
    <w:rsid w:val="00926982"/>
    <w:rsid w:val="009339A6"/>
    <w:rsid w:val="00933B69"/>
    <w:rsid w:val="00943EF6"/>
    <w:rsid w:val="009515F3"/>
    <w:rsid w:val="00955822"/>
    <w:rsid w:val="009572DA"/>
    <w:rsid w:val="00960FEB"/>
    <w:rsid w:val="0096186D"/>
    <w:rsid w:val="00963435"/>
    <w:rsid w:val="00964B20"/>
    <w:rsid w:val="00976540"/>
    <w:rsid w:val="00982C8E"/>
    <w:rsid w:val="009904F0"/>
    <w:rsid w:val="009A4214"/>
    <w:rsid w:val="009A7745"/>
    <w:rsid w:val="009B2B7F"/>
    <w:rsid w:val="009C6355"/>
    <w:rsid w:val="009D01FD"/>
    <w:rsid w:val="009D068B"/>
    <w:rsid w:val="009D1814"/>
    <w:rsid w:val="009E2BE9"/>
    <w:rsid w:val="009E518B"/>
    <w:rsid w:val="009E793E"/>
    <w:rsid w:val="00A073E0"/>
    <w:rsid w:val="00A1187F"/>
    <w:rsid w:val="00A1304D"/>
    <w:rsid w:val="00A20D03"/>
    <w:rsid w:val="00A250EF"/>
    <w:rsid w:val="00A25153"/>
    <w:rsid w:val="00A40B23"/>
    <w:rsid w:val="00A44E57"/>
    <w:rsid w:val="00A466A2"/>
    <w:rsid w:val="00A64000"/>
    <w:rsid w:val="00A64011"/>
    <w:rsid w:val="00A7026C"/>
    <w:rsid w:val="00A73CD7"/>
    <w:rsid w:val="00A81FB0"/>
    <w:rsid w:val="00A90464"/>
    <w:rsid w:val="00AA213E"/>
    <w:rsid w:val="00AC49FB"/>
    <w:rsid w:val="00AD2A51"/>
    <w:rsid w:val="00AD6EF4"/>
    <w:rsid w:val="00AD70D7"/>
    <w:rsid w:val="00AE085F"/>
    <w:rsid w:val="00AF15EA"/>
    <w:rsid w:val="00B007FA"/>
    <w:rsid w:val="00B00B9B"/>
    <w:rsid w:val="00B03602"/>
    <w:rsid w:val="00B17787"/>
    <w:rsid w:val="00B17A38"/>
    <w:rsid w:val="00B22696"/>
    <w:rsid w:val="00B24EB2"/>
    <w:rsid w:val="00B27F0F"/>
    <w:rsid w:val="00B3312A"/>
    <w:rsid w:val="00B37021"/>
    <w:rsid w:val="00B456F8"/>
    <w:rsid w:val="00B56918"/>
    <w:rsid w:val="00B7598B"/>
    <w:rsid w:val="00B86A37"/>
    <w:rsid w:val="00B926D6"/>
    <w:rsid w:val="00B970C6"/>
    <w:rsid w:val="00BA36C6"/>
    <w:rsid w:val="00BB4FA7"/>
    <w:rsid w:val="00BC221E"/>
    <w:rsid w:val="00BC3182"/>
    <w:rsid w:val="00BC7CFB"/>
    <w:rsid w:val="00BD2CFE"/>
    <w:rsid w:val="00BE0112"/>
    <w:rsid w:val="00BE238B"/>
    <w:rsid w:val="00BE2EF2"/>
    <w:rsid w:val="00C010C0"/>
    <w:rsid w:val="00C151FA"/>
    <w:rsid w:val="00C31F48"/>
    <w:rsid w:val="00C36628"/>
    <w:rsid w:val="00C44869"/>
    <w:rsid w:val="00C45868"/>
    <w:rsid w:val="00C56034"/>
    <w:rsid w:val="00C56420"/>
    <w:rsid w:val="00C56AA0"/>
    <w:rsid w:val="00C61236"/>
    <w:rsid w:val="00C7639E"/>
    <w:rsid w:val="00C81E19"/>
    <w:rsid w:val="00C849E9"/>
    <w:rsid w:val="00C94DFF"/>
    <w:rsid w:val="00C965DE"/>
    <w:rsid w:val="00CA1129"/>
    <w:rsid w:val="00CA6BB5"/>
    <w:rsid w:val="00CA6CC8"/>
    <w:rsid w:val="00CB053F"/>
    <w:rsid w:val="00CC01A6"/>
    <w:rsid w:val="00CC0DD7"/>
    <w:rsid w:val="00CD1C5D"/>
    <w:rsid w:val="00CE1B5A"/>
    <w:rsid w:val="00CE391F"/>
    <w:rsid w:val="00CF3DB6"/>
    <w:rsid w:val="00CF4F56"/>
    <w:rsid w:val="00D00B3F"/>
    <w:rsid w:val="00D0160A"/>
    <w:rsid w:val="00D0185C"/>
    <w:rsid w:val="00D05C94"/>
    <w:rsid w:val="00D13985"/>
    <w:rsid w:val="00D23E33"/>
    <w:rsid w:val="00D2689D"/>
    <w:rsid w:val="00D32B50"/>
    <w:rsid w:val="00D363F6"/>
    <w:rsid w:val="00D40171"/>
    <w:rsid w:val="00D41954"/>
    <w:rsid w:val="00D428F7"/>
    <w:rsid w:val="00D43ED6"/>
    <w:rsid w:val="00D46DAC"/>
    <w:rsid w:val="00D5193B"/>
    <w:rsid w:val="00D57020"/>
    <w:rsid w:val="00D5765F"/>
    <w:rsid w:val="00D57C5B"/>
    <w:rsid w:val="00D60F20"/>
    <w:rsid w:val="00D710D9"/>
    <w:rsid w:val="00D74C71"/>
    <w:rsid w:val="00D764DA"/>
    <w:rsid w:val="00D775DD"/>
    <w:rsid w:val="00D824EA"/>
    <w:rsid w:val="00D93A43"/>
    <w:rsid w:val="00D94AFC"/>
    <w:rsid w:val="00DB2375"/>
    <w:rsid w:val="00DB2E6C"/>
    <w:rsid w:val="00DB3232"/>
    <w:rsid w:val="00DB3E6E"/>
    <w:rsid w:val="00DD1659"/>
    <w:rsid w:val="00DD580E"/>
    <w:rsid w:val="00DE7994"/>
    <w:rsid w:val="00DF189D"/>
    <w:rsid w:val="00DF3547"/>
    <w:rsid w:val="00DF363F"/>
    <w:rsid w:val="00DF4824"/>
    <w:rsid w:val="00E0266A"/>
    <w:rsid w:val="00E039C2"/>
    <w:rsid w:val="00E04D4D"/>
    <w:rsid w:val="00E0556B"/>
    <w:rsid w:val="00E25501"/>
    <w:rsid w:val="00E26ABF"/>
    <w:rsid w:val="00E27B60"/>
    <w:rsid w:val="00E330BA"/>
    <w:rsid w:val="00E50772"/>
    <w:rsid w:val="00E60C23"/>
    <w:rsid w:val="00E655F0"/>
    <w:rsid w:val="00E76789"/>
    <w:rsid w:val="00E82AA7"/>
    <w:rsid w:val="00E82EC3"/>
    <w:rsid w:val="00E82F76"/>
    <w:rsid w:val="00EB21C0"/>
    <w:rsid w:val="00EB4A30"/>
    <w:rsid w:val="00EB564F"/>
    <w:rsid w:val="00EC00D0"/>
    <w:rsid w:val="00EC0F33"/>
    <w:rsid w:val="00ED115E"/>
    <w:rsid w:val="00ED1576"/>
    <w:rsid w:val="00EE0EFD"/>
    <w:rsid w:val="00EE201C"/>
    <w:rsid w:val="00EE59EA"/>
    <w:rsid w:val="00EF26EE"/>
    <w:rsid w:val="00EF2BCA"/>
    <w:rsid w:val="00F01845"/>
    <w:rsid w:val="00F034B1"/>
    <w:rsid w:val="00F15BA0"/>
    <w:rsid w:val="00F15FE4"/>
    <w:rsid w:val="00F213F1"/>
    <w:rsid w:val="00F32B95"/>
    <w:rsid w:val="00F369C8"/>
    <w:rsid w:val="00F407A5"/>
    <w:rsid w:val="00F40B9F"/>
    <w:rsid w:val="00F55710"/>
    <w:rsid w:val="00F564A3"/>
    <w:rsid w:val="00F57176"/>
    <w:rsid w:val="00F76F67"/>
    <w:rsid w:val="00F80633"/>
    <w:rsid w:val="00F92C3F"/>
    <w:rsid w:val="00F949B1"/>
    <w:rsid w:val="00F95E77"/>
    <w:rsid w:val="00F96E42"/>
    <w:rsid w:val="00F97A7B"/>
    <w:rsid w:val="00FA0CAE"/>
    <w:rsid w:val="00FA2043"/>
    <w:rsid w:val="00FA2D0D"/>
    <w:rsid w:val="00FC2ABA"/>
    <w:rsid w:val="00FC51AE"/>
    <w:rsid w:val="00FD280B"/>
    <w:rsid w:val="00FD43B7"/>
    <w:rsid w:val="00FD59EB"/>
    <w:rsid w:val="00FE03CF"/>
    <w:rsid w:val="00FE3EE4"/>
    <w:rsid w:val="00FF1984"/>
    <w:rsid w:val="0D0287AB"/>
    <w:rsid w:val="10B3D050"/>
    <w:rsid w:val="124C4EFB"/>
    <w:rsid w:val="1634D370"/>
    <w:rsid w:val="1AF0CDDE"/>
    <w:rsid w:val="1EDB168D"/>
    <w:rsid w:val="28045D82"/>
    <w:rsid w:val="2C3B4728"/>
    <w:rsid w:val="2E6B2008"/>
    <w:rsid w:val="3F7019BB"/>
    <w:rsid w:val="576E571D"/>
    <w:rsid w:val="5C928861"/>
    <w:rsid w:val="5CB07612"/>
    <w:rsid w:val="60FCFFEF"/>
    <w:rsid w:val="66DC6D79"/>
    <w:rsid w:val="676009EB"/>
    <w:rsid w:val="6BD41719"/>
    <w:rsid w:val="71C1527A"/>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A0F3A9"/>
  <w15:docId w15:val="{0CD0ED25-D19F-4E06-ADC3-7BDDE94E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unhideWhenUsed/>
    <w:rsid w:val="009A4214"/>
    <w:rPr>
      <w:sz w:val="20"/>
      <w:szCs w:val="20"/>
    </w:rPr>
  </w:style>
  <w:style w:type="character" w:customStyle="1" w:styleId="CommentTextChar">
    <w:name w:val="Comment Text Char"/>
    <w:basedOn w:val="DefaultParagraphFont"/>
    <w:link w:val="CommentText"/>
    <w:uiPriority w:val="99"/>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970C6"/>
  </w:style>
  <w:style w:type="character" w:styleId="UnresolvedMention">
    <w:name w:val="Unresolved Mention"/>
    <w:basedOn w:val="DefaultParagraphFont"/>
    <w:uiPriority w:val="99"/>
    <w:semiHidden/>
    <w:unhideWhenUsed/>
    <w:rsid w:val="00F0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hyperlink" Target="https://www.opm.gov/policy-data-oversight/pay-leave/salaries-wages/salary-tables/pdf/2023/DCB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ma.gov/media-library/assets/documents/225?id=139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10" ma:contentTypeDescription="Create a new document." ma:contentTypeScope="" ma:versionID="307e288fc00d6c0738d417e312c57e73">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716059320a7ef3b4bd2927b7f5ce62f6"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2.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3.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F5E07236-DCE0-4E9D-A72E-8485791B6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3883</Words>
  <Characters>22138</Characters>
  <Application>Microsoft Office Word</Application>
  <DocSecurity>0</DocSecurity>
  <Lines>184</Lines>
  <Paragraphs>51</Paragraphs>
  <ScaleCrop>false</ScaleCrop>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2023-09-27T13:29:00Z</dcterms:created>
  <dcterms:modified xsi:type="dcterms:W3CDTF">2023-09-27T13:29:00Z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MSIP_Label_a2eef23d-2e95-4428-9a3c-2526d95b164a_ActionId">
    <vt:lpwstr>274a71c4-65ea-470d-bdd5-33b1f89bb555</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2023-07-13T16:17:20Z</vt:lpwstr>
  </property>
  <property fmtid="{D5CDD505-2E9C-101B-9397-08002B2CF9AE}" pid="10" name="MSIP_Label_a2eef23d-2e95-4428-9a3c-2526d95b164a_SiteId">
    <vt:lpwstr>3ccde76c-946d-4a12-bb7a-fc9d0842354a</vt:lpwstr>
  </property>
</Properties>
</file>