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3FF02198" w14:textId="77777777">
      <w:pPr>
        <w:pStyle w:val="Header"/>
        <w:rPr>
          <w:rFonts w:ascii="Times New Roman" w:hAnsi="Times New Roman"/>
        </w:rPr>
      </w:pPr>
      <w:r w:rsidRPr="54C2EDD0">
        <w:rPr>
          <w:rFonts w:ascii="Times New Roman" w:hAnsi="Times New Roman"/>
        </w:rPr>
        <w:t xml:space="preserve">Tracking and OMB Number: </w:t>
      </w:r>
      <w:r w:rsidR="000E4891">
        <w:rPr>
          <w:rFonts w:ascii="Times New Roman" w:hAnsi="Times New Roman"/>
        </w:rPr>
        <w:t>1800</w:t>
      </w:r>
      <w:r w:rsidRPr="54C2EDD0">
        <w:rPr>
          <w:rFonts w:ascii="Times New Roman" w:hAnsi="Times New Roman"/>
        </w:rPr>
        <w:t>-</w:t>
      </w:r>
      <w:r w:rsidRPr="54C2EDD0" w:rsidR="012CE57E">
        <w:rPr>
          <w:rFonts w:ascii="Times New Roman" w:hAnsi="Times New Roman"/>
        </w:rPr>
        <w:t>00</w:t>
      </w:r>
      <w:r w:rsidR="000E4891">
        <w:rPr>
          <w:rFonts w:ascii="Times New Roman" w:hAnsi="Times New Roman"/>
        </w:rPr>
        <w:t>11</w:t>
      </w:r>
    </w:p>
    <w:p w:rsidR="00EA1767" w:rsidRPr="00AD381B" w:rsidP="54C2EDD0" w14:paraId="7A45A53F" w14:textId="77777777">
      <w:pPr>
        <w:pStyle w:val="Header"/>
        <w:rPr>
          <w:rFonts w:ascii="Times New Roman" w:hAnsi="Times New Roman"/>
          <w:color w:val="FFFFFF" w:themeColor="background1"/>
        </w:rPr>
      </w:pPr>
      <w:r w:rsidRPr="54C2EDD0">
        <w:rPr>
          <w:rFonts w:ascii="Times New Roman" w:hAnsi="Times New Roman"/>
        </w:rPr>
        <w:t xml:space="preserve">Revised: </w:t>
      </w:r>
      <w:r w:rsidRPr="54C2EDD0" w:rsidR="00DE0033">
        <w:rPr>
          <w:rFonts w:ascii="Times New Roman" w:hAnsi="Times New Roman"/>
        </w:rPr>
        <w:t>0</w:t>
      </w:r>
      <w:r w:rsidR="00DE0033">
        <w:rPr>
          <w:rFonts w:ascii="Times New Roman" w:hAnsi="Times New Roman"/>
        </w:rPr>
        <w:t>9</w:t>
      </w:r>
      <w:r w:rsidRPr="54C2EDD0" w:rsidR="378D4946">
        <w:rPr>
          <w:rFonts w:ascii="Times New Roman" w:hAnsi="Times New Roman"/>
        </w:rPr>
        <w:t>/</w:t>
      </w:r>
      <w:r w:rsidR="00DE0033">
        <w:rPr>
          <w:rFonts w:ascii="Times New Roman" w:hAnsi="Times New Roman"/>
        </w:rPr>
        <w:t>06</w:t>
      </w:r>
      <w:r w:rsidRPr="54C2EDD0" w:rsidR="378D4946">
        <w:rPr>
          <w:rFonts w:ascii="Times New Roman" w:hAnsi="Times New Roman"/>
        </w:rPr>
        <w:t>/202</w:t>
      </w:r>
      <w:r w:rsidR="000E4891">
        <w:rPr>
          <w:rFonts w:ascii="Times New Roman" w:hAnsi="Times New Roman"/>
        </w:rPr>
        <w:t>3</w:t>
      </w:r>
    </w:p>
    <w:p w:rsidR="00043C32" w:rsidRPr="00AD381B" w:rsidP="00AD381B" w14:paraId="5CE16AB4" w14:textId="77777777">
      <w:pPr>
        <w:pStyle w:val="Heading1"/>
        <w:rPr>
          <w:sz w:val="24"/>
          <w:szCs w:val="24"/>
        </w:rPr>
      </w:pPr>
      <w:r w:rsidRPr="00AD381B">
        <w:rPr>
          <w:sz w:val="24"/>
          <w:szCs w:val="24"/>
        </w:rPr>
        <w:t>SUPPORTING STATEMENT</w:t>
      </w:r>
    </w:p>
    <w:p w:rsidR="00043C32" w:rsidRPr="00AD381B" w:rsidP="00AD381B" w14:paraId="4EC76F4E" w14:textId="77777777">
      <w:pPr>
        <w:pStyle w:val="Heading1"/>
        <w:rPr>
          <w:sz w:val="24"/>
          <w:szCs w:val="24"/>
        </w:rPr>
      </w:pPr>
      <w:r w:rsidRPr="00AD381B">
        <w:rPr>
          <w:sz w:val="24"/>
          <w:szCs w:val="24"/>
        </w:rPr>
        <w:t>FOR PAPERWORK REDUCTION ACT SUBMISSION</w:t>
      </w:r>
    </w:p>
    <w:p w:rsidR="00043C32" w:rsidRPr="00AD381B" w:rsidP="00AD381B" w14:paraId="5405DD19" w14:textId="77777777">
      <w:pPr>
        <w:tabs>
          <w:tab w:val="left" w:pos="0"/>
        </w:tabs>
        <w:suppressAutoHyphens/>
        <w:rPr>
          <w:rFonts w:ascii="Times New Roman" w:hAnsi="Times New Roman"/>
          <w:szCs w:val="24"/>
        </w:rPr>
      </w:pPr>
    </w:p>
    <w:p w:rsidR="00EA1767" w:rsidRPr="00AD381B" w:rsidP="00AD381B" w14:paraId="7FFFF92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A060451" w14:textId="77777777">
      <w:pPr>
        <w:pStyle w:val="ListParagraph"/>
        <w:suppressAutoHyphens/>
        <w:spacing w:line="240" w:lineRule="exact"/>
        <w:rPr>
          <w:rFonts w:ascii="Times New Roman" w:hAnsi="Times New Roman"/>
          <w:szCs w:val="24"/>
        </w:rPr>
      </w:pPr>
    </w:p>
    <w:p w:rsidR="000E4891" w:rsidRPr="00341DB3" w:rsidP="00870AC6" w14:paraId="73E06546" w14:textId="2D9410C8">
      <w:pPr>
        <w:pStyle w:val="BodyText0"/>
        <w:tabs>
          <w:tab w:val="left" w:pos="3330"/>
        </w:tabs>
        <w:ind w:left="720"/>
        <w:rPr>
          <w:color w:val="000000"/>
          <w:sz w:val="24"/>
        </w:rPr>
      </w:pPr>
      <w:r w:rsidRPr="00341DB3">
        <w:rPr>
          <w:color w:val="000000"/>
          <w:sz w:val="24"/>
        </w:rPr>
        <w:t xml:space="preserve">This is </w:t>
      </w:r>
      <w:r w:rsidR="00E14568">
        <w:rPr>
          <w:color w:val="000000"/>
          <w:sz w:val="24"/>
        </w:rPr>
        <w:t>a revision</w:t>
      </w:r>
      <w:r w:rsidRPr="00341DB3">
        <w:rPr>
          <w:color w:val="000000"/>
          <w:sz w:val="24"/>
        </w:rPr>
        <w:t xml:space="preserve"> of a currently approved submission</w:t>
      </w:r>
      <w:r w:rsidRPr="00341DB3">
        <w:rPr>
          <w:color w:val="000000"/>
          <w:sz w:val="24"/>
        </w:rPr>
        <w:t>.</w:t>
      </w:r>
    </w:p>
    <w:p w:rsidR="000E4891" w:rsidP="000E4891" w14:paraId="029A2412" w14:textId="77777777">
      <w:pPr>
        <w:tabs>
          <w:tab w:val="left" w:pos="3330"/>
        </w:tabs>
        <w:rPr>
          <w:rFonts w:ascii="Times New Roman" w:hAnsi="Times New Roman"/>
          <w:color w:val="000000"/>
        </w:rPr>
      </w:pPr>
    </w:p>
    <w:p w:rsidR="000E4891" w:rsidRPr="00341DB3" w:rsidP="00870AC6" w14:paraId="6E6680E8" w14:textId="77777777">
      <w:pPr>
        <w:tabs>
          <w:tab w:val="left" w:pos="3330"/>
        </w:tabs>
        <w:ind w:left="720"/>
        <w:rPr>
          <w:rFonts w:ascii="Times New Roman" w:hAnsi="Times New Roman"/>
          <w:color w:val="000000"/>
        </w:rPr>
      </w:pPr>
      <w:r w:rsidRPr="00341DB3">
        <w:rPr>
          <w:rFonts w:ascii="Times New Roman" w:hAnsi="Times New Roman"/>
          <w:color w:val="000000"/>
        </w:rPr>
        <w:t>On September 11, 1993, President Clinton issued Executive Order 12862, “Setting Customer Service Standards” which established a</w:t>
      </w:r>
      <w:r w:rsidRPr="00341DB3">
        <w:rPr>
          <w:rFonts w:ascii="Times New Roman" w:hAnsi="Times New Roman"/>
          <w:color w:val="000000"/>
        </w:rPr>
        <w:t xml:space="preserve"> need to reform government practices and operations with the result that, when dealing with Federal agencies, all people would receive services that match or exceed the best service available in the private sector. </w:t>
      </w:r>
    </w:p>
    <w:p w:rsidR="000E4891" w:rsidRPr="00341DB3" w:rsidP="000E4891" w14:paraId="6D6C313A" w14:textId="77777777">
      <w:pPr>
        <w:pStyle w:val="BodyText0"/>
        <w:tabs>
          <w:tab w:val="left" w:pos="3330"/>
        </w:tabs>
        <w:rPr>
          <w:color w:val="000000"/>
          <w:sz w:val="24"/>
        </w:rPr>
      </w:pPr>
    </w:p>
    <w:p w:rsidR="000E4891" w:rsidRPr="00341DB3" w:rsidP="00870AC6" w14:paraId="6AA97308" w14:textId="77777777">
      <w:pPr>
        <w:tabs>
          <w:tab w:val="left" w:pos="3330"/>
        </w:tabs>
        <w:ind w:left="720"/>
        <w:rPr>
          <w:rFonts w:ascii="Times New Roman" w:hAnsi="Times New Roman"/>
        </w:rPr>
      </w:pPr>
      <w:r w:rsidRPr="00341DB3">
        <w:rPr>
          <w:rFonts w:ascii="Times New Roman" w:hAnsi="Times New Roman"/>
          <w:color w:val="000000"/>
        </w:rPr>
        <w:t>Section 1(b) of that Order required age</w:t>
      </w:r>
      <w:r w:rsidRPr="00341DB3">
        <w:rPr>
          <w:rFonts w:ascii="Times New Roman" w:hAnsi="Times New Roman"/>
          <w:color w:val="000000"/>
        </w:rPr>
        <w:t xml:space="preserve">ncies to “survey customers to determine the kind and quality of services they want and their level of satisfaction with existing services”. Section 1 (e) requires agencies to “survey front-line employees on barriers to, and ideas for, matching the best in </w:t>
      </w:r>
      <w:r w:rsidRPr="00341DB3">
        <w:rPr>
          <w:rFonts w:ascii="Times New Roman" w:hAnsi="Times New Roman"/>
          <w:color w:val="000000"/>
        </w:rPr>
        <w:t>business.”  These Presidential requirements established an ongoing need for the Department of Education (ED) to be engaged in an interactive process of collecting information and using it to improve program services and processes. Agencies are therefore au</w:t>
      </w:r>
      <w:r w:rsidRPr="00341DB3">
        <w:rPr>
          <w:rFonts w:ascii="Times New Roman" w:hAnsi="Times New Roman"/>
          <w:color w:val="000000"/>
        </w:rPr>
        <w:t>thorized to measure customer satisfaction and report results.  In addition, the March 22, 1995 Presidential Memo “Improving Customer Service,” states that customer views should be obtained to determine whether standards have been met on those matters which</w:t>
      </w:r>
      <w:r w:rsidRPr="00341DB3">
        <w:rPr>
          <w:rFonts w:ascii="Times New Roman" w:hAnsi="Times New Roman"/>
          <w:color w:val="000000"/>
        </w:rPr>
        <w:t xml:space="preserve"> most concern the customer. </w:t>
      </w:r>
      <w:r w:rsidRPr="00341DB3">
        <w:rPr>
          <w:rFonts w:ascii="Times New Roman" w:hAnsi="Times New Roman"/>
        </w:rPr>
        <w:t>This Master Plan represents the Department’s continued commitment to improve products and services.</w:t>
      </w:r>
    </w:p>
    <w:p w:rsidR="000E4891" w:rsidRPr="00341DB3" w:rsidP="000E4891" w14:paraId="01AEE894" w14:textId="77777777">
      <w:pPr>
        <w:pStyle w:val="BodyText0"/>
        <w:tabs>
          <w:tab w:val="left" w:pos="3330"/>
        </w:tabs>
        <w:rPr>
          <w:color w:val="000000"/>
          <w:sz w:val="24"/>
        </w:rPr>
      </w:pPr>
    </w:p>
    <w:p w:rsidR="000E4891" w:rsidRPr="00341DB3" w:rsidP="00870AC6" w14:paraId="2E1D341B" w14:textId="77777777">
      <w:pPr>
        <w:autoSpaceDE w:val="0"/>
        <w:autoSpaceDN w:val="0"/>
        <w:adjustRightInd w:val="0"/>
        <w:ind w:left="720"/>
        <w:rPr>
          <w:rFonts w:ascii="Times New Roman" w:hAnsi="Times New Roman"/>
          <w:szCs w:val="24"/>
        </w:rPr>
      </w:pPr>
      <w:r w:rsidRPr="00341DB3">
        <w:rPr>
          <w:rFonts w:ascii="Times New Roman" w:hAnsi="Times New Roman"/>
          <w:szCs w:val="24"/>
        </w:rPr>
        <w:t>Surveys to be considered under this generic will only include those surveys that improve a customer service or collect feedback</w:t>
      </w:r>
      <w:r w:rsidRPr="00341DB3">
        <w:rPr>
          <w:rFonts w:ascii="Times New Roman" w:hAnsi="Times New Roman"/>
          <w:szCs w:val="24"/>
        </w:rPr>
        <w:t xml:space="preserve"> about a service provided.  The results of the customer surveys will help ED managers plan and implement program improvements and other customer satisfaction initiatives.   Focus groups that will be considered under the generic clearance will assess custom</w:t>
      </w:r>
      <w:r w:rsidRPr="00341DB3">
        <w:rPr>
          <w:rFonts w:ascii="Times New Roman" w:hAnsi="Times New Roman"/>
          <w:szCs w:val="24"/>
        </w:rPr>
        <w:t>er satisfaction with a direct service, be of limited size or scope, and/or will be designed to inform a customer satisfaction survey ED was considering.  Surveys that have the potential to influence policy will not be considered under this generic clearanc</w:t>
      </w:r>
      <w:r w:rsidRPr="00341DB3">
        <w:rPr>
          <w:rFonts w:ascii="Times New Roman" w:hAnsi="Times New Roman"/>
          <w:szCs w:val="24"/>
        </w:rPr>
        <w:t xml:space="preserve">e.  </w:t>
      </w:r>
    </w:p>
    <w:p w:rsidR="000E4891" w:rsidRPr="00341DB3" w:rsidP="000E4891" w14:paraId="3164CE72" w14:textId="77777777">
      <w:pPr>
        <w:autoSpaceDE w:val="0"/>
        <w:autoSpaceDN w:val="0"/>
        <w:adjustRightInd w:val="0"/>
        <w:rPr>
          <w:rFonts w:ascii="Times New Roman" w:hAnsi="Times New Roman"/>
          <w:szCs w:val="24"/>
        </w:rPr>
      </w:pPr>
    </w:p>
    <w:p w:rsidR="0050064A" w:rsidP="00870AC6" w14:paraId="0350C5B5" w14:textId="77777777">
      <w:pPr>
        <w:autoSpaceDE w:val="0"/>
        <w:autoSpaceDN w:val="0"/>
        <w:adjustRightInd w:val="0"/>
        <w:ind w:left="720"/>
        <w:rPr>
          <w:rFonts w:ascii="Times New Roman" w:hAnsi="Times New Roman"/>
          <w:szCs w:val="24"/>
        </w:rPr>
      </w:pPr>
      <w:r w:rsidRPr="00341DB3">
        <w:rPr>
          <w:rFonts w:ascii="Times New Roman" w:hAnsi="Times New Roman"/>
          <w:szCs w:val="24"/>
        </w:rPr>
        <w:t xml:space="preserve">The types of surveys to be included in this clearance include customer surveys and focus groups. Program offices will submit a generic information collection that shall include all relevant information, including a statement of need, intended use </w:t>
      </w:r>
      <w:r w:rsidRPr="00341DB3">
        <w:rPr>
          <w:rFonts w:ascii="Times New Roman" w:hAnsi="Times New Roman"/>
          <w:szCs w:val="24"/>
        </w:rPr>
        <w:t>of information, description of respondents, information collection procedures, expected response rates, justification for incentives and estimated burden.</w:t>
      </w:r>
    </w:p>
    <w:p w:rsidR="0050064A" w:rsidP="0050064A" w14:paraId="4CBD5F82" w14:textId="77777777">
      <w:pPr>
        <w:autoSpaceDE w:val="0"/>
        <w:autoSpaceDN w:val="0"/>
        <w:adjustRightInd w:val="0"/>
        <w:rPr>
          <w:rFonts w:ascii="Times New Roman" w:hAnsi="Times New Roman"/>
          <w:szCs w:val="24"/>
        </w:rPr>
      </w:pPr>
    </w:p>
    <w:p w:rsidR="0050064A" w:rsidP="00870AC6" w14:paraId="1805E542" w14:textId="77777777">
      <w:pPr>
        <w:autoSpaceDE w:val="0"/>
        <w:autoSpaceDN w:val="0"/>
        <w:adjustRightInd w:val="0"/>
        <w:ind w:left="720"/>
        <w:rPr>
          <w:rFonts w:ascii="Times New Roman" w:hAnsi="Times New Roman"/>
          <w:color w:val="000000"/>
        </w:rPr>
      </w:pPr>
      <w:r w:rsidRPr="0050064A">
        <w:rPr>
          <w:rFonts w:ascii="Times New Roman" w:hAnsi="Times New Roman"/>
          <w:color w:val="000000"/>
        </w:rPr>
        <w:t xml:space="preserve">ED has included Appendix A which contains the listing of all currently approved ED surveys to </w:t>
      </w:r>
      <w:r w:rsidRPr="0050064A">
        <w:rPr>
          <w:rFonts w:ascii="Times New Roman" w:hAnsi="Times New Roman"/>
          <w:color w:val="000000"/>
        </w:rPr>
        <w:t>date and new surveys to be submitted during the next 3 years.</w:t>
      </w:r>
      <w:r>
        <w:rPr>
          <w:rFonts w:ascii="Times New Roman" w:hAnsi="Times New Roman"/>
          <w:color w:val="000000"/>
        </w:rPr>
        <w:t xml:space="preserve"> </w:t>
      </w:r>
    </w:p>
    <w:p w:rsidR="0050064A" w:rsidP="0050064A" w14:paraId="3538D617" w14:textId="77777777">
      <w:pPr>
        <w:autoSpaceDE w:val="0"/>
        <w:autoSpaceDN w:val="0"/>
        <w:adjustRightInd w:val="0"/>
        <w:rPr>
          <w:rFonts w:ascii="Times New Roman" w:hAnsi="Times New Roman"/>
          <w:color w:val="000000"/>
        </w:rPr>
      </w:pPr>
    </w:p>
    <w:p w:rsidR="00B34D00" w:rsidRPr="00AF3415" w:rsidP="00870AC6" w14:paraId="607A0446" w14:textId="77777777">
      <w:pPr>
        <w:autoSpaceDE w:val="0"/>
        <w:autoSpaceDN w:val="0"/>
        <w:adjustRightInd w:val="0"/>
        <w:ind w:left="720"/>
        <w:rPr>
          <w:rFonts w:ascii="Times New Roman" w:hAnsi="Times New Roman"/>
        </w:rPr>
      </w:pPr>
      <w:r w:rsidRPr="00AF3415">
        <w:rPr>
          <w:rFonts w:ascii="Times New Roman" w:hAnsi="Times New Roman"/>
        </w:rPr>
        <w:t>In addition to customer surveys, this generic clearance has been revised to include challenges and contests. On January 21, 2009, the President issued a memorandum calling for the establishmen</w:t>
      </w:r>
      <w:r w:rsidRPr="00AF3415">
        <w:rPr>
          <w:rFonts w:ascii="Times New Roman" w:hAnsi="Times New Roman"/>
        </w:rPr>
        <w:t>t of “a system of transparency, public participation, and collaboration.”   The memorandum required an Open Government Directive to be issued by the Director of the Office of Management and Budget (OMB), instructing “executive departments and agencies to t</w:t>
      </w:r>
      <w:r w:rsidRPr="00AF3415">
        <w:rPr>
          <w:rFonts w:ascii="Times New Roman" w:hAnsi="Times New Roman"/>
        </w:rPr>
        <w:t>ake specific actions implementing the principles set forth in this memorandum.”  Among the means to engage in these advocated Open Government activities was the use of challenges and prize competition mechanisms that would involve the public in new, compre</w:t>
      </w:r>
      <w:r w:rsidRPr="00AF3415">
        <w:rPr>
          <w:rFonts w:ascii="Times New Roman" w:hAnsi="Times New Roman"/>
        </w:rPr>
        <w:t>hensive, and innovative.</w:t>
      </w:r>
    </w:p>
    <w:p w:rsidR="00B34D00" w:rsidRPr="00AF3415" w:rsidP="00B34D00" w14:paraId="4402DC0D" w14:textId="77777777">
      <w:pPr>
        <w:autoSpaceDE w:val="0"/>
        <w:autoSpaceDN w:val="0"/>
        <w:adjustRightInd w:val="0"/>
        <w:rPr>
          <w:rFonts w:ascii="Times New Roman" w:hAnsi="Times New Roman"/>
        </w:rPr>
      </w:pPr>
    </w:p>
    <w:p w:rsidR="0050064A" w:rsidRPr="00AF3415" w:rsidP="00870AC6" w14:paraId="3CC0CAC5" w14:textId="77777777">
      <w:pPr>
        <w:autoSpaceDE w:val="0"/>
        <w:autoSpaceDN w:val="0"/>
        <w:adjustRightInd w:val="0"/>
        <w:ind w:left="720"/>
        <w:rPr>
          <w:rFonts w:ascii="Times New Roman" w:hAnsi="Times New Roman"/>
        </w:rPr>
      </w:pPr>
      <w:r w:rsidRPr="00AF3415">
        <w:rPr>
          <w:rFonts w:ascii="Times New Roman" w:hAnsi="Times New Roman"/>
        </w:rPr>
        <w:t>With regard to specific initiatives on conducting prize competitions and challenges, OMB issued Memorandum M-10-11 in March 2010 entitled “Guidance on the Use of Challenges and Prizes to Promote Open Government.”   Through this po</w:t>
      </w:r>
      <w:r w:rsidRPr="00AF3415">
        <w:rPr>
          <w:rFonts w:ascii="Times New Roman" w:hAnsi="Times New Roman"/>
        </w:rPr>
        <w:t>licy, agencies were encouraged to develop challenges and prize competitions that provide opportunities to engage new communities to help with problem-solving consistent with the approach of a more open government.  In 2011, agencies were given additional a</w:t>
      </w:r>
      <w:r w:rsidRPr="00AF3415">
        <w:rPr>
          <w:rFonts w:ascii="Times New Roman" w:hAnsi="Times New Roman"/>
        </w:rPr>
        <w:t xml:space="preserve">uthorities that enable them to use prize authority for challenges and competitions.  </w:t>
      </w:r>
      <w:r w:rsidRPr="00AF3415" w:rsidR="007A1534">
        <w:rPr>
          <w:rFonts w:ascii="Times New Roman" w:hAnsi="Times New Roman"/>
        </w:rPr>
        <w:t>General solic</w:t>
      </w:r>
      <w:r w:rsidRPr="00AF3415" w:rsidR="009C6B53">
        <w:rPr>
          <w:rFonts w:ascii="Times New Roman" w:hAnsi="Times New Roman"/>
        </w:rPr>
        <w:t>i</w:t>
      </w:r>
      <w:r w:rsidRPr="00AF3415" w:rsidR="007A1534">
        <w:rPr>
          <w:rFonts w:ascii="Times New Roman" w:hAnsi="Times New Roman"/>
        </w:rPr>
        <w:t>tations of challenges or contests with contact information, video and narrative stories with no structured questions and general consent forms fall outside the Paperwork Reduction Act. However, this addition is necessary if ED decides to include registry questions beyond contact information, structured questions or demographic information.</w:t>
      </w:r>
    </w:p>
    <w:p w:rsidR="00923738" w:rsidRPr="00AF3415" w:rsidP="00B34D00" w14:paraId="4B2FBE8F" w14:textId="77777777">
      <w:pPr>
        <w:autoSpaceDE w:val="0"/>
        <w:autoSpaceDN w:val="0"/>
        <w:adjustRightInd w:val="0"/>
        <w:rPr>
          <w:rFonts w:ascii="Times New Roman" w:hAnsi="Times New Roman"/>
        </w:rPr>
      </w:pPr>
    </w:p>
    <w:p w:rsidR="00923738" w:rsidP="00F92741" w14:paraId="01AE495F" w14:textId="77777777">
      <w:pPr>
        <w:autoSpaceDE w:val="0"/>
        <w:autoSpaceDN w:val="0"/>
        <w:adjustRightInd w:val="0"/>
        <w:ind w:left="720"/>
        <w:rPr>
          <w:rFonts w:ascii="Times New Roman" w:hAnsi="Times New Roman"/>
        </w:rPr>
      </w:pPr>
      <w:r w:rsidRPr="00AF3415">
        <w:rPr>
          <w:rFonts w:ascii="Times New Roman" w:hAnsi="Times New Roman"/>
        </w:rPr>
        <w:t xml:space="preserve">Challenges and prize competitions enable ED to tap into the expertise </w:t>
      </w:r>
      <w:r w:rsidRPr="00AF3415">
        <w:rPr>
          <w:rFonts w:ascii="Times New Roman" w:hAnsi="Times New Roman"/>
        </w:rPr>
        <w:t xml:space="preserve">and creativity of the public in new ways as well as extend awareness of ED programs and priorities.  The generic clearance is necessary for </w:t>
      </w:r>
      <w:r w:rsidRPr="00AF3415" w:rsidR="001D6059">
        <w:rPr>
          <w:rFonts w:ascii="Times New Roman" w:hAnsi="Times New Roman"/>
        </w:rPr>
        <w:t xml:space="preserve">ED </w:t>
      </w:r>
      <w:r w:rsidRPr="00AF3415">
        <w:rPr>
          <w:rFonts w:ascii="Times New Roman" w:hAnsi="Times New Roman"/>
        </w:rPr>
        <w:t>to more effectively design, administer, and understand impact of its challenges and prize competitions. The infor</w:t>
      </w:r>
      <w:r w:rsidRPr="00AF3415">
        <w:rPr>
          <w:rFonts w:ascii="Times New Roman" w:hAnsi="Times New Roman"/>
        </w:rPr>
        <w:t>mation collected for these challenges and prize competitions will generally include the submitter’s or other contact person’s first and last name, organizational affiliation and role in the organization (for identification purposes); email address or other</w:t>
      </w:r>
      <w:r w:rsidRPr="00AF3415">
        <w:rPr>
          <w:rFonts w:ascii="Times New Roman" w:hAnsi="Times New Roman"/>
        </w:rPr>
        <w:t xml:space="preserve"> contact information (to follow up if the submitted </w:t>
      </w:r>
      <w:r w:rsidRPr="00AF3415" w:rsidR="00EF253A">
        <w:rPr>
          <w:rFonts w:ascii="Times New Roman" w:hAnsi="Times New Roman"/>
        </w:rPr>
        <w:t>entry</w:t>
      </w:r>
      <w:r w:rsidRPr="00AF3415">
        <w:rPr>
          <w:rFonts w:ascii="Times New Roman" w:hAnsi="Times New Roman"/>
        </w:rPr>
        <w:t xml:space="preserve"> is selected as a finalist or winner); street address (to confirm that the submitter or affiliated organization is located in the United States, for eligibility purposes); information confirming whet</w:t>
      </w:r>
      <w:r w:rsidRPr="00AF3415">
        <w:rPr>
          <w:rFonts w:ascii="Times New Roman" w:hAnsi="Times New Roman"/>
        </w:rPr>
        <w:t>her the submitter’s age is 13 years or older (to ensure compliance with the Children’s Online Privacy Protection Act of 1998, 15 U.S.C. § 6501-6505 (COPPA)) or 18 years or older (to ensure necessary consents are obtained); and a narrative description of th</w:t>
      </w:r>
      <w:r w:rsidRPr="00AF3415">
        <w:rPr>
          <w:rFonts w:ascii="Times New Roman" w:hAnsi="Times New Roman"/>
        </w:rPr>
        <w:t xml:space="preserve">e </w:t>
      </w:r>
      <w:r w:rsidRPr="00AF3415" w:rsidR="00EF253A">
        <w:rPr>
          <w:rFonts w:ascii="Times New Roman" w:hAnsi="Times New Roman"/>
        </w:rPr>
        <w:t>entry</w:t>
      </w:r>
      <w:r w:rsidRPr="00AF3415">
        <w:rPr>
          <w:rFonts w:ascii="Times New Roman" w:hAnsi="Times New Roman"/>
        </w:rPr>
        <w:t xml:space="preserve">.  </w:t>
      </w:r>
      <w:r w:rsidRPr="00AF3415" w:rsidR="00ED5C62">
        <w:rPr>
          <w:rFonts w:ascii="Times New Roman" w:hAnsi="Times New Roman"/>
        </w:rPr>
        <w:t>ED</w:t>
      </w:r>
      <w:r w:rsidRPr="00AF3415">
        <w:rPr>
          <w:rFonts w:ascii="Times New Roman" w:hAnsi="Times New Roman"/>
        </w:rPr>
        <w:t xml:space="preserve"> may also request </w:t>
      </w:r>
      <w:r w:rsidRPr="00AF3415" w:rsidR="00254A34">
        <w:rPr>
          <w:rFonts w:ascii="Times New Roman" w:hAnsi="Times New Roman"/>
        </w:rPr>
        <w:t xml:space="preserve">demographic </w:t>
      </w:r>
      <w:r w:rsidRPr="00AF3415">
        <w:rPr>
          <w:rFonts w:ascii="Times New Roman" w:hAnsi="Times New Roman"/>
        </w:rPr>
        <w:t>information indicating the submitter’s technical background, educational level, ethnicity, age range, gender, and race (to evaluate entrants’ diversity and backgrounds), how the submitter learned about the challeng</w:t>
      </w:r>
      <w:r w:rsidRPr="00AF3415">
        <w:rPr>
          <w:rFonts w:ascii="Times New Roman" w:hAnsi="Times New Roman"/>
        </w:rPr>
        <w:t xml:space="preserve">e or prize competition and what the submitter currently understands about the agency hosting the challenge or prize competition (to gauge the effect of the challenge or prize competition on increasing public awareness of </w:t>
      </w:r>
      <w:r w:rsidRPr="00AF3415" w:rsidR="0078452D">
        <w:rPr>
          <w:rFonts w:ascii="Times New Roman" w:hAnsi="Times New Roman"/>
        </w:rPr>
        <w:t>ED</w:t>
      </w:r>
      <w:r w:rsidRPr="00AF3415">
        <w:rPr>
          <w:rFonts w:ascii="Times New Roman" w:hAnsi="Times New Roman"/>
        </w:rPr>
        <w:t xml:space="preserve"> programs and priorities, and gen</w:t>
      </w:r>
      <w:r w:rsidRPr="00AF3415">
        <w:rPr>
          <w:rFonts w:ascii="Times New Roman" w:hAnsi="Times New Roman"/>
        </w:rPr>
        <w:t xml:space="preserve">erally to enable </w:t>
      </w:r>
      <w:r w:rsidRPr="00AF3415" w:rsidR="0078452D">
        <w:rPr>
          <w:rFonts w:ascii="Times New Roman" w:hAnsi="Times New Roman"/>
        </w:rPr>
        <w:t>ED</w:t>
      </w:r>
      <w:r w:rsidRPr="00AF3415">
        <w:rPr>
          <w:rFonts w:ascii="Times New Roman" w:hAnsi="Times New Roman"/>
        </w:rPr>
        <w:t xml:space="preserve"> to improve its outreach strategies to ensure a diverse and broad innovator constituency is fostered through the use of </w:t>
      </w:r>
      <w:r w:rsidRPr="00AF3415">
        <w:rPr>
          <w:rFonts w:ascii="Times New Roman" w:hAnsi="Times New Roman"/>
        </w:rPr>
        <w:t xml:space="preserve">challenges and prize competitions). Finally, </w:t>
      </w:r>
      <w:r w:rsidRPr="00AF3415" w:rsidR="007F6D94">
        <w:rPr>
          <w:rFonts w:ascii="Times New Roman" w:hAnsi="Times New Roman"/>
        </w:rPr>
        <w:t>ED</w:t>
      </w:r>
      <w:r w:rsidRPr="00AF3415">
        <w:rPr>
          <w:rFonts w:ascii="Times New Roman" w:hAnsi="Times New Roman"/>
        </w:rPr>
        <w:t xml:space="preserve"> may ask for additional information tailored to the particular challenge or prize competition through structured questions.  </w:t>
      </w:r>
      <w:r w:rsidRPr="00F92741" w:rsidR="00F92741">
        <w:rPr>
          <w:rFonts w:ascii="Times New Roman" w:hAnsi="Times New Roman"/>
        </w:rPr>
        <w:t xml:space="preserve">The information collected will be used for several purposes, depending on specific needs of individual activities. First, it will help </w:t>
      </w:r>
      <w:r w:rsidR="00F92741">
        <w:rPr>
          <w:rFonts w:ascii="Times New Roman" w:hAnsi="Times New Roman"/>
        </w:rPr>
        <w:t>ED</w:t>
      </w:r>
      <w:r w:rsidRPr="00F92741" w:rsidR="00F92741">
        <w:rPr>
          <w:rFonts w:ascii="Times New Roman" w:hAnsi="Times New Roman"/>
        </w:rPr>
        <w:t xml:space="preserve"> pick a winner based on merit for the specific challenge or contest. Second, it will inform and allow real-time adjustments to the challenge competition. This may include for example understanding whether desired target audiences are being reached through outreach efforts. Third, it will provide insights that can be used to better design future challenges. This information may be used by the the agency or might be shared through communities of practice. And it will support efforts to measure overall impact and achievement of stated goals.</w:t>
      </w:r>
    </w:p>
    <w:p w:rsidR="00F92741" w:rsidRPr="00AF3415" w:rsidP="00F92741" w14:paraId="164177B0" w14:textId="77777777">
      <w:pPr>
        <w:autoSpaceDE w:val="0"/>
        <w:autoSpaceDN w:val="0"/>
        <w:adjustRightInd w:val="0"/>
        <w:ind w:left="720"/>
        <w:rPr>
          <w:rFonts w:ascii="Times New Roman" w:hAnsi="Times New Roman"/>
        </w:rPr>
      </w:pPr>
    </w:p>
    <w:p w:rsidR="00923738" w:rsidP="00870AC6" w14:paraId="68995AED" w14:textId="455150C8">
      <w:pPr>
        <w:autoSpaceDE w:val="0"/>
        <w:autoSpaceDN w:val="0"/>
        <w:adjustRightInd w:val="0"/>
        <w:ind w:left="720"/>
        <w:rPr>
          <w:rFonts w:ascii="Times New Roman" w:hAnsi="Times New Roman"/>
        </w:rPr>
      </w:pPr>
      <w:r w:rsidRPr="00AF3415">
        <w:rPr>
          <w:rFonts w:ascii="Times New Roman" w:hAnsi="Times New Roman"/>
        </w:rPr>
        <w:t xml:space="preserve">Upon entry or during the judging process, </w:t>
      </w:r>
      <w:r w:rsidRPr="00AF3415" w:rsidR="0091027D">
        <w:rPr>
          <w:rFonts w:ascii="Times New Roman" w:hAnsi="Times New Roman"/>
        </w:rPr>
        <w:t>individuals</w:t>
      </w:r>
      <w:r w:rsidRPr="00AF3415">
        <w:rPr>
          <w:rFonts w:ascii="Times New Roman" w:hAnsi="Times New Roman"/>
        </w:rPr>
        <w:t xml:space="preserve"> under the age of 18 will be asked to confirm parental consent, which will require them to obtain and provide a parent or guardian signature in a format outlined i</w:t>
      </w:r>
      <w:r w:rsidRPr="00AF3415">
        <w:rPr>
          <w:rFonts w:ascii="Times New Roman" w:hAnsi="Times New Roman"/>
        </w:rPr>
        <w:t xml:space="preserve">n the specific criteria of each challenge or prize competition in order to qualify for the contest.  To protect online privacy of minors, birthdate may be required by the website host to ensure the challenge platform meets the requirements of COPPA.  </w:t>
      </w:r>
    </w:p>
    <w:p w:rsidR="007E47DF" w:rsidP="00870AC6" w14:paraId="5B94F42D" w14:textId="7C685549">
      <w:pPr>
        <w:autoSpaceDE w:val="0"/>
        <w:autoSpaceDN w:val="0"/>
        <w:adjustRightInd w:val="0"/>
        <w:ind w:left="720"/>
        <w:rPr>
          <w:rFonts w:ascii="Times New Roman" w:hAnsi="Times New Roman"/>
        </w:rPr>
      </w:pPr>
    </w:p>
    <w:p w:rsidR="000E4891" w:rsidRPr="0050064A" w:rsidP="000E4891" w14:paraId="2B8EEC24" w14:textId="77777777">
      <w:pPr>
        <w:pStyle w:val="ListParagraph"/>
        <w:suppressAutoHyphens/>
        <w:spacing w:line="240" w:lineRule="exact"/>
        <w:contextualSpacing w:val="0"/>
        <w:rPr>
          <w:rFonts w:ascii="Times New Roman" w:hAnsi="Times New Roman"/>
          <w:szCs w:val="24"/>
        </w:rPr>
      </w:pPr>
    </w:p>
    <w:p w:rsidR="00AD381B" w:rsidP="00AD381B" w14:paraId="2505E1F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w:t>
      </w:r>
      <w:r w:rsidRPr="00AD381B">
        <w:rPr>
          <w:rFonts w:ascii="Times New Roman" w:hAnsi="Times New Roman"/>
          <w:b/>
          <w:szCs w:val="24"/>
        </w:rPr>
        <w:t>dicate how, by whom, and for what purpose the information is to be used.  Except for a new collection, indicate the actual use the agency has made of the information received from the current collection.</w:t>
      </w:r>
    </w:p>
    <w:p w:rsidR="000E4891" w:rsidP="000E4891" w14:paraId="6DBAA61B" w14:textId="77777777">
      <w:pPr>
        <w:tabs>
          <w:tab w:val="left" w:pos="3330"/>
        </w:tabs>
        <w:ind w:left="720"/>
        <w:rPr>
          <w:rFonts w:ascii="Times New Roman" w:hAnsi="Times New Roman"/>
          <w:color w:val="000000"/>
        </w:rPr>
      </w:pPr>
    </w:p>
    <w:p w:rsidR="000E4891" w:rsidRPr="000E4891" w:rsidP="000E4891" w14:paraId="2C8350CC" w14:textId="77777777">
      <w:pPr>
        <w:tabs>
          <w:tab w:val="left" w:pos="3330"/>
        </w:tabs>
        <w:ind w:left="720"/>
        <w:rPr>
          <w:rFonts w:ascii="Times New Roman" w:hAnsi="Times New Roman"/>
          <w:color w:val="000000"/>
        </w:rPr>
      </w:pPr>
      <w:r w:rsidRPr="000E4891">
        <w:rPr>
          <w:rFonts w:ascii="Times New Roman" w:hAnsi="Times New Roman"/>
          <w:color w:val="000000"/>
        </w:rPr>
        <w:t>The primary objective in the Executive Order was th</w:t>
      </w:r>
      <w:r w:rsidRPr="000E4891">
        <w:rPr>
          <w:rFonts w:ascii="Times New Roman" w:hAnsi="Times New Roman"/>
          <w:color w:val="000000"/>
        </w:rPr>
        <w:t xml:space="preserve">at all entities and individuals directly served by ED will receive the highest quality of service comparable to private organizations.  These individual and entities are defined as our “customers.”  </w:t>
      </w:r>
    </w:p>
    <w:p w:rsidR="000E4891" w:rsidRPr="000E4891" w:rsidP="000E4891" w14:paraId="44BF66AB" w14:textId="77777777">
      <w:pPr>
        <w:pStyle w:val="ListParagraph"/>
        <w:tabs>
          <w:tab w:val="left" w:pos="3330"/>
        </w:tabs>
        <w:rPr>
          <w:rFonts w:ascii="Times New Roman" w:hAnsi="Times New Roman"/>
          <w:color w:val="000000"/>
        </w:rPr>
      </w:pPr>
    </w:p>
    <w:p w:rsidR="000E4891" w:rsidRPr="000E4891" w:rsidP="000E4891" w14:paraId="7DD28FAD" w14:textId="77777777">
      <w:pPr>
        <w:tabs>
          <w:tab w:val="left" w:pos="3330"/>
        </w:tabs>
        <w:ind w:left="720"/>
        <w:rPr>
          <w:rFonts w:ascii="Times New Roman" w:hAnsi="Times New Roman"/>
          <w:color w:val="000000"/>
        </w:rPr>
      </w:pPr>
      <w:r w:rsidRPr="000E4891">
        <w:rPr>
          <w:rFonts w:ascii="Times New Roman" w:hAnsi="Times New Roman"/>
          <w:color w:val="000000"/>
        </w:rPr>
        <w:t>In ED, senior management has clearly defined our ultima</w:t>
      </w:r>
      <w:r w:rsidRPr="000E4891">
        <w:rPr>
          <w:rFonts w:ascii="Times New Roman" w:hAnsi="Times New Roman"/>
          <w:color w:val="000000"/>
        </w:rPr>
        <w:t>te customer as the learner of all ages.  This ultimate customer might be classified in four primary groups: pre-school children, elementary and secondary students, postsecondary and graduate students, and adult learners.  Besides these customers, ED also p</w:t>
      </w:r>
      <w:r w:rsidRPr="000E4891">
        <w:rPr>
          <w:rFonts w:ascii="Times New Roman" w:hAnsi="Times New Roman"/>
          <w:color w:val="000000"/>
        </w:rPr>
        <w:t xml:space="preserve">rovides funds and services directly to: parents, teachers, principals, local education agencies, state education agencies, Governors and those committees and agencies which report directly to them, institutions of higher education, accreditation agencies, </w:t>
      </w:r>
      <w:r w:rsidRPr="000E4891">
        <w:rPr>
          <w:rFonts w:ascii="Times New Roman" w:hAnsi="Times New Roman"/>
          <w:color w:val="000000"/>
        </w:rPr>
        <w:t xml:space="preserve">lenders, guarantee agencies, national special interest groups with an interest in education, contractors, grantees, and individuals seeking employment with ED.  Each of these groups, while often also a partner in the education process, is to be considered </w:t>
      </w:r>
      <w:r w:rsidRPr="000E4891">
        <w:rPr>
          <w:rFonts w:ascii="Times New Roman" w:hAnsi="Times New Roman"/>
          <w:color w:val="000000"/>
        </w:rPr>
        <w:t>an ED customer.  As such, the expectations and requirements of each of these groups will need to be understood.  The array of customer satisfaction surveys to be conducted by ED will assess these needs to help develop proposals to meet the needs at a level</w:t>
      </w:r>
      <w:r w:rsidRPr="000E4891">
        <w:rPr>
          <w:rFonts w:ascii="Times New Roman" w:hAnsi="Times New Roman"/>
          <w:color w:val="000000"/>
        </w:rPr>
        <w:t xml:space="preserve"> that matches or exceeds the best service available in the private sector.</w:t>
      </w:r>
    </w:p>
    <w:p w:rsidR="000E4891" w:rsidRPr="000E4891" w:rsidP="000E4891" w14:paraId="11DECCB9" w14:textId="77777777">
      <w:pPr>
        <w:tabs>
          <w:tab w:val="left" w:pos="3330"/>
        </w:tabs>
        <w:ind w:left="360"/>
        <w:rPr>
          <w:rFonts w:ascii="Times New Roman" w:hAnsi="Times New Roman"/>
          <w:color w:val="000000"/>
        </w:rPr>
      </w:pPr>
    </w:p>
    <w:p w:rsidR="000E4891" w:rsidRPr="000E4891" w:rsidP="000E4891" w14:paraId="2B6085D6" w14:textId="77777777">
      <w:pPr>
        <w:tabs>
          <w:tab w:val="left" w:pos="3330"/>
        </w:tabs>
        <w:ind w:left="720"/>
        <w:rPr>
          <w:rFonts w:ascii="Times New Roman" w:hAnsi="Times New Roman"/>
          <w:color w:val="000000"/>
        </w:rPr>
      </w:pPr>
      <w:r w:rsidRPr="000E4891">
        <w:rPr>
          <w:rFonts w:ascii="Times New Roman" w:hAnsi="Times New Roman"/>
          <w:color w:val="000000"/>
        </w:rPr>
        <w:t xml:space="preserve">In order to continue to meet these objectives, ED will establish an internal process where customer satisfaction is regularly monitored and measured.   The results will be “fed </w:t>
      </w:r>
      <w:r w:rsidRPr="000E4891">
        <w:rPr>
          <w:rFonts w:ascii="Times New Roman" w:hAnsi="Times New Roman"/>
          <w:color w:val="000000"/>
        </w:rPr>
        <w:t>back” into the ED programs’ planning and decision-making processes to improve the quality of ED program’s products and services.  To do this, ED program offices will continue to conduct customer service focus groups and surveys.</w:t>
      </w:r>
    </w:p>
    <w:p w:rsidR="000E4891" w:rsidRPr="000E4891" w:rsidP="000E4891" w14:paraId="30FB3829" w14:textId="77777777">
      <w:pPr>
        <w:tabs>
          <w:tab w:val="left" w:pos="3330"/>
        </w:tabs>
        <w:ind w:left="360"/>
        <w:rPr>
          <w:rFonts w:ascii="Times New Roman" w:hAnsi="Times New Roman"/>
          <w:color w:val="000000"/>
        </w:rPr>
      </w:pPr>
    </w:p>
    <w:p w:rsidR="000E4891" w:rsidRPr="000E4891" w:rsidP="000E4891" w14:paraId="30A6596F" w14:textId="77777777">
      <w:pPr>
        <w:tabs>
          <w:tab w:val="left" w:pos="3330"/>
        </w:tabs>
        <w:ind w:left="720"/>
        <w:rPr>
          <w:rFonts w:ascii="Times New Roman" w:hAnsi="Times New Roman"/>
          <w:color w:val="000000"/>
        </w:rPr>
      </w:pPr>
      <w:r w:rsidRPr="000E4891">
        <w:rPr>
          <w:rFonts w:ascii="Times New Roman" w:hAnsi="Times New Roman"/>
          <w:color w:val="000000"/>
        </w:rPr>
        <w:t xml:space="preserve">Results from some surveys </w:t>
      </w:r>
      <w:r w:rsidRPr="000E4891">
        <w:rPr>
          <w:rFonts w:ascii="Times New Roman" w:hAnsi="Times New Roman"/>
          <w:color w:val="000000"/>
        </w:rPr>
        <w:t>and focus groups will be used to establish customer-defined goals and standards for measuring ED progress toward those goals.  Other surveys and focus groups will clarify those standards and evaluate ED performance.  This will be an ongoing process of meas</w:t>
      </w:r>
      <w:r w:rsidRPr="000E4891">
        <w:rPr>
          <w:rFonts w:ascii="Times New Roman" w:hAnsi="Times New Roman"/>
          <w:color w:val="000000"/>
        </w:rPr>
        <w:t>uring customer satisfaction and then using that information to refine or redefine ED’s programs and processes. The survey results will be used to fulfill customer satisfaction reporting requirements in Executive Order #12862 and to improve ED’s services an</w:t>
      </w:r>
      <w:r w:rsidRPr="000E4891">
        <w:rPr>
          <w:rFonts w:ascii="Times New Roman" w:hAnsi="Times New Roman"/>
          <w:color w:val="000000"/>
        </w:rPr>
        <w:t>d products and their use.  Without this institutionalized process, ED managers will have little basis for planning and implementing program improvements and other customer satisfaction initiatives.</w:t>
      </w:r>
    </w:p>
    <w:p w:rsidR="000E4891" w:rsidRPr="000E4891" w:rsidP="000E4891" w14:paraId="78C1B74F" w14:textId="77777777">
      <w:pPr>
        <w:tabs>
          <w:tab w:val="left" w:pos="3330"/>
        </w:tabs>
        <w:ind w:left="360"/>
        <w:rPr>
          <w:rFonts w:ascii="Times New Roman" w:hAnsi="Times New Roman"/>
          <w:color w:val="000000"/>
        </w:rPr>
      </w:pPr>
    </w:p>
    <w:p w:rsidR="000E4891" w:rsidP="000E4891" w14:paraId="3AA2568C" w14:textId="77777777">
      <w:pPr>
        <w:tabs>
          <w:tab w:val="left" w:pos="3330"/>
        </w:tabs>
        <w:ind w:left="720"/>
        <w:rPr>
          <w:rFonts w:ascii="Times New Roman" w:hAnsi="Times New Roman"/>
          <w:color w:val="000000"/>
        </w:rPr>
      </w:pPr>
      <w:r w:rsidRPr="000E4891">
        <w:rPr>
          <w:rFonts w:ascii="Times New Roman" w:hAnsi="Times New Roman"/>
          <w:color w:val="000000"/>
        </w:rPr>
        <w:t>Surveys that produce prevalence estimates or official sta</w:t>
      </w:r>
      <w:r w:rsidRPr="000E4891">
        <w:rPr>
          <w:rFonts w:ascii="Times New Roman" w:hAnsi="Times New Roman"/>
          <w:color w:val="000000"/>
        </w:rPr>
        <w:t>tistics of any kind do not fall within the scope of this generic clearance for customer satisfaction surveys and focus groups.</w:t>
      </w:r>
    </w:p>
    <w:p w:rsidR="00456DCA" w:rsidP="000E4891" w14:paraId="00DF14A7" w14:textId="77777777">
      <w:pPr>
        <w:tabs>
          <w:tab w:val="left" w:pos="3330"/>
        </w:tabs>
        <w:ind w:left="720"/>
        <w:rPr>
          <w:rFonts w:ascii="Times New Roman" w:hAnsi="Times New Roman"/>
          <w:color w:val="000000"/>
        </w:rPr>
      </w:pPr>
    </w:p>
    <w:p w:rsidR="00456DCA" w:rsidRPr="00AF3415" w:rsidP="00456DCA" w14:paraId="0927EB57" w14:textId="77777777">
      <w:pPr>
        <w:tabs>
          <w:tab w:val="left" w:pos="3330"/>
        </w:tabs>
        <w:ind w:left="720"/>
        <w:rPr>
          <w:rFonts w:ascii="Times New Roman" w:hAnsi="Times New Roman"/>
        </w:rPr>
      </w:pPr>
      <w:r w:rsidRPr="00AF3415">
        <w:rPr>
          <w:rFonts w:ascii="Times New Roman" w:hAnsi="Times New Roman"/>
        </w:rPr>
        <w:t xml:space="preserve">Information obtained from the </w:t>
      </w:r>
      <w:r w:rsidRPr="00AF3415" w:rsidR="00B72CD6">
        <w:rPr>
          <w:rFonts w:ascii="Times New Roman" w:hAnsi="Times New Roman"/>
        </w:rPr>
        <w:t xml:space="preserve">challenges or contests </w:t>
      </w:r>
      <w:r w:rsidRPr="00AF3415">
        <w:rPr>
          <w:rFonts w:ascii="Times New Roman" w:hAnsi="Times New Roman"/>
        </w:rPr>
        <w:t xml:space="preserve">will be used by the program managers, </w:t>
      </w:r>
      <w:r w:rsidRPr="00AF3415" w:rsidR="00B72CD6">
        <w:rPr>
          <w:rFonts w:ascii="Times New Roman" w:hAnsi="Times New Roman"/>
        </w:rPr>
        <w:t xml:space="preserve">partners via MOUs, </w:t>
      </w:r>
      <w:r w:rsidRPr="00AF3415">
        <w:rPr>
          <w:rFonts w:ascii="Times New Roman" w:hAnsi="Times New Roman"/>
        </w:rPr>
        <w:t>other agency officials and in some cases the technical reviewers acting on behalf of the program manager.  The information collected will be used for the following purposes:</w:t>
      </w:r>
    </w:p>
    <w:p w:rsidR="00456DCA" w:rsidRPr="00AF3415" w:rsidP="00456DCA" w14:paraId="5B7C2393"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Verifying data sources,</w:t>
      </w:r>
    </w:p>
    <w:p w:rsidR="00456DCA" w:rsidRPr="00AF3415" w:rsidP="00456DCA" w14:paraId="446DA1DF"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 xml:space="preserve">Understanding whether the </w:t>
      </w:r>
      <w:r w:rsidRPr="00AF3415" w:rsidR="00B72CD6">
        <w:rPr>
          <w:rFonts w:ascii="Times New Roman" w:hAnsi="Times New Roman"/>
        </w:rPr>
        <w:t>individual</w:t>
      </w:r>
      <w:r w:rsidRPr="00AF3415">
        <w:rPr>
          <w:rFonts w:ascii="Times New Roman" w:hAnsi="Times New Roman"/>
        </w:rPr>
        <w:t xml:space="preserve"> has met the technical requirements for the challenge,</w:t>
      </w:r>
    </w:p>
    <w:p w:rsidR="00456DCA" w:rsidRPr="00AF3415" w:rsidP="00456DCA" w14:paraId="3CE7B38A"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 xml:space="preserve">Ensuring that the </w:t>
      </w:r>
      <w:r w:rsidRPr="00AF3415" w:rsidR="00B72CD6">
        <w:rPr>
          <w:rFonts w:ascii="Times New Roman" w:hAnsi="Times New Roman"/>
        </w:rPr>
        <w:t>individual</w:t>
      </w:r>
      <w:r w:rsidRPr="00AF3415">
        <w:rPr>
          <w:rFonts w:ascii="Times New Roman" w:hAnsi="Times New Roman"/>
        </w:rPr>
        <w:t xml:space="preserve"> has completed the challenge to the specifications of the challenge parameters,</w:t>
      </w:r>
    </w:p>
    <w:p w:rsidR="00456DCA" w:rsidRPr="00AF3415" w:rsidP="00456DCA" w14:paraId="1FDF9292"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 xml:space="preserve">Assisting in technical review and judging </w:t>
      </w:r>
      <w:r w:rsidRPr="00AF3415" w:rsidR="00A67843">
        <w:rPr>
          <w:rFonts w:ascii="Times New Roman" w:hAnsi="Times New Roman"/>
        </w:rPr>
        <w:t>the entries</w:t>
      </w:r>
      <w:r w:rsidRPr="00AF3415">
        <w:rPr>
          <w:rFonts w:ascii="Times New Roman" w:hAnsi="Times New Roman"/>
        </w:rPr>
        <w:t xml:space="preserve"> that are provided, </w:t>
      </w:r>
    </w:p>
    <w:p w:rsidR="00456DCA" w:rsidRPr="00AF3415" w:rsidP="00456DCA" w14:paraId="5F06B1EB"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Understanding the impact and results of the challenge solicitation, and</w:t>
      </w:r>
    </w:p>
    <w:p w:rsidR="00456DCA" w:rsidRPr="00AF3415" w:rsidP="00456DCA" w14:paraId="1EE47E22"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 xml:space="preserve">Validating that methodology, appropriate approvals for use of data sources, and other resources used are valid. </w:t>
      </w:r>
    </w:p>
    <w:p w:rsidR="00456DCA" w:rsidRPr="00AF3415" w:rsidP="00456DCA" w14:paraId="3EC79832" w14:textId="77777777">
      <w:pPr>
        <w:tabs>
          <w:tab w:val="left" w:pos="3330"/>
        </w:tabs>
        <w:ind w:left="720"/>
        <w:rPr>
          <w:rFonts w:ascii="Times New Roman" w:hAnsi="Times New Roman"/>
        </w:rPr>
      </w:pPr>
      <w:r w:rsidRPr="00AF3415">
        <w:rPr>
          <w:rFonts w:ascii="Times New Roman" w:hAnsi="Times New Roman"/>
        </w:rPr>
        <w:t>•</w:t>
      </w:r>
      <w:r w:rsidRPr="00AF3415" w:rsidR="00B72CD6">
        <w:rPr>
          <w:rFonts w:ascii="Times New Roman" w:hAnsi="Times New Roman"/>
        </w:rPr>
        <w:t xml:space="preserve"> </w:t>
      </w:r>
      <w:r w:rsidRPr="00AF3415">
        <w:rPr>
          <w:rFonts w:ascii="Times New Roman" w:hAnsi="Times New Roman"/>
        </w:rPr>
        <w:t>Publicizing limited information about fin</w:t>
      </w:r>
      <w:r w:rsidRPr="00AF3415">
        <w:rPr>
          <w:rFonts w:ascii="Times New Roman" w:hAnsi="Times New Roman"/>
        </w:rPr>
        <w:t xml:space="preserve">alist and/or winning </w:t>
      </w:r>
      <w:r w:rsidRPr="00AF3415" w:rsidR="008A73A3">
        <w:rPr>
          <w:rFonts w:ascii="Times New Roman" w:hAnsi="Times New Roman"/>
        </w:rPr>
        <w:t>entries</w:t>
      </w:r>
      <w:r w:rsidRPr="00AF3415">
        <w:rPr>
          <w:rFonts w:ascii="Times New Roman" w:hAnsi="Times New Roman"/>
        </w:rPr>
        <w:t xml:space="preserve"> and submitters. </w:t>
      </w:r>
    </w:p>
    <w:p w:rsidR="00456DCA" w:rsidRPr="00AF3415" w:rsidP="00456DCA" w14:paraId="0A2698B3" w14:textId="77777777">
      <w:pPr>
        <w:tabs>
          <w:tab w:val="left" w:pos="3330"/>
        </w:tabs>
        <w:ind w:left="720"/>
        <w:rPr>
          <w:rFonts w:ascii="Times New Roman" w:hAnsi="Times New Roman"/>
        </w:rPr>
      </w:pPr>
    </w:p>
    <w:p w:rsidR="00456DCA" w:rsidRPr="00AF3415" w:rsidP="000E4891" w14:paraId="05BCB90A" w14:textId="77777777">
      <w:pPr>
        <w:tabs>
          <w:tab w:val="left" w:pos="3330"/>
        </w:tabs>
        <w:ind w:left="720"/>
        <w:rPr>
          <w:rFonts w:ascii="Times New Roman" w:hAnsi="Times New Roman"/>
        </w:rPr>
      </w:pPr>
      <w:r w:rsidRPr="00AF3415">
        <w:rPr>
          <w:rFonts w:ascii="Times New Roman" w:hAnsi="Times New Roman"/>
        </w:rPr>
        <w:t xml:space="preserve">Under this Generic ICR, </w:t>
      </w:r>
      <w:r w:rsidRPr="00AF3415" w:rsidR="00196624">
        <w:rPr>
          <w:rFonts w:ascii="Times New Roman" w:hAnsi="Times New Roman"/>
        </w:rPr>
        <w:t xml:space="preserve">each </w:t>
      </w:r>
      <w:r w:rsidRPr="00AF3415">
        <w:rPr>
          <w:rFonts w:ascii="Times New Roman" w:hAnsi="Times New Roman"/>
        </w:rPr>
        <w:t>Gen IC request will be submitted</w:t>
      </w:r>
      <w:r w:rsidRPr="00AF3415" w:rsidR="00196624">
        <w:rPr>
          <w:rFonts w:ascii="Times New Roman" w:hAnsi="Times New Roman"/>
        </w:rPr>
        <w:t xml:space="preserve"> with</w:t>
      </w:r>
      <w:r w:rsidRPr="00AF3415">
        <w:rPr>
          <w:rFonts w:ascii="Times New Roman" w:hAnsi="Times New Roman"/>
        </w:rPr>
        <w:t xml:space="preserve"> a template, </w:t>
      </w:r>
      <w:r w:rsidRPr="00AF3415" w:rsidR="00196624">
        <w:rPr>
          <w:rFonts w:ascii="Times New Roman" w:hAnsi="Times New Roman"/>
        </w:rPr>
        <w:t xml:space="preserve">and </w:t>
      </w:r>
      <w:r w:rsidRPr="00AF3415">
        <w:rPr>
          <w:rFonts w:ascii="Times New Roman" w:hAnsi="Times New Roman"/>
        </w:rPr>
        <w:t>the instrument (surveys, challenge and/or registry information or other questions that an entrant will be asked to submit as p</w:t>
      </w:r>
      <w:r w:rsidRPr="00AF3415">
        <w:rPr>
          <w:rFonts w:ascii="Times New Roman" w:hAnsi="Times New Roman"/>
        </w:rPr>
        <w:t xml:space="preserve">art of their entry, and any supplementary information such as consent forms, etc.) to obtain individual OMB approval under a 10-day business clearance process. </w:t>
      </w:r>
    </w:p>
    <w:p w:rsidR="00AD381B" w:rsidRPr="00AF3415" w:rsidP="00AD381B" w14:paraId="341355FA" w14:textId="77777777">
      <w:pPr>
        <w:suppressAutoHyphens/>
        <w:spacing w:line="240" w:lineRule="exact"/>
        <w:rPr>
          <w:rFonts w:ascii="Times New Roman" w:hAnsi="Times New Roman"/>
          <w:szCs w:val="24"/>
        </w:rPr>
      </w:pPr>
    </w:p>
    <w:p w:rsidR="00043C32" w:rsidRPr="00AD381B" w:rsidP="00AD381B" w14:paraId="64D62B23" w14:textId="77777777">
      <w:pPr>
        <w:suppressAutoHyphens/>
        <w:spacing w:line="240" w:lineRule="exact"/>
        <w:rPr>
          <w:rFonts w:ascii="Times New Roman" w:hAnsi="Times New Roman"/>
          <w:szCs w:val="24"/>
        </w:rPr>
      </w:pPr>
    </w:p>
    <w:p w:rsidR="00043C32" w:rsidRPr="00AD381B" w:rsidP="00AD381B" w14:paraId="0741DD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whether, and to what extent, the collection of information involves the use of autom</w:t>
      </w:r>
      <w:r w:rsidRPr="00AD381B">
        <w:rPr>
          <w:rFonts w:ascii="Times New Roman" w:hAnsi="Times New Roman"/>
          <w:b/>
          <w:szCs w:val="24"/>
        </w:rPr>
        <w:t xml:space="preserve">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04D45315" w14:textId="77777777">
      <w:pPr>
        <w:pStyle w:val="ListParagraph"/>
        <w:tabs>
          <w:tab w:val="left" w:pos="-720"/>
        </w:tabs>
        <w:suppressAutoHyphens/>
        <w:contextualSpacing w:val="0"/>
        <w:rPr>
          <w:rFonts w:ascii="Times New Roman" w:hAnsi="Times New Roman"/>
          <w:szCs w:val="24"/>
        </w:rPr>
      </w:pPr>
    </w:p>
    <w:p w:rsidR="000E4891" w:rsidRPr="00AF3415" w:rsidP="000E4891" w14:paraId="6083FA42" w14:textId="77777777">
      <w:pPr>
        <w:tabs>
          <w:tab w:val="left" w:pos="3330"/>
        </w:tabs>
        <w:ind w:left="720"/>
        <w:rPr>
          <w:rFonts w:ascii="Times New Roman" w:hAnsi="Times New Roman"/>
        </w:rPr>
      </w:pPr>
      <w:r w:rsidRPr="00AF3415">
        <w:rPr>
          <w:rFonts w:ascii="Times New Roman" w:hAnsi="Times New Roman"/>
        </w:rPr>
        <w:t xml:space="preserve">The determination to use technology, and which technology to use, will be based on the type of information collected and the utility and the availability of specific </w:t>
      </w:r>
      <w:r w:rsidRPr="00AF3415">
        <w:rPr>
          <w:rFonts w:ascii="Times New Roman" w:hAnsi="Times New Roman"/>
        </w:rPr>
        <w:t>technology to each set of potential respondents in each proposed customer satisfaction survey</w:t>
      </w:r>
      <w:r w:rsidRPr="00AF3415" w:rsidR="00901C5B">
        <w:rPr>
          <w:rFonts w:ascii="Times New Roman" w:hAnsi="Times New Roman"/>
        </w:rPr>
        <w:t xml:space="preserve"> or challenge/contest</w:t>
      </w:r>
      <w:r w:rsidRPr="00AF3415">
        <w:rPr>
          <w:rFonts w:ascii="Times New Roman" w:hAnsi="Times New Roman"/>
        </w:rPr>
        <w:t>.  Many programs will utilize and have utilized Internet home pages to seek public comment and suggestions.  Others may propose the submission</w:t>
      </w:r>
      <w:r w:rsidRPr="00AF3415">
        <w:rPr>
          <w:rFonts w:ascii="Times New Roman" w:hAnsi="Times New Roman"/>
        </w:rPr>
        <w:t xml:space="preserve"> of comments with electronic submission of application and reports.  Many of the approved customer satisfaction surveys have utilized electronic collection and submission technology.</w:t>
      </w:r>
      <w:r w:rsidRPr="00AF3415" w:rsidR="00305F61">
        <w:rPr>
          <w:rFonts w:ascii="Times New Roman" w:hAnsi="Times New Roman"/>
        </w:rPr>
        <w:t xml:space="preserve"> Most challenges or contests will be offered via a website, online portal or social media.</w:t>
      </w:r>
    </w:p>
    <w:p w:rsidR="00AD381B" w:rsidP="00AD381B" w14:paraId="4224A791" w14:textId="77777777">
      <w:pPr>
        <w:pStyle w:val="ListParagraph"/>
        <w:tabs>
          <w:tab w:val="left" w:pos="-720"/>
        </w:tabs>
        <w:suppressAutoHyphens/>
        <w:contextualSpacing w:val="0"/>
        <w:rPr>
          <w:rFonts w:ascii="Times New Roman" w:hAnsi="Times New Roman"/>
          <w:szCs w:val="24"/>
        </w:rPr>
      </w:pPr>
    </w:p>
    <w:p w:rsidR="00AD381B" w:rsidP="00AD381B" w14:paraId="133D4D9B"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31D6E450" w14:textId="77777777">
      <w:pPr>
        <w:pStyle w:val="ListParagraph"/>
        <w:tabs>
          <w:tab w:val="left" w:pos="-720"/>
        </w:tabs>
        <w:suppressAutoHyphens/>
        <w:contextualSpacing w:val="0"/>
        <w:rPr>
          <w:rFonts w:ascii="Times New Roman" w:hAnsi="Times New Roman"/>
          <w:b/>
          <w:szCs w:val="24"/>
        </w:rPr>
      </w:pPr>
    </w:p>
    <w:p w:rsidR="000E4891" w:rsidRPr="00AF3415" w:rsidP="000E4891" w14:paraId="1C01A2F6" w14:textId="77777777">
      <w:pPr>
        <w:tabs>
          <w:tab w:val="left" w:pos="3330"/>
        </w:tabs>
        <w:ind w:left="720"/>
        <w:rPr>
          <w:rFonts w:ascii="Times New Roman" w:hAnsi="Times New Roman"/>
          <w:szCs w:val="24"/>
        </w:rPr>
      </w:pPr>
      <w:r w:rsidRPr="00AF3415">
        <w:rPr>
          <w:rFonts w:ascii="Times New Roman" w:hAnsi="Times New Roman"/>
        </w:rPr>
        <w:t xml:space="preserve">The information to be supplied on these surveys </w:t>
      </w:r>
      <w:r w:rsidRPr="00AF3415" w:rsidR="00305F61">
        <w:rPr>
          <w:rFonts w:ascii="Times New Roman" w:hAnsi="Times New Roman"/>
        </w:rPr>
        <w:t xml:space="preserve">or challenges/contests </w:t>
      </w:r>
      <w:r w:rsidRPr="00AF3415">
        <w:rPr>
          <w:rFonts w:ascii="Times New Roman" w:hAnsi="Times New Roman"/>
        </w:rPr>
        <w:t xml:space="preserve">will not be duplicated on any other information collection.  The Strategic Collections and Clearance team will review the proposed ED surveys </w:t>
      </w:r>
      <w:r w:rsidRPr="00AF3415" w:rsidR="00305F61">
        <w:rPr>
          <w:rFonts w:ascii="Times New Roman" w:hAnsi="Times New Roman"/>
        </w:rPr>
        <w:t xml:space="preserve">and challenges </w:t>
      </w:r>
      <w:r w:rsidRPr="00AF3415">
        <w:rPr>
          <w:rFonts w:ascii="Times New Roman" w:hAnsi="Times New Roman"/>
        </w:rPr>
        <w:t>to verify that the information sought is not already available and that the su</w:t>
      </w:r>
      <w:r w:rsidRPr="00AF3415">
        <w:rPr>
          <w:rFonts w:ascii="Times New Roman" w:hAnsi="Times New Roman"/>
        </w:rPr>
        <w:t>rvey fits into a coordinated department-wide customer satisfaction program</w:t>
      </w:r>
      <w:r w:rsidRPr="00AF3415" w:rsidR="00305F61">
        <w:rPr>
          <w:rFonts w:ascii="Times New Roman" w:hAnsi="Times New Roman"/>
        </w:rPr>
        <w:t xml:space="preserve"> or parameters for a contest</w:t>
      </w:r>
      <w:r w:rsidRPr="00AF3415">
        <w:rPr>
          <w:rFonts w:ascii="Times New Roman" w:hAnsi="Times New Roman"/>
        </w:rPr>
        <w:t xml:space="preserve">.  </w:t>
      </w:r>
      <w:r w:rsidRPr="00AF3415">
        <w:rPr>
          <w:rFonts w:ascii="Times New Roman" w:hAnsi="Times New Roman"/>
          <w:szCs w:val="24"/>
        </w:rPr>
        <w:t>Since the initial OMB approval of ED’s umbrella clearance for customer satisfaction surveys, ED has been careful to ensure the streamlining in number o</w:t>
      </w:r>
      <w:r w:rsidRPr="00AF3415">
        <w:rPr>
          <w:rFonts w:ascii="Times New Roman" w:hAnsi="Times New Roman"/>
          <w:szCs w:val="24"/>
        </w:rPr>
        <w:t>f surveys, number of questions, and type of questions proposed for approval.     In addition to these reviews, SCC routinely runs reports of ED customer surveys to determine that there is no duplication among surveys.</w:t>
      </w:r>
    </w:p>
    <w:p w:rsidR="000E4891" w:rsidRPr="00AF3415" w:rsidP="000E4891" w14:paraId="05D57F4D" w14:textId="77777777">
      <w:pPr>
        <w:tabs>
          <w:tab w:val="left" w:pos="3330"/>
        </w:tabs>
        <w:rPr>
          <w:rFonts w:ascii="Times New Roman" w:hAnsi="Times New Roman"/>
        </w:rPr>
      </w:pPr>
    </w:p>
    <w:p w:rsidR="000E4891" w:rsidRPr="00AF3415" w:rsidP="000E4891" w14:paraId="6A816ED5" w14:textId="77777777">
      <w:pPr>
        <w:tabs>
          <w:tab w:val="left" w:pos="3330"/>
        </w:tabs>
        <w:ind w:left="720"/>
        <w:rPr>
          <w:rFonts w:ascii="Times New Roman" w:hAnsi="Times New Roman"/>
        </w:rPr>
      </w:pPr>
      <w:r w:rsidRPr="00AF3415">
        <w:rPr>
          <w:rFonts w:ascii="Times New Roman" w:hAnsi="Times New Roman"/>
        </w:rPr>
        <w:t>There is no information available fro</w:t>
      </w:r>
      <w:r w:rsidRPr="00AF3415">
        <w:rPr>
          <w:rFonts w:ascii="Times New Roman" w:hAnsi="Times New Roman"/>
        </w:rPr>
        <w:t>m any other source, which will enable ED to evaluate the satisfaction of our customers under the provisions of the Executive Order.</w:t>
      </w:r>
    </w:p>
    <w:p w:rsidR="000E4891" w:rsidRPr="00AF3415" w:rsidP="00246FE9" w14:paraId="0285D49F" w14:textId="77777777">
      <w:pPr>
        <w:pStyle w:val="ListParagraph"/>
        <w:tabs>
          <w:tab w:val="left" w:pos="-720"/>
        </w:tabs>
        <w:suppressAutoHyphens/>
        <w:contextualSpacing w:val="0"/>
        <w:rPr>
          <w:rFonts w:ascii="Times New Roman" w:hAnsi="Times New Roman"/>
          <w:b/>
          <w:szCs w:val="24"/>
        </w:rPr>
      </w:pPr>
    </w:p>
    <w:p w:rsidR="00043C32" w:rsidRPr="00AF3415" w:rsidP="00AD381B" w14:paraId="633A992C" w14:textId="77777777">
      <w:pPr>
        <w:pStyle w:val="ListParagraph"/>
        <w:numPr>
          <w:ilvl w:val="0"/>
          <w:numId w:val="4"/>
        </w:numPr>
        <w:spacing w:before="240"/>
        <w:contextualSpacing w:val="0"/>
        <w:rPr>
          <w:rFonts w:ascii="Times New Roman" w:hAnsi="Times New Roman"/>
          <w:b/>
          <w:szCs w:val="24"/>
        </w:rPr>
      </w:pPr>
      <w:r w:rsidRPr="00AF3415">
        <w:rPr>
          <w:rFonts w:ascii="Times New Roman" w:hAnsi="Times New Roman"/>
          <w:b/>
          <w:szCs w:val="24"/>
        </w:rPr>
        <w:t>If the collection of information impacts small businesses or other small entities, describe any methods used to minimize bu</w:t>
      </w:r>
      <w:r w:rsidRPr="00AF3415">
        <w:rPr>
          <w:rFonts w:ascii="Times New Roman" w:hAnsi="Times New Roman"/>
          <w:b/>
          <w:szCs w:val="24"/>
        </w:rPr>
        <w:t>rden. A small entity may be (1) a small business which is deemed to be one that is independently owned and operated and that is not dominant in its field of operation; (2) a small organization that is any not-for-profit enterprise that is independently own</w:t>
      </w:r>
      <w:r w:rsidRPr="00AF3415">
        <w:rPr>
          <w:rFonts w:ascii="Times New Roman" w:hAnsi="Times New Roman"/>
          <w:b/>
          <w:szCs w:val="24"/>
        </w:rPr>
        <w:t>ed and operated and is not dominant in its field; or (3) a small government jurisdiction, which is a government of a city, county, town, township, school district, or special district with a population of less than 50,000.</w:t>
      </w:r>
    </w:p>
    <w:p w:rsidR="00AD381B" w:rsidRPr="00AF3415" w:rsidP="00AD381B" w14:paraId="5A131CC7" w14:textId="77777777">
      <w:pPr>
        <w:pStyle w:val="ListParagraph"/>
        <w:contextualSpacing w:val="0"/>
        <w:rPr>
          <w:rFonts w:ascii="Times New Roman" w:hAnsi="Times New Roman"/>
          <w:szCs w:val="24"/>
        </w:rPr>
      </w:pPr>
    </w:p>
    <w:p w:rsidR="000E4891" w:rsidRPr="00AF3415" w:rsidP="000E4891" w14:paraId="2A43EF70" w14:textId="77777777">
      <w:pPr>
        <w:tabs>
          <w:tab w:val="left" w:pos="3330"/>
        </w:tabs>
        <w:ind w:left="720"/>
        <w:rPr>
          <w:rFonts w:ascii="Times New Roman" w:hAnsi="Times New Roman"/>
        </w:rPr>
      </w:pPr>
      <w:r w:rsidRPr="00AF3415">
        <w:rPr>
          <w:rFonts w:ascii="Times New Roman" w:hAnsi="Times New Roman"/>
        </w:rPr>
        <w:t xml:space="preserve">The information collected in these surveys </w:t>
      </w:r>
      <w:r w:rsidRPr="00AF3415" w:rsidR="00857D93">
        <w:rPr>
          <w:rFonts w:ascii="Times New Roman" w:hAnsi="Times New Roman"/>
        </w:rPr>
        <w:t xml:space="preserve">or challenges </w:t>
      </w:r>
      <w:r w:rsidRPr="00AF3415">
        <w:rPr>
          <w:rFonts w:ascii="Times New Roman" w:hAnsi="Times New Roman"/>
        </w:rPr>
        <w:t>will represent the minimum necessary to evaluate customer satisfaction with ED programs</w:t>
      </w:r>
      <w:r w:rsidRPr="00AF3415" w:rsidR="00857D93">
        <w:rPr>
          <w:rFonts w:ascii="Times New Roman" w:hAnsi="Times New Roman"/>
        </w:rPr>
        <w:t xml:space="preserve"> or to select winning entry if a challenge</w:t>
      </w:r>
      <w:r w:rsidRPr="00AF3415">
        <w:rPr>
          <w:rFonts w:ascii="Times New Roman" w:hAnsi="Times New Roman"/>
        </w:rPr>
        <w:t>.  It is expected that most survey instruments will be designed to tak</w:t>
      </w:r>
      <w:r w:rsidRPr="00AF3415">
        <w:rPr>
          <w:rFonts w:ascii="Times New Roman" w:hAnsi="Times New Roman"/>
        </w:rPr>
        <w:t>e less than thirty minutes of the respondent’s time.</w:t>
      </w:r>
      <w:r w:rsidRPr="00AF3415" w:rsidR="00857D93">
        <w:rPr>
          <w:rFonts w:ascii="Times New Roman" w:hAnsi="Times New Roman"/>
        </w:rPr>
        <w:t xml:space="preserve"> </w:t>
      </w:r>
    </w:p>
    <w:p w:rsidR="000E4891" w:rsidRPr="00AF3415" w:rsidP="000E4891" w14:paraId="0B4559CE" w14:textId="77777777">
      <w:pPr>
        <w:tabs>
          <w:tab w:val="left" w:pos="3330"/>
        </w:tabs>
        <w:rPr>
          <w:rFonts w:ascii="Times New Roman" w:hAnsi="Times New Roman"/>
        </w:rPr>
      </w:pPr>
    </w:p>
    <w:p w:rsidR="000E4891" w:rsidRPr="00AF3415" w:rsidP="000E4891" w14:paraId="7E92FD90" w14:textId="77777777">
      <w:pPr>
        <w:tabs>
          <w:tab w:val="left" w:pos="3330"/>
        </w:tabs>
        <w:ind w:left="720"/>
        <w:rPr>
          <w:rFonts w:ascii="Times New Roman" w:hAnsi="Times New Roman"/>
        </w:rPr>
      </w:pPr>
      <w:r w:rsidRPr="00AF3415">
        <w:rPr>
          <w:rFonts w:ascii="Times New Roman" w:hAnsi="Times New Roman"/>
        </w:rPr>
        <w:t>The frequency for individual respondents is one time.  Without a regular program of customer satisfaction surveys, the Department of Education will not be able to attain the commitment to “best in busi</w:t>
      </w:r>
      <w:r w:rsidRPr="00AF3415">
        <w:rPr>
          <w:rFonts w:ascii="Times New Roman" w:hAnsi="Times New Roman"/>
        </w:rPr>
        <w:t>ness” practices.</w:t>
      </w:r>
      <w:r w:rsidRPr="00AF3415" w:rsidR="00305F61">
        <w:rPr>
          <w:rFonts w:ascii="Times New Roman" w:hAnsi="Times New Roman"/>
        </w:rPr>
        <w:t xml:space="preserve"> </w:t>
      </w:r>
      <w:r w:rsidRPr="00AF3415" w:rsidR="00177320">
        <w:rPr>
          <w:rFonts w:ascii="Times New Roman" w:hAnsi="Times New Roman"/>
        </w:rPr>
        <w:t>The accessibility of Challenge.gov (or a similar interactive technology platform) will minimize the burden of applicants from whom data will be collected.</w:t>
      </w:r>
    </w:p>
    <w:p w:rsidR="00AD381B" w:rsidRPr="00AF3415" w:rsidP="00AD381B" w14:paraId="68167353" w14:textId="77777777">
      <w:pPr>
        <w:pStyle w:val="ListParagraph"/>
        <w:contextualSpacing w:val="0"/>
        <w:rPr>
          <w:rFonts w:ascii="Times New Roman" w:hAnsi="Times New Roman"/>
          <w:szCs w:val="24"/>
        </w:rPr>
      </w:pPr>
    </w:p>
    <w:p w:rsidR="00043C32" w:rsidRPr="00AF3415" w:rsidP="00AD381B" w14:paraId="4053144A" w14:textId="77777777">
      <w:pPr>
        <w:pStyle w:val="ListParagraph"/>
        <w:numPr>
          <w:ilvl w:val="0"/>
          <w:numId w:val="4"/>
        </w:numPr>
        <w:tabs>
          <w:tab w:val="left" w:pos="-720"/>
        </w:tabs>
        <w:suppressAutoHyphens/>
        <w:contextualSpacing w:val="0"/>
        <w:rPr>
          <w:rFonts w:ascii="Times New Roman" w:hAnsi="Times New Roman"/>
          <w:b/>
          <w:szCs w:val="24"/>
        </w:rPr>
      </w:pPr>
      <w:r w:rsidRPr="00AF3415">
        <w:rPr>
          <w:rFonts w:ascii="Times New Roman" w:hAnsi="Times New Roman"/>
          <w:b/>
          <w:szCs w:val="24"/>
        </w:rPr>
        <w:t>Describe the consequences to Federal program or policy activities if the collection</w:t>
      </w:r>
      <w:r w:rsidRPr="00AF3415">
        <w:rPr>
          <w:rFonts w:ascii="Times New Roman" w:hAnsi="Times New Roman"/>
          <w:b/>
          <w:szCs w:val="24"/>
        </w:rPr>
        <w:t xml:space="preserve"> is not conducted or is conducted less frequently, as well as any technical or legal obstacles to reducing burden.</w:t>
      </w:r>
    </w:p>
    <w:p w:rsidR="000E4891" w:rsidRPr="00AF3415" w:rsidP="000E4891" w14:paraId="4E3E2C41" w14:textId="77777777">
      <w:pPr>
        <w:pStyle w:val="ListParagraph"/>
        <w:tabs>
          <w:tab w:val="left" w:pos="-720"/>
        </w:tabs>
        <w:suppressAutoHyphens/>
        <w:contextualSpacing w:val="0"/>
        <w:rPr>
          <w:rFonts w:ascii="Times New Roman" w:hAnsi="Times New Roman"/>
          <w:b/>
          <w:szCs w:val="24"/>
        </w:rPr>
      </w:pPr>
    </w:p>
    <w:p w:rsidR="000E4891" w:rsidRPr="00AF3415" w:rsidP="000E4891" w14:paraId="42349D7E" w14:textId="77777777">
      <w:pPr>
        <w:tabs>
          <w:tab w:val="left" w:pos="3330"/>
        </w:tabs>
        <w:ind w:left="720"/>
        <w:rPr>
          <w:rFonts w:ascii="Times New Roman" w:hAnsi="Times New Roman"/>
        </w:rPr>
      </w:pPr>
      <w:r w:rsidRPr="00AF3415">
        <w:rPr>
          <w:rFonts w:ascii="Times New Roman" w:hAnsi="Times New Roman"/>
        </w:rPr>
        <w:t xml:space="preserve">These customer satisfaction measurement activities </w:t>
      </w:r>
      <w:r w:rsidRPr="00AF3415" w:rsidR="00663557">
        <w:rPr>
          <w:rFonts w:ascii="Times New Roman" w:hAnsi="Times New Roman"/>
        </w:rPr>
        <w:t xml:space="preserve">or challenges </w:t>
      </w:r>
      <w:r w:rsidRPr="00AF3415">
        <w:rPr>
          <w:rFonts w:ascii="Times New Roman" w:hAnsi="Times New Roman"/>
        </w:rPr>
        <w:t>will be conducted only when specific information is required.  The question</w:t>
      </w:r>
      <w:r w:rsidRPr="00AF3415">
        <w:rPr>
          <w:rFonts w:ascii="Times New Roman" w:hAnsi="Times New Roman"/>
        </w:rPr>
        <w:t xml:space="preserve"> of frequency is not an issue.  There are no legal or technical obstacles to the use of technology in these information collection activities. </w:t>
      </w:r>
    </w:p>
    <w:p w:rsidR="000E4891" w:rsidRPr="00AF3415" w:rsidP="000E4891" w14:paraId="778AC97B" w14:textId="77777777">
      <w:pPr>
        <w:pStyle w:val="ListParagraph"/>
        <w:tabs>
          <w:tab w:val="left" w:pos="-720"/>
        </w:tabs>
        <w:suppressAutoHyphens/>
        <w:contextualSpacing w:val="0"/>
        <w:rPr>
          <w:rFonts w:ascii="Times New Roman" w:hAnsi="Times New Roman"/>
          <w:b/>
          <w:szCs w:val="24"/>
        </w:rPr>
      </w:pPr>
    </w:p>
    <w:p w:rsidR="00043C32" w:rsidRPr="00AF3415" w:rsidP="00AD381B" w14:paraId="2260644E" w14:textId="77777777">
      <w:pPr>
        <w:pStyle w:val="ListParagraph"/>
        <w:numPr>
          <w:ilvl w:val="0"/>
          <w:numId w:val="4"/>
        </w:numPr>
        <w:tabs>
          <w:tab w:val="left" w:pos="-720"/>
        </w:tabs>
        <w:suppressAutoHyphens/>
        <w:rPr>
          <w:rFonts w:ascii="Times New Roman" w:hAnsi="Times New Roman"/>
          <w:b/>
          <w:szCs w:val="24"/>
        </w:rPr>
      </w:pPr>
      <w:r w:rsidRPr="00AF3415">
        <w:rPr>
          <w:rFonts w:ascii="Times New Roman" w:hAnsi="Times New Roman"/>
          <w:b/>
          <w:szCs w:val="24"/>
        </w:rPr>
        <w:t xml:space="preserve">Explain any special circumstances that would cause an information collection to be conducted in a </w:t>
      </w:r>
      <w:r w:rsidRPr="00AF3415">
        <w:rPr>
          <w:rFonts w:ascii="Times New Roman" w:hAnsi="Times New Roman"/>
          <w:b/>
          <w:szCs w:val="24"/>
        </w:rPr>
        <w:t>manner:</w:t>
      </w:r>
    </w:p>
    <w:p w:rsidR="00043C32" w:rsidRPr="00AF3415" w:rsidP="00AD381B" w14:paraId="66F4B81C" w14:textId="77777777">
      <w:pPr>
        <w:tabs>
          <w:tab w:val="left" w:pos="-720"/>
        </w:tabs>
        <w:suppressAutoHyphens/>
        <w:rPr>
          <w:rFonts w:ascii="Times New Roman" w:hAnsi="Times New Roman"/>
          <w:b/>
          <w:szCs w:val="24"/>
        </w:rPr>
      </w:pPr>
    </w:p>
    <w:p w:rsidR="00043C32" w:rsidRPr="00AF3415" w:rsidP="00AD381B" w14:paraId="5547F7B7"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respondents to report information to the agency more often than quarterly;</w:t>
      </w:r>
    </w:p>
    <w:p w:rsidR="00043C32" w:rsidRPr="00AF3415" w:rsidP="00AD381B" w14:paraId="44F716C0" w14:textId="77777777">
      <w:pPr>
        <w:numPr>
          <w:ilvl w:val="12"/>
          <w:numId w:val="0"/>
        </w:numPr>
        <w:tabs>
          <w:tab w:val="left" w:pos="-720"/>
        </w:tabs>
        <w:suppressAutoHyphens/>
        <w:ind w:left="340"/>
        <w:rPr>
          <w:rFonts w:ascii="Times New Roman" w:hAnsi="Times New Roman"/>
          <w:b/>
          <w:szCs w:val="24"/>
        </w:rPr>
      </w:pPr>
    </w:p>
    <w:p w:rsidR="00043C32" w:rsidRPr="00AF3415" w:rsidP="00AD381B" w14:paraId="56309379"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respondents to prepare a written response to a collection of information in fewer than 30 days after receipt of it;</w:t>
      </w:r>
    </w:p>
    <w:p w:rsidR="00043C32" w:rsidRPr="00AF3415" w:rsidP="00AD381B" w14:paraId="20966CFD" w14:textId="77777777">
      <w:pPr>
        <w:numPr>
          <w:ilvl w:val="12"/>
          <w:numId w:val="0"/>
        </w:numPr>
        <w:tabs>
          <w:tab w:val="left" w:pos="-720"/>
        </w:tabs>
        <w:suppressAutoHyphens/>
        <w:rPr>
          <w:rFonts w:ascii="Times New Roman" w:hAnsi="Times New Roman"/>
          <w:b/>
          <w:szCs w:val="24"/>
        </w:rPr>
      </w:pPr>
    </w:p>
    <w:p w:rsidR="00043C32" w:rsidRPr="00AF3415" w:rsidP="00AD381B" w14:paraId="45DFEC31"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respondents to submit mo</w:t>
      </w:r>
      <w:r w:rsidRPr="00AF3415">
        <w:rPr>
          <w:rFonts w:ascii="Times New Roman" w:hAnsi="Times New Roman"/>
          <w:b/>
          <w:szCs w:val="24"/>
        </w:rPr>
        <w:t>re than an original and two copies of any document;</w:t>
      </w:r>
    </w:p>
    <w:p w:rsidR="00043C32" w:rsidRPr="00AF3415" w:rsidP="00AD381B" w14:paraId="3A74FC2D" w14:textId="77777777">
      <w:pPr>
        <w:numPr>
          <w:ilvl w:val="12"/>
          <w:numId w:val="0"/>
        </w:numPr>
        <w:tabs>
          <w:tab w:val="left" w:pos="-720"/>
        </w:tabs>
        <w:suppressAutoHyphens/>
        <w:rPr>
          <w:rFonts w:ascii="Times New Roman" w:hAnsi="Times New Roman"/>
          <w:b/>
          <w:szCs w:val="24"/>
        </w:rPr>
      </w:pPr>
    </w:p>
    <w:p w:rsidR="00043C32" w:rsidRPr="00AF3415" w:rsidP="00AD381B" w14:paraId="34FB2529"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respondents to retain records, other than health, medical, government contract, grant-in-aid, or tax records for more than three years;</w:t>
      </w:r>
    </w:p>
    <w:p w:rsidR="00043C32" w:rsidRPr="00AF3415" w:rsidP="00AD381B" w14:paraId="21CD756E" w14:textId="77777777">
      <w:pPr>
        <w:numPr>
          <w:ilvl w:val="12"/>
          <w:numId w:val="0"/>
        </w:numPr>
        <w:tabs>
          <w:tab w:val="left" w:pos="-720"/>
        </w:tabs>
        <w:suppressAutoHyphens/>
        <w:rPr>
          <w:rFonts w:ascii="Times New Roman" w:hAnsi="Times New Roman"/>
          <w:b/>
          <w:szCs w:val="24"/>
        </w:rPr>
      </w:pPr>
    </w:p>
    <w:p w:rsidR="00043C32" w:rsidRPr="00AF3415" w:rsidP="00AD381B" w14:paraId="621EC723"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in connection with a statistical survey, that is not des</w:t>
      </w:r>
      <w:r w:rsidRPr="00AF3415">
        <w:rPr>
          <w:rFonts w:ascii="Times New Roman" w:hAnsi="Times New Roman"/>
          <w:b/>
          <w:szCs w:val="24"/>
        </w:rPr>
        <w:t>igned to produce valid and reliable results than can be generalized to the universe of study;</w:t>
      </w:r>
    </w:p>
    <w:p w:rsidR="00043C32" w:rsidRPr="00AF3415" w:rsidP="00AD381B" w14:paraId="51CA832C" w14:textId="77777777">
      <w:pPr>
        <w:numPr>
          <w:ilvl w:val="12"/>
          <w:numId w:val="0"/>
        </w:numPr>
        <w:tabs>
          <w:tab w:val="left" w:pos="-720"/>
        </w:tabs>
        <w:suppressAutoHyphens/>
        <w:rPr>
          <w:rFonts w:ascii="Times New Roman" w:hAnsi="Times New Roman"/>
          <w:b/>
          <w:szCs w:val="24"/>
        </w:rPr>
      </w:pPr>
    </w:p>
    <w:p w:rsidR="00043C32" w:rsidRPr="00AF3415" w:rsidP="00AD381B" w14:paraId="611719AE"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the use of a statistical data classification that has not been reviewed and approved by OMB;</w:t>
      </w:r>
    </w:p>
    <w:p w:rsidR="00043C32" w:rsidRPr="00AF3415" w:rsidP="00AD381B" w14:paraId="4E411B3A" w14:textId="77777777">
      <w:pPr>
        <w:numPr>
          <w:ilvl w:val="12"/>
          <w:numId w:val="0"/>
        </w:numPr>
        <w:tabs>
          <w:tab w:val="left" w:pos="-720"/>
        </w:tabs>
        <w:suppressAutoHyphens/>
        <w:rPr>
          <w:rFonts w:ascii="Times New Roman" w:hAnsi="Times New Roman"/>
          <w:b/>
          <w:szCs w:val="24"/>
        </w:rPr>
      </w:pPr>
    </w:p>
    <w:p w:rsidR="00043C32" w:rsidRPr="00AF3415" w:rsidP="00AD381B" w14:paraId="32BE52F1"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that includes a pledge of confidentiality that is not sup</w:t>
      </w:r>
      <w:r w:rsidRPr="00AF3415">
        <w:rPr>
          <w:rFonts w:ascii="Times New Roman" w:hAnsi="Times New Roman"/>
          <w:b/>
          <w:szCs w:val="24"/>
        </w:rPr>
        <w:t>ported by authority established in statute or regulation, that is not supported by disclosure and data security policies that are consistent with the pledge, or that unnecessarily impedes sharing of data with other agencies for compatible confidential use;</w:t>
      </w:r>
      <w:r w:rsidRPr="00AF3415">
        <w:rPr>
          <w:rFonts w:ascii="Times New Roman" w:hAnsi="Times New Roman"/>
          <w:b/>
          <w:szCs w:val="24"/>
        </w:rPr>
        <w:t xml:space="preserve"> or</w:t>
      </w:r>
    </w:p>
    <w:p w:rsidR="00043C32" w:rsidRPr="00AF3415" w:rsidP="00AD381B" w14:paraId="4A80BD58" w14:textId="77777777">
      <w:pPr>
        <w:numPr>
          <w:ilvl w:val="12"/>
          <w:numId w:val="0"/>
        </w:numPr>
        <w:tabs>
          <w:tab w:val="left" w:pos="-720"/>
        </w:tabs>
        <w:suppressAutoHyphens/>
        <w:rPr>
          <w:rFonts w:ascii="Times New Roman" w:hAnsi="Times New Roman"/>
          <w:b/>
          <w:szCs w:val="24"/>
        </w:rPr>
      </w:pPr>
    </w:p>
    <w:p w:rsidR="00043C32" w:rsidRPr="00AF3415" w:rsidP="00AD381B" w14:paraId="47ECB1FC" w14:textId="77777777">
      <w:pPr>
        <w:numPr>
          <w:ilvl w:val="0"/>
          <w:numId w:val="3"/>
        </w:numPr>
        <w:tabs>
          <w:tab w:val="left" w:pos="-720"/>
          <w:tab w:val="clear" w:pos="1440"/>
        </w:tabs>
        <w:suppressAutoHyphens/>
        <w:rPr>
          <w:rFonts w:ascii="Times New Roman" w:hAnsi="Times New Roman"/>
          <w:b/>
          <w:szCs w:val="24"/>
        </w:rPr>
      </w:pPr>
      <w:r w:rsidRPr="00AF341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AF3415" w:rsidP="00AD381B" w14:paraId="5E74E24B" w14:textId="77777777">
      <w:pPr>
        <w:pStyle w:val="ListParagraph"/>
        <w:rPr>
          <w:rFonts w:ascii="Times New Roman" w:hAnsi="Times New Roman"/>
          <w:b/>
          <w:szCs w:val="24"/>
        </w:rPr>
      </w:pPr>
    </w:p>
    <w:p w:rsidR="000E4891" w:rsidRPr="00AF3415" w:rsidP="000E4891" w14:paraId="451A379B" w14:textId="77777777">
      <w:pPr>
        <w:tabs>
          <w:tab w:val="left" w:pos="3330"/>
        </w:tabs>
        <w:ind w:left="810"/>
        <w:rPr>
          <w:rFonts w:ascii="Times New Roman" w:hAnsi="Times New Roman"/>
        </w:rPr>
      </w:pPr>
      <w:r w:rsidRPr="00AF3415">
        <w:rPr>
          <w:rFonts w:ascii="Times New Roman" w:hAnsi="Times New Roman"/>
        </w:rPr>
        <w:t>These survey</w:t>
      </w:r>
      <w:r w:rsidRPr="00AF3415">
        <w:rPr>
          <w:rFonts w:ascii="Times New Roman" w:hAnsi="Times New Roman"/>
        </w:rPr>
        <w:t>s will be consistent with all the guidelines in 5 CFR 1320.5(d)(2), and more specifically the guidelines in 5(d)(2)(v) which require that a statistical survey be designed to produce results that can be generalized to the universe of study. There are no spe</w:t>
      </w:r>
      <w:r w:rsidRPr="00AF3415">
        <w:rPr>
          <w:rFonts w:ascii="Times New Roman" w:hAnsi="Times New Roman"/>
        </w:rPr>
        <w:t xml:space="preserve">cial circumstances that would cause this information collection to be conducted in an </w:t>
      </w:r>
      <w:r w:rsidRPr="00AF3415">
        <w:rPr>
          <w:rFonts w:ascii="Times New Roman" w:hAnsi="Times New Roman"/>
        </w:rPr>
        <w:t>unusual or intrusive manner. All participation will be voluntary</w:t>
      </w:r>
      <w:r w:rsidRPr="00AF3415" w:rsidR="001C7D87">
        <w:rPr>
          <w:rFonts w:ascii="Times New Roman" w:hAnsi="Times New Roman"/>
        </w:rPr>
        <w:t xml:space="preserve"> </w:t>
      </w:r>
      <w:r w:rsidRPr="00AF3415" w:rsidR="00863327">
        <w:rPr>
          <w:rFonts w:ascii="Times New Roman" w:hAnsi="Times New Roman"/>
        </w:rPr>
        <w:t>for both surveys and challenges</w:t>
      </w:r>
      <w:r w:rsidRPr="00AF3415">
        <w:rPr>
          <w:rFonts w:ascii="Times New Roman" w:hAnsi="Times New Roman"/>
        </w:rPr>
        <w:t xml:space="preserve">. Should ED need to deviate from the requirements outlined in 5 CFR </w:t>
      </w:r>
      <w:r w:rsidRPr="00AF3415">
        <w:rPr>
          <w:rFonts w:ascii="Times New Roman" w:hAnsi="Times New Roman"/>
        </w:rPr>
        <w:t>1320, individual justification will be provided to OMB on a case-by-case basis.</w:t>
      </w:r>
    </w:p>
    <w:p w:rsidR="00AD381B" w:rsidRPr="00AF3415" w:rsidP="00AD381B" w14:paraId="19D3FF6A" w14:textId="77777777">
      <w:pPr>
        <w:tabs>
          <w:tab w:val="left" w:pos="-720"/>
        </w:tabs>
        <w:suppressAutoHyphens/>
        <w:rPr>
          <w:rFonts w:ascii="Times New Roman" w:hAnsi="Times New Roman"/>
          <w:szCs w:val="24"/>
        </w:rPr>
      </w:pPr>
    </w:p>
    <w:p w:rsidR="00D75313" w:rsidRPr="00AF3415" w:rsidP="00AD381B" w14:paraId="74FA51A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F3415">
        <w:rPr>
          <w:rFonts w:ascii="Times New Roman" w:hAnsi="Times New Roman"/>
          <w:b/>
          <w:szCs w:val="24"/>
        </w:rPr>
        <w:t xml:space="preserve">As applicable, state that the Department has published the 60 and 30 Federal Register notices as required by 5 CFR 1320.8(d), soliciting comments on the information </w:t>
      </w:r>
      <w:r w:rsidRPr="00AF3415">
        <w:rPr>
          <w:rFonts w:ascii="Times New Roman" w:hAnsi="Times New Roman"/>
          <w:b/>
          <w:szCs w:val="24"/>
        </w:rPr>
        <w:t>collection prior to submission to OMB.</w:t>
      </w:r>
    </w:p>
    <w:p w:rsidR="00D75313" w:rsidRPr="00AF3415" w:rsidP="00D75313" w14:paraId="421AA2AC" w14:textId="77777777">
      <w:pPr>
        <w:pStyle w:val="ListParagraph"/>
        <w:tabs>
          <w:tab w:val="left" w:pos="-720"/>
          <w:tab w:val="left" w:pos="375"/>
        </w:tabs>
        <w:suppressAutoHyphens/>
        <w:contextualSpacing w:val="0"/>
        <w:rPr>
          <w:rFonts w:ascii="Times New Roman" w:hAnsi="Times New Roman"/>
          <w:b/>
          <w:szCs w:val="24"/>
        </w:rPr>
      </w:pPr>
    </w:p>
    <w:p w:rsidR="00043C32" w:rsidRPr="00AF3415" w:rsidP="00D75313" w14:paraId="12DF6CD7" w14:textId="77777777">
      <w:pPr>
        <w:pStyle w:val="ListParagraph"/>
        <w:tabs>
          <w:tab w:val="left" w:pos="-720"/>
          <w:tab w:val="left" w:pos="375"/>
        </w:tabs>
        <w:suppressAutoHyphens/>
        <w:contextualSpacing w:val="0"/>
        <w:rPr>
          <w:rFonts w:ascii="Times New Roman" w:hAnsi="Times New Roman"/>
          <w:b/>
          <w:szCs w:val="24"/>
        </w:rPr>
      </w:pPr>
      <w:r w:rsidRPr="00AF3415">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w:t>
      </w:r>
      <w:r w:rsidRPr="00AF3415">
        <w:rPr>
          <w:rFonts w:ascii="Times New Roman" w:hAnsi="Times New Roman"/>
          <w:b/>
          <w:szCs w:val="24"/>
        </w:rPr>
        <w:t>esponse to these comments.  Specifically address comments received on cost and hour burden.</w:t>
      </w:r>
      <w:r w:rsidRPr="00AF3415" w:rsidR="007C0A4C">
        <w:rPr>
          <w:rFonts w:ascii="Times New Roman" w:hAnsi="Times New Roman"/>
          <w:b/>
          <w:szCs w:val="24"/>
        </w:rPr>
        <w:t xml:space="preserve">  If only non-substantive comments are provided, please provide a statement to that effect and that it did not relate or warrant any change</w:t>
      </w:r>
      <w:r w:rsidRPr="00AF3415">
        <w:rPr>
          <w:rFonts w:ascii="Times New Roman" w:hAnsi="Times New Roman"/>
          <w:b/>
          <w:szCs w:val="24"/>
        </w:rPr>
        <w:t>s to this information coll</w:t>
      </w:r>
      <w:r w:rsidRPr="00AF3415">
        <w:rPr>
          <w:rFonts w:ascii="Times New Roman" w:hAnsi="Times New Roman"/>
          <w:b/>
          <w:szCs w:val="24"/>
        </w:rPr>
        <w:t>ection request</w:t>
      </w:r>
      <w:r w:rsidRPr="00AF3415" w:rsidR="007C0A4C">
        <w:rPr>
          <w:rFonts w:ascii="Times New Roman" w:hAnsi="Times New Roman"/>
          <w:b/>
          <w:szCs w:val="24"/>
        </w:rPr>
        <w:t xml:space="preserve">. </w:t>
      </w:r>
      <w:r w:rsidRPr="00AF3415">
        <w:rPr>
          <w:rFonts w:ascii="Times New Roman" w:hAnsi="Times New Roman"/>
          <w:b/>
          <w:szCs w:val="24"/>
        </w:rPr>
        <w:t>In your comments, please also indicate the number of public comments received.</w:t>
      </w:r>
    </w:p>
    <w:p w:rsidR="00D75313" w:rsidRPr="00AF3415" w:rsidP="00D75313" w14:paraId="205F2B1B" w14:textId="77777777">
      <w:pPr>
        <w:pStyle w:val="ListParagraph"/>
        <w:tabs>
          <w:tab w:val="left" w:pos="-720"/>
          <w:tab w:val="left" w:pos="375"/>
        </w:tabs>
        <w:suppressAutoHyphens/>
        <w:contextualSpacing w:val="0"/>
        <w:rPr>
          <w:rFonts w:ascii="Times New Roman" w:hAnsi="Times New Roman"/>
          <w:b/>
          <w:szCs w:val="24"/>
        </w:rPr>
      </w:pPr>
    </w:p>
    <w:p w:rsidR="00D75313" w:rsidRPr="00AF3415" w:rsidP="00D75313" w14:paraId="7E056AB8" w14:textId="77777777">
      <w:pPr>
        <w:pStyle w:val="ListParagraph"/>
        <w:tabs>
          <w:tab w:val="left" w:pos="-720"/>
          <w:tab w:val="left" w:pos="375"/>
        </w:tabs>
        <w:suppressAutoHyphens/>
        <w:contextualSpacing w:val="0"/>
        <w:rPr>
          <w:rFonts w:ascii="Times New Roman" w:hAnsi="Times New Roman"/>
          <w:b/>
          <w:szCs w:val="24"/>
        </w:rPr>
      </w:pPr>
      <w:r w:rsidRPr="00AF3415">
        <w:rPr>
          <w:rFonts w:ascii="Times New Roman" w:hAnsi="Times New Roman"/>
          <w:b/>
          <w:szCs w:val="24"/>
        </w:rPr>
        <w:t>For the 30 day notice, indicate that a notice will be published.</w:t>
      </w:r>
    </w:p>
    <w:p w:rsidR="00043C32" w:rsidRPr="00AF3415" w:rsidP="00AD381B" w14:paraId="30DC12B9" w14:textId="77777777">
      <w:pPr>
        <w:tabs>
          <w:tab w:val="left" w:pos="-720"/>
        </w:tabs>
        <w:suppressAutoHyphens/>
        <w:ind w:left="720"/>
        <w:rPr>
          <w:rStyle w:val="a"/>
          <w:rFonts w:ascii="Times New Roman" w:hAnsi="Times New Roman"/>
          <w:b/>
          <w:szCs w:val="24"/>
        </w:rPr>
      </w:pPr>
      <w:r w:rsidRPr="00AF3415">
        <w:rPr>
          <w:rStyle w:val="a"/>
          <w:rFonts w:ascii="Times New Roman" w:hAnsi="Times New Roman"/>
          <w:b/>
          <w:szCs w:val="24"/>
        </w:rPr>
        <w:t>Describe efforts to consult with persons outside the agency to obtain their views on the availa</w:t>
      </w:r>
      <w:r w:rsidRPr="00AF3415">
        <w:rPr>
          <w:rStyle w:val="a"/>
          <w:rFonts w:ascii="Times New Roman" w:hAnsi="Times New Roman"/>
          <w:b/>
          <w:szCs w:val="24"/>
        </w:rPr>
        <w:t>bility of data, frequency of collection, the clarity of instruction and record keeping, disclosure, or reporting format (if any), and on the data elements to be recorded, disclosed, or reported.</w:t>
      </w:r>
    </w:p>
    <w:p w:rsidR="00043C32" w:rsidRPr="00AF3415" w:rsidP="00AD381B" w14:paraId="05C7230B" w14:textId="77777777">
      <w:pPr>
        <w:tabs>
          <w:tab w:val="left" w:pos="-720"/>
        </w:tabs>
        <w:suppressAutoHyphens/>
        <w:rPr>
          <w:rStyle w:val="a"/>
          <w:rFonts w:ascii="Times New Roman" w:hAnsi="Times New Roman"/>
          <w:b/>
          <w:szCs w:val="24"/>
        </w:rPr>
      </w:pPr>
    </w:p>
    <w:p w:rsidR="00043C32" w:rsidRPr="00AF3415" w:rsidP="00AD381B" w14:paraId="43981CAF" w14:textId="77777777">
      <w:pPr>
        <w:tabs>
          <w:tab w:val="left" w:pos="-720"/>
        </w:tabs>
        <w:suppressAutoHyphens/>
        <w:ind w:left="720"/>
        <w:rPr>
          <w:rStyle w:val="a"/>
          <w:rFonts w:ascii="Times New Roman" w:hAnsi="Times New Roman"/>
          <w:b/>
          <w:szCs w:val="24"/>
        </w:rPr>
      </w:pPr>
      <w:r w:rsidRPr="00AF3415">
        <w:rPr>
          <w:rStyle w:val="a"/>
          <w:rFonts w:ascii="Times New Roman" w:hAnsi="Times New Roman"/>
          <w:b/>
          <w:szCs w:val="24"/>
        </w:rPr>
        <w:t>Consultation with representatives of those from whom informa</w:t>
      </w:r>
      <w:r w:rsidRPr="00AF3415">
        <w:rPr>
          <w:rStyle w:val="a"/>
          <w:rFonts w:ascii="Times New Roman" w:hAnsi="Times New Roman"/>
          <w:b/>
          <w:szCs w:val="24"/>
        </w:rPr>
        <w:t>tion is to be obtained or those who must compile records should occur at least once every 3 years – even if the collection of information activity is the same as in prior periods.  There may be circumstances that may preclude consultation in a specific sit</w:t>
      </w:r>
      <w:r w:rsidRPr="00AF3415">
        <w:rPr>
          <w:rStyle w:val="a"/>
          <w:rFonts w:ascii="Times New Roman" w:hAnsi="Times New Roman"/>
          <w:b/>
          <w:szCs w:val="24"/>
        </w:rPr>
        <w:t>uation.  These circumstances should be explained.</w:t>
      </w:r>
    </w:p>
    <w:p w:rsidR="00AD381B" w:rsidRPr="00AF3415" w:rsidP="00AD381B" w14:paraId="3D914E8D" w14:textId="77777777">
      <w:pPr>
        <w:tabs>
          <w:tab w:val="left" w:pos="-720"/>
        </w:tabs>
        <w:suppressAutoHyphens/>
        <w:ind w:left="720"/>
        <w:rPr>
          <w:rFonts w:ascii="Times New Roman" w:hAnsi="Times New Roman"/>
          <w:b/>
          <w:szCs w:val="24"/>
        </w:rPr>
      </w:pPr>
    </w:p>
    <w:p w:rsidR="000E4891" w:rsidRPr="00AF3415" w:rsidP="000E4891" w14:paraId="0A7F3D0F" w14:textId="5A8D4665">
      <w:pPr>
        <w:tabs>
          <w:tab w:val="left" w:pos="3330"/>
        </w:tabs>
        <w:ind w:left="720"/>
        <w:rPr>
          <w:rFonts w:ascii="Times New Roman" w:hAnsi="Times New Roman"/>
        </w:rPr>
      </w:pPr>
      <w:r w:rsidRPr="00AF3415">
        <w:rPr>
          <w:rFonts w:ascii="Times New Roman" w:hAnsi="Times New Roman"/>
        </w:rPr>
        <w:t xml:space="preserve">Program offices are responsible for monitoring and implementing public comments for improvement. These surveys </w:t>
      </w:r>
      <w:r w:rsidRPr="00AF3415" w:rsidR="00863327">
        <w:rPr>
          <w:rFonts w:ascii="Times New Roman" w:hAnsi="Times New Roman"/>
        </w:rPr>
        <w:t xml:space="preserve">and challenges </w:t>
      </w:r>
      <w:r w:rsidRPr="00AF3415">
        <w:rPr>
          <w:rFonts w:ascii="Times New Roman" w:hAnsi="Times New Roman"/>
        </w:rPr>
        <w:t>are consistent and comply with the guidelines in 5 CFR 1320.8(d). Feedback from</w:t>
      </w:r>
      <w:r w:rsidRPr="00AF3415">
        <w:rPr>
          <w:rFonts w:ascii="Times New Roman" w:hAnsi="Times New Roman"/>
        </w:rPr>
        <w:t xml:space="preserve"> individuals and organizations served by ED are available upon request. A 60 day notice was published in the Federal Register on April 28, 2023 (88 FR 26288). No public comments were received. A 30-day</w:t>
      </w:r>
      <w:r w:rsidRPr="00AF3415">
        <w:rPr>
          <w:rFonts w:ascii="Times New Roman" w:hAnsi="Times New Roman"/>
        </w:rPr>
        <w:t xml:space="preserve"> notice </w:t>
      </w:r>
      <w:r>
        <w:rPr>
          <w:rFonts w:ascii="Times New Roman" w:hAnsi="Times New Roman"/>
        </w:rPr>
        <w:t xml:space="preserve">has been </w:t>
      </w:r>
      <w:r w:rsidRPr="00AF3415">
        <w:rPr>
          <w:rFonts w:ascii="Times New Roman" w:hAnsi="Times New Roman"/>
        </w:rPr>
        <w:t>published</w:t>
      </w:r>
      <w:r>
        <w:rPr>
          <w:rFonts w:ascii="Times New Roman" w:hAnsi="Times New Roman"/>
        </w:rPr>
        <w:t xml:space="preserve"> for public comment</w:t>
      </w:r>
      <w:r w:rsidRPr="00AF3415">
        <w:rPr>
          <w:rFonts w:ascii="Times New Roman" w:hAnsi="Times New Roman"/>
        </w:rPr>
        <w:t>.</w:t>
      </w:r>
    </w:p>
    <w:p w:rsidR="00E66550" w:rsidRPr="00AF3415" w:rsidP="00AD381B" w14:paraId="4E562704" w14:textId="77777777">
      <w:pPr>
        <w:tabs>
          <w:tab w:val="left" w:pos="-720"/>
        </w:tabs>
        <w:suppressAutoHyphens/>
        <w:ind w:left="720"/>
        <w:rPr>
          <w:rFonts w:ascii="Times New Roman" w:hAnsi="Times New Roman"/>
          <w:szCs w:val="24"/>
        </w:rPr>
      </w:pPr>
    </w:p>
    <w:p w:rsidR="00043C32" w:rsidRPr="00AF3415" w:rsidP="00AD381B" w14:paraId="5A2391A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AF3415">
        <w:rPr>
          <w:rStyle w:val="a"/>
          <w:rFonts w:ascii="Times New Roman" w:hAnsi="Times New Roman"/>
          <w:b/>
          <w:szCs w:val="24"/>
        </w:rPr>
        <w:t>Explain any decision to pro</w:t>
      </w:r>
      <w:r w:rsidRPr="00AF3415">
        <w:rPr>
          <w:rStyle w:val="a"/>
          <w:rFonts w:ascii="Times New Roman" w:hAnsi="Times New Roman"/>
          <w:b/>
          <w:szCs w:val="24"/>
        </w:rPr>
        <w:t>vide any payment or gift to respondents, other than remuneration of contractors or grantees with meaningful justification.</w:t>
      </w:r>
    </w:p>
    <w:p w:rsidR="00920F63" w:rsidRPr="00AF3415" w:rsidP="00920F63" w14:paraId="2196AAC7" w14:textId="77777777">
      <w:pPr>
        <w:pStyle w:val="ListParagraph"/>
        <w:tabs>
          <w:tab w:val="left" w:pos="-720"/>
        </w:tabs>
        <w:suppressAutoHyphens/>
        <w:contextualSpacing w:val="0"/>
        <w:rPr>
          <w:rFonts w:ascii="Times New Roman" w:hAnsi="Times New Roman"/>
          <w:b/>
          <w:szCs w:val="24"/>
        </w:rPr>
      </w:pPr>
    </w:p>
    <w:p w:rsidR="00920F63" w:rsidRPr="00AF3415" w:rsidP="00920F63" w14:paraId="2C224D3D" w14:textId="77777777">
      <w:pPr>
        <w:pStyle w:val="ListParagraph"/>
        <w:tabs>
          <w:tab w:val="left" w:pos="-720"/>
        </w:tabs>
        <w:suppressAutoHyphens/>
        <w:contextualSpacing w:val="0"/>
        <w:rPr>
          <w:rFonts w:ascii="Times New Roman" w:hAnsi="Times New Roman"/>
        </w:rPr>
      </w:pPr>
      <w:r w:rsidRPr="00AF3415">
        <w:rPr>
          <w:rFonts w:ascii="Times New Roman" w:hAnsi="Times New Roman"/>
        </w:rPr>
        <w:t>No payment or gift will be provided to respondents in these customer satisfaction or focus group surveys.  If any are proposed for u</w:t>
      </w:r>
      <w:r w:rsidRPr="00AF3415">
        <w:rPr>
          <w:rFonts w:ascii="Times New Roman" w:hAnsi="Times New Roman"/>
        </w:rPr>
        <w:t>se, they will be small and ED will submit specific justification for each proposed use as part of the package submitted to OMB.</w:t>
      </w:r>
      <w:r w:rsidRPr="00AF3415" w:rsidR="00863327">
        <w:rPr>
          <w:rFonts w:ascii="Times New Roman" w:hAnsi="Times New Roman"/>
        </w:rPr>
        <w:t xml:space="preserve"> Each individual challenge will specify the prize for the contest.</w:t>
      </w:r>
    </w:p>
    <w:p w:rsidR="000E4891" w:rsidRPr="00AF3415" w:rsidP="00920F63" w14:paraId="3AF9F8CC" w14:textId="77777777">
      <w:pPr>
        <w:pStyle w:val="ListParagraph"/>
        <w:tabs>
          <w:tab w:val="left" w:pos="-720"/>
        </w:tabs>
        <w:suppressAutoHyphens/>
        <w:contextualSpacing w:val="0"/>
        <w:rPr>
          <w:rFonts w:ascii="Times New Roman" w:hAnsi="Times New Roman"/>
          <w:b/>
          <w:szCs w:val="24"/>
        </w:rPr>
      </w:pPr>
    </w:p>
    <w:p w:rsidR="00043C32" w:rsidRPr="00AF3415" w:rsidP="00AD381B" w14:paraId="22CA899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F3415">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AF3415">
        <w:rPr>
          <w:rFonts w:ascii="Times New Roman" w:hAnsi="Times New Roman"/>
          <w:b/>
          <w:szCs w:val="24"/>
        </w:rPr>
        <w:t>the i</w:t>
      </w:r>
      <w:r w:rsidRPr="00AF3415">
        <w:rPr>
          <w:rFonts w:ascii="Times New Roman" w:hAnsi="Times New Roman"/>
          <w:b/>
          <w:szCs w:val="24"/>
        </w:rPr>
        <w:t>nstrument. Please provide a citation for the Systems of Record Notice and the date a Privacy Impact Assessment was completed as indicated on the IC Data Form. A confidentiality statement with a legal citation that authorizes the pledge of confidentiality s</w:t>
      </w:r>
      <w:r w:rsidRPr="00AF3415">
        <w:rPr>
          <w:rFonts w:ascii="Times New Roman" w:hAnsi="Times New Roman"/>
          <w:b/>
          <w:szCs w:val="24"/>
        </w:rPr>
        <w:t>hould be provided.</w:t>
      </w:r>
      <w:r>
        <w:rPr>
          <w:rStyle w:val="FootnoteReference"/>
          <w:rFonts w:ascii="Times New Roman" w:hAnsi="Times New Roman"/>
          <w:b/>
          <w:szCs w:val="24"/>
        </w:rPr>
        <w:footnoteReference w:id="2"/>
      </w:r>
      <w:r w:rsidRPr="00AF341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w:t>
      </w:r>
      <w:r w:rsidRPr="00AF3415">
        <w:rPr>
          <w:rFonts w:ascii="Times New Roman" w:hAnsi="Times New Roman"/>
          <w:b/>
          <w:szCs w:val="24"/>
        </w:rPr>
        <w:t>confidential</w:t>
      </w:r>
      <w:r w:rsidRPr="00AF3415" w:rsidR="00920F63">
        <w:rPr>
          <w:rFonts w:ascii="Times New Roman" w:hAnsi="Times New Roman"/>
          <w:b/>
          <w:szCs w:val="24"/>
        </w:rPr>
        <w:t>ity</w:t>
      </w:r>
      <w:r w:rsidRPr="00AF3415">
        <w:rPr>
          <w:rFonts w:ascii="Times New Roman" w:hAnsi="Times New Roman"/>
          <w:b/>
          <w:szCs w:val="24"/>
        </w:rPr>
        <w:t xml:space="preserve"> of the data.</w:t>
      </w:r>
      <w:r w:rsidRPr="00AF3415" w:rsidR="009767AF">
        <w:rPr>
          <w:rFonts w:ascii="Times New Roman" w:hAnsi="Times New Roman"/>
          <w:b/>
          <w:szCs w:val="24"/>
        </w:rPr>
        <w:t xml:space="preserve"> If no PII will be collected, state that no assurance of confidentiality is provided to respondents.</w:t>
      </w:r>
      <w:r w:rsidRPr="00AF3415"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AF3415" w:rsidP="00920F63" w14:paraId="4F0C6940" w14:textId="77777777">
      <w:pPr>
        <w:tabs>
          <w:tab w:val="left" w:pos="-720"/>
        </w:tabs>
        <w:suppressAutoHyphens/>
        <w:rPr>
          <w:rFonts w:ascii="Times New Roman" w:hAnsi="Times New Roman"/>
          <w:b/>
          <w:szCs w:val="24"/>
        </w:rPr>
      </w:pPr>
    </w:p>
    <w:p w:rsidR="000E4891" w:rsidRPr="00AF3415" w:rsidP="000E4891" w14:paraId="2A2E9378" w14:textId="77777777">
      <w:pPr>
        <w:tabs>
          <w:tab w:val="left" w:pos="-720"/>
        </w:tabs>
        <w:suppressAutoHyphens/>
        <w:ind w:left="720"/>
        <w:rPr>
          <w:rFonts w:ascii="Times New Roman" w:hAnsi="Times New Roman"/>
          <w:szCs w:val="24"/>
        </w:rPr>
      </w:pPr>
      <w:r w:rsidRPr="00AF3415">
        <w:rPr>
          <w:rFonts w:ascii="Times New Roman" w:hAnsi="Times New Roman"/>
        </w:rPr>
        <w:t xml:space="preserve">These surveys and focus groups </w:t>
      </w:r>
      <w:r w:rsidRPr="00AF3415" w:rsidR="00863327">
        <w:rPr>
          <w:rFonts w:ascii="Times New Roman" w:hAnsi="Times New Roman"/>
        </w:rPr>
        <w:t xml:space="preserve">and challenges </w:t>
      </w:r>
      <w:r w:rsidRPr="00AF3415">
        <w:rPr>
          <w:rFonts w:ascii="Times New Roman" w:hAnsi="Times New Roman"/>
        </w:rPr>
        <w:t xml:space="preserve">will provide all necessary assurances of confidentiality to the respondents, when needed.  Although there is no requirement for such assurances in </w:t>
      </w:r>
      <w:r w:rsidRPr="00AF3415">
        <w:rPr>
          <w:rFonts w:ascii="Times New Roman" w:hAnsi="Times New Roman"/>
        </w:rPr>
        <w:t xml:space="preserve">statute, the quality of this type of information requires respondent candor and anonymity.   Customer surveys don’t request personal identifiable information.  If they do, justification will be provided with the individual customer survey according to the </w:t>
      </w:r>
      <w:r w:rsidRPr="00AF3415">
        <w:rPr>
          <w:rFonts w:ascii="Times New Roman" w:hAnsi="Times New Roman"/>
        </w:rPr>
        <w:t xml:space="preserve">Privacy Act.  In addition, NCES may assure confidentiality under The Education Sciences Reform Act of 2002, Title I, Part E, Section 183, </w:t>
      </w:r>
      <w:r w:rsidRPr="00AF3415">
        <w:rPr>
          <w:rFonts w:ascii="Times New Roman" w:hAnsi="Times New Roman"/>
          <w:szCs w:val="24"/>
        </w:rPr>
        <w:t>as necessary.</w:t>
      </w:r>
      <w:r w:rsidRPr="00AF3415">
        <w:rPr>
          <w:rFonts w:ascii="Times New Roman" w:hAnsi="Times New Roman"/>
        </w:rPr>
        <w:t xml:space="preserve"> In most cases, collection of information will be voluntary and will originate from customers who have ex</w:t>
      </w:r>
      <w:r w:rsidRPr="00AF3415">
        <w:rPr>
          <w:rFonts w:ascii="Times New Roman" w:hAnsi="Times New Roman"/>
        </w:rPr>
        <w:t xml:space="preserve">perience within the program that is the subject of each collection. Surveys that collect personally identifiable information must provide a confidentiality statement that cites the authority to collect the information. </w:t>
      </w:r>
      <w:r w:rsidRPr="00AF3415" w:rsidR="00863327">
        <w:rPr>
          <w:rFonts w:ascii="Times New Roman" w:hAnsi="Times New Roman"/>
        </w:rPr>
        <w:t xml:space="preserve">Most challenges or contests will request PII such as name, address, email, phone number and possible other PII. </w:t>
      </w:r>
      <w:r w:rsidRPr="00AF3415" w:rsidR="00821629">
        <w:rPr>
          <w:rFonts w:ascii="Times New Roman" w:hAnsi="Times New Roman"/>
        </w:rPr>
        <w:t>Each challenge will describe the collection of PII and address compliance with the</w:t>
      </w:r>
      <w:r w:rsidRPr="00AF3415" w:rsidR="009C7B1E">
        <w:rPr>
          <w:rFonts w:ascii="Times New Roman" w:hAnsi="Times New Roman"/>
        </w:rPr>
        <w:t xml:space="preserve"> Privacy Act (5 U.S.C. § 552a).</w:t>
      </w:r>
    </w:p>
    <w:p w:rsidR="000E4891" w:rsidRPr="00AF3415" w:rsidP="00920F63" w14:paraId="57DC268D" w14:textId="77777777">
      <w:pPr>
        <w:tabs>
          <w:tab w:val="left" w:pos="-720"/>
        </w:tabs>
        <w:suppressAutoHyphens/>
        <w:rPr>
          <w:rFonts w:ascii="Times New Roman" w:hAnsi="Times New Roman"/>
          <w:b/>
          <w:szCs w:val="24"/>
        </w:rPr>
      </w:pPr>
    </w:p>
    <w:p w:rsidR="00920F63" w:rsidRPr="00AF3415" w:rsidP="00E25EBC" w14:paraId="33BFE5C3" w14:textId="77777777">
      <w:pPr>
        <w:tabs>
          <w:tab w:val="left" w:pos="-720"/>
        </w:tabs>
        <w:suppressAutoHyphens/>
        <w:rPr>
          <w:rFonts w:ascii="Times New Roman" w:hAnsi="Times New Roman"/>
          <w:szCs w:val="24"/>
        </w:rPr>
      </w:pPr>
    </w:p>
    <w:p w:rsidR="00043C32" w:rsidRPr="00AF3415" w:rsidP="00AD381B" w14:paraId="63DE2AF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AF3415">
        <w:rPr>
          <w:rFonts w:ascii="Times New Roman" w:hAnsi="Times New Roman"/>
          <w:b/>
          <w:szCs w:val="24"/>
        </w:rPr>
        <w:t>Provide additional justification for any questions of a sensitive</w:t>
      </w:r>
      <w:r w:rsidRPr="00AF3415">
        <w:rPr>
          <w:rFonts w:ascii="Times New Roman" w:hAnsi="Times New Roman"/>
          <w:b/>
          <w:szCs w:val="24"/>
        </w:rPr>
        <w:t xml:space="preserve"> nature, such as sexual behavior and attitudes, religious beliefs, and other matters that are commonly considered private.  The justification should include the reasons why the agency considers the questions necessary, the specific uses to be made of the i</w:t>
      </w:r>
      <w:r w:rsidRPr="00AF3415">
        <w:rPr>
          <w:rFonts w:ascii="Times New Roman" w:hAnsi="Times New Roman"/>
          <w:b/>
          <w:szCs w:val="24"/>
        </w:rPr>
        <w:t>nformation, the explanation to be given to persons from whom the information is requested, and any steps to be taken to obtain their consent.</w:t>
      </w:r>
    </w:p>
    <w:p w:rsidR="00920F63" w:rsidRPr="00AF3415" w:rsidP="00920F63" w14:paraId="5D22A68F" w14:textId="77777777">
      <w:pPr>
        <w:tabs>
          <w:tab w:val="left" w:pos="-720"/>
        </w:tabs>
        <w:suppressAutoHyphens/>
        <w:rPr>
          <w:rFonts w:ascii="Times New Roman" w:hAnsi="Times New Roman"/>
          <w:b/>
          <w:szCs w:val="24"/>
        </w:rPr>
      </w:pPr>
    </w:p>
    <w:p w:rsidR="000E4891" w:rsidRPr="00AF3415" w:rsidP="000E4891" w14:paraId="155CA693" w14:textId="77777777">
      <w:pPr>
        <w:tabs>
          <w:tab w:val="left" w:pos="-720"/>
        </w:tabs>
        <w:suppressAutoHyphens/>
        <w:ind w:left="720"/>
        <w:rPr>
          <w:rFonts w:ascii="Times New Roman" w:hAnsi="Times New Roman"/>
          <w:szCs w:val="24"/>
        </w:rPr>
      </w:pPr>
      <w:r w:rsidRPr="00AF3415">
        <w:rPr>
          <w:rFonts w:ascii="Times New Roman" w:hAnsi="Times New Roman"/>
          <w:szCs w:val="24"/>
        </w:rPr>
        <w:t xml:space="preserve">The justification should include the reasons why the agency considers the questions necessary, the specific uses </w:t>
      </w:r>
      <w:r w:rsidRPr="00AF3415">
        <w:rPr>
          <w:rFonts w:ascii="Times New Roman" w:hAnsi="Times New Roman"/>
          <w:szCs w:val="24"/>
        </w:rPr>
        <w:t>to be made of the information, the explanation to be given to persons from whom the information is requested, and any steps to be taken to obtain their consent.</w:t>
      </w:r>
    </w:p>
    <w:p w:rsidR="000E4891" w:rsidRPr="00AF3415" w:rsidP="000E4891" w14:paraId="1E6F1B17" w14:textId="77777777">
      <w:pPr>
        <w:tabs>
          <w:tab w:val="left" w:pos="3330"/>
        </w:tabs>
        <w:rPr>
          <w:rFonts w:ascii="Times New Roman" w:hAnsi="Times New Roman"/>
        </w:rPr>
      </w:pPr>
    </w:p>
    <w:p w:rsidR="000E4891" w:rsidRPr="00AF3415" w:rsidP="000E4891" w14:paraId="276EF1FC" w14:textId="77777777">
      <w:pPr>
        <w:tabs>
          <w:tab w:val="left" w:pos="3330"/>
        </w:tabs>
        <w:ind w:left="720"/>
        <w:rPr>
          <w:rFonts w:ascii="Times New Roman" w:hAnsi="Times New Roman"/>
        </w:rPr>
      </w:pPr>
      <w:r w:rsidRPr="00AF3415">
        <w:rPr>
          <w:rFonts w:ascii="Times New Roman" w:hAnsi="Times New Roman"/>
        </w:rPr>
        <w:t xml:space="preserve">There will be no questions of a sensitive nature in these customer satisfaction </w:t>
      </w:r>
      <w:r w:rsidRPr="00AF3415">
        <w:rPr>
          <w:rFonts w:ascii="Times New Roman" w:hAnsi="Times New Roman"/>
        </w:rPr>
        <w:t>surveys. If any are used, ED will submit justification for each question used as part of the individual survey submission.</w:t>
      </w:r>
    </w:p>
    <w:p w:rsidR="00863327" w:rsidRPr="00AF3415" w:rsidP="000E4891" w14:paraId="664625F7" w14:textId="77777777">
      <w:pPr>
        <w:tabs>
          <w:tab w:val="left" w:pos="3330"/>
        </w:tabs>
        <w:ind w:left="720"/>
        <w:rPr>
          <w:rFonts w:ascii="Times New Roman" w:hAnsi="Times New Roman"/>
        </w:rPr>
      </w:pPr>
    </w:p>
    <w:p w:rsidR="00863327" w:rsidRPr="00AF3415" w:rsidP="000E4891" w14:paraId="2C2B5145" w14:textId="77777777">
      <w:pPr>
        <w:tabs>
          <w:tab w:val="left" w:pos="3330"/>
        </w:tabs>
        <w:ind w:left="720"/>
        <w:rPr>
          <w:rFonts w:ascii="Times New Roman" w:hAnsi="Times New Roman"/>
        </w:rPr>
      </w:pPr>
      <w:r w:rsidRPr="00AF3415">
        <w:rPr>
          <w:rFonts w:ascii="Times New Roman" w:hAnsi="Times New Roman"/>
        </w:rPr>
        <w:t xml:space="preserve">For challenges and contests, </w:t>
      </w:r>
      <w:r w:rsidRPr="00AF3415" w:rsidR="00F512B0">
        <w:rPr>
          <w:rFonts w:ascii="Times New Roman" w:hAnsi="Times New Roman"/>
        </w:rPr>
        <w:t>certain sensitive demographic information such as race, age range, and gender may be collected from entrants in some competitions, but would be used only for the purpose of evaluating the diversity of participants at an aggregate level.</w:t>
      </w:r>
    </w:p>
    <w:p w:rsidR="00920F63" w:rsidRPr="00AF3415" w:rsidP="00920F63" w14:paraId="14D9840F" w14:textId="77777777">
      <w:pPr>
        <w:tabs>
          <w:tab w:val="left" w:pos="-720"/>
        </w:tabs>
        <w:suppressAutoHyphens/>
        <w:ind w:left="180"/>
        <w:rPr>
          <w:rFonts w:ascii="Times New Roman" w:hAnsi="Times New Roman"/>
          <w:szCs w:val="24"/>
        </w:rPr>
      </w:pPr>
    </w:p>
    <w:p w:rsidR="00043C32" w:rsidRPr="00AF3415" w:rsidP="00AD381B" w14:paraId="77ABEB91" w14:textId="77777777">
      <w:pPr>
        <w:pStyle w:val="ListParagraph"/>
        <w:numPr>
          <w:ilvl w:val="0"/>
          <w:numId w:val="5"/>
        </w:numPr>
        <w:tabs>
          <w:tab w:val="left" w:pos="-720"/>
        </w:tabs>
        <w:suppressAutoHyphens/>
        <w:ind w:hanging="540"/>
        <w:rPr>
          <w:rStyle w:val="a"/>
          <w:rFonts w:ascii="Times New Roman" w:hAnsi="Times New Roman"/>
          <w:b/>
          <w:szCs w:val="24"/>
        </w:rPr>
      </w:pPr>
      <w:r w:rsidRPr="00AF3415">
        <w:rPr>
          <w:rStyle w:val="a"/>
          <w:rFonts w:ascii="Times New Roman" w:hAnsi="Times New Roman"/>
          <w:b/>
          <w:szCs w:val="24"/>
        </w:rPr>
        <w:t xml:space="preserve">Provide estimates of the hour burden </w:t>
      </w:r>
      <w:r w:rsidRPr="00AF3415" w:rsidR="00F5782B">
        <w:rPr>
          <w:rStyle w:val="a"/>
          <w:rFonts w:ascii="Times New Roman" w:hAnsi="Times New Roman"/>
          <w:b/>
          <w:szCs w:val="24"/>
        </w:rPr>
        <w:t xml:space="preserve">for </w:t>
      </w:r>
      <w:r w:rsidRPr="00AF3415">
        <w:rPr>
          <w:rStyle w:val="a"/>
          <w:rFonts w:ascii="Times New Roman" w:hAnsi="Times New Roman"/>
          <w:b/>
          <w:szCs w:val="24"/>
        </w:rPr>
        <w:t>th</w:t>
      </w:r>
      <w:r w:rsidRPr="00AF3415" w:rsidR="00F5782B">
        <w:rPr>
          <w:rStyle w:val="a"/>
          <w:rFonts w:ascii="Times New Roman" w:hAnsi="Times New Roman"/>
          <w:b/>
          <w:szCs w:val="24"/>
        </w:rPr>
        <w:t>is</w:t>
      </w:r>
      <w:r w:rsidRPr="00AF3415">
        <w:rPr>
          <w:rStyle w:val="a"/>
          <w:rFonts w:ascii="Times New Roman" w:hAnsi="Times New Roman"/>
          <w:b/>
          <w:szCs w:val="24"/>
        </w:rPr>
        <w:t xml:space="preserve"> </w:t>
      </w:r>
      <w:r w:rsidRPr="00AF3415" w:rsidR="00F31BEC">
        <w:rPr>
          <w:rStyle w:val="a"/>
          <w:rFonts w:ascii="Times New Roman" w:hAnsi="Times New Roman"/>
          <w:b/>
          <w:szCs w:val="24"/>
        </w:rPr>
        <w:t>current information collection request</w:t>
      </w:r>
      <w:r w:rsidRPr="00AF3415">
        <w:rPr>
          <w:rStyle w:val="a"/>
          <w:rFonts w:ascii="Times New Roman" w:hAnsi="Times New Roman"/>
          <w:b/>
          <w:szCs w:val="24"/>
        </w:rPr>
        <w:t>.  The statement should:</w:t>
      </w:r>
    </w:p>
    <w:p w:rsidR="00043C32" w:rsidRPr="00AF3415" w:rsidP="00AD381B" w14:paraId="19791BC1" w14:textId="77777777">
      <w:pPr>
        <w:tabs>
          <w:tab w:val="left" w:pos="-720"/>
        </w:tabs>
        <w:suppressAutoHyphens/>
        <w:rPr>
          <w:rStyle w:val="a"/>
          <w:rFonts w:ascii="Times New Roman" w:hAnsi="Times New Roman"/>
          <w:b/>
          <w:szCs w:val="24"/>
        </w:rPr>
      </w:pPr>
    </w:p>
    <w:p w:rsidR="00C224FD" w:rsidRPr="00AF3415" w:rsidP="00C224FD" w14:paraId="562A7B2D" w14:textId="77777777">
      <w:pPr>
        <w:numPr>
          <w:ilvl w:val="0"/>
          <w:numId w:val="2"/>
        </w:numPr>
        <w:tabs>
          <w:tab w:val="left" w:pos="-720"/>
          <w:tab w:val="left" w:pos="1247"/>
        </w:tabs>
        <w:suppressAutoHyphens/>
        <w:rPr>
          <w:rStyle w:val="a"/>
          <w:rFonts w:ascii="Times New Roman" w:hAnsi="Times New Roman"/>
          <w:b/>
          <w:szCs w:val="24"/>
        </w:rPr>
      </w:pPr>
      <w:r w:rsidRPr="00AF3415">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w:t>
      </w:r>
      <w:r w:rsidRPr="00AF3415">
        <w:rPr>
          <w:rStyle w:val="a"/>
          <w:rFonts w:ascii="Times New Roman" w:hAnsi="Times New Roman"/>
          <w:b/>
          <w:szCs w:val="24"/>
        </w:rPr>
        <w:t>clude burden hours for customary and usual business practices.</w:t>
      </w:r>
    </w:p>
    <w:p w:rsidR="00F5782B" w:rsidRPr="00AF3415" w:rsidP="00C224FD" w14:paraId="36C452CD" w14:textId="77777777">
      <w:pPr>
        <w:numPr>
          <w:ilvl w:val="0"/>
          <w:numId w:val="2"/>
        </w:numPr>
        <w:tabs>
          <w:tab w:val="left" w:pos="-720"/>
          <w:tab w:val="left" w:pos="1247"/>
        </w:tabs>
        <w:suppressAutoHyphens/>
        <w:rPr>
          <w:rStyle w:val="a"/>
          <w:rFonts w:ascii="Times New Roman" w:hAnsi="Times New Roman"/>
          <w:b/>
          <w:szCs w:val="24"/>
        </w:rPr>
      </w:pPr>
      <w:r w:rsidRPr="00AF3415">
        <w:rPr>
          <w:rStyle w:val="a"/>
          <w:rFonts w:ascii="Times New Roman" w:hAnsi="Times New Roman"/>
          <w:b/>
          <w:szCs w:val="24"/>
        </w:rPr>
        <w:t>Please do not include increases in burden and respondents numerically in this table. Explain these changes in number 15.</w:t>
      </w:r>
    </w:p>
    <w:p w:rsidR="00043C32" w:rsidRPr="00AF3415" w:rsidP="00C224FD" w14:paraId="24A95A11" w14:textId="77777777">
      <w:pPr>
        <w:numPr>
          <w:ilvl w:val="0"/>
          <w:numId w:val="2"/>
        </w:numPr>
        <w:tabs>
          <w:tab w:val="left" w:pos="-720"/>
          <w:tab w:val="left" w:pos="1247"/>
        </w:tabs>
        <w:suppressAutoHyphens/>
        <w:rPr>
          <w:rStyle w:val="a"/>
          <w:rFonts w:ascii="Times New Roman" w:hAnsi="Times New Roman"/>
          <w:szCs w:val="24"/>
        </w:rPr>
      </w:pPr>
      <w:r w:rsidRPr="00AF3415">
        <w:rPr>
          <w:rStyle w:val="a"/>
          <w:rFonts w:ascii="Times New Roman" w:hAnsi="Times New Roman"/>
          <w:b/>
          <w:szCs w:val="24"/>
        </w:rPr>
        <w:t>Indicate the number of respondents by affected public type (federal gove</w:t>
      </w:r>
      <w:r w:rsidRPr="00AF3415">
        <w:rPr>
          <w:rStyle w:val="a"/>
          <w:rFonts w:ascii="Times New Roman" w:hAnsi="Times New Roman"/>
          <w:b/>
          <w:szCs w:val="24"/>
        </w:rPr>
        <w:t>rnment, individuals or households, private sector – businesses or other for-profit, private sector – not-for-profit institutions, farms, state, local or tribal governments), frequency of response, annual hour burden</w:t>
      </w:r>
      <w:r w:rsidRPr="00AF3415" w:rsidR="00C224FD">
        <w:rPr>
          <w:rStyle w:val="a"/>
          <w:rFonts w:ascii="Times New Roman" w:hAnsi="Times New Roman"/>
          <w:b/>
          <w:szCs w:val="24"/>
        </w:rPr>
        <w:t>.</w:t>
      </w:r>
      <w:r w:rsidRPr="00AF3415">
        <w:rPr>
          <w:rStyle w:val="a"/>
          <w:rFonts w:ascii="Times New Roman" w:hAnsi="Times New Roman"/>
          <w:b/>
          <w:szCs w:val="24"/>
        </w:rPr>
        <w:t xml:space="preserve"> Unless directed to do so, agencies shou</w:t>
      </w:r>
      <w:r w:rsidRPr="00AF3415">
        <w:rPr>
          <w:rStyle w:val="a"/>
          <w:rFonts w:ascii="Times New Roman" w:hAnsi="Times New Roman"/>
          <w:b/>
          <w:szCs w:val="24"/>
        </w:rPr>
        <w:t xml:space="preserve">ld not conduct special surveys to obtain information on which to base hour burden estimates.  Consultation with a sample (fewer than 10) of potential respondents is desirable. </w:t>
      </w:r>
    </w:p>
    <w:p w:rsidR="00043C32" w:rsidRPr="00AF3415" w:rsidP="00AD381B" w14:paraId="0FF0FE9E" w14:textId="77777777">
      <w:pPr>
        <w:numPr>
          <w:ilvl w:val="0"/>
          <w:numId w:val="2"/>
        </w:numPr>
        <w:tabs>
          <w:tab w:val="left" w:pos="-720"/>
          <w:tab w:val="left" w:pos="1247"/>
        </w:tabs>
        <w:suppressAutoHyphens/>
        <w:rPr>
          <w:rStyle w:val="a"/>
          <w:rFonts w:ascii="Times New Roman" w:hAnsi="Times New Roman"/>
          <w:b/>
          <w:szCs w:val="24"/>
        </w:rPr>
      </w:pPr>
      <w:r w:rsidRPr="00AF3415">
        <w:rPr>
          <w:rStyle w:val="a"/>
          <w:rFonts w:ascii="Times New Roman" w:hAnsi="Times New Roman"/>
          <w:b/>
          <w:szCs w:val="24"/>
        </w:rPr>
        <w:t>If this request for approval covers more than one form, provide separate hour b</w:t>
      </w:r>
      <w:r w:rsidRPr="00AF3415">
        <w:rPr>
          <w:rStyle w:val="a"/>
          <w:rFonts w:ascii="Times New Roman" w:hAnsi="Times New Roman"/>
          <w:b/>
          <w:szCs w:val="24"/>
        </w:rPr>
        <w:t xml:space="preserve">urden estimates for each form and aggregate the hour burden in the </w:t>
      </w:r>
      <w:r w:rsidRPr="00AF3415" w:rsidR="00C224FD">
        <w:rPr>
          <w:rStyle w:val="a"/>
          <w:rFonts w:ascii="Times New Roman" w:hAnsi="Times New Roman"/>
          <w:b/>
          <w:szCs w:val="24"/>
        </w:rPr>
        <w:t>table below.</w:t>
      </w:r>
    </w:p>
    <w:p w:rsidR="00043C32" w:rsidRPr="00AF3415" w:rsidP="00AD381B" w14:paraId="2B64AEF8" w14:textId="77777777">
      <w:pPr>
        <w:numPr>
          <w:ilvl w:val="0"/>
          <w:numId w:val="2"/>
        </w:numPr>
        <w:tabs>
          <w:tab w:val="left" w:pos="-720"/>
          <w:tab w:val="left" w:pos="1247"/>
        </w:tabs>
        <w:suppressAutoHyphens/>
        <w:ind w:left="1166"/>
        <w:rPr>
          <w:rStyle w:val="a"/>
          <w:rFonts w:ascii="Times New Roman" w:hAnsi="Times New Roman"/>
          <w:szCs w:val="24"/>
        </w:rPr>
      </w:pPr>
      <w:r w:rsidRPr="00AF341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F3415" w:rsidR="00C92035">
          <w:rPr>
            <w:rStyle w:val="Hyperlink"/>
            <w:rFonts w:ascii="Times New Roman" w:hAnsi="Times New Roman"/>
            <w:b/>
            <w:color w:val="auto"/>
            <w:szCs w:val="24"/>
          </w:rPr>
          <w:t>U</w:t>
        </w:r>
        <w:r w:rsidRPr="00AF3415" w:rsidR="00960C86">
          <w:rPr>
            <w:rStyle w:val="Hyperlink"/>
            <w:rFonts w:ascii="Times New Roman" w:hAnsi="Times New Roman"/>
            <w:b/>
            <w:color w:val="auto"/>
            <w:szCs w:val="24"/>
          </w:rPr>
          <w:t>se this site</w:t>
        </w:r>
      </w:hyperlink>
      <w:r w:rsidRPr="00AF3415" w:rsidR="00960C86">
        <w:rPr>
          <w:rStyle w:val="a"/>
          <w:rFonts w:ascii="Times New Roman" w:hAnsi="Times New Roman"/>
          <w:b/>
          <w:szCs w:val="24"/>
        </w:rPr>
        <w:t xml:space="preserve"> to research the appropriate wage rate. </w:t>
      </w:r>
      <w:r w:rsidRPr="00AF3415">
        <w:rPr>
          <w:rStyle w:val="a"/>
          <w:rFonts w:ascii="Times New Roman" w:hAnsi="Times New Roman"/>
          <w:b/>
          <w:szCs w:val="24"/>
        </w:rPr>
        <w:t>The cost of contracting out or paying outside parties for information collection activities should not be inclu</w:t>
      </w:r>
      <w:r w:rsidRPr="00AF3415">
        <w:rPr>
          <w:rStyle w:val="a"/>
          <w:rFonts w:ascii="Times New Roman" w:hAnsi="Times New Roman"/>
          <w:b/>
          <w:szCs w:val="24"/>
        </w:rPr>
        <w:t>ded here.  Instead, this cost should be included in Item 14.</w:t>
      </w:r>
      <w:r w:rsidRPr="00AF3415" w:rsidR="00D75313">
        <w:rPr>
          <w:rStyle w:val="a"/>
          <w:rFonts w:ascii="Times New Roman" w:hAnsi="Times New Roman"/>
          <w:b/>
          <w:szCs w:val="24"/>
        </w:rPr>
        <w:t xml:space="preserve"> If there is no cost to respondents, indicate by entering 0 in the chart below and/or provide a statement.</w:t>
      </w:r>
    </w:p>
    <w:p w:rsidR="00756FD3" w:rsidRPr="00AF3415" w:rsidP="00756FD3" w14:paraId="50992314" w14:textId="77777777">
      <w:pPr>
        <w:tabs>
          <w:tab w:val="left" w:pos="-720"/>
          <w:tab w:val="left" w:pos="1247"/>
        </w:tabs>
        <w:suppressAutoHyphens/>
        <w:rPr>
          <w:rStyle w:val="a"/>
          <w:rFonts w:ascii="Times New Roman" w:hAnsi="Times New Roman"/>
          <w:b/>
          <w:szCs w:val="24"/>
        </w:rPr>
      </w:pPr>
    </w:p>
    <w:p w:rsidR="00946126" w:rsidRPr="00AF3415" w:rsidP="00946126" w14:paraId="1DE39EF1" w14:textId="77777777">
      <w:pPr>
        <w:pStyle w:val="ListParagraph"/>
        <w:tabs>
          <w:tab w:val="left" w:pos="-720"/>
        </w:tabs>
        <w:suppressAutoHyphens/>
        <w:contextualSpacing w:val="0"/>
        <w:rPr>
          <w:rFonts w:ascii="Times New Roman" w:hAnsi="Times New Roman"/>
          <w:b/>
          <w:sz w:val="26"/>
          <w:szCs w:val="26"/>
        </w:rPr>
      </w:pPr>
      <w:r w:rsidRPr="00AF3415">
        <w:rPr>
          <w:rFonts w:ascii="Times New Roman" w:hAnsi="Times New Roman"/>
          <w:b/>
          <w:sz w:val="26"/>
          <w:szCs w:val="26"/>
        </w:rPr>
        <w:t xml:space="preserve">Provide a descriptive narrative here in addition to completing the table </w:t>
      </w:r>
      <w:r w:rsidRPr="00AF3415" w:rsidR="00952DF9">
        <w:rPr>
          <w:rFonts w:ascii="Times New Roman" w:hAnsi="Times New Roman"/>
          <w:b/>
          <w:sz w:val="26"/>
          <w:szCs w:val="26"/>
        </w:rPr>
        <w:t xml:space="preserve">below </w:t>
      </w:r>
      <w:r w:rsidRPr="00AF3415">
        <w:rPr>
          <w:rFonts w:ascii="Times New Roman" w:hAnsi="Times New Roman"/>
          <w:b/>
          <w:sz w:val="26"/>
          <w:szCs w:val="26"/>
        </w:rPr>
        <w:t>with burd</w:t>
      </w:r>
      <w:r w:rsidRPr="00AF3415">
        <w:rPr>
          <w:rFonts w:ascii="Times New Roman" w:hAnsi="Times New Roman"/>
          <w:b/>
          <w:sz w:val="26"/>
          <w:szCs w:val="26"/>
        </w:rPr>
        <w:t xml:space="preserve">en hour </w:t>
      </w:r>
      <w:r w:rsidRPr="00AF3415" w:rsidR="00952DF9">
        <w:rPr>
          <w:rFonts w:ascii="Times New Roman" w:hAnsi="Times New Roman"/>
          <w:b/>
          <w:sz w:val="26"/>
          <w:szCs w:val="26"/>
        </w:rPr>
        <w:t>estimates.</w:t>
      </w:r>
    </w:p>
    <w:p w:rsidR="00920F63" w:rsidRPr="00AF3415" w:rsidP="00920F63" w14:paraId="405553E0" w14:textId="77777777">
      <w:pPr>
        <w:pStyle w:val="ListParagraph"/>
        <w:tabs>
          <w:tab w:val="left" w:pos="-720"/>
        </w:tabs>
        <w:suppressAutoHyphens/>
        <w:rPr>
          <w:rStyle w:val="a"/>
          <w:rFonts w:ascii="Times New Roman" w:hAnsi="Times New Roman"/>
          <w:szCs w:val="24"/>
        </w:rPr>
      </w:pPr>
    </w:p>
    <w:p w:rsidR="00ED7195" w:rsidRPr="00AF3415" w:rsidP="00756FD3" w14:paraId="247F876D" w14:textId="77777777">
      <w:pPr>
        <w:pStyle w:val="Caption"/>
        <w:jc w:val="center"/>
        <w:rPr>
          <w:rFonts w:ascii="Times New Roman" w:hAnsi="Times New Roman"/>
          <w:color w:val="auto"/>
          <w:sz w:val="24"/>
          <w:szCs w:val="24"/>
        </w:rPr>
      </w:pPr>
      <w:r w:rsidRPr="00AF3415">
        <w:rPr>
          <w:rFonts w:ascii="Times New Roman" w:hAnsi="Times New Roman"/>
          <w:color w:val="auto"/>
          <w:sz w:val="24"/>
          <w:szCs w:val="24"/>
        </w:rPr>
        <w:t xml:space="preserve">Estimated </w:t>
      </w:r>
      <w:r w:rsidRPr="00AF3415" w:rsidR="00F31BEC">
        <w:rPr>
          <w:rFonts w:ascii="Times New Roman" w:hAnsi="Times New Roman"/>
          <w:color w:val="auto"/>
          <w:sz w:val="24"/>
          <w:szCs w:val="24"/>
        </w:rPr>
        <w:t xml:space="preserve">Annual </w:t>
      </w:r>
      <w:r w:rsidRPr="00AF3415" w:rsidR="007F6104">
        <w:rPr>
          <w:rFonts w:ascii="Times New Roman" w:hAnsi="Times New Roman"/>
          <w:color w:val="auto"/>
          <w:sz w:val="24"/>
          <w:szCs w:val="24"/>
        </w:rPr>
        <w:t>Burden and Respondent Costs</w:t>
      </w:r>
      <w:r w:rsidRPr="00AF3415" w:rsidR="00F5782B">
        <w:rPr>
          <w:rFonts w:ascii="Times New Roman" w:hAnsi="Times New Roman"/>
          <w:color w:val="auto"/>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435"/>
        <w:gridCol w:w="1260"/>
        <w:gridCol w:w="1080"/>
        <w:gridCol w:w="1530"/>
        <w:gridCol w:w="1260"/>
        <w:gridCol w:w="1440"/>
        <w:gridCol w:w="1440"/>
      </w:tblGrid>
      <w:tr w14:paraId="11D1B7F2" w14:textId="77777777" w:rsidTr="0004521E">
        <w:tblPrEx>
          <w:tblW w:w="9445" w:type="dxa"/>
          <w:tblLayout w:type="fixed"/>
          <w:tblLook w:val="0020"/>
        </w:tblPrEx>
        <w:trPr>
          <w:tblHeader/>
        </w:trPr>
        <w:tc>
          <w:tcPr>
            <w:tcW w:w="1435" w:type="dxa"/>
          </w:tcPr>
          <w:p w:rsidR="00E26070" w:rsidRPr="00AF3415" w:rsidP="5576A55C" w14:paraId="4B7B2C46" w14:textId="77777777">
            <w:pPr>
              <w:jc w:val="center"/>
              <w:rPr>
                <w:rFonts w:ascii="Times New Roman" w:hAnsi="Times New Roman"/>
                <w:sz w:val="20"/>
              </w:rPr>
            </w:pPr>
          </w:p>
          <w:p w:rsidR="00E26070" w:rsidRPr="00AF3415" w:rsidP="00FE1BAE" w14:paraId="4F5E64CD" w14:textId="77777777">
            <w:pPr>
              <w:jc w:val="center"/>
              <w:rPr>
                <w:rFonts w:ascii="Times New Roman" w:hAnsi="Times New Roman"/>
                <w:sz w:val="20"/>
              </w:rPr>
            </w:pPr>
          </w:p>
          <w:p w:rsidR="00E26070" w:rsidRPr="00AF3415" w:rsidP="00FE1BAE" w14:paraId="734DF179" w14:textId="77777777">
            <w:pPr>
              <w:jc w:val="center"/>
              <w:rPr>
                <w:rFonts w:ascii="Times New Roman" w:hAnsi="Times New Roman"/>
                <w:sz w:val="20"/>
              </w:rPr>
            </w:pPr>
            <w:r w:rsidRPr="00AF3415">
              <w:rPr>
                <w:rFonts w:ascii="Times New Roman" w:hAnsi="Times New Roman"/>
                <w:sz w:val="20"/>
              </w:rPr>
              <w:t>Information Activity or IC (with type of respondent)</w:t>
            </w:r>
          </w:p>
        </w:tc>
        <w:tc>
          <w:tcPr>
            <w:tcW w:w="1260" w:type="dxa"/>
          </w:tcPr>
          <w:p w:rsidR="0004521E" w:rsidP="0004521E" w14:paraId="1035A978" w14:textId="77777777">
            <w:pPr>
              <w:spacing w:before="120"/>
              <w:jc w:val="center"/>
              <w:rPr>
                <w:rFonts w:ascii="Times New Roman" w:hAnsi="Times New Roman"/>
                <w:sz w:val="20"/>
              </w:rPr>
            </w:pPr>
          </w:p>
          <w:p w:rsidR="00E26070" w:rsidRPr="00AF3415" w:rsidP="0004521E" w14:paraId="75B31378" w14:textId="77777777">
            <w:pPr>
              <w:spacing w:before="120"/>
              <w:rPr>
                <w:rFonts w:ascii="Times New Roman" w:hAnsi="Times New Roman"/>
                <w:sz w:val="20"/>
              </w:rPr>
            </w:pPr>
            <w:r w:rsidRPr="00AF3415">
              <w:rPr>
                <w:rFonts w:ascii="Times New Roman" w:hAnsi="Times New Roman"/>
                <w:sz w:val="20"/>
              </w:rPr>
              <w:t>Number of Respondents</w:t>
            </w:r>
          </w:p>
        </w:tc>
        <w:tc>
          <w:tcPr>
            <w:tcW w:w="1080" w:type="dxa"/>
          </w:tcPr>
          <w:p w:rsidR="0004521E" w:rsidP="0004521E" w14:paraId="71FEC93E" w14:textId="77777777">
            <w:pPr>
              <w:spacing w:before="120"/>
              <w:rPr>
                <w:rFonts w:ascii="Times New Roman" w:hAnsi="Times New Roman"/>
                <w:sz w:val="20"/>
              </w:rPr>
            </w:pPr>
          </w:p>
          <w:p w:rsidR="00E26070" w:rsidRPr="00AF3415" w:rsidP="0004521E" w14:paraId="567B4A08" w14:textId="77777777">
            <w:pPr>
              <w:spacing w:before="120"/>
              <w:rPr>
                <w:rFonts w:ascii="Times New Roman" w:hAnsi="Times New Roman"/>
                <w:sz w:val="20"/>
              </w:rPr>
            </w:pPr>
            <w:r w:rsidRPr="00AF3415">
              <w:rPr>
                <w:rFonts w:ascii="Times New Roman" w:hAnsi="Times New Roman"/>
                <w:sz w:val="20"/>
              </w:rPr>
              <w:t>Number of Responses</w:t>
            </w:r>
          </w:p>
        </w:tc>
        <w:tc>
          <w:tcPr>
            <w:tcW w:w="1530" w:type="dxa"/>
          </w:tcPr>
          <w:p w:rsidR="00E26070" w:rsidRPr="00AF3415" w:rsidP="0004521E" w14:paraId="52D3EE25" w14:textId="77777777">
            <w:pPr>
              <w:spacing w:before="120"/>
              <w:jc w:val="center"/>
              <w:rPr>
                <w:rFonts w:ascii="Times New Roman" w:hAnsi="Times New Roman"/>
                <w:sz w:val="20"/>
              </w:rPr>
            </w:pPr>
          </w:p>
          <w:p w:rsidR="00E26070" w:rsidRPr="00AF3415" w:rsidP="0004521E" w14:paraId="2763E818" w14:textId="77777777">
            <w:pPr>
              <w:spacing w:before="120"/>
              <w:jc w:val="center"/>
              <w:rPr>
                <w:rFonts w:ascii="Times New Roman" w:hAnsi="Times New Roman"/>
                <w:sz w:val="20"/>
              </w:rPr>
            </w:pPr>
            <w:r w:rsidRPr="00AF3415">
              <w:rPr>
                <w:rFonts w:ascii="Times New Roman" w:hAnsi="Times New Roman"/>
                <w:sz w:val="20"/>
              </w:rPr>
              <w:t>Average Burden Hours per Response</w:t>
            </w:r>
          </w:p>
        </w:tc>
        <w:tc>
          <w:tcPr>
            <w:tcW w:w="1260" w:type="dxa"/>
          </w:tcPr>
          <w:p w:rsidR="00E26070" w:rsidRPr="00AF3415" w:rsidP="0004521E" w14:paraId="3ECBB4B7" w14:textId="77777777">
            <w:pPr>
              <w:spacing w:before="120"/>
              <w:jc w:val="center"/>
              <w:rPr>
                <w:rFonts w:ascii="Times New Roman" w:hAnsi="Times New Roman"/>
                <w:sz w:val="20"/>
              </w:rPr>
            </w:pPr>
          </w:p>
          <w:p w:rsidR="00E26070" w:rsidRPr="00AF3415" w:rsidP="0004521E" w14:paraId="27E09BB6" w14:textId="77777777">
            <w:pPr>
              <w:spacing w:before="120"/>
              <w:rPr>
                <w:rFonts w:ascii="Times New Roman" w:hAnsi="Times New Roman"/>
                <w:sz w:val="20"/>
              </w:rPr>
            </w:pPr>
            <w:r w:rsidRPr="00AF3415">
              <w:rPr>
                <w:rFonts w:ascii="Times New Roman" w:hAnsi="Times New Roman"/>
                <w:sz w:val="20"/>
              </w:rPr>
              <w:t>Total Annual Burden Hours</w:t>
            </w:r>
          </w:p>
        </w:tc>
        <w:tc>
          <w:tcPr>
            <w:tcW w:w="1440" w:type="dxa"/>
          </w:tcPr>
          <w:p w:rsidR="00E26070" w:rsidRPr="00AF3415" w:rsidP="0004521E" w14:paraId="6EC256AD" w14:textId="77777777">
            <w:pPr>
              <w:spacing w:before="120"/>
              <w:jc w:val="center"/>
              <w:rPr>
                <w:rFonts w:ascii="Times New Roman" w:hAnsi="Times New Roman"/>
                <w:sz w:val="20"/>
              </w:rPr>
            </w:pPr>
          </w:p>
          <w:p w:rsidR="00E26070" w:rsidRPr="00AF3415" w:rsidP="0004521E" w14:paraId="30842894" w14:textId="77777777">
            <w:pPr>
              <w:spacing w:before="120"/>
              <w:rPr>
                <w:rFonts w:ascii="Times New Roman" w:hAnsi="Times New Roman"/>
                <w:sz w:val="20"/>
              </w:rPr>
            </w:pPr>
            <w:r w:rsidRPr="00AF3415">
              <w:rPr>
                <w:rFonts w:ascii="Times New Roman" w:hAnsi="Times New Roman"/>
                <w:sz w:val="20"/>
              </w:rPr>
              <w:t xml:space="preserve">Estimated </w:t>
            </w:r>
            <w:r w:rsidRPr="00AF3415">
              <w:rPr>
                <w:rFonts w:ascii="Times New Roman" w:hAnsi="Times New Roman"/>
                <w:sz w:val="20"/>
              </w:rPr>
              <w:t>Respondent Average Hourly Wage</w:t>
            </w:r>
          </w:p>
        </w:tc>
        <w:tc>
          <w:tcPr>
            <w:tcW w:w="1440" w:type="dxa"/>
          </w:tcPr>
          <w:p w:rsidR="00E26070" w:rsidRPr="00AF3415" w:rsidP="0004521E" w14:paraId="591587D0" w14:textId="77777777">
            <w:pPr>
              <w:spacing w:before="120"/>
              <w:jc w:val="center"/>
              <w:rPr>
                <w:rFonts w:ascii="Times New Roman" w:hAnsi="Times New Roman"/>
                <w:sz w:val="20"/>
              </w:rPr>
            </w:pPr>
          </w:p>
          <w:p w:rsidR="00E26070" w:rsidRPr="00AF3415" w:rsidP="0004521E" w14:paraId="2A080C6F" w14:textId="77777777">
            <w:pPr>
              <w:spacing w:before="120"/>
              <w:rPr>
                <w:rFonts w:ascii="Times New Roman" w:hAnsi="Times New Roman"/>
                <w:sz w:val="20"/>
              </w:rPr>
            </w:pPr>
            <w:r w:rsidRPr="00AF3415">
              <w:rPr>
                <w:rFonts w:ascii="Times New Roman" w:hAnsi="Times New Roman"/>
                <w:sz w:val="20"/>
              </w:rPr>
              <w:t>Total Annual Costs (hourly wage x total burden hours)</w:t>
            </w:r>
          </w:p>
        </w:tc>
      </w:tr>
      <w:tr w14:paraId="0569A226" w14:textId="77777777" w:rsidTr="0004521E">
        <w:tblPrEx>
          <w:tblW w:w="9445" w:type="dxa"/>
          <w:tblLayout w:type="fixed"/>
          <w:tblLook w:val="0020"/>
        </w:tblPrEx>
        <w:tc>
          <w:tcPr>
            <w:tcW w:w="1435" w:type="dxa"/>
          </w:tcPr>
          <w:p w:rsidR="00E26070" w:rsidRPr="00AF3415" w:rsidP="00FE1BAE" w14:paraId="358A8C8A" w14:textId="77777777">
            <w:pPr>
              <w:rPr>
                <w:rFonts w:ascii="Times New Roman" w:hAnsi="Times New Roman"/>
                <w:sz w:val="20"/>
              </w:rPr>
            </w:pPr>
            <w:r w:rsidRPr="00AF3415">
              <w:rPr>
                <w:rFonts w:ascii="Times New Roman" w:hAnsi="Times New Roman"/>
                <w:sz w:val="20"/>
              </w:rPr>
              <w:t>Survey and Challenge Respondents</w:t>
            </w:r>
          </w:p>
        </w:tc>
        <w:tc>
          <w:tcPr>
            <w:tcW w:w="1260" w:type="dxa"/>
          </w:tcPr>
          <w:p w:rsidR="00E26070" w:rsidRPr="00AF3415" w:rsidP="0004521E" w14:paraId="1F3E6ADE" w14:textId="77777777">
            <w:pPr>
              <w:spacing w:before="120"/>
              <w:rPr>
                <w:rFonts w:ascii="Times New Roman" w:hAnsi="Times New Roman"/>
                <w:sz w:val="20"/>
              </w:rPr>
            </w:pPr>
            <w:r w:rsidRPr="00AF3415">
              <w:rPr>
                <w:rFonts w:ascii="Times New Roman" w:hAnsi="Times New Roman"/>
                <w:sz w:val="20"/>
              </w:rPr>
              <w:t>225,663</w:t>
            </w:r>
          </w:p>
        </w:tc>
        <w:tc>
          <w:tcPr>
            <w:tcW w:w="1080" w:type="dxa"/>
          </w:tcPr>
          <w:p w:rsidR="00E26070" w:rsidRPr="00AF3415" w:rsidP="0004521E" w14:paraId="38968D3B" w14:textId="77777777">
            <w:pPr>
              <w:spacing w:before="120"/>
              <w:jc w:val="center"/>
              <w:rPr>
                <w:rFonts w:ascii="Times New Roman" w:hAnsi="Times New Roman"/>
                <w:sz w:val="20"/>
              </w:rPr>
            </w:pPr>
            <w:r>
              <w:rPr>
                <w:rFonts w:ascii="Times New Roman" w:hAnsi="Times New Roman"/>
                <w:sz w:val="20"/>
              </w:rPr>
              <w:t>225,663</w:t>
            </w:r>
          </w:p>
        </w:tc>
        <w:tc>
          <w:tcPr>
            <w:tcW w:w="1530" w:type="dxa"/>
          </w:tcPr>
          <w:p w:rsidR="00E26070" w:rsidRPr="00AF3415" w:rsidP="0004521E" w14:paraId="02B4EE53" w14:textId="77777777">
            <w:pPr>
              <w:spacing w:before="120"/>
              <w:jc w:val="center"/>
              <w:rPr>
                <w:rFonts w:ascii="Times New Roman" w:hAnsi="Times New Roman"/>
                <w:sz w:val="20"/>
              </w:rPr>
            </w:pPr>
            <w:r w:rsidRPr="00AF3415">
              <w:rPr>
                <w:rFonts w:ascii="Times New Roman" w:hAnsi="Times New Roman"/>
                <w:sz w:val="20"/>
              </w:rPr>
              <w:t>5 min. – 1 hour</w:t>
            </w:r>
          </w:p>
        </w:tc>
        <w:tc>
          <w:tcPr>
            <w:tcW w:w="1260" w:type="dxa"/>
          </w:tcPr>
          <w:p w:rsidR="00E26070" w:rsidRPr="00AF3415" w:rsidP="0004521E" w14:paraId="72278A1D" w14:textId="77777777">
            <w:pPr>
              <w:spacing w:before="120"/>
              <w:rPr>
                <w:rFonts w:ascii="Times New Roman" w:hAnsi="Times New Roman"/>
                <w:sz w:val="20"/>
              </w:rPr>
            </w:pPr>
            <w:r w:rsidRPr="00AF3415">
              <w:rPr>
                <w:rFonts w:ascii="Times New Roman" w:hAnsi="Times New Roman"/>
                <w:sz w:val="20"/>
              </w:rPr>
              <w:t>57,672</w:t>
            </w:r>
          </w:p>
        </w:tc>
        <w:tc>
          <w:tcPr>
            <w:tcW w:w="1440" w:type="dxa"/>
          </w:tcPr>
          <w:p w:rsidR="00E26070" w:rsidRPr="00AF3415" w:rsidP="0004521E" w14:paraId="71EA81EE" w14:textId="77777777">
            <w:pPr>
              <w:spacing w:before="120"/>
              <w:rPr>
                <w:rFonts w:ascii="Times New Roman" w:hAnsi="Times New Roman"/>
                <w:sz w:val="20"/>
              </w:rPr>
            </w:pPr>
            <w:r w:rsidRPr="00AF3415">
              <w:rPr>
                <w:rFonts w:ascii="Times New Roman" w:hAnsi="Times New Roman"/>
                <w:sz w:val="20"/>
              </w:rPr>
              <w:t>$30</w:t>
            </w:r>
          </w:p>
        </w:tc>
        <w:tc>
          <w:tcPr>
            <w:tcW w:w="1440" w:type="dxa"/>
          </w:tcPr>
          <w:p w:rsidR="00E26070" w:rsidRPr="00AF3415" w:rsidP="0004521E" w14:paraId="4C8780EB" w14:textId="77777777">
            <w:pPr>
              <w:spacing w:before="120"/>
              <w:rPr>
                <w:rFonts w:ascii="Times New Roman" w:hAnsi="Times New Roman"/>
                <w:sz w:val="20"/>
              </w:rPr>
            </w:pPr>
            <w:r w:rsidRPr="00AF3415">
              <w:rPr>
                <w:rFonts w:ascii="Times New Roman" w:hAnsi="Times New Roman"/>
                <w:sz w:val="20"/>
              </w:rPr>
              <w:t>$1,730,160</w:t>
            </w:r>
          </w:p>
        </w:tc>
      </w:tr>
      <w:tr w14:paraId="6FBD85B1" w14:textId="77777777" w:rsidTr="0004521E">
        <w:tblPrEx>
          <w:tblW w:w="9445" w:type="dxa"/>
          <w:tblLayout w:type="fixed"/>
          <w:tblLook w:val="0020"/>
        </w:tblPrEx>
        <w:tc>
          <w:tcPr>
            <w:tcW w:w="1435" w:type="dxa"/>
          </w:tcPr>
          <w:p w:rsidR="00E26070" w:rsidRPr="00AF3415" w:rsidP="00FE1BAE" w14:paraId="407E3910" w14:textId="77777777">
            <w:pPr>
              <w:rPr>
                <w:rFonts w:ascii="Times New Roman" w:hAnsi="Times New Roman"/>
                <w:sz w:val="20"/>
              </w:rPr>
            </w:pPr>
            <w:r w:rsidRPr="00AF3415">
              <w:rPr>
                <w:rFonts w:ascii="Times New Roman" w:hAnsi="Times New Roman"/>
                <w:sz w:val="20"/>
              </w:rPr>
              <w:t>Focus Groups</w:t>
            </w:r>
          </w:p>
        </w:tc>
        <w:tc>
          <w:tcPr>
            <w:tcW w:w="1260" w:type="dxa"/>
          </w:tcPr>
          <w:p w:rsidR="00E26070" w:rsidRPr="00AF3415" w:rsidP="00FE1BAE" w14:paraId="455FE990" w14:textId="77777777">
            <w:pPr>
              <w:rPr>
                <w:rFonts w:ascii="Times New Roman" w:hAnsi="Times New Roman"/>
                <w:sz w:val="20"/>
              </w:rPr>
            </w:pPr>
            <w:r w:rsidRPr="00AF3415">
              <w:rPr>
                <w:rFonts w:ascii="Times New Roman" w:hAnsi="Times New Roman"/>
                <w:sz w:val="20"/>
              </w:rPr>
              <w:t>40</w:t>
            </w:r>
          </w:p>
        </w:tc>
        <w:tc>
          <w:tcPr>
            <w:tcW w:w="1080" w:type="dxa"/>
          </w:tcPr>
          <w:p w:rsidR="00E26070" w:rsidRPr="00AF3415" w:rsidP="00FE1BAE" w14:paraId="0B900F7C" w14:textId="77777777">
            <w:pPr>
              <w:jc w:val="center"/>
              <w:rPr>
                <w:rFonts w:ascii="Times New Roman" w:hAnsi="Times New Roman"/>
                <w:sz w:val="20"/>
              </w:rPr>
            </w:pPr>
            <w:r>
              <w:rPr>
                <w:rFonts w:ascii="Times New Roman" w:hAnsi="Times New Roman"/>
                <w:sz w:val="20"/>
              </w:rPr>
              <w:t>40</w:t>
            </w:r>
          </w:p>
        </w:tc>
        <w:tc>
          <w:tcPr>
            <w:tcW w:w="1530" w:type="dxa"/>
          </w:tcPr>
          <w:p w:rsidR="00E26070" w:rsidRPr="00AF3415" w:rsidP="00FE1BAE" w14:paraId="30AEB72E" w14:textId="77777777">
            <w:pPr>
              <w:jc w:val="center"/>
              <w:rPr>
                <w:rFonts w:ascii="Times New Roman" w:hAnsi="Times New Roman"/>
                <w:sz w:val="20"/>
              </w:rPr>
            </w:pPr>
            <w:r w:rsidRPr="00AF3415">
              <w:rPr>
                <w:rFonts w:ascii="Times New Roman" w:hAnsi="Times New Roman"/>
                <w:sz w:val="20"/>
              </w:rPr>
              <w:t>1.25</w:t>
            </w:r>
          </w:p>
        </w:tc>
        <w:tc>
          <w:tcPr>
            <w:tcW w:w="1260" w:type="dxa"/>
          </w:tcPr>
          <w:p w:rsidR="00E26070" w:rsidRPr="00AF3415" w:rsidP="00FE1BAE" w14:paraId="39B61CDA" w14:textId="77777777">
            <w:pPr>
              <w:pStyle w:val="EndnoteText"/>
              <w:tabs>
                <w:tab w:val="clear" w:pos="-720"/>
              </w:tabs>
              <w:suppressAutoHyphens w:val="0"/>
              <w:rPr>
                <w:rFonts w:ascii="Times New Roman" w:hAnsi="Times New Roman"/>
                <w:sz w:val="20"/>
              </w:rPr>
            </w:pPr>
            <w:r w:rsidRPr="00AF3415">
              <w:rPr>
                <w:rFonts w:ascii="Times New Roman" w:hAnsi="Times New Roman"/>
                <w:sz w:val="20"/>
              </w:rPr>
              <w:t>50</w:t>
            </w:r>
          </w:p>
        </w:tc>
        <w:tc>
          <w:tcPr>
            <w:tcW w:w="1440" w:type="dxa"/>
          </w:tcPr>
          <w:p w:rsidR="00E26070" w:rsidRPr="00AF3415" w:rsidP="00FE1BAE" w14:paraId="1A7DB96E" w14:textId="77777777">
            <w:pPr>
              <w:rPr>
                <w:rFonts w:ascii="Times New Roman" w:hAnsi="Times New Roman"/>
                <w:sz w:val="20"/>
              </w:rPr>
            </w:pPr>
          </w:p>
        </w:tc>
        <w:tc>
          <w:tcPr>
            <w:tcW w:w="1440" w:type="dxa"/>
          </w:tcPr>
          <w:p w:rsidR="00E26070" w:rsidRPr="00AF3415" w:rsidP="00FE1BAE" w14:paraId="643F6974" w14:textId="77777777">
            <w:pPr>
              <w:rPr>
                <w:rFonts w:ascii="Times New Roman" w:hAnsi="Times New Roman"/>
                <w:sz w:val="20"/>
              </w:rPr>
            </w:pPr>
          </w:p>
        </w:tc>
      </w:tr>
      <w:tr w14:paraId="3F57B37E" w14:textId="77777777" w:rsidTr="0004521E">
        <w:tblPrEx>
          <w:tblW w:w="9445" w:type="dxa"/>
          <w:tblLayout w:type="fixed"/>
          <w:tblLook w:val="0020"/>
        </w:tblPrEx>
        <w:tc>
          <w:tcPr>
            <w:tcW w:w="1435" w:type="dxa"/>
          </w:tcPr>
          <w:p w:rsidR="00E26070" w:rsidRPr="00AF3415" w:rsidP="00FE1BAE" w14:paraId="54BECF7C" w14:textId="77777777">
            <w:pPr>
              <w:rPr>
                <w:rFonts w:ascii="Times New Roman" w:hAnsi="Times New Roman"/>
                <w:sz w:val="20"/>
              </w:rPr>
            </w:pPr>
          </w:p>
        </w:tc>
        <w:tc>
          <w:tcPr>
            <w:tcW w:w="1260" w:type="dxa"/>
          </w:tcPr>
          <w:p w:rsidR="00E26070" w:rsidRPr="00AF3415" w:rsidP="00FE1BAE" w14:paraId="372AAF60" w14:textId="77777777">
            <w:pPr>
              <w:rPr>
                <w:rFonts w:ascii="Times New Roman" w:hAnsi="Times New Roman"/>
                <w:sz w:val="20"/>
              </w:rPr>
            </w:pPr>
          </w:p>
        </w:tc>
        <w:tc>
          <w:tcPr>
            <w:tcW w:w="1080" w:type="dxa"/>
          </w:tcPr>
          <w:p w:rsidR="00E26070" w:rsidRPr="00AF3415" w:rsidP="00FE1BAE" w14:paraId="7B96BBDB" w14:textId="77777777">
            <w:pPr>
              <w:jc w:val="center"/>
              <w:rPr>
                <w:rFonts w:ascii="Times New Roman" w:hAnsi="Times New Roman"/>
                <w:sz w:val="20"/>
              </w:rPr>
            </w:pPr>
          </w:p>
        </w:tc>
        <w:tc>
          <w:tcPr>
            <w:tcW w:w="1530" w:type="dxa"/>
          </w:tcPr>
          <w:p w:rsidR="00E26070" w:rsidRPr="00AF3415" w:rsidP="00FE1BAE" w14:paraId="60B1B36C" w14:textId="77777777">
            <w:pPr>
              <w:jc w:val="center"/>
              <w:rPr>
                <w:rFonts w:ascii="Times New Roman" w:hAnsi="Times New Roman"/>
                <w:sz w:val="20"/>
              </w:rPr>
            </w:pPr>
          </w:p>
        </w:tc>
        <w:tc>
          <w:tcPr>
            <w:tcW w:w="1260" w:type="dxa"/>
          </w:tcPr>
          <w:p w:rsidR="00E26070" w:rsidRPr="00AF3415" w:rsidP="00FE1BAE" w14:paraId="1C3D219C" w14:textId="77777777">
            <w:pPr>
              <w:pStyle w:val="EndnoteText"/>
              <w:tabs>
                <w:tab w:val="clear" w:pos="-720"/>
              </w:tabs>
              <w:suppressAutoHyphens w:val="0"/>
              <w:rPr>
                <w:rFonts w:ascii="Times New Roman" w:hAnsi="Times New Roman"/>
                <w:sz w:val="20"/>
              </w:rPr>
            </w:pPr>
          </w:p>
        </w:tc>
        <w:tc>
          <w:tcPr>
            <w:tcW w:w="1440" w:type="dxa"/>
          </w:tcPr>
          <w:p w:rsidR="00E26070" w:rsidRPr="00AF3415" w:rsidP="00FE1BAE" w14:paraId="703F1C4F" w14:textId="77777777">
            <w:pPr>
              <w:rPr>
                <w:rFonts w:ascii="Times New Roman" w:hAnsi="Times New Roman"/>
                <w:sz w:val="20"/>
              </w:rPr>
            </w:pPr>
          </w:p>
        </w:tc>
        <w:tc>
          <w:tcPr>
            <w:tcW w:w="1440" w:type="dxa"/>
          </w:tcPr>
          <w:p w:rsidR="00E26070" w:rsidRPr="00AF3415" w:rsidP="00FE1BAE" w14:paraId="402DFD35" w14:textId="77777777">
            <w:pPr>
              <w:rPr>
                <w:rFonts w:ascii="Times New Roman" w:hAnsi="Times New Roman"/>
                <w:sz w:val="20"/>
              </w:rPr>
            </w:pPr>
          </w:p>
        </w:tc>
      </w:tr>
      <w:tr w14:paraId="05981924" w14:textId="77777777" w:rsidTr="0004521E">
        <w:tblPrEx>
          <w:tblW w:w="9445" w:type="dxa"/>
          <w:tblLayout w:type="fixed"/>
          <w:tblLook w:val="0020"/>
        </w:tblPrEx>
        <w:tc>
          <w:tcPr>
            <w:tcW w:w="1435" w:type="dxa"/>
          </w:tcPr>
          <w:p w:rsidR="00E26070" w:rsidRPr="00AF3415" w:rsidP="00FE1BAE" w14:paraId="228DCF6D" w14:textId="77777777">
            <w:pPr>
              <w:rPr>
                <w:rFonts w:ascii="Times New Roman" w:hAnsi="Times New Roman"/>
                <w:sz w:val="20"/>
              </w:rPr>
            </w:pPr>
            <w:r w:rsidRPr="00AF3415">
              <w:rPr>
                <w:rFonts w:ascii="Times New Roman" w:hAnsi="Times New Roman"/>
                <w:sz w:val="20"/>
              </w:rPr>
              <w:t>Annualized Totals</w:t>
            </w:r>
          </w:p>
        </w:tc>
        <w:tc>
          <w:tcPr>
            <w:tcW w:w="1260" w:type="dxa"/>
          </w:tcPr>
          <w:p w:rsidR="00E26070" w:rsidRPr="00B52024" w:rsidP="0004521E" w14:paraId="355B5C98" w14:textId="77777777">
            <w:pPr>
              <w:spacing w:before="240"/>
              <w:rPr>
                <w:rFonts w:ascii="Times New Roman" w:hAnsi="Times New Roman"/>
                <w:sz w:val="20"/>
              </w:rPr>
            </w:pPr>
            <w:r w:rsidRPr="00B52024">
              <w:rPr>
                <w:rFonts w:ascii="Times New Roman" w:hAnsi="Times New Roman"/>
                <w:sz w:val="20"/>
              </w:rPr>
              <w:t>225,703</w:t>
            </w:r>
          </w:p>
        </w:tc>
        <w:tc>
          <w:tcPr>
            <w:tcW w:w="1080" w:type="dxa"/>
          </w:tcPr>
          <w:p w:rsidR="00E26070" w:rsidRPr="00B52024" w:rsidP="0004521E" w14:paraId="0CFBFE73" w14:textId="77777777">
            <w:pPr>
              <w:spacing w:before="240"/>
              <w:rPr>
                <w:rFonts w:ascii="Times New Roman" w:hAnsi="Times New Roman"/>
                <w:b/>
                <w:bCs/>
                <w:sz w:val="20"/>
              </w:rPr>
            </w:pPr>
            <w:r w:rsidRPr="00B52024">
              <w:rPr>
                <w:rFonts w:ascii="Times New Roman" w:hAnsi="Times New Roman"/>
                <w:b/>
                <w:bCs/>
                <w:sz w:val="20"/>
              </w:rPr>
              <w:t>225,703</w:t>
            </w:r>
          </w:p>
        </w:tc>
        <w:tc>
          <w:tcPr>
            <w:tcW w:w="1530" w:type="dxa"/>
          </w:tcPr>
          <w:p w:rsidR="00E26070" w:rsidRPr="00AF3415" w:rsidP="0004521E" w14:paraId="3A5D4357" w14:textId="77777777">
            <w:pPr>
              <w:spacing w:before="240"/>
              <w:rPr>
                <w:rFonts w:ascii="Times New Roman" w:hAnsi="Times New Roman"/>
                <w:sz w:val="20"/>
              </w:rPr>
            </w:pPr>
          </w:p>
        </w:tc>
        <w:tc>
          <w:tcPr>
            <w:tcW w:w="1260" w:type="dxa"/>
          </w:tcPr>
          <w:p w:rsidR="00E26070" w:rsidRPr="0004521E" w:rsidP="0004521E" w14:paraId="26ED37F9" w14:textId="77777777">
            <w:pPr>
              <w:spacing w:before="240"/>
              <w:rPr>
                <w:rFonts w:ascii="Times New Roman" w:hAnsi="Times New Roman"/>
                <w:b/>
                <w:bCs/>
                <w:sz w:val="20"/>
              </w:rPr>
            </w:pPr>
            <w:r w:rsidRPr="0004521E">
              <w:rPr>
                <w:rFonts w:ascii="Times New Roman" w:hAnsi="Times New Roman"/>
                <w:b/>
                <w:bCs/>
                <w:sz w:val="20"/>
              </w:rPr>
              <w:t>57,722</w:t>
            </w:r>
          </w:p>
        </w:tc>
        <w:tc>
          <w:tcPr>
            <w:tcW w:w="1440" w:type="dxa"/>
          </w:tcPr>
          <w:p w:rsidR="00E26070" w:rsidRPr="00AF3415" w:rsidP="0004521E" w14:paraId="75891D5A" w14:textId="77777777">
            <w:pPr>
              <w:spacing w:before="240"/>
              <w:rPr>
                <w:rFonts w:ascii="Times New Roman" w:hAnsi="Times New Roman"/>
                <w:sz w:val="20"/>
              </w:rPr>
            </w:pPr>
          </w:p>
        </w:tc>
        <w:tc>
          <w:tcPr>
            <w:tcW w:w="1440" w:type="dxa"/>
          </w:tcPr>
          <w:p w:rsidR="00E26070" w:rsidRPr="00AF3415" w:rsidP="0004521E" w14:paraId="2837F3FE" w14:textId="77777777">
            <w:pPr>
              <w:spacing w:before="240"/>
              <w:rPr>
                <w:rFonts w:ascii="Times New Roman" w:hAnsi="Times New Roman"/>
                <w:sz w:val="20"/>
              </w:rPr>
            </w:pPr>
            <w:r w:rsidRPr="00AF3415">
              <w:rPr>
                <w:rFonts w:ascii="Times New Roman" w:hAnsi="Times New Roman"/>
                <w:sz w:val="20"/>
              </w:rPr>
              <w:t>$1,730,160</w:t>
            </w:r>
          </w:p>
        </w:tc>
      </w:tr>
    </w:tbl>
    <w:p w:rsidR="001A6AE0" w:rsidRPr="00AF3415" w:rsidP="000446F5" w14:paraId="37092098" w14:textId="77777777">
      <w:pPr>
        <w:pStyle w:val="ListParagraph"/>
        <w:tabs>
          <w:tab w:val="left" w:pos="-720"/>
        </w:tabs>
        <w:suppressAutoHyphens/>
        <w:ind w:left="-864" w:right="-864"/>
        <w:rPr>
          <w:rStyle w:val="a"/>
          <w:rFonts w:ascii="Times New Roman" w:hAnsi="Times New Roman"/>
          <w:b/>
          <w:bCs/>
          <w:i/>
          <w:iCs/>
          <w:szCs w:val="24"/>
        </w:rPr>
      </w:pPr>
    </w:p>
    <w:p w:rsidR="00F31BEC" w:rsidRPr="00AF3415" w:rsidP="000446F5" w14:paraId="743428A1" w14:textId="77777777">
      <w:pPr>
        <w:pStyle w:val="ListParagraph"/>
        <w:tabs>
          <w:tab w:val="left" w:pos="-720"/>
        </w:tabs>
        <w:suppressAutoHyphens/>
        <w:ind w:left="-864" w:right="-864"/>
        <w:rPr>
          <w:rStyle w:val="a"/>
          <w:rFonts w:ascii="Times New Roman" w:hAnsi="Times New Roman"/>
          <w:b/>
          <w:bCs/>
          <w:i/>
          <w:iCs/>
          <w:sz w:val="22"/>
          <w:szCs w:val="22"/>
        </w:rPr>
      </w:pPr>
      <w:r w:rsidRPr="00AF3415">
        <w:rPr>
          <w:rStyle w:val="a"/>
          <w:rFonts w:ascii="Times New Roman" w:hAnsi="Times New Roman"/>
          <w:b/>
          <w:bCs/>
          <w:i/>
          <w:iCs/>
          <w:sz w:val="22"/>
          <w:szCs w:val="22"/>
        </w:rPr>
        <w:t>Please ensure the annual total burden, respondents and response match those entered in IC Data Parts 1 and 2</w:t>
      </w:r>
      <w:r w:rsidRPr="00AF3415" w:rsidR="00916EE4">
        <w:rPr>
          <w:rStyle w:val="a"/>
          <w:rFonts w:ascii="Times New Roman" w:hAnsi="Times New Roman"/>
          <w:b/>
          <w:bCs/>
          <w:i/>
          <w:iCs/>
          <w:sz w:val="22"/>
          <w:szCs w:val="22"/>
        </w:rPr>
        <w:t>, and</w:t>
      </w:r>
      <w:r w:rsidRPr="00AF3415">
        <w:rPr>
          <w:rStyle w:val="a"/>
          <w:rFonts w:ascii="Times New Roman" w:hAnsi="Times New Roman"/>
          <w:b/>
          <w:bCs/>
          <w:i/>
          <w:iCs/>
          <w:sz w:val="22"/>
          <w:szCs w:val="22"/>
        </w:rPr>
        <w:t xml:space="preserve"> the response per respondent matches the Paperwork Burden Statement that must be included on all forms.</w:t>
      </w:r>
    </w:p>
    <w:p w:rsidR="00920F63" w:rsidRPr="00AF3415" w:rsidP="00920F63" w14:paraId="10079849" w14:textId="77777777">
      <w:pPr>
        <w:pStyle w:val="ListParagraph"/>
        <w:tabs>
          <w:tab w:val="left" w:pos="-720"/>
        </w:tabs>
        <w:suppressAutoHyphens/>
        <w:rPr>
          <w:rStyle w:val="a"/>
          <w:rFonts w:ascii="Times New Roman" w:hAnsi="Times New Roman"/>
          <w:szCs w:val="24"/>
        </w:rPr>
      </w:pPr>
    </w:p>
    <w:p w:rsidR="0094742D" w:rsidRPr="00AF3415" w:rsidP="0094742D" w14:paraId="0E69DC4C" w14:textId="77777777">
      <w:pPr>
        <w:tabs>
          <w:tab w:val="left" w:pos="-720"/>
        </w:tabs>
        <w:suppressAutoHyphens/>
        <w:rPr>
          <w:rFonts w:ascii="Times New Roman" w:hAnsi="Times New Roman"/>
          <w:szCs w:val="24"/>
        </w:rPr>
      </w:pPr>
      <w:r w:rsidRPr="00AF3415">
        <w:rPr>
          <w:rFonts w:ascii="Times New Roman" w:hAnsi="Times New Roman"/>
          <w:szCs w:val="24"/>
        </w:rPr>
        <w:t xml:space="preserve">The </w:t>
      </w:r>
      <w:r w:rsidRPr="00AF3415">
        <w:rPr>
          <w:rFonts w:ascii="Times New Roman" w:hAnsi="Times New Roman"/>
          <w:szCs w:val="24"/>
        </w:rPr>
        <w:t>respondent burden averages from five (5) minutes to 1 hour per response for each survey</w:t>
      </w:r>
      <w:r w:rsidRPr="00AF3415" w:rsidR="0059002B">
        <w:rPr>
          <w:rFonts w:ascii="Times New Roman" w:hAnsi="Times New Roman"/>
          <w:szCs w:val="24"/>
        </w:rPr>
        <w:t xml:space="preserve"> or challenge</w:t>
      </w:r>
      <w:r w:rsidRPr="00AF3415">
        <w:rPr>
          <w:rFonts w:ascii="Times New Roman" w:hAnsi="Times New Roman"/>
          <w:szCs w:val="24"/>
        </w:rPr>
        <w:t>, depending on the individual survey</w:t>
      </w:r>
      <w:r w:rsidRPr="00AF3415" w:rsidR="0059002B">
        <w:rPr>
          <w:rFonts w:ascii="Times New Roman" w:hAnsi="Times New Roman"/>
          <w:szCs w:val="24"/>
        </w:rPr>
        <w:t xml:space="preserve"> or contest</w:t>
      </w:r>
      <w:r w:rsidRPr="00AF3415">
        <w:rPr>
          <w:rFonts w:ascii="Times New Roman" w:hAnsi="Times New Roman"/>
          <w:szCs w:val="24"/>
        </w:rPr>
        <w:t xml:space="preserve">. This estimation has been based on previous surveys </w:t>
      </w:r>
      <w:r w:rsidRPr="00AF3415" w:rsidR="0059002B">
        <w:rPr>
          <w:rFonts w:ascii="Times New Roman" w:hAnsi="Times New Roman"/>
          <w:szCs w:val="24"/>
        </w:rPr>
        <w:t xml:space="preserve">or challenges </w:t>
      </w:r>
      <w:r w:rsidRPr="00AF3415">
        <w:rPr>
          <w:rFonts w:ascii="Times New Roman" w:hAnsi="Times New Roman"/>
          <w:szCs w:val="24"/>
        </w:rPr>
        <w:t>submitted. The respondents are estimate to</w:t>
      </w:r>
      <w:r w:rsidRPr="00AF3415">
        <w:rPr>
          <w:rFonts w:ascii="Times New Roman" w:hAnsi="Times New Roman"/>
          <w:szCs w:val="24"/>
        </w:rPr>
        <w:t xml:space="preserve"> average 60-90 minutes in each focus group discussion.</w:t>
      </w:r>
    </w:p>
    <w:p w:rsidR="0094742D" w:rsidRPr="00AF3415" w:rsidP="0094742D" w14:paraId="0E3516CB" w14:textId="77777777">
      <w:pPr>
        <w:tabs>
          <w:tab w:val="left" w:pos="-720"/>
        </w:tabs>
        <w:suppressAutoHyphens/>
        <w:rPr>
          <w:rFonts w:ascii="Times New Roman" w:hAnsi="Times New Roman"/>
          <w:szCs w:val="24"/>
        </w:rPr>
      </w:pPr>
    </w:p>
    <w:p w:rsidR="0094742D" w:rsidRPr="00AF3415" w:rsidP="0094742D" w14:paraId="25B832A7" w14:textId="77777777">
      <w:pPr>
        <w:tabs>
          <w:tab w:val="left" w:pos="3330"/>
        </w:tabs>
        <w:rPr>
          <w:rFonts w:ascii="Times New Roman" w:hAnsi="Times New Roman"/>
        </w:rPr>
      </w:pPr>
      <w:r w:rsidRPr="00AF3415">
        <w:rPr>
          <w:rFonts w:ascii="Times New Roman" w:hAnsi="Times New Roman"/>
        </w:rPr>
        <w:t xml:space="preserve">Each survey respondent </w:t>
      </w:r>
      <w:r w:rsidRPr="00AF3415" w:rsidR="00535780">
        <w:rPr>
          <w:rFonts w:ascii="Times New Roman" w:hAnsi="Times New Roman"/>
        </w:rPr>
        <w:t xml:space="preserve">or challenge entrant </w:t>
      </w:r>
      <w:r w:rsidRPr="00AF3415">
        <w:rPr>
          <w:rFonts w:ascii="Times New Roman" w:hAnsi="Times New Roman"/>
        </w:rPr>
        <w:t>will most likely submit one response per survey</w:t>
      </w:r>
      <w:r w:rsidRPr="00AF3415" w:rsidR="00535780">
        <w:rPr>
          <w:rFonts w:ascii="Times New Roman" w:hAnsi="Times New Roman"/>
        </w:rPr>
        <w:t xml:space="preserve"> or challenge</w:t>
      </w:r>
      <w:r w:rsidRPr="00AF3415">
        <w:rPr>
          <w:rFonts w:ascii="Times New Roman" w:hAnsi="Times New Roman"/>
        </w:rPr>
        <w:t xml:space="preserve">.  The Department estimates </w:t>
      </w:r>
      <w:r w:rsidRPr="00AF3415" w:rsidR="005A778F">
        <w:rPr>
          <w:rFonts w:ascii="Times New Roman" w:hAnsi="Times New Roman"/>
        </w:rPr>
        <w:t>225</w:t>
      </w:r>
      <w:r w:rsidRPr="00AF3415">
        <w:rPr>
          <w:rFonts w:ascii="Times New Roman" w:hAnsi="Times New Roman"/>
        </w:rPr>
        <w:t>,</w:t>
      </w:r>
      <w:r w:rsidRPr="00AF3415" w:rsidR="005A778F">
        <w:rPr>
          <w:rFonts w:ascii="Times New Roman" w:hAnsi="Times New Roman"/>
        </w:rPr>
        <w:t>663</w:t>
      </w:r>
      <w:r w:rsidRPr="00AF3415">
        <w:rPr>
          <w:rFonts w:ascii="Times New Roman" w:hAnsi="Times New Roman"/>
        </w:rPr>
        <w:t xml:space="preserve"> responses with a total burden of 115,194. </w:t>
      </w:r>
      <w:r w:rsidRPr="00AF3415" w:rsidR="00535780">
        <w:rPr>
          <w:rFonts w:ascii="Times New Roman" w:hAnsi="Times New Roman"/>
        </w:rPr>
        <w:t>Since there are few challenges from the Department, the number of entrants for challenges with a year will fall within the current cap. Each entry should average around the same time of the customer surveys.</w:t>
      </w:r>
    </w:p>
    <w:p w:rsidR="0094742D" w:rsidRPr="00AF3415" w:rsidP="0094742D" w14:paraId="267C0065" w14:textId="77777777">
      <w:pPr>
        <w:tabs>
          <w:tab w:val="left" w:pos="3330"/>
        </w:tabs>
        <w:rPr>
          <w:rFonts w:ascii="Times New Roman" w:hAnsi="Times New Roman"/>
        </w:rPr>
      </w:pPr>
    </w:p>
    <w:p w:rsidR="0094742D" w:rsidRPr="00AF3415" w:rsidP="0094742D" w14:paraId="7E27E05B" w14:textId="77777777">
      <w:pPr>
        <w:tabs>
          <w:tab w:val="left" w:pos="3330"/>
        </w:tabs>
        <w:rPr>
          <w:rFonts w:ascii="Times New Roman" w:hAnsi="Times New Roman"/>
        </w:rPr>
      </w:pPr>
      <w:r w:rsidRPr="00AF3415">
        <w:rPr>
          <w:rFonts w:ascii="Times New Roman" w:hAnsi="Times New Roman"/>
        </w:rPr>
        <w:t>Each member of a focus group is expected to spend an average of 7</w:t>
      </w:r>
      <w:r w:rsidRPr="00AF3415">
        <w:rPr>
          <w:rFonts w:ascii="Times New Roman" w:hAnsi="Times New Roman"/>
        </w:rPr>
        <w:t xml:space="preserve">5 minutes per group.  If four focus groups were held over the next year with an average of 10 participants per group, the total burden is estimated to be 50 hours (4 groups x 10 participants x 1.25 hours). </w:t>
      </w:r>
    </w:p>
    <w:p w:rsidR="0094742D" w:rsidRPr="00AF3415" w:rsidP="0094742D" w14:paraId="5AD6EFB4" w14:textId="77777777">
      <w:pPr>
        <w:tabs>
          <w:tab w:val="left" w:pos="3330"/>
        </w:tabs>
        <w:rPr>
          <w:rFonts w:ascii="Times New Roman" w:hAnsi="Times New Roman"/>
        </w:rPr>
      </w:pPr>
    </w:p>
    <w:p w:rsidR="0094742D" w:rsidRPr="00AF3415" w:rsidP="0094742D" w14:paraId="02B6B4EB" w14:textId="77777777">
      <w:pPr>
        <w:tabs>
          <w:tab w:val="left" w:pos="3330"/>
        </w:tabs>
        <w:rPr>
          <w:rFonts w:ascii="Times New Roman" w:hAnsi="Times New Roman"/>
        </w:rPr>
      </w:pPr>
      <w:r w:rsidRPr="00AF3415">
        <w:rPr>
          <w:rFonts w:ascii="Times New Roman" w:hAnsi="Times New Roman"/>
        </w:rPr>
        <w:t xml:space="preserve">Burden for both activities is estimated at </w:t>
      </w:r>
      <w:r w:rsidRPr="00AF3415" w:rsidR="0048152B">
        <w:rPr>
          <w:rFonts w:ascii="Times New Roman" w:hAnsi="Times New Roman"/>
        </w:rPr>
        <w:t>57,722</w:t>
      </w:r>
      <w:r w:rsidRPr="00AF3415">
        <w:rPr>
          <w:rFonts w:ascii="Times New Roman" w:hAnsi="Times New Roman"/>
        </w:rPr>
        <w:t xml:space="preserve"> hours and </w:t>
      </w:r>
      <w:r w:rsidRPr="00AF3415" w:rsidR="00D04223">
        <w:rPr>
          <w:rFonts w:ascii="Times New Roman" w:hAnsi="Times New Roman"/>
        </w:rPr>
        <w:t>225</w:t>
      </w:r>
      <w:r w:rsidRPr="00AF3415" w:rsidR="005F62F8">
        <w:rPr>
          <w:rFonts w:ascii="Times New Roman" w:hAnsi="Times New Roman"/>
        </w:rPr>
        <w:t>,703</w:t>
      </w:r>
      <w:r w:rsidRPr="00AF3415">
        <w:rPr>
          <w:rFonts w:ascii="Times New Roman" w:hAnsi="Times New Roman"/>
        </w:rPr>
        <w:t xml:space="preserve"> responses.</w:t>
      </w:r>
    </w:p>
    <w:p w:rsidR="0094742D" w:rsidRPr="00AF3415" w:rsidP="0094742D" w14:paraId="36475DC2" w14:textId="77777777">
      <w:pPr>
        <w:tabs>
          <w:tab w:val="left" w:pos="3330"/>
        </w:tabs>
        <w:rPr>
          <w:rFonts w:ascii="Times New Roman" w:hAnsi="Times New Roman"/>
        </w:rPr>
      </w:pPr>
    </w:p>
    <w:p w:rsidR="0094742D" w:rsidRPr="00AF3415" w:rsidP="0094742D" w14:paraId="6AE4B2C5" w14:textId="77777777">
      <w:pPr>
        <w:tabs>
          <w:tab w:val="left" w:pos="3330"/>
        </w:tabs>
        <w:rPr>
          <w:rFonts w:ascii="Times New Roman" w:hAnsi="Times New Roman"/>
        </w:rPr>
      </w:pPr>
      <w:r w:rsidRPr="00AF3415">
        <w:rPr>
          <w:rFonts w:ascii="Times New Roman" w:hAnsi="Times New Roman"/>
        </w:rPr>
        <w:t xml:space="preserve">The average hourly cost per respondent is estimated to be $30.00. </w:t>
      </w:r>
    </w:p>
    <w:p w:rsidR="0094742D" w:rsidRPr="00AF3415" w:rsidP="00920F63" w14:paraId="62AB117F" w14:textId="77777777">
      <w:pPr>
        <w:pStyle w:val="ListParagraph"/>
        <w:tabs>
          <w:tab w:val="left" w:pos="-720"/>
        </w:tabs>
        <w:suppressAutoHyphens/>
        <w:rPr>
          <w:rStyle w:val="a"/>
          <w:rFonts w:ascii="Times New Roman" w:hAnsi="Times New Roman"/>
          <w:szCs w:val="24"/>
        </w:rPr>
      </w:pPr>
    </w:p>
    <w:p w:rsidR="00043C32" w:rsidRPr="00AF3415" w:rsidP="00AD381B" w14:paraId="57CB1E8F" w14:textId="77777777">
      <w:pPr>
        <w:pStyle w:val="ListParagraph"/>
        <w:numPr>
          <w:ilvl w:val="0"/>
          <w:numId w:val="5"/>
        </w:numPr>
        <w:tabs>
          <w:tab w:val="left" w:pos="-720"/>
        </w:tabs>
        <w:suppressAutoHyphens/>
        <w:ind w:hanging="540"/>
        <w:rPr>
          <w:rFonts w:ascii="Times New Roman" w:hAnsi="Times New Roman"/>
          <w:b/>
          <w:szCs w:val="24"/>
        </w:rPr>
      </w:pPr>
      <w:r w:rsidRPr="00AF3415">
        <w:rPr>
          <w:rStyle w:val="a"/>
          <w:rFonts w:ascii="Times New Roman" w:hAnsi="Times New Roman"/>
          <w:b/>
          <w:szCs w:val="24"/>
        </w:rPr>
        <w:t>Provide an estimate of the total annual cost burden to respondents or record keepers resulting from the collection of information.  (Do not include the cost</w:t>
      </w:r>
      <w:r w:rsidRPr="00AF3415">
        <w:rPr>
          <w:rStyle w:val="a"/>
          <w:rFonts w:ascii="Times New Roman" w:hAnsi="Times New Roman"/>
          <w:b/>
          <w:szCs w:val="24"/>
        </w:rPr>
        <w:t xml:space="preserve"> of any hour burden shown in Items 12 and 14.)</w:t>
      </w:r>
    </w:p>
    <w:p w:rsidR="00043C32" w:rsidRPr="00AF3415" w:rsidP="00AD381B" w14:paraId="26604398" w14:textId="77777777">
      <w:pPr>
        <w:tabs>
          <w:tab w:val="left" w:pos="-720"/>
        </w:tabs>
        <w:suppressAutoHyphens/>
        <w:rPr>
          <w:rFonts w:ascii="Times New Roman" w:hAnsi="Times New Roman"/>
          <w:b/>
          <w:szCs w:val="24"/>
        </w:rPr>
      </w:pPr>
    </w:p>
    <w:p w:rsidR="00043C32" w:rsidRPr="00AF3415" w:rsidP="00AD381B" w14:paraId="560DEA6B" w14:textId="77777777">
      <w:pPr>
        <w:numPr>
          <w:ilvl w:val="0"/>
          <w:numId w:val="1"/>
        </w:numPr>
        <w:tabs>
          <w:tab w:val="left" w:pos="-720"/>
          <w:tab w:val="clear" w:pos="700"/>
        </w:tabs>
        <w:suppressAutoHyphens/>
        <w:ind w:left="1350" w:hanging="450"/>
        <w:rPr>
          <w:rFonts w:ascii="Times New Roman" w:hAnsi="Times New Roman"/>
          <w:b/>
          <w:szCs w:val="24"/>
        </w:rPr>
      </w:pPr>
      <w:r w:rsidRPr="00AF341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w:t>
      </w:r>
      <w:r w:rsidRPr="00AF3415">
        <w:rPr>
          <w:rFonts w:ascii="Times New Roman" w:hAnsi="Times New Roman"/>
          <w:b/>
          <w:szCs w:val="24"/>
        </w:rPr>
        <w:t>vices component.  The estimates should take into account costs associated with generating, maintaining, and disclosing or providing the information.  Include descriptions of methods used to estimate major cost factors including system and technology acquis</w:t>
      </w:r>
      <w:r w:rsidRPr="00AF3415">
        <w:rPr>
          <w:rFonts w:ascii="Times New Roman" w:hAnsi="Times New Roman"/>
          <w:b/>
          <w:szCs w:val="24"/>
        </w:rPr>
        <w:t xml:space="preserve">ition, expected useful life of capital equipment, the discount rate(s), and the time period over which costs will be incurred.  </w:t>
      </w:r>
      <w:r w:rsidRPr="00AF3415">
        <w:rPr>
          <w:rFonts w:ascii="Times New Roman" w:hAnsi="Times New Roman"/>
          <w:b/>
          <w:szCs w:val="24"/>
        </w:rPr>
        <w:t xml:space="preserve">Capital and start-up costs include, among other items, preparations for collecting information such as purchasing computers and </w:t>
      </w:r>
      <w:r w:rsidRPr="00AF3415">
        <w:rPr>
          <w:rFonts w:ascii="Times New Roman" w:hAnsi="Times New Roman"/>
          <w:b/>
          <w:szCs w:val="24"/>
        </w:rPr>
        <w:t>software; monitoring, sampling, drilling and testing equipment; and acquiring and maintaining record storage facilities.</w:t>
      </w:r>
    </w:p>
    <w:p w:rsidR="00043C32" w:rsidRPr="00AF3415" w:rsidP="00AD381B" w14:paraId="6EE700A8" w14:textId="77777777">
      <w:pPr>
        <w:numPr>
          <w:ilvl w:val="12"/>
          <w:numId w:val="0"/>
        </w:numPr>
        <w:tabs>
          <w:tab w:val="left" w:pos="-720"/>
        </w:tabs>
        <w:suppressAutoHyphens/>
        <w:ind w:left="340"/>
        <w:rPr>
          <w:rFonts w:ascii="Times New Roman" w:hAnsi="Times New Roman"/>
          <w:szCs w:val="24"/>
        </w:rPr>
      </w:pPr>
    </w:p>
    <w:p w:rsidR="00043C32" w:rsidRPr="00AF3415" w:rsidP="00AD381B" w14:paraId="2F111B8D" w14:textId="77777777">
      <w:pPr>
        <w:numPr>
          <w:ilvl w:val="0"/>
          <w:numId w:val="1"/>
        </w:numPr>
        <w:tabs>
          <w:tab w:val="left" w:pos="-720"/>
          <w:tab w:val="clear" w:pos="700"/>
          <w:tab w:val="left" w:pos="1247"/>
        </w:tabs>
        <w:suppressAutoHyphens/>
        <w:ind w:left="1260"/>
        <w:rPr>
          <w:rFonts w:ascii="Times New Roman" w:hAnsi="Times New Roman"/>
          <w:b/>
          <w:szCs w:val="24"/>
        </w:rPr>
      </w:pPr>
      <w:r w:rsidRPr="00AF3415">
        <w:rPr>
          <w:rFonts w:ascii="Times New Roman" w:hAnsi="Times New Roman"/>
          <w:b/>
          <w:szCs w:val="24"/>
        </w:rPr>
        <w:t xml:space="preserve">If cost estimates are expected to vary widely, agencies should present ranges of cost burdens and explain the reasons for the </w:t>
      </w:r>
      <w:r w:rsidRPr="00AF3415">
        <w:rPr>
          <w:rFonts w:ascii="Times New Roman" w:hAnsi="Times New Roman"/>
          <w:b/>
          <w:szCs w:val="24"/>
        </w:rPr>
        <w:t>variance.  The cost of contracting out information collection services should be a part of this cost burden estimate.  In developing cost burden estimates, agencies may consult with a sample of respondents (fewer than 10), utilize the 60-day pre-OMB submis</w:t>
      </w:r>
      <w:r w:rsidRPr="00AF3415">
        <w:rPr>
          <w:rFonts w:ascii="Times New Roman" w:hAnsi="Times New Roman"/>
          <w:b/>
          <w:szCs w:val="24"/>
        </w:rPr>
        <w:t>sion public comment process and use existing economic or regulatory impact analysis associated with the rulemaking containing the information collection, as appropriate.</w:t>
      </w:r>
    </w:p>
    <w:p w:rsidR="00043C32" w:rsidRPr="00AF3415" w:rsidP="00AD381B" w14:paraId="3E5AC711" w14:textId="77777777">
      <w:pPr>
        <w:tabs>
          <w:tab w:val="left" w:pos="-720"/>
          <w:tab w:val="left" w:pos="1247"/>
        </w:tabs>
        <w:suppressAutoHyphens/>
        <w:ind w:left="340"/>
        <w:rPr>
          <w:rFonts w:ascii="Times New Roman" w:hAnsi="Times New Roman"/>
          <w:b/>
          <w:szCs w:val="24"/>
        </w:rPr>
      </w:pPr>
    </w:p>
    <w:p w:rsidR="00043C32" w:rsidRPr="00AF3415" w:rsidP="00AD381B" w14:paraId="3B939EA8" w14:textId="77777777">
      <w:pPr>
        <w:numPr>
          <w:ilvl w:val="0"/>
          <w:numId w:val="1"/>
        </w:numPr>
        <w:tabs>
          <w:tab w:val="left" w:pos="-720"/>
          <w:tab w:val="clear" w:pos="700"/>
          <w:tab w:val="left" w:pos="1247"/>
        </w:tabs>
        <w:suppressAutoHyphens/>
        <w:ind w:left="1260"/>
        <w:rPr>
          <w:rFonts w:ascii="Times New Roman" w:hAnsi="Times New Roman"/>
          <w:b/>
          <w:szCs w:val="24"/>
        </w:rPr>
      </w:pPr>
      <w:r w:rsidRPr="00AF3415">
        <w:rPr>
          <w:rFonts w:ascii="Times New Roman" w:hAnsi="Times New Roman"/>
          <w:b/>
          <w:szCs w:val="24"/>
        </w:rPr>
        <w:t>Generally, estimates should not include purchases of equipment or services, or portio</w:t>
      </w:r>
      <w:r w:rsidRPr="00AF3415">
        <w:rPr>
          <w:rFonts w:ascii="Times New Roman" w:hAnsi="Times New Roman"/>
          <w:b/>
          <w:szCs w:val="24"/>
        </w:rPr>
        <w:t>ns thereof, made: (1) prior to October 1, 1995, (2) to achieve regulatory compliance with requirements not associated with the information collection, (3) for reasons other than to provide information or keep records for the government or (4) as part of cu</w:t>
      </w:r>
      <w:r w:rsidRPr="00AF3415">
        <w:rPr>
          <w:rFonts w:ascii="Times New Roman" w:hAnsi="Times New Roman"/>
          <w:b/>
          <w:szCs w:val="24"/>
        </w:rPr>
        <w:t>stomary and usual business or private practices. Also, these estimates should not include the hourly costs (i.e., the monetization of the hours) captured above in Item 12</w:t>
      </w:r>
      <w:r w:rsidRPr="00AF3415" w:rsidR="009243F3">
        <w:rPr>
          <w:rFonts w:ascii="Times New Roman" w:hAnsi="Times New Roman"/>
          <w:b/>
          <w:szCs w:val="24"/>
        </w:rPr>
        <w:t>.</w:t>
      </w:r>
    </w:p>
    <w:p w:rsidR="00043C32" w:rsidRPr="00AF3415" w:rsidP="00AD381B" w14:paraId="293A77D0" w14:textId="77777777">
      <w:pPr>
        <w:tabs>
          <w:tab w:val="left" w:pos="-720"/>
        </w:tabs>
        <w:suppressAutoHyphens/>
        <w:rPr>
          <w:rFonts w:ascii="Times New Roman" w:hAnsi="Times New Roman"/>
          <w:b/>
          <w:szCs w:val="24"/>
        </w:rPr>
      </w:pPr>
    </w:p>
    <w:p w:rsidR="00043C32" w:rsidRPr="00AF3415" w:rsidP="00AD381B" w14:paraId="431325CD" w14:textId="77777777">
      <w:pPr>
        <w:tabs>
          <w:tab w:val="left" w:pos="-720"/>
        </w:tabs>
        <w:suppressAutoHyphens/>
        <w:rPr>
          <w:rFonts w:ascii="Times New Roman" w:hAnsi="Times New Roman"/>
          <w:b/>
          <w:szCs w:val="24"/>
        </w:rPr>
      </w:pPr>
      <w:r w:rsidRPr="00AF3415">
        <w:rPr>
          <w:rFonts w:ascii="Times New Roman" w:hAnsi="Times New Roman"/>
          <w:b/>
          <w:szCs w:val="24"/>
        </w:rPr>
        <w:tab/>
        <w:t>Total Annualized Capital/Startup Cost</w:t>
      </w:r>
      <w:r w:rsidRPr="00AF3415">
        <w:rPr>
          <w:rFonts w:ascii="Times New Roman" w:hAnsi="Times New Roman"/>
          <w:b/>
          <w:szCs w:val="24"/>
        </w:rPr>
        <w:tab/>
        <w:t>:</w:t>
      </w:r>
    </w:p>
    <w:p w:rsidR="00043C32" w:rsidRPr="00AF3415" w:rsidP="00AD381B" w14:paraId="509E0F00" w14:textId="77777777">
      <w:pPr>
        <w:tabs>
          <w:tab w:val="left" w:pos="-720"/>
        </w:tabs>
        <w:suppressAutoHyphens/>
        <w:rPr>
          <w:rFonts w:ascii="Times New Roman" w:hAnsi="Times New Roman"/>
          <w:b/>
          <w:szCs w:val="24"/>
        </w:rPr>
      </w:pPr>
      <w:r w:rsidRPr="00AF3415">
        <w:rPr>
          <w:rFonts w:ascii="Times New Roman" w:hAnsi="Times New Roman"/>
          <w:b/>
          <w:szCs w:val="24"/>
        </w:rPr>
        <w:tab/>
        <w:t>Total Annual Costs (O&amp;M)</w:t>
      </w:r>
      <w:r w:rsidRPr="00AF3415">
        <w:rPr>
          <w:rFonts w:ascii="Times New Roman" w:hAnsi="Times New Roman"/>
          <w:b/>
          <w:szCs w:val="24"/>
        </w:rPr>
        <w:tab/>
      </w:r>
      <w:r w:rsidRPr="00AF3415">
        <w:rPr>
          <w:rFonts w:ascii="Times New Roman" w:hAnsi="Times New Roman"/>
          <w:b/>
          <w:szCs w:val="24"/>
        </w:rPr>
        <w:tab/>
      </w:r>
      <w:r w:rsidRPr="00AF3415" w:rsidR="009243F3">
        <w:rPr>
          <w:rFonts w:ascii="Times New Roman" w:hAnsi="Times New Roman"/>
          <w:b/>
          <w:szCs w:val="24"/>
        </w:rPr>
        <w:tab/>
      </w:r>
      <w:r w:rsidRPr="00AF3415">
        <w:rPr>
          <w:rFonts w:ascii="Times New Roman" w:hAnsi="Times New Roman"/>
          <w:b/>
          <w:szCs w:val="24"/>
        </w:rPr>
        <w:t>:_____________</w:t>
      </w:r>
      <w:r w:rsidRPr="00AF3415">
        <w:rPr>
          <w:rFonts w:ascii="Times New Roman" w:hAnsi="Times New Roman"/>
          <w:b/>
          <w:szCs w:val="24"/>
        </w:rPr>
        <w:t>_______</w:t>
      </w:r>
    </w:p>
    <w:p w:rsidR="00043C32" w:rsidRPr="00AF3415" w:rsidP="00AD381B" w14:paraId="5AB2518F" w14:textId="77777777">
      <w:pPr>
        <w:tabs>
          <w:tab w:val="left" w:pos="-720"/>
        </w:tabs>
        <w:suppressAutoHyphens/>
        <w:rPr>
          <w:rFonts w:ascii="Times New Roman" w:hAnsi="Times New Roman"/>
          <w:b/>
          <w:szCs w:val="24"/>
        </w:rPr>
      </w:pPr>
      <w:r w:rsidRPr="00AF3415">
        <w:rPr>
          <w:rFonts w:ascii="Times New Roman" w:hAnsi="Times New Roman"/>
          <w:b/>
          <w:szCs w:val="24"/>
        </w:rPr>
        <w:tab/>
        <w:t>Total Annualized Costs Requested</w:t>
      </w:r>
      <w:r w:rsidRPr="00AF3415">
        <w:rPr>
          <w:rFonts w:ascii="Times New Roman" w:hAnsi="Times New Roman"/>
          <w:b/>
          <w:szCs w:val="24"/>
        </w:rPr>
        <w:tab/>
      </w:r>
      <w:r w:rsidRPr="00AF3415" w:rsidR="009243F3">
        <w:rPr>
          <w:rFonts w:ascii="Times New Roman" w:hAnsi="Times New Roman"/>
          <w:b/>
          <w:szCs w:val="24"/>
        </w:rPr>
        <w:tab/>
      </w:r>
      <w:r w:rsidRPr="00AF3415">
        <w:rPr>
          <w:rFonts w:ascii="Times New Roman" w:hAnsi="Times New Roman"/>
          <w:b/>
          <w:szCs w:val="24"/>
        </w:rPr>
        <w:t>:</w:t>
      </w:r>
    </w:p>
    <w:p w:rsidR="00043C32" w:rsidRPr="00AF3415" w:rsidP="00AD381B" w14:paraId="05EFBDA2" w14:textId="77777777">
      <w:pPr>
        <w:tabs>
          <w:tab w:val="left" w:pos="-720"/>
        </w:tabs>
        <w:suppressAutoHyphens/>
        <w:rPr>
          <w:rFonts w:ascii="Times New Roman" w:hAnsi="Times New Roman"/>
          <w:szCs w:val="24"/>
        </w:rPr>
      </w:pPr>
    </w:p>
    <w:p w:rsidR="0094742D" w:rsidRPr="00AF3415" w:rsidP="0094742D" w14:paraId="594AABCB" w14:textId="77777777">
      <w:pPr>
        <w:tabs>
          <w:tab w:val="left" w:pos="-720"/>
        </w:tabs>
        <w:suppressAutoHyphens/>
        <w:ind w:left="540"/>
        <w:rPr>
          <w:rFonts w:ascii="Times New Roman" w:hAnsi="Times New Roman"/>
        </w:rPr>
      </w:pPr>
      <w:r w:rsidRPr="00AF3415">
        <w:rPr>
          <w:rFonts w:ascii="Times New Roman" w:hAnsi="Times New Roman"/>
        </w:rPr>
        <w:t>There are no costs to respondents except for those costs provided under number 12.</w:t>
      </w:r>
    </w:p>
    <w:p w:rsidR="0094742D" w:rsidRPr="00AF3415" w:rsidP="0094742D" w14:paraId="20AD7093" w14:textId="77777777">
      <w:pPr>
        <w:tabs>
          <w:tab w:val="left" w:pos="-720"/>
        </w:tabs>
        <w:suppressAutoHyphens/>
        <w:ind w:left="540"/>
        <w:rPr>
          <w:rFonts w:ascii="Times New Roman" w:hAnsi="Times New Roman"/>
          <w:szCs w:val="24"/>
        </w:rPr>
      </w:pPr>
    </w:p>
    <w:p w:rsidR="00043C32" w:rsidRPr="00AF3415" w:rsidP="00AD381B" w14:paraId="38C48B7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F3415">
        <w:rPr>
          <w:rStyle w:val="a"/>
          <w:rFonts w:ascii="Times New Roman" w:hAnsi="Times New Roman"/>
          <w:b/>
          <w:szCs w:val="24"/>
        </w:rPr>
        <w:t>Provide estimates of annualized cost to the Federal government.  Also, provide a description of the method used to estimate co</w:t>
      </w:r>
      <w:r w:rsidRPr="00AF3415">
        <w:rPr>
          <w:rStyle w:val="a"/>
          <w:rFonts w:ascii="Times New Roman" w:hAnsi="Times New Roman"/>
          <w:b/>
          <w:szCs w:val="24"/>
        </w:rPr>
        <w:t xml:space="preserve">st, which should include quantification of hours, operational expenses (such as equipment, overhead, printing, and support staff), and any other expense that would not have been incurred without this collection of information.  Agencies also may aggregate </w:t>
      </w:r>
      <w:r w:rsidRPr="00AF3415">
        <w:rPr>
          <w:rStyle w:val="a"/>
          <w:rFonts w:ascii="Times New Roman" w:hAnsi="Times New Roman"/>
          <w:b/>
          <w:szCs w:val="24"/>
        </w:rPr>
        <w:t>cost estimates from Items 12, 13, and 14 in a single table.</w:t>
      </w:r>
    </w:p>
    <w:p w:rsidR="0094742D" w:rsidRPr="00AF3415" w:rsidP="0094742D" w14:paraId="67277327" w14:textId="77777777">
      <w:pPr>
        <w:pStyle w:val="BodyText0"/>
        <w:tabs>
          <w:tab w:val="left" w:pos="3330"/>
        </w:tabs>
        <w:ind w:left="540"/>
        <w:rPr>
          <w:sz w:val="24"/>
        </w:rPr>
      </w:pPr>
    </w:p>
    <w:p w:rsidR="0094742D" w:rsidRPr="00AF3415" w:rsidP="0094742D" w14:paraId="6F7982F8" w14:textId="77777777">
      <w:pPr>
        <w:pStyle w:val="BodyText0"/>
        <w:tabs>
          <w:tab w:val="left" w:pos="3330"/>
        </w:tabs>
        <w:ind w:left="540"/>
        <w:rPr>
          <w:sz w:val="24"/>
        </w:rPr>
      </w:pPr>
      <w:r w:rsidRPr="00AF3415">
        <w:rPr>
          <w:sz w:val="24"/>
        </w:rPr>
        <w:t xml:space="preserve">The cost required to read and evaluate the </w:t>
      </w:r>
      <w:r w:rsidRPr="00AF3415" w:rsidR="00535780">
        <w:rPr>
          <w:sz w:val="24"/>
        </w:rPr>
        <w:t xml:space="preserve">challenge entries, </w:t>
      </w:r>
      <w:r w:rsidRPr="00AF3415">
        <w:rPr>
          <w:sz w:val="24"/>
        </w:rPr>
        <w:t>surveys and focus groups discussions by ED, including the time taken by individuals under contract to ED, is estimated to be 31,256 h</w:t>
      </w:r>
      <w:r w:rsidRPr="00AF3415">
        <w:rPr>
          <w:sz w:val="24"/>
        </w:rPr>
        <w:t>ours.  Given an average hourly rate of $3</w:t>
      </w:r>
      <w:r w:rsidRPr="00AF3415" w:rsidR="009169BF">
        <w:rPr>
          <w:sz w:val="24"/>
        </w:rPr>
        <w:t>8.61</w:t>
      </w:r>
      <w:r w:rsidRPr="00AF3415">
        <w:rPr>
          <w:sz w:val="24"/>
        </w:rPr>
        <w:t xml:space="preserve"> per hour, the total cost to the Department is estimated to be $</w:t>
      </w:r>
      <w:r w:rsidRPr="00AF3415" w:rsidR="00380463">
        <w:rPr>
          <w:sz w:val="24"/>
        </w:rPr>
        <w:t>1,206,794</w:t>
      </w:r>
      <w:r w:rsidRPr="00AF3415">
        <w:rPr>
          <w:sz w:val="24"/>
        </w:rPr>
        <w:t>.</w:t>
      </w:r>
    </w:p>
    <w:p w:rsidR="00534B4A" w:rsidRPr="00AF3415" w:rsidP="00534B4A" w14:paraId="23A26233" w14:textId="77777777">
      <w:pPr>
        <w:tabs>
          <w:tab w:val="left" w:pos="-720"/>
        </w:tabs>
        <w:suppressAutoHyphens/>
        <w:rPr>
          <w:rFonts w:ascii="Times New Roman" w:hAnsi="Times New Roman"/>
          <w:szCs w:val="24"/>
        </w:rPr>
      </w:pPr>
    </w:p>
    <w:p w:rsidR="00534B4A" w:rsidRPr="00AF3415" w:rsidP="00534B4A" w14:paraId="279E0CFB" w14:textId="77777777">
      <w:pPr>
        <w:pStyle w:val="ListParagraph"/>
        <w:tabs>
          <w:tab w:val="left" w:pos="-720"/>
        </w:tabs>
        <w:suppressAutoHyphens/>
        <w:ind w:left="907"/>
        <w:contextualSpacing w:val="0"/>
        <w:rPr>
          <w:rFonts w:ascii="Times New Roman" w:hAnsi="Times New Roman"/>
          <w:szCs w:val="24"/>
        </w:rPr>
      </w:pPr>
    </w:p>
    <w:p w:rsidR="00800D30" w:rsidRPr="00AF3415" w:rsidP="00800D30" w14:paraId="7564B37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F3415">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w:t>
      </w:r>
      <w:r w:rsidRPr="00AF3415">
        <w:rPr>
          <w:rFonts w:ascii="Times New Roman" w:hAnsi="Times New Roman"/>
          <w:b/>
          <w:szCs w:val="24"/>
        </w:rPr>
        <w:t xml:space="preserve">ize of the reporting universe). Program changes result from a deliberate action that materially changes a collection of information and generally </w:t>
      </w:r>
      <w:r w:rsidRPr="00AF3415">
        <w:rPr>
          <w:rFonts w:ascii="Times New Roman" w:hAnsi="Times New Roman"/>
          <w:b/>
          <w:szCs w:val="24"/>
        </w:rPr>
        <w:t>are result of new statute or an agency action (e.g., changing a form, revising regulations, redefining the res</w:t>
      </w:r>
      <w:r w:rsidRPr="00AF3415">
        <w:rPr>
          <w:rFonts w:ascii="Times New Roman" w:hAnsi="Times New Roman"/>
          <w:b/>
          <w:szCs w:val="24"/>
        </w:rPr>
        <w:t>pondent universe, etc.). Burden changes should be disaggregated by type of change (i.e., adjustment, program change due to new statute, and/or program change due to agency discretion), type of collection (new, revision, extension, reinstatement with change</w:t>
      </w:r>
      <w:r w:rsidRPr="00AF3415">
        <w:rPr>
          <w:rFonts w:ascii="Times New Roman" w:hAnsi="Times New Roman"/>
          <w:b/>
          <w:szCs w:val="24"/>
        </w:rPr>
        <w:t xml:space="preserve">, reinstatement without change) and include totals for changes in burden hours, responses and costs (if applicable). </w:t>
      </w:r>
    </w:p>
    <w:p w:rsidR="00800D30" w:rsidRPr="00AF3415" w:rsidP="00800D30" w14:paraId="3346354C" w14:textId="77777777">
      <w:pPr>
        <w:pStyle w:val="ListParagraph"/>
        <w:tabs>
          <w:tab w:val="left" w:pos="-720"/>
        </w:tabs>
        <w:suppressAutoHyphens/>
        <w:contextualSpacing w:val="0"/>
        <w:rPr>
          <w:rFonts w:ascii="Times New Roman" w:hAnsi="Times New Roman"/>
          <w:b/>
          <w:szCs w:val="24"/>
        </w:rPr>
      </w:pPr>
    </w:p>
    <w:p w:rsidR="00800D30" w:rsidRPr="00AF3415" w:rsidP="00800D30" w14:paraId="277786B1" w14:textId="77777777">
      <w:pPr>
        <w:pStyle w:val="ListParagraph"/>
        <w:tabs>
          <w:tab w:val="left" w:pos="-720"/>
        </w:tabs>
        <w:suppressAutoHyphens/>
        <w:contextualSpacing w:val="0"/>
        <w:rPr>
          <w:rFonts w:ascii="Times New Roman" w:hAnsi="Times New Roman"/>
          <w:b/>
          <w:sz w:val="26"/>
          <w:szCs w:val="26"/>
        </w:rPr>
      </w:pPr>
      <w:r w:rsidRPr="00AF3415">
        <w:rPr>
          <w:rFonts w:ascii="Times New Roman" w:hAnsi="Times New Roman"/>
          <w:b/>
          <w:sz w:val="26"/>
          <w:szCs w:val="26"/>
        </w:rPr>
        <w:t>Provide a descriptive narrative for the reasons of any change in addition to completing the table with the burden hour change(s)</w:t>
      </w:r>
      <w:r w:rsidRPr="00AF3415" w:rsidR="002A3221">
        <w:rPr>
          <w:rFonts w:ascii="Times New Roman" w:hAnsi="Times New Roman"/>
          <w:b/>
          <w:sz w:val="26"/>
          <w:szCs w:val="26"/>
        </w:rPr>
        <w:t xml:space="preserve"> here</w:t>
      </w:r>
      <w:r w:rsidRPr="00AF3415" w:rsidR="00946126">
        <w:rPr>
          <w:rFonts w:ascii="Times New Roman" w:hAnsi="Times New Roman"/>
          <w:b/>
          <w:sz w:val="26"/>
          <w:szCs w:val="26"/>
        </w:rPr>
        <w:t>.</w:t>
      </w:r>
    </w:p>
    <w:p w:rsidR="00534B4A" w:rsidRPr="00AF3415" w:rsidP="00534B4A" w14:paraId="2F77053A"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5E84256" w14:textId="77777777" w:rsidTr="0052073E">
        <w:tblPrEx>
          <w:tblW w:w="9445" w:type="dxa"/>
          <w:tblLook w:val="04A0"/>
        </w:tblPrEx>
        <w:tc>
          <w:tcPr>
            <w:tcW w:w="2048" w:type="dxa"/>
            <w:shd w:val="clear" w:color="auto" w:fill="D9D9D9" w:themeFill="background1" w:themeFillShade="D9"/>
          </w:tcPr>
          <w:p w:rsidR="0052073E" w:rsidRPr="00AF3415" w:rsidP="00534B4A" w14:paraId="04103C25" w14:textId="77777777">
            <w:pPr>
              <w:tabs>
                <w:tab w:val="left" w:pos="-720"/>
              </w:tabs>
              <w:suppressAutoHyphens/>
              <w:rPr>
                <w:rFonts w:ascii="Times New Roman" w:hAnsi="Times New Roman"/>
                <w:b/>
                <w:szCs w:val="24"/>
              </w:rPr>
            </w:pPr>
          </w:p>
        </w:tc>
        <w:tc>
          <w:tcPr>
            <w:tcW w:w="2048" w:type="dxa"/>
          </w:tcPr>
          <w:p w:rsidR="0052073E" w:rsidRPr="00AF3415" w:rsidP="00534B4A" w14:paraId="7DE00226" w14:textId="77777777">
            <w:pPr>
              <w:tabs>
                <w:tab w:val="left" w:pos="-720"/>
              </w:tabs>
              <w:suppressAutoHyphens/>
              <w:rPr>
                <w:rFonts w:ascii="Times New Roman" w:hAnsi="Times New Roman"/>
                <w:b/>
                <w:szCs w:val="24"/>
              </w:rPr>
            </w:pPr>
            <w:r w:rsidRPr="00AF3415">
              <w:rPr>
                <w:rFonts w:ascii="Times New Roman" w:hAnsi="Times New Roman"/>
                <w:b/>
                <w:szCs w:val="24"/>
              </w:rPr>
              <w:t>Program Change Due to New Statute</w:t>
            </w:r>
          </w:p>
        </w:tc>
        <w:tc>
          <w:tcPr>
            <w:tcW w:w="2829" w:type="dxa"/>
          </w:tcPr>
          <w:p w:rsidR="0052073E" w:rsidRPr="00AF3415" w:rsidP="00534B4A" w14:paraId="15BF5A2D" w14:textId="77777777">
            <w:pPr>
              <w:tabs>
                <w:tab w:val="left" w:pos="-720"/>
              </w:tabs>
              <w:suppressAutoHyphens/>
              <w:rPr>
                <w:rFonts w:ascii="Times New Roman" w:hAnsi="Times New Roman"/>
                <w:b/>
                <w:szCs w:val="24"/>
              </w:rPr>
            </w:pPr>
            <w:r w:rsidRPr="00AF3415">
              <w:rPr>
                <w:rFonts w:ascii="Times New Roman" w:hAnsi="Times New Roman"/>
                <w:b/>
                <w:szCs w:val="24"/>
              </w:rPr>
              <w:t>Program Change Due to Agency Discretion</w:t>
            </w:r>
          </w:p>
        </w:tc>
        <w:tc>
          <w:tcPr>
            <w:tcW w:w="2520" w:type="dxa"/>
          </w:tcPr>
          <w:p w:rsidR="0052073E" w:rsidRPr="00AF3415" w:rsidP="00534B4A" w14:paraId="68F33940" w14:textId="77777777">
            <w:pPr>
              <w:tabs>
                <w:tab w:val="left" w:pos="-720"/>
              </w:tabs>
              <w:suppressAutoHyphens/>
              <w:rPr>
                <w:rFonts w:ascii="Times New Roman" w:hAnsi="Times New Roman"/>
                <w:b/>
                <w:szCs w:val="24"/>
              </w:rPr>
            </w:pPr>
            <w:r w:rsidRPr="00AF3415">
              <w:rPr>
                <w:rFonts w:ascii="Times New Roman" w:hAnsi="Times New Roman"/>
                <w:b/>
                <w:szCs w:val="24"/>
              </w:rPr>
              <w:t>Change Due to Adjustment in Agency Estimate</w:t>
            </w:r>
          </w:p>
        </w:tc>
      </w:tr>
      <w:tr w14:paraId="3A7D83E6" w14:textId="77777777" w:rsidTr="0052073E">
        <w:tblPrEx>
          <w:tblW w:w="9445" w:type="dxa"/>
          <w:tblLook w:val="04A0"/>
        </w:tblPrEx>
        <w:tc>
          <w:tcPr>
            <w:tcW w:w="2048" w:type="dxa"/>
          </w:tcPr>
          <w:p w:rsidR="0052073E" w:rsidRPr="00AF3415" w:rsidP="00534B4A" w14:paraId="4A45C145" w14:textId="77777777">
            <w:pPr>
              <w:tabs>
                <w:tab w:val="left" w:pos="-720"/>
              </w:tabs>
              <w:suppressAutoHyphens/>
              <w:rPr>
                <w:rFonts w:ascii="Times New Roman" w:hAnsi="Times New Roman"/>
                <w:b/>
                <w:szCs w:val="24"/>
              </w:rPr>
            </w:pPr>
            <w:r w:rsidRPr="00AF3415">
              <w:rPr>
                <w:rFonts w:ascii="Times New Roman" w:hAnsi="Times New Roman"/>
                <w:b/>
                <w:szCs w:val="24"/>
              </w:rPr>
              <w:t>Total Burden</w:t>
            </w:r>
          </w:p>
        </w:tc>
        <w:tc>
          <w:tcPr>
            <w:tcW w:w="2048" w:type="dxa"/>
          </w:tcPr>
          <w:p w:rsidR="0052073E" w:rsidRPr="00AF3415" w:rsidP="00534B4A" w14:paraId="711460B6" w14:textId="77777777">
            <w:pPr>
              <w:tabs>
                <w:tab w:val="left" w:pos="-720"/>
              </w:tabs>
              <w:suppressAutoHyphens/>
              <w:rPr>
                <w:rFonts w:ascii="Times New Roman" w:hAnsi="Times New Roman"/>
                <w:b/>
                <w:szCs w:val="24"/>
              </w:rPr>
            </w:pPr>
          </w:p>
        </w:tc>
        <w:tc>
          <w:tcPr>
            <w:tcW w:w="2829" w:type="dxa"/>
          </w:tcPr>
          <w:p w:rsidR="0052073E" w:rsidRPr="00AF3415" w:rsidP="00534B4A" w14:paraId="35CF0E7E" w14:textId="77777777">
            <w:pPr>
              <w:tabs>
                <w:tab w:val="left" w:pos="-720"/>
              </w:tabs>
              <w:suppressAutoHyphens/>
              <w:rPr>
                <w:rFonts w:ascii="Times New Roman" w:hAnsi="Times New Roman"/>
                <w:b/>
                <w:szCs w:val="24"/>
              </w:rPr>
            </w:pPr>
          </w:p>
        </w:tc>
        <w:tc>
          <w:tcPr>
            <w:tcW w:w="2520" w:type="dxa"/>
          </w:tcPr>
          <w:p w:rsidR="0052073E" w:rsidRPr="00B519C4" w:rsidP="00534B4A" w14:paraId="636BD2A9" w14:textId="77777777">
            <w:pPr>
              <w:tabs>
                <w:tab w:val="left" w:pos="-720"/>
              </w:tabs>
              <w:suppressAutoHyphens/>
              <w:rPr>
                <w:rFonts w:ascii="Times New Roman" w:hAnsi="Times New Roman"/>
                <w:b/>
                <w:szCs w:val="24"/>
              </w:rPr>
            </w:pPr>
            <w:r w:rsidRPr="00B519C4">
              <w:rPr>
                <w:rFonts w:ascii="Times New Roman" w:hAnsi="Times New Roman"/>
                <w:b/>
                <w:szCs w:val="24"/>
              </w:rPr>
              <w:t>-57</w:t>
            </w:r>
            <w:r w:rsidR="00B519C4">
              <w:rPr>
                <w:rFonts w:ascii="Times New Roman" w:hAnsi="Times New Roman"/>
                <w:b/>
                <w:szCs w:val="24"/>
              </w:rPr>
              <w:t>,</w:t>
            </w:r>
            <w:r w:rsidRPr="00B519C4">
              <w:rPr>
                <w:rFonts w:ascii="Times New Roman" w:hAnsi="Times New Roman"/>
                <w:b/>
                <w:szCs w:val="24"/>
              </w:rPr>
              <w:t>622</w:t>
            </w:r>
          </w:p>
        </w:tc>
      </w:tr>
      <w:tr w14:paraId="15EA6686" w14:textId="77777777" w:rsidTr="0052073E">
        <w:tblPrEx>
          <w:tblW w:w="9445" w:type="dxa"/>
          <w:tblLook w:val="04A0"/>
        </w:tblPrEx>
        <w:tc>
          <w:tcPr>
            <w:tcW w:w="2048" w:type="dxa"/>
          </w:tcPr>
          <w:p w:rsidR="0052073E" w:rsidRPr="00AF3415" w:rsidP="00534B4A" w14:paraId="7C39D49C" w14:textId="77777777">
            <w:pPr>
              <w:tabs>
                <w:tab w:val="left" w:pos="-720"/>
              </w:tabs>
              <w:suppressAutoHyphens/>
              <w:rPr>
                <w:rFonts w:ascii="Times New Roman" w:hAnsi="Times New Roman"/>
                <w:b/>
                <w:szCs w:val="24"/>
              </w:rPr>
            </w:pPr>
            <w:r w:rsidRPr="00AF3415">
              <w:rPr>
                <w:rFonts w:ascii="Times New Roman" w:hAnsi="Times New Roman"/>
                <w:b/>
                <w:szCs w:val="24"/>
              </w:rPr>
              <w:t>Total Responses</w:t>
            </w:r>
          </w:p>
        </w:tc>
        <w:tc>
          <w:tcPr>
            <w:tcW w:w="2048" w:type="dxa"/>
          </w:tcPr>
          <w:p w:rsidR="0052073E" w:rsidRPr="00AF3415" w:rsidP="00534B4A" w14:paraId="519E5E81" w14:textId="77777777">
            <w:pPr>
              <w:tabs>
                <w:tab w:val="left" w:pos="-720"/>
              </w:tabs>
              <w:suppressAutoHyphens/>
              <w:rPr>
                <w:rFonts w:ascii="Times New Roman" w:hAnsi="Times New Roman"/>
                <w:b/>
                <w:szCs w:val="24"/>
              </w:rPr>
            </w:pPr>
          </w:p>
        </w:tc>
        <w:tc>
          <w:tcPr>
            <w:tcW w:w="2829" w:type="dxa"/>
          </w:tcPr>
          <w:p w:rsidR="0052073E" w:rsidRPr="00AF3415" w:rsidP="00534B4A" w14:paraId="439C6231" w14:textId="77777777">
            <w:pPr>
              <w:tabs>
                <w:tab w:val="left" w:pos="-720"/>
              </w:tabs>
              <w:suppressAutoHyphens/>
              <w:rPr>
                <w:rFonts w:ascii="Times New Roman" w:hAnsi="Times New Roman"/>
                <w:b/>
                <w:szCs w:val="24"/>
              </w:rPr>
            </w:pPr>
          </w:p>
        </w:tc>
        <w:tc>
          <w:tcPr>
            <w:tcW w:w="2520" w:type="dxa"/>
          </w:tcPr>
          <w:p w:rsidR="0052073E" w:rsidRPr="00B519C4" w:rsidP="00534B4A" w14:paraId="616FB7C8" w14:textId="77777777">
            <w:pPr>
              <w:tabs>
                <w:tab w:val="left" w:pos="-720"/>
              </w:tabs>
              <w:suppressAutoHyphens/>
              <w:rPr>
                <w:rFonts w:ascii="Times New Roman" w:hAnsi="Times New Roman"/>
                <w:b/>
                <w:szCs w:val="24"/>
              </w:rPr>
            </w:pPr>
            <w:r w:rsidRPr="00B519C4">
              <w:rPr>
                <w:rFonts w:ascii="Times New Roman" w:hAnsi="Times New Roman"/>
                <w:b/>
                <w:szCs w:val="24"/>
              </w:rPr>
              <w:t>-225</w:t>
            </w:r>
            <w:r w:rsidR="00594E10">
              <w:rPr>
                <w:rFonts w:ascii="Times New Roman" w:hAnsi="Times New Roman"/>
                <w:b/>
                <w:szCs w:val="24"/>
              </w:rPr>
              <w:t>,</w:t>
            </w:r>
            <w:r w:rsidRPr="00B519C4">
              <w:rPr>
                <w:rFonts w:ascii="Times New Roman" w:hAnsi="Times New Roman"/>
                <w:b/>
                <w:szCs w:val="24"/>
              </w:rPr>
              <w:t>623</w:t>
            </w:r>
          </w:p>
        </w:tc>
      </w:tr>
      <w:tr w14:paraId="18EC4268" w14:textId="77777777" w:rsidTr="0052073E">
        <w:tblPrEx>
          <w:tblW w:w="9445" w:type="dxa"/>
          <w:tblLook w:val="04A0"/>
        </w:tblPrEx>
        <w:tc>
          <w:tcPr>
            <w:tcW w:w="2048" w:type="dxa"/>
          </w:tcPr>
          <w:p w:rsidR="0052073E" w:rsidRPr="00AF3415" w:rsidP="00534B4A" w14:paraId="5C6BE79D" w14:textId="77777777">
            <w:pPr>
              <w:tabs>
                <w:tab w:val="left" w:pos="-720"/>
              </w:tabs>
              <w:suppressAutoHyphens/>
              <w:rPr>
                <w:rFonts w:ascii="Times New Roman" w:hAnsi="Times New Roman"/>
                <w:b/>
                <w:szCs w:val="24"/>
              </w:rPr>
            </w:pPr>
            <w:r w:rsidRPr="00AF3415">
              <w:rPr>
                <w:rFonts w:ascii="Times New Roman" w:hAnsi="Times New Roman"/>
                <w:b/>
                <w:szCs w:val="24"/>
              </w:rPr>
              <w:t>Total Costs (if applicable)</w:t>
            </w:r>
          </w:p>
        </w:tc>
        <w:tc>
          <w:tcPr>
            <w:tcW w:w="2048" w:type="dxa"/>
          </w:tcPr>
          <w:p w:rsidR="0052073E" w:rsidRPr="00AF3415" w:rsidP="00534B4A" w14:paraId="32A15012" w14:textId="77777777">
            <w:pPr>
              <w:tabs>
                <w:tab w:val="left" w:pos="-720"/>
              </w:tabs>
              <w:suppressAutoHyphens/>
              <w:rPr>
                <w:rFonts w:ascii="Times New Roman" w:hAnsi="Times New Roman"/>
                <w:b/>
                <w:szCs w:val="24"/>
              </w:rPr>
            </w:pPr>
          </w:p>
        </w:tc>
        <w:tc>
          <w:tcPr>
            <w:tcW w:w="2829" w:type="dxa"/>
          </w:tcPr>
          <w:p w:rsidR="0052073E" w:rsidRPr="00AF3415" w:rsidP="00534B4A" w14:paraId="71899ACD" w14:textId="77777777">
            <w:pPr>
              <w:tabs>
                <w:tab w:val="left" w:pos="-720"/>
              </w:tabs>
              <w:suppressAutoHyphens/>
              <w:rPr>
                <w:rFonts w:ascii="Times New Roman" w:hAnsi="Times New Roman"/>
                <w:b/>
                <w:szCs w:val="24"/>
              </w:rPr>
            </w:pPr>
          </w:p>
        </w:tc>
        <w:tc>
          <w:tcPr>
            <w:tcW w:w="2520" w:type="dxa"/>
          </w:tcPr>
          <w:p w:rsidR="0052073E" w:rsidRPr="00AF3415" w:rsidP="00534B4A" w14:paraId="4704A9A0" w14:textId="77777777">
            <w:pPr>
              <w:tabs>
                <w:tab w:val="left" w:pos="-720"/>
              </w:tabs>
              <w:suppressAutoHyphens/>
              <w:rPr>
                <w:rFonts w:ascii="Times New Roman" w:hAnsi="Times New Roman"/>
                <w:b/>
                <w:szCs w:val="24"/>
              </w:rPr>
            </w:pPr>
          </w:p>
        </w:tc>
      </w:tr>
    </w:tbl>
    <w:p w:rsidR="00F27AAF" w:rsidRPr="00AF3415" w:rsidP="00534B4A" w14:paraId="3ABC5D1C" w14:textId="77777777">
      <w:pPr>
        <w:tabs>
          <w:tab w:val="left" w:pos="-720"/>
        </w:tabs>
        <w:suppressAutoHyphens/>
        <w:rPr>
          <w:rFonts w:ascii="Times New Roman" w:hAnsi="Times New Roman"/>
          <w:b/>
          <w:szCs w:val="24"/>
        </w:rPr>
      </w:pPr>
    </w:p>
    <w:p w:rsidR="00534B4A" w:rsidRPr="00AF3415" w:rsidP="496D9247" w14:paraId="674CC007" w14:textId="1BCBFAC9">
      <w:pPr>
        <w:suppressAutoHyphens/>
        <w:ind w:left="810"/>
        <w:rPr>
          <w:rFonts w:ascii="Times New Roman" w:hAnsi="Times New Roman"/>
          <w:strike/>
        </w:rPr>
      </w:pPr>
      <w:r w:rsidRPr="00AF3415">
        <w:rPr>
          <w:rFonts w:ascii="Times New Roman" w:hAnsi="Times New Roman"/>
        </w:rPr>
        <w:t>This is a</w:t>
      </w:r>
      <w:r w:rsidRPr="00AF3415" w:rsidR="00716FA1">
        <w:rPr>
          <w:rFonts w:ascii="Times New Roman" w:hAnsi="Times New Roman"/>
        </w:rPr>
        <w:t xml:space="preserve"> </w:t>
      </w:r>
      <w:r>
        <w:rPr>
          <w:rFonts w:ascii="Times New Roman" w:hAnsi="Times New Roman"/>
        </w:rPr>
        <w:t>revision</w:t>
      </w:r>
      <w:r w:rsidRPr="00AF3415">
        <w:rPr>
          <w:rFonts w:ascii="Times New Roman" w:hAnsi="Times New Roman"/>
        </w:rPr>
        <w:t xml:space="preserve"> of a previously approved collection</w:t>
      </w:r>
      <w:r w:rsidR="00831A5B">
        <w:rPr>
          <w:rFonts w:ascii="Times New Roman" w:hAnsi="Times New Roman"/>
        </w:rPr>
        <w:t xml:space="preserve"> due to adding the challenges and contest</w:t>
      </w:r>
      <w:r w:rsidR="008D497D">
        <w:rPr>
          <w:rFonts w:ascii="Times New Roman" w:hAnsi="Times New Roman"/>
        </w:rPr>
        <w:t>s</w:t>
      </w:r>
      <w:r w:rsidRPr="00AF3415">
        <w:rPr>
          <w:rFonts w:ascii="Times New Roman" w:hAnsi="Times New Roman"/>
        </w:rPr>
        <w:t xml:space="preserve">. </w:t>
      </w:r>
      <w:r w:rsidR="00F667A6">
        <w:rPr>
          <w:rFonts w:ascii="Times New Roman" w:hAnsi="Times New Roman"/>
        </w:rPr>
        <w:t>However, it will not raise the burden hours</w:t>
      </w:r>
      <w:r w:rsidR="00C57C2B">
        <w:rPr>
          <w:rFonts w:ascii="Times New Roman" w:hAnsi="Times New Roman"/>
        </w:rPr>
        <w:t xml:space="preserve"> due to a limited number of submissions</w:t>
      </w:r>
      <w:r w:rsidR="00F667A6">
        <w:rPr>
          <w:rFonts w:ascii="Times New Roman" w:hAnsi="Times New Roman"/>
        </w:rPr>
        <w:t xml:space="preserve">. </w:t>
      </w:r>
      <w:r w:rsidR="00594E10">
        <w:rPr>
          <w:rFonts w:ascii="Times New Roman" w:hAnsi="Times New Roman"/>
        </w:rPr>
        <w:t>The l</w:t>
      </w:r>
      <w:r w:rsidRPr="00AF3415" w:rsidR="00716FA1">
        <w:rPr>
          <w:rFonts w:ascii="Times New Roman" w:hAnsi="Times New Roman"/>
        </w:rPr>
        <w:t xml:space="preserve">ast </w:t>
      </w:r>
      <w:r w:rsidR="00594E10">
        <w:rPr>
          <w:rFonts w:ascii="Times New Roman" w:hAnsi="Times New Roman"/>
        </w:rPr>
        <w:t xml:space="preserve">several </w:t>
      </w:r>
      <w:r w:rsidRPr="00AF3415" w:rsidR="00716FA1">
        <w:rPr>
          <w:rFonts w:ascii="Times New Roman" w:hAnsi="Times New Roman"/>
        </w:rPr>
        <w:t>years</w:t>
      </w:r>
      <w:r w:rsidR="00594E10">
        <w:rPr>
          <w:rFonts w:ascii="Times New Roman" w:hAnsi="Times New Roman"/>
        </w:rPr>
        <w:t>’</w:t>
      </w:r>
      <w:r w:rsidRPr="00AF3415" w:rsidR="00716FA1">
        <w:rPr>
          <w:rFonts w:ascii="Times New Roman" w:hAnsi="Times New Roman"/>
        </w:rPr>
        <w:t xml:space="preserve"> totals came to </w:t>
      </w:r>
      <w:r w:rsidR="00831A5B">
        <w:rPr>
          <w:rFonts w:ascii="Times New Roman" w:hAnsi="Times New Roman"/>
        </w:rPr>
        <w:t xml:space="preserve">significantly </w:t>
      </w:r>
      <w:r w:rsidRPr="00AF3415" w:rsidR="00716FA1">
        <w:rPr>
          <w:rFonts w:ascii="Times New Roman" w:hAnsi="Times New Roman"/>
        </w:rPr>
        <w:t xml:space="preserve">less than the annual cap for responses and hours for this general clearance. </w:t>
      </w:r>
      <w:r w:rsidR="00831A5B">
        <w:rPr>
          <w:rFonts w:ascii="Times New Roman" w:hAnsi="Times New Roman"/>
        </w:rPr>
        <w:t xml:space="preserve">ED is adjusting the totals (as a correction) to reflect more accurate estimates which includes the </w:t>
      </w:r>
      <w:r w:rsidRPr="00AF3415" w:rsidR="00716FA1">
        <w:rPr>
          <w:rFonts w:ascii="Times New Roman" w:hAnsi="Times New Roman"/>
        </w:rPr>
        <w:t>addition of challenges</w:t>
      </w:r>
      <w:r w:rsidR="00831A5B">
        <w:rPr>
          <w:rFonts w:ascii="Times New Roman" w:hAnsi="Times New Roman"/>
        </w:rPr>
        <w:t xml:space="preserve">. </w:t>
      </w:r>
      <w:r w:rsidR="008F233A">
        <w:rPr>
          <w:rFonts w:ascii="Times New Roman" w:hAnsi="Times New Roman"/>
        </w:rPr>
        <w:t xml:space="preserve">There is a decrease of 225,623 responses and 57,622 hours. </w:t>
      </w:r>
      <w:r w:rsidRPr="00AF3415" w:rsidR="00716FA1">
        <w:rPr>
          <w:rFonts w:ascii="Times New Roman" w:hAnsi="Times New Roman"/>
        </w:rPr>
        <w:t xml:space="preserve">ED will reassess </w:t>
      </w:r>
      <w:r w:rsidR="00831A5B">
        <w:rPr>
          <w:rFonts w:ascii="Times New Roman" w:hAnsi="Times New Roman"/>
        </w:rPr>
        <w:t xml:space="preserve">the responses and hours </w:t>
      </w:r>
      <w:r w:rsidRPr="00AF3415" w:rsidR="00716FA1">
        <w:rPr>
          <w:rFonts w:ascii="Times New Roman" w:hAnsi="Times New Roman"/>
        </w:rPr>
        <w:t>in the following years</w:t>
      </w:r>
      <w:r w:rsidR="00F667A6">
        <w:rPr>
          <w:rFonts w:ascii="Times New Roman" w:hAnsi="Times New Roman"/>
        </w:rPr>
        <w:t>, and will make any corrections necessary,</w:t>
      </w:r>
      <w:r w:rsidRPr="00AF3415" w:rsidR="00716FA1">
        <w:rPr>
          <w:rFonts w:ascii="Times New Roman" w:hAnsi="Times New Roman"/>
        </w:rPr>
        <w:t xml:space="preserve"> depending on the number of surveys, focus groups and challenge</w:t>
      </w:r>
      <w:r w:rsidRPr="00AF3415" w:rsidR="00B70979">
        <w:rPr>
          <w:rFonts w:ascii="Times New Roman" w:hAnsi="Times New Roman"/>
        </w:rPr>
        <w:t>s</w:t>
      </w:r>
      <w:r w:rsidRPr="00AF3415" w:rsidR="00716FA1">
        <w:rPr>
          <w:rFonts w:ascii="Times New Roman" w:hAnsi="Times New Roman"/>
        </w:rPr>
        <w:t xml:space="preserve"> ED requests annually. </w:t>
      </w:r>
    </w:p>
    <w:p w:rsidR="0061158F" w:rsidRPr="00AF3415" w:rsidP="0061158F" w14:paraId="066FC9FA" w14:textId="77777777">
      <w:pPr>
        <w:tabs>
          <w:tab w:val="left" w:pos="-720"/>
        </w:tabs>
        <w:suppressAutoHyphens/>
        <w:ind w:left="810"/>
        <w:rPr>
          <w:rFonts w:ascii="Times New Roman" w:hAnsi="Times New Roman"/>
          <w:szCs w:val="24"/>
        </w:rPr>
      </w:pPr>
    </w:p>
    <w:p w:rsidR="00043C32" w:rsidRPr="00AF3415" w:rsidP="00AD381B" w14:paraId="09A431D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F3415">
        <w:rPr>
          <w:rStyle w:val="a"/>
          <w:rFonts w:ascii="Times New Roman" w:hAnsi="Times New Roman"/>
          <w:b/>
          <w:szCs w:val="24"/>
        </w:rPr>
        <w:t>For collections of information whose results will be published, outline plans for tabulation and p</w:t>
      </w:r>
      <w:r w:rsidRPr="00AF3415">
        <w:rPr>
          <w:rStyle w:val="a"/>
          <w:rFonts w:ascii="Times New Roman" w:hAnsi="Times New Roman"/>
          <w:b/>
          <w:szCs w:val="24"/>
        </w:rPr>
        <w:t>ublication.  Address any complex analytical techniques that will be used.  Provide the time schedule for the entire project, including beginning and ending dates of the collection of information, completion of report, publication dates, and other actions.</w:t>
      </w:r>
    </w:p>
    <w:p w:rsidR="0094742D" w:rsidRPr="00AF3415" w:rsidP="0094742D" w14:paraId="7B1903E1" w14:textId="77777777">
      <w:pPr>
        <w:tabs>
          <w:tab w:val="left" w:pos="3330"/>
        </w:tabs>
        <w:ind w:left="810"/>
        <w:rPr>
          <w:rFonts w:ascii="Times New Roman" w:hAnsi="Times New Roman"/>
        </w:rPr>
      </w:pPr>
    </w:p>
    <w:p w:rsidR="0094742D" w:rsidRPr="00AF3415" w:rsidP="0094742D" w14:paraId="09B6DBD5" w14:textId="77777777">
      <w:pPr>
        <w:tabs>
          <w:tab w:val="left" w:pos="3330"/>
        </w:tabs>
        <w:ind w:left="810"/>
        <w:rPr>
          <w:rFonts w:ascii="Times New Roman" w:hAnsi="Times New Roman"/>
        </w:rPr>
      </w:pPr>
      <w:r w:rsidRPr="00AF3415">
        <w:rPr>
          <w:rFonts w:ascii="Times New Roman" w:hAnsi="Times New Roman"/>
        </w:rPr>
        <w:t xml:space="preserve">The responsibility to measure customer satisfaction is not a “project” with an assigned completion date.  Instead, it is an interactive process, which is becoming incorporated into the fabric and culture of the department.  The process will continue with </w:t>
      </w:r>
      <w:r w:rsidRPr="00AF3415">
        <w:rPr>
          <w:rFonts w:ascii="Times New Roman" w:hAnsi="Times New Roman"/>
        </w:rPr>
        <w:t>the attached survey proposals for collecting information.  There is no projected completion date.</w:t>
      </w:r>
    </w:p>
    <w:p w:rsidR="0094742D" w:rsidRPr="00AF3415" w:rsidP="0094742D" w14:paraId="471C2F0E" w14:textId="77777777">
      <w:pPr>
        <w:tabs>
          <w:tab w:val="left" w:pos="3330"/>
        </w:tabs>
        <w:ind w:left="810"/>
        <w:rPr>
          <w:rFonts w:ascii="Times New Roman" w:hAnsi="Times New Roman"/>
        </w:rPr>
      </w:pPr>
    </w:p>
    <w:p w:rsidR="0094742D" w:rsidRPr="00AF3415" w:rsidP="0094742D" w14:paraId="1F45FA2A" w14:textId="77777777">
      <w:pPr>
        <w:tabs>
          <w:tab w:val="left" w:pos="3330"/>
        </w:tabs>
        <w:ind w:left="810"/>
        <w:rPr>
          <w:rFonts w:ascii="Times New Roman" w:hAnsi="Times New Roman"/>
        </w:rPr>
      </w:pPr>
      <w:r w:rsidRPr="00AF3415">
        <w:rPr>
          <w:rFonts w:ascii="Times New Roman" w:hAnsi="Times New Roman"/>
        </w:rPr>
        <w:t xml:space="preserve">As the information is collected, it will be evaluated by the sponsoring program offices and by the </w:t>
      </w:r>
      <w:r w:rsidRPr="00AF3415" w:rsidR="00716FA1">
        <w:rPr>
          <w:rFonts w:ascii="Times New Roman" w:hAnsi="Times New Roman"/>
        </w:rPr>
        <w:t>SCC</w:t>
      </w:r>
      <w:r w:rsidRPr="00AF3415">
        <w:rPr>
          <w:rFonts w:ascii="Times New Roman" w:hAnsi="Times New Roman"/>
        </w:rPr>
        <w:t xml:space="preserve"> and shared with any other program and support service managers and employees to whom it is relevant. </w:t>
      </w:r>
    </w:p>
    <w:p w:rsidR="0094742D" w:rsidRPr="00AF3415" w:rsidP="0094742D" w14:paraId="5A9ADB13" w14:textId="77777777">
      <w:pPr>
        <w:tabs>
          <w:tab w:val="left" w:pos="3330"/>
        </w:tabs>
        <w:ind w:left="810"/>
        <w:rPr>
          <w:rFonts w:ascii="Times New Roman" w:hAnsi="Times New Roman"/>
        </w:rPr>
      </w:pPr>
    </w:p>
    <w:p w:rsidR="0094742D" w:rsidRPr="00AF3415" w:rsidP="0094742D" w14:paraId="01D33C20" w14:textId="77777777">
      <w:pPr>
        <w:tabs>
          <w:tab w:val="left" w:pos="3330"/>
        </w:tabs>
        <w:ind w:left="810"/>
        <w:rPr>
          <w:rFonts w:ascii="Times New Roman" w:hAnsi="Times New Roman"/>
        </w:rPr>
      </w:pPr>
      <w:r w:rsidRPr="00AF3415">
        <w:rPr>
          <w:rFonts w:ascii="Times New Roman" w:hAnsi="Times New Roman"/>
        </w:rPr>
        <w:t>Customer satisfaction surveys employ statistical m</w:t>
      </w:r>
      <w:r w:rsidRPr="00AF3415">
        <w:rPr>
          <w:rFonts w:ascii="Times New Roman" w:hAnsi="Times New Roman"/>
        </w:rPr>
        <w:t xml:space="preserve">ethods according to the OMB guidance.  Experienced and trained ED researchers will be sought from the Principal Offices such as NCES in ED to serve as advisors to evaluate the methodological </w:t>
      </w:r>
      <w:r w:rsidRPr="00AF3415">
        <w:rPr>
          <w:rFonts w:ascii="Times New Roman" w:hAnsi="Times New Roman"/>
        </w:rPr>
        <w:t>strengths and weaknesses of the proposed survey instruments and p</w:t>
      </w:r>
      <w:r w:rsidRPr="00AF3415">
        <w:rPr>
          <w:rFonts w:ascii="Times New Roman" w:hAnsi="Times New Roman"/>
        </w:rPr>
        <w:t xml:space="preserve">lans.  These experts will make recommendations, as needed, to improve the research initiative.  These recommendations will be implemented in each approved collection activity.  </w:t>
      </w:r>
    </w:p>
    <w:p w:rsidR="0094742D" w:rsidRPr="00AF3415" w:rsidP="0094742D" w14:paraId="1FB65166" w14:textId="77777777">
      <w:pPr>
        <w:tabs>
          <w:tab w:val="left" w:pos="3330"/>
        </w:tabs>
        <w:ind w:left="810"/>
        <w:rPr>
          <w:rFonts w:ascii="Times New Roman" w:hAnsi="Times New Roman"/>
        </w:rPr>
      </w:pPr>
    </w:p>
    <w:p w:rsidR="0094742D" w:rsidRPr="00AF3415" w:rsidP="0094742D" w14:paraId="305D6B42" w14:textId="77777777">
      <w:pPr>
        <w:tabs>
          <w:tab w:val="left" w:pos="3330"/>
        </w:tabs>
        <w:ind w:left="810"/>
        <w:rPr>
          <w:rFonts w:ascii="Times New Roman" w:hAnsi="Times New Roman"/>
        </w:rPr>
      </w:pPr>
      <w:r w:rsidRPr="00AF3415">
        <w:rPr>
          <w:rFonts w:ascii="Times New Roman" w:hAnsi="Times New Roman"/>
        </w:rPr>
        <w:t xml:space="preserve">OMB statistical experts, information collection experts, program specialists </w:t>
      </w:r>
      <w:r w:rsidRPr="00AF3415">
        <w:rPr>
          <w:rFonts w:ascii="Times New Roman" w:hAnsi="Times New Roman"/>
        </w:rPr>
        <w:t xml:space="preserve">will be invited to participate with and advise the ED clearance office as their time permits.  ED will consult with OMB about the expectations and standards of this important activity and will incorporate the OMB guidance in the ongoing internal clearance </w:t>
      </w:r>
      <w:r w:rsidRPr="00AF3415">
        <w:rPr>
          <w:rFonts w:ascii="Times New Roman" w:hAnsi="Times New Roman"/>
        </w:rPr>
        <w:t>process.  This feedback will enable ED to continuously improve the usefulness of these collection activities.</w:t>
      </w:r>
    </w:p>
    <w:p w:rsidR="00716FA1" w:rsidRPr="00AF3415" w:rsidP="0094742D" w14:paraId="0AE88C1C" w14:textId="77777777">
      <w:pPr>
        <w:tabs>
          <w:tab w:val="left" w:pos="3330"/>
        </w:tabs>
        <w:ind w:left="810"/>
        <w:rPr>
          <w:rFonts w:ascii="Times New Roman" w:hAnsi="Times New Roman"/>
        </w:rPr>
      </w:pPr>
    </w:p>
    <w:p w:rsidR="00716FA1" w:rsidRPr="00AF3415" w:rsidP="0094742D" w14:paraId="1653CC71" w14:textId="77777777">
      <w:pPr>
        <w:tabs>
          <w:tab w:val="left" w:pos="3330"/>
        </w:tabs>
        <w:ind w:left="810"/>
        <w:rPr>
          <w:rFonts w:ascii="Times New Roman" w:hAnsi="Times New Roman"/>
        </w:rPr>
      </w:pPr>
      <w:r w:rsidRPr="00AF3415">
        <w:rPr>
          <w:rFonts w:ascii="Times New Roman" w:hAnsi="Times New Roman"/>
        </w:rPr>
        <w:t>For challenges or contest</w:t>
      </w:r>
      <w:r w:rsidRPr="00AF3415" w:rsidR="001B21BE">
        <w:rPr>
          <w:rFonts w:ascii="Times New Roman" w:hAnsi="Times New Roman"/>
        </w:rPr>
        <w:t>s</w:t>
      </w:r>
      <w:r w:rsidRPr="00AF3415">
        <w:rPr>
          <w:rFonts w:ascii="Times New Roman" w:hAnsi="Times New Roman"/>
        </w:rPr>
        <w:t xml:space="preserve">, the winner will most likely be announced and shared within ED, sometimes with Congress and the public. </w:t>
      </w:r>
    </w:p>
    <w:p w:rsidR="00534B4A" w:rsidRPr="00AF3415" w:rsidP="00534B4A" w14:paraId="27D6BC5B" w14:textId="77777777">
      <w:pPr>
        <w:tabs>
          <w:tab w:val="left" w:pos="-720"/>
        </w:tabs>
        <w:suppressAutoHyphens/>
        <w:rPr>
          <w:rFonts w:ascii="Times New Roman" w:hAnsi="Times New Roman"/>
          <w:szCs w:val="24"/>
        </w:rPr>
      </w:pPr>
    </w:p>
    <w:p w:rsidR="00534B4A" w:rsidRPr="00AF3415" w:rsidP="00534B4A" w14:paraId="7404B676" w14:textId="77777777">
      <w:pPr>
        <w:tabs>
          <w:tab w:val="left" w:pos="-720"/>
        </w:tabs>
        <w:suppressAutoHyphens/>
        <w:rPr>
          <w:rFonts w:ascii="Times New Roman" w:hAnsi="Times New Roman"/>
          <w:szCs w:val="24"/>
        </w:rPr>
      </w:pPr>
    </w:p>
    <w:p w:rsidR="00043C32" w:rsidRPr="00AF3415" w:rsidP="00AD381B" w14:paraId="73D8D10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F3415">
        <w:rPr>
          <w:rStyle w:val="a"/>
          <w:rFonts w:ascii="Times New Roman" w:hAnsi="Times New Roman"/>
          <w:b/>
          <w:szCs w:val="24"/>
        </w:rPr>
        <w:t xml:space="preserve">If seeking </w:t>
      </w:r>
      <w:r w:rsidRPr="00AF3415">
        <w:rPr>
          <w:rStyle w:val="a"/>
          <w:rFonts w:ascii="Times New Roman" w:hAnsi="Times New Roman"/>
          <w:b/>
          <w:szCs w:val="24"/>
        </w:rPr>
        <w:t>approval to not display the expiration date for OMB approval of the information collection, explain the reasons that display would be inappropriate.</w:t>
      </w:r>
    </w:p>
    <w:p w:rsidR="00534B4A" w:rsidRPr="00AF3415" w:rsidP="00534B4A" w14:paraId="5FD8565B" w14:textId="77777777">
      <w:pPr>
        <w:tabs>
          <w:tab w:val="left" w:pos="-720"/>
        </w:tabs>
        <w:suppressAutoHyphens/>
        <w:ind w:left="360"/>
        <w:rPr>
          <w:rFonts w:ascii="Times New Roman" w:hAnsi="Times New Roman"/>
          <w:b/>
          <w:szCs w:val="24"/>
        </w:rPr>
      </w:pPr>
    </w:p>
    <w:p w:rsidR="00534B4A" w:rsidRPr="00AF3415" w:rsidP="0094742D" w14:paraId="0975C64A" w14:textId="7B60A2C5">
      <w:pPr>
        <w:tabs>
          <w:tab w:val="left" w:pos="-720"/>
        </w:tabs>
        <w:suppressAutoHyphens/>
        <w:ind w:left="810"/>
        <w:rPr>
          <w:rFonts w:ascii="Times New Roman" w:hAnsi="Times New Roman"/>
        </w:rPr>
      </w:pPr>
      <w:r w:rsidRPr="00AF3415">
        <w:rPr>
          <w:rFonts w:ascii="Times New Roman" w:hAnsi="Times New Roman"/>
        </w:rPr>
        <w:t>The expiration date will be displayed</w:t>
      </w:r>
      <w:r w:rsidRPr="00AF3415" w:rsidR="00CD53DA">
        <w:rPr>
          <w:rFonts w:ascii="Times New Roman" w:hAnsi="Times New Roman"/>
        </w:rPr>
        <w:t>.</w:t>
      </w:r>
      <w:r w:rsidRPr="00AF3415">
        <w:rPr>
          <w:rFonts w:ascii="Times New Roman" w:hAnsi="Times New Roman"/>
        </w:rPr>
        <w:t xml:space="preserve"> </w:t>
      </w:r>
    </w:p>
    <w:p w:rsidR="0094742D" w:rsidRPr="00AF3415" w:rsidP="0094742D" w14:paraId="0644C793" w14:textId="77777777">
      <w:pPr>
        <w:tabs>
          <w:tab w:val="left" w:pos="-720"/>
        </w:tabs>
        <w:suppressAutoHyphens/>
        <w:ind w:left="810"/>
        <w:rPr>
          <w:rFonts w:ascii="Times New Roman" w:hAnsi="Times New Roman"/>
          <w:szCs w:val="24"/>
        </w:rPr>
      </w:pPr>
    </w:p>
    <w:p w:rsidR="001C73C0" w:rsidRPr="00AF3415" w:rsidP="00AD381B" w14:paraId="17A8F8D8"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AF3415">
        <w:rPr>
          <w:rStyle w:val="a"/>
          <w:rFonts w:ascii="Times New Roman" w:hAnsi="Times New Roman"/>
          <w:b/>
          <w:szCs w:val="24"/>
        </w:rPr>
        <w:t>Explain each exception to the certification statem</w:t>
      </w:r>
      <w:r w:rsidRPr="00AF3415">
        <w:rPr>
          <w:rStyle w:val="a"/>
          <w:rFonts w:ascii="Times New Roman" w:hAnsi="Times New Roman"/>
          <w:b/>
          <w:szCs w:val="24"/>
        </w:rPr>
        <w:t>ent identified in the Certification of Paperwork Reduction Act.</w:t>
      </w:r>
    </w:p>
    <w:p w:rsidR="0094742D" w:rsidRPr="00AF3415" w:rsidP="0094742D" w14:paraId="485F30EA" w14:textId="77777777">
      <w:pPr>
        <w:pStyle w:val="ListParagraph"/>
        <w:tabs>
          <w:tab w:val="left" w:pos="-720"/>
        </w:tabs>
        <w:suppressAutoHyphens/>
        <w:ind w:left="900"/>
        <w:rPr>
          <w:rStyle w:val="a"/>
          <w:rFonts w:ascii="Times New Roman" w:hAnsi="Times New Roman"/>
          <w:b/>
          <w:szCs w:val="24"/>
        </w:rPr>
      </w:pPr>
    </w:p>
    <w:p w:rsidR="0094742D" w:rsidRPr="00AF3415" w:rsidP="0094742D" w14:paraId="06E44E90" w14:textId="77777777">
      <w:pPr>
        <w:tabs>
          <w:tab w:val="left" w:pos="3330"/>
        </w:tabs>
        <w:ind w:left="810"/>
        <w:rPr>
          <w:rFonts w:ascii="Times New Roman" w:hAnsi="Times New Roman"/>
        </w:rPr>
      </w:pPr>
      <w:r w:rsidRPr="00AF3415">
        <w:rPr>
          <w:rFonts w:ascii="Times New Roman" w:hAnsi="Times New Roman"/>
        </w:rPr>
        <w:t>There are no exceptions to the certification.</w:t>
      </w:r>
    </w:p>
    <w:p w:rsidR="0094742D" w:rsidRPr="00AF3415" w:rsidP="0094742D" w14:paraId="7FA69DB6" w14:textId="77777777">
      <w:pPr>
        <w:tabs>
          <w:tab w:val="left" w:pos="3330"/>
        </w:tabs>
        <w:rPr>
          <w:rFonts w:ascii="Times New Roman" w:hAnsi="Times New Roman"/>
        </w:rPr>
      </w:pPr>
    </w:p>
    <w:p w:rsidR="0094742D" w:rsidRPr="00AF3415" w:rsidP="0094742D" w14:paraId="35FD402F" w14:textId="77777777">
      <w:pPr>
        <w:tabs>
          <w:tab w:val="left" w:pos="3330"/>
        </w:tabs>
        <w:rPr>
          <w:rFonts w:ascii="Times New Roman" w:hAnsi="Times New Roman"/>
        </w:rPr>
      </w:pPr>
      <w:r w:rsidRPr="00AF3415">
        <w:rPr>
          <w:rFonts w:ascii="Times New Roman" w:hAnsi="Times New Roman"/>
        </w:rPr>
        <w:t>Attachments:</w:t>
      </w:r>
    </w:p>
    <w:p w:rsidR="0094742D" w:rsidRPr="00AF3415" w:rsidP="0094742D" w14:paraId="4F9428A9" w14:textId="77777777">
      <w:pPr>
        <w:rPr>
          <w:rFonts w:ascii="Times New Roman" w:hAnsi="Times New Roman"/>
        </w:rPr>
      </w:pPr>
    </w:p>
    <w:p w:rsidR="0094742D" w:rsidRPr="00AF3415" w:rsidP="0094742D" w14:paraId="01E8B038" w14:textId="77777777">
      <w:pPr>
        <w:rPr>
          <w:rFonts w:ascii="Times New Roman" w:hAnsi="Times New Roman"/>
        </w:rPr>
      </w:pPr>
      <w:r w:rsidRPr="00AF3415">
        <w:rPr>
          <w:rFonts w:ascii="Times New Roman" w:hAnsi="Times New Roman"/>
        </w:rPr>
        <w:t xml:space="preserve">Appendix A includes ED listings of all individual customer surveys and focus groups </w:t>
      </w:r>
      <w:r w:rsidRPr="00AF3415" w:rsidR="00B14CAA">
        <w:rPr>
          <w:rFonts w:ascii="Times New Roman" w:hAnsi="Times New Roman"/>
        </w:rPr>
        <w:t>that require continued approval</w:t>
      </w:r>
      <w:r w:rsidRPr="00AF3415">
        <w:rPr>
          <w:rFonts w:ascii="Times New Roman" w:hAnsi="Times New Roman"/>
        </w:rPr>
        <w:t xml:space="preserve">. </w:t>
      </w:r>
    </w:p>
    <w:p w:rsidR="0094742D" w:rsidRPr="00AF3415" w:rsidP="0094742D" w14:paraId="56BCF922"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6DB3741" w14:textId="77777777">
    <w:pPr>
      <w:spacing w:before="140" w:line="100" w:lineRule="exact"/>
      <w:rPr>
        <w:sz w:val="10"/>
      </w:rPr>
    </w:pPr>
  </w:p>
  <w:p w:rsidR="00386054" w14:paraId="62E3844A" w14:textId="77777777">
    <w:pPr>
      <w:tabs>
        <w:tab w:val="left" w:pos="0"/>
      </w:tabs>
      <w:suppressAutoHyphens/>
    </w:pPr>
  </w:p>
  <w:p w:rsidR="00386054" w14:paraId="4D56F64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AC0817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117D" w:rsidP="00043C32" w14:paraId="2AAE6E50" w14:textId="77777777">
      <w:r>
        <w:separator/>
      </w:r>
    </w:p>
  </w:footnote>
  <w:footnote w:type="continuationSeparator" w:id="1">
    <w:p w:rsidR="00F3117D" w:rsidP="00043C32" w14:paraId="7D158341" w14:textId="77777777">
      <w:r>
        <w:continuationSeparator/>
      </w:r>
    </w:p>
  </w:footnote>
  <w:footnote w:id="2">
    <w:p w:rsidR="00043C32" w:rsidP="00043C32" w14:paraId="62FCB874"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w:t>
      </w:r>
      <w:r>
        <w:rPr>
          <w:rFonts w:ascii="Times New Roman" w:hAnsi="Times New Roman"/>
          <w:sz w:val="20"/>
        </w:rPr>
        <w:t>policies: Privacy Act of 1974, OMB Circular A-108 – Privacy Act Implementation – Guidelines and Responsibilities, OMB Circular A-130 Appendix I – Federal Agency Responsibilities for Maintaining Records About Individuals, OMB M-03-22 – OMB Guidance for Impl</w:t>
      </w:r>
      <w:r>
        <w:rPr>
          <w:rFonts w:ascii="Times New Roman" w:hAnsi="Times New Roman"/>
          <w:sz w:val="20"/>
        </w:rPr>
        <w:t>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9966028">
    <w:abstractNumId w:val="0"/>
  </w:num>
  <w:num w:numId="2" w16cid:durableId="532810200">
    <w:abstractNumId w:val="2"/>
  </w:num>
  <w:num w:numId="3" w16cid:durableId="238099779">
    <w:abstractNumId w:val="1"/>
  </w:num>
  <w:num w:numId="4" w16cid:durableId="566035527">
    <w:abstractNumId w:val="3"/>
  </w:num>
  <w:num w:numId="5" w16cid:durableId="206132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521E"/>
    <w:rsid w:val="0004565B"/>
    <w:rsid w:val="00093017"/>
    <w:rsid w:val="000E4891"/>
    <w:rsid w:val="00177320"/>
    <w:rsid w:val="00177E05"/>
    <w:rsid w:val="001824F3"/>
    <w:rsid w:val="00196624"/>
    <w:rsid w:val="001A6AE0"/>
    <w:rsid w:val="001B21BE"/>
    <w:rsid w:val="001C73C0"/>
    <w:rsid w:val="001C7D87"/>
    <w:rsid w:val="001D6059"/>
    <w:rsid w:val="001E67F1"/>
    <w:rsid w:val="001E79BD"/>
    <w:rsid w:val="002225CC"/>
    <w:rsid w:val="00224A3B"/>
    <w:rsid w:val="00227B64"/>
    <w:rsid w:val="00240A39"/>
    <w:rsid w:val="00241F51"/>
    <w:rsid w:val="00246FE9"/>
    <w:rsid w:val="00250100"/>
    <w:rsid w:val="00254A34"/>
    <w:rsid w:val="00262A69"/>
    <w:rsid w:val="00270AF7"/>
    <w:rsid w:val="0029343E"/>
    <w:rsid w:val="00295CBB"/>
    <w:rsid w:val="002A3221"/>
    <w:rsid w:val="002C3520"/>
    <w:rsid w:val="002E14E0"/>
    <w:rsid w:val="002F55E5"/>
    <w:rsid w:val="00305F61"/>
    <w:rsid w:val="00314E46"/>
    <w:rsid w:val="0032078A"/>
    <w:rsid w:val="0032539E"/>
    <w:rsid w:val="00341DB3"/>
    <w:rsid w:val="00380463"/>
    <w:rsid w:val="00386054"/>
    <w:rsid w:val="003860E4"/>
    <w:rsid w:val="003B1545"/>
    <w:rsid w:val="003C5C9F"/>
    <w:rsid w:val="00412915"/>
    <w:rsid w:val="004154F5"/>
    <w:rsid w:val="00442E07"/>
    <w:rsid w:val="00456DCA"/>
    <w:rsid w:val="00473912"/>
    <w:rsid w:val="0048152B"/>
    <w:rsid w:val="004A036A"/>
    <w:rsid w:val="004D310F"/>
    <w:rsid w:val="004E72EE"/>
    <w:rsid w:val="0050064A"/>
    <w:rsid w:val="005127E0"/>
    <w:rsid w:val="00514E0F"/>
    <w:rsid w:val="0052073E"/>
    <w:rsid w:val="00533BC9"/>
    <w:rsid w:val="00534B4A"/>
    <w:rsid w:val="00535780"/>
    <w:rsid w:val="005463E3"/>
    <w:rsid w:val="00555DF1"/>
    <w:rsid w:val="00581C11"/>
    <w:rsid w:val="0058331F"/>
    <w:rsid w:val="0058522A"/>
    <w:rsid w:val="0059002B"/>
    <w:rsid w:val="00594E10"/>
    <w:rsid w:val="005A778F"/>
    <w:rsid w:val="005D2B8D"/>
    <w:rsid w:val="005F62F8"/>
    <w:rsid w:val="0061158F"/>
    <w:rsid w:val="00614B55"/>
    <w:rsid w:val="006625B5"/>
    <w:rsid w:val="00663557"/>
    <w:rsid w:val="0068567A"/>
    <w:rsid w:val="006A292A"/>
    <w:rsid w:val="006A38F7"/>
    <w:rsid w:val="006A4EBB"/>
    <w:rsid w:val="006B08EE"/>
    <w:rsid w:val="006B4172"/>
    <w:rsid w:val="00716FA1"/>
    <w:rsid w:val="00755D99"/>
    <w:rsid w:val="00756FD3"/>
    <w:rsid w:val="00765392"/>
    <w:rsid w:val="0078452D"/>
    <w:rsid w:val="00790E3E"/>
    <w:rsid w:val="007A1534"/>
    <w:rsid w:val="007C0A4C"/>
    <w:rsid w:val="007E47DF"/>
    <w:rsid w:val="007F6104"/>
    <w:rsid w:val="007F6D94"/>
    <w:rsid w:val="00800D30"/>
    <w:rsid w:val="00807D1A"/>
    <w:rsid w:val="00821629"/>
    <w:rsid w:val="00831A5B"/>
    <w:rsid w:val="00835618"/>
    <w:rsid w:val="00857D93"/>
    <w:rsid w:val="00863327"/>
    <w:rsid w:val="00870AC6"/>
    <w:rsid w:val="00874EFE"/>
    <w:rsid w:val="00882126"/>
    <w:rsid w:val="008933F1"/>
    <w:rsid w:val="008A31D8"/>
    <w:rsid w:val="008A73A3"/>
    <w:rsid w:val="008D0601"/>
    <w:rsid w:val="008D1F11"/>
    <w:rsid w:val="008D497D"/>
    <w:rsid w:val="008D4C58"/>
    <w:rsid w:val="008E5919"/>
    <w:rsid w:val="008E785E"/>
    <w:rsid w:val="008F233A"/>
    <w:rsid w:val="00901C5B"/>
    <w:rsid w:val="00905951"/>
    <w:rsid w:val="0091027D"/>
    <w:rsid w:val="00912D2C"/>
    <w:rsid w:val="009169BF"/>
    <w:rsid w:val="00916EE4"/>
    <w:rsid w:val="00920F63"/>
    <w:rsid w:val="00923738"/>
    <w:rsid w:val="009243F3"/>
    <w:rsid w:val="0093366B"/>
    <w:rsid w:val="00934185"/>
    <w:rsid w:val="00946126"/>
    <w:rsid w:val="0094742D"/>
    <w:rsid w:val="00952DF9"/>
    <w:rsid w:val="0095421D"/>
    <w:rsid w:val="009542D5"/>
    <w:rsid w:val="00960C86"/>
    <w:rsid w:val="009767AF"/>
    <w:rsid w:val="00981F58"/>
    <w:rsid w:val="00986D0A"/>
    <w:rsid w:val="009C6B53"/>
    <w:rsid w:val="009C7B1E"/>
    <w:rsid w:val="009D6F09"/>
    <w:rsid w:val="009E2A9F"/>
    <w:rsid w:val="009E3E86"/>
    <w:rsid w:val="00A118A2"/>
    <w:rsid w:val="00A23F26"/>
    <w:rsid w:val="00A4001C"/>
    <w:rsid w:val="00A40AAB"/>
    <w:rsid w:val="00A45E25"/>
    <w:rsid w:val="00A46D01"/>
    <w:rsid w:val="00A67843"/>
    <w:rsid w:val="00A70816"/>
    <w:rsid w:val="00A7636D"/>
    <w:rsid w:val="00A9138E"/>
    <w:rsid w:val="00A97D99"/>
    <w:rsid w:val="00AC1C89"/>
    <w:rsid w:val="00AC46E2"/>
    <w:rsid w:val="00AD381B"/>
    <w:rsid w:val="00AF3415"/>
    <w:rsid w:val="00AF5B5B"/>
    <w:rsid w:val="00AF5D1A"/>
    <w:rsid w:val="00B017F9"/>
    <w:rsid w:val="00B07213"/>
    <w:rsid w:val="00B10A05"/>
    <w:rsid w:val="00B14CAA"/>
    <w:rsid w:val="00B34D00"/>
    <w:rsid w:val="00B41F76"/>
    <w:rsid w:val="00B519C4"/>
    <w:rsid w:val="00B52024"/>
    <w:rsid w:val="00B54167"/>
    <w:rsid w:val="00B62E06"/>
    <w:rsid w:val="00B64B1D"/>
    <w:rsid w:val="00B70979"/>
    <w:rsid w:val="00B72CD6"/>
    <w:rsid w:val="00B9671B"/>
    <w:rsid w:val="00BA1D31"/>
    <w:rsid w:val="00C163D5"/>
    <w:rsid w:val="00C164D3"/>
    <w:rsid w:val="00C20670"/>
    <w:rsid w:val="00C224FD"/>
    <w:rsid w:val="00C57C2B"/>
    <w:rsid w:val="00C86713"/>
    <w:rsid w:val="00C875E8"/>
    <w:rsid w:val="00C92035"/>
    <w:rsid w:val="00C9706D"/>
    <w:rsid w:val="00CC2A72"/>
    <w:rsid w:val="00CC3FB5"/>
    <w:rsid w:val="00CD2067"/>
    <w:rsid w:val="00CD47BC"/>
    <w:rsid w:val="00CD53DA"/>
    <w:rsid w:val="00CF4AA5"/>
    <w:rsid w:val="00D01C75"/>
    <w:rsid w:val="00D04223"/>
    <w:rsid w:val="00D34984"/>
    <w:rsid w:val="00D36C35"/>
    <w:rsid w:val="00D41D25"/>
    <w:rsid w:val="00D75313"/>
    <w:rsid w:val="00DC463C"/>
    <w:rsid w:val="00DD0847"/>
    <w:rsid w:val="00DE0033"/>
    <w:rsid w:val="00DE2FF2"/>
    <w:rsid w:val="00E14568"/>
    <w:rsid w:val="00E16ACD"/>
    <w:rsid w:val="00E17134"/>
    <w:rsid w:val="00E25EBC"/>
    <w:rsid w:val="00E26070"/>
    <w:rsid w:val="00E60D2C"/>
    <w:rsid w:val="00E66550"/>
    <w:rsid w:val="00E877BF"/>
    <w:rsid w:val="00EA1767"/>
    <w:rsid w:val="00EB0929"/>
    <w:rsid w:val="00EB0FA5"/>
    <w:rsid w:val="00EB267D"/>
    <w:rsid w:val="00EB3189"/>
    <w:rsid w:val="00EB5655"/>
    <w:rsid w:val="00EC01DD"/>
    <w:rsid w:val="00EC35E3"/>
    <w:rsid w:val="00ED5C62"/>
    <w:rsid w:val="00ED7195"/>
    <w:rsid w:val="00EF253A"/>
    <w:rsid w:val="00F0414F"/>
    <w:rsid w:val="00F27AAF"/>
    <w:rsid w:val="00F3117D"/>
    <w:rsid w:val="00F31BEC"/>
    <w:rsid w:val="00F374DB"/>
    <w:rsid w:val="00F469E9"/>
    <w:rsid w:val="00F512B0"/>
    <w:rsid w:val="00F5782B"/>
    <w:rsid w:val="00F667A6"/>
    <w:rsid w:val="00F73131"/>
    <w:rsid w:val="00F92741"/>
    <w:rsid w:val="00FC669D"/>
    <w:rsid w:val="00FD4F0B"/>
    <w:rsid w:val="00FE02FC"/>
    <w:rsid w:val="00FE1BAE"/>
    <w:rsid w:val="012CE57E"/>
    <w:rsid w:val="3351D872"/>
    <w:rsid w:val="378D4946"/>
    <w:rsid w:val="496D9247"/>
    <w:rsid w:val="54C2EDD0"/>
    <w:rsid w:val="5576A55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DF5A17C"/>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uiPriority w:val="99"/>
    <w:rsid w:val="000E4891"/>
    <w:rPr>
      <w:rFonts w:ascii="Times New Roman" w:hAnsi="Times New Roman"/>
      <w:sz w:val="22"/>
    </w:rPr>
  </w:style>
  <w:style w:type="character" w:customStyle="1" w:styleId="BodyTextChar0">
    <w:name w:val="Body Text Char"/>
    <w:basedOn w:val="DefaultParagraphFont"/>
    <w:link w:val="BodyText0"/>
    <w:uiPriority w:val="99"/>
    <w:rsid w:val="000E4891"/>
    <w:rPr>
      <w:sz w:val="22"/>
    </w:rPr>
  </w:style>
  <w:style w:type="paragraph" w:styleId="Revision">
    <w:name w:val="Revision"/>
    <w:hidden/>
    <w:uiPriority w:val="99"/>
    <w:semiHidden/>
    <w:rsid w:val="003C5C9F"/>
    <w:rPr>
      <w:rFonts w:ascii="Courier" w:hAnsi="Courier"/>
      <w:sz w:val="24"/>
    </w:rPr>
  </w:style>
  <w:style w:type="character" w:styleId="Mention">
    <w:name w:val="Mention"/>
    <w:basedOn w:val="DefaultParagraphFont"/>
    <w:uiPriority w:val="99"/>
    <w:unhideWhenUsed/>
    <w:rsid w:val="000456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5293</Words>
  <Characters>30175</Characters>
  <Application>Microsoft Office Word</Application>
  <DocSecurity>0</DocSecurity>
  <Lines>251</Lines>
  <Paragraphs>70</Paragraphs>
  <ScaleCrop>false</ScaleCrop>
  <Company>U.S. Department of Education</Company>
  <LinksUpToDate>false</LinksUpToDate>
  <CharactersWithSpaces>35398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2023-09-27T11:27:00Z</dcterms:created>
  <dcterms:modified xsi:type="dcterms:W3CDTF">2023-09-27T11:27:00Z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