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P="00AD381B" w14:paraId="58CE2522" w14:textId="0D5F3A18">
      <w:pPr>
        <w:pStyle w:val="Header"/>
        <w:rPr>
          <w:rFonts w:ascii="Times New Roman" w:hAnsi="Times New Roman"/>
          <w:szCs w:val="24"/>
        </w:rPr>
      </w:pPr>
      <w:r w:rsidRPr="00C875E8">
        <w:rPr>
          <w:rFonts w:ascii="Times New Roman" w:hAnsi="Times New Roman"/>
          <w:szCs w:val="24"/>
        </w:rPr>
        <w:t xml:space="preserve">Tracking and OMB Number: </w:t>
      </w:r>
      <w:r w:rsidR="000E63A7">
        <w:rPr>
          <w:rFonts w:ascii="Times New Roman" w:hAnsi="Times New Roman"/>
          <w:szCs w:val="24"/>
        </w:rPr>
        <w:t>1810-new</w:t>
      </w:r>
    </w:p>
    <w:p w:rsidR="000E63A7" w:rsidRPr="00AD381B" w:rsidP="00AD381B" w14:paraId="1944641E"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9A2178" w:rsidP="009A2178" w14:paraId="73DEB7AD" w14:textId="77777777">
      <w:pPr>
        <w:suppressAutoHyphens/>
        <w:spacing w:line="240" w:lineRule="exact"/>
        <w:rPr>
          <w:rFonts w:ascii="Times New Roman" w:hAnsi="Times New Roman"/>
          <w:b/>
          <w:szCs w:val="24"/>
        </w:rPr>
      </w:pPr>
    </w:p>
    <w:p w:rsidR="007543F1" w:rsidRPr="007543F1" w:rsidP="007543F1" w14:paraId="160D163C" w14:textId="6B11A71E">
      <w:pPr>
        <w:suppressAutoHyphens/>
        <w:spacing w:line="240" w:lineRule="exact"/>
        <w:rPr>
          <w:rFonts w:ascii="Times New Roman" w:hAnsi="Times New Roman"/>
          <w:bCs/>
          <w:szCs w:val="24"/>
        </w:rPr>
      </w:pPr>
      <w:r w:rsidRPr="007543F1">
        <w:rPr>
          <w:rFonts w:ascii="Times New Roman" w:hAnsi="Times New Roman"/>
          <w:bCs/>
          <w:szCs w:val="24"/>
        </w:rPr>
        <w:t>The Comprehensive Literacy State Development (CLSD) program is authorized under the Elementary and Secondary Education Act of 1965, as amended (ESEA) [Public Law 115–224], Sections 2222-2225 of the ESEA. The CLSD program awards competitive grants to advance literacy skills—using evidence-based practices, activities, and interventions, including preliteracy skills, reading, and writing—for children from birth through grade 12, with an emphasis on disadvantaged children, including children living in poverty, English learners, and children with disabilities. Eligible entities include the state education agencies (SEAs) of the 50 states, the District of Columbia, and Puerto Rico. Additionally, directed awards are made to four (4) Outlying Areas: American Samoa, the Commonwealth of the Northern Mariana Islands, Guam, and the U.S. Virgin Islands. A portion of funds is also awarded directly to the Bureau of Indian Education.</w:t>
      </w:r>
    </w:p>
    <w:p w:rsidR="007543F1" w:rsidP="007543F1" w14:paraId="52E51874" w14:textId="77777777">
      <w:pPr>
        <w:suppressAutoHyphens/>
        <w:spacing w:line="240" w:lineRule="exact"/>
        <w:rPr>
          <w:rFonts w:ascii="Times New Roman" w:hAnsi="Times New Roman"/>
          <w:bCs/>
          <w:szCs w:val="24"/>
        </w:rPr>
      </w:pPr>
    </w:p>
    <w:p w:rsidR="007543F1" w:rsidP="007543F1" w14:paraId="0FEDA925" w14:textId="0F8C3582">
      <w:pPr>
        <w:suppressAutoHyphens/>
        <w:spacing w:line="240" w:lineRule="exact"/>
        <w:rPr>
          <w:rFonts w:ascii="Times New Roman" w:hAnsi="Times New Roman"/>
          <w:bCs/>
          <w:szCs w:val="24"/>
        </w:rPr>
      </w:pPr>
      <w:r w:rsidRPr="007543F1">
        <w:rPr>
          <w:rFonts w:ascii="Times New Roman" w:hAnsi="Times New Roman"/>
          <w:bCs/>
          <w:szCs w:val="24"/>
        </w:rPr>
        <w:t>In fiscal year (FY) 2019, the U.S. Department of Education’s (ED) Office of Well-Rounded Education (OWRE) awarded competitive grants to thirteen (13) SEAs in the following states: Alaska, Arkansas, California, Georgia, Hawaii, Kentucky, Louisiana, Minnesota, Montana, New Mexico, North Dakota, Ohio, and Rhode Island. In FY 2020, eleven (11) competitive grants were awarded  to SEAs in Arizona, Colorado, the District of Columbia, Florida, Louisiana, Massachusetts, Michigan, Missouri, Tennessee, Texas, and Wyoming.</w:t>
      </w:r>
      <w:r>
        <w:rPr>
          <w:rFonts w:ascii="Times New Roman" w:hAnsi="Times New Roman"/>
          <w:bCs/>
          <w:szCs w:val="24"/>
        </w:rPr>
        <w:t xml:space="preserve">  </w:t>
      </w:r>
      <w:r w:rsidRPr="007543F1">
        <w:rPr>
          <w:rFonts w:ascii="Times New Roman" w:hAnsi="Times New Roman"/>
          <w:bCs/>
          <w:szCs w:val="24"/>
        </w:rPr>
        <w:t xml:space="preserve">The CLSD program is requesting approval from the Office of Management and Budget (OMB) for a new information collection request for a program specific CLSD performance report. Currently, OWRE utilizes ED’s OMB-approved generic grant performance report (OMB #1894-0003) to collect annual and final performance data for CLSD. The proposed program specific CLSD performance report will consist of similar metrics as ED’s generic grant performance report, including the following sections: resources, cover sheet, executive summary, project-specific performance measures (PSPMs), state-level activities, subgrantee competition information, subgrantee details, subgrantee activities, and budget information.  </w:t>
      </w:r>
    </w:p>
    <w:p w:rsidR="007543F1" w:rsidRPr="007543F1" w:rsidP="007543F1" w14:paraId="5DFE5543" w14:textId="77777777">
      <w:pPr>
        <w:suppressAutoHyphens/>
        <w:spacing w:line="240" w:lineRule="exact"/>
        <w:rPr>
          <w:rFonts w:ascii="Times New Roman" w:hAnsi="Times New Roman"/>
          <w:bCs/>
          <w:szCs w:val="24"/>
        </w:rPr>
      </w:pPr>
    </w:p>
    <w:p w:rsidR="007543F1" w:rsidRPr="007543F1" w:rsidP="007543F1" w14:paraId="35DBCF1A" w14:textId="65E9E8BA">
      <w:pPr>
        <w:suppressAutoHyphens/>
        <w:spacing w:line="240" w:lineRule="exact"/>
        <w:rPr>
          <w:rFonts w:ascii="Times New Roman" w:hAnsi="Times New Roman"/>
          <w:bCs/>
          <w:szCs w:val="24"/>
        </w:rPr>
      </w:pPr>
      <w:r w:rsidRPr="007543F1">
        <w:rPr>
          <w:rFonts w:ascii="Times New Roman" w:hAnsi="Times New Roman"/>
          <w:bCs/>
          <w:szCs w:val="24"/>
        </w:rPr>
        <w:t>CLSD requires that at least 95% of funds awarded to SEAs be distributed to local education agencies through a subgrant award process. However, the current OMB-approved ED generic grant performance report does not include fields to capture program (subgrantee) demographic data or performance measures to ensure grantees are meeting statutory and regulatory requirements and making progress toward meeting the goals and objectives of their approved projects.</w:t>
      </w:r>
      <w:r>
        <w:rPr>
          <w:rFonts w:ascii="Times New Roman" w:hAnsi="Times New Roman"/>
          <w:bCs/>
          <w:szCs w:val="24"/>
        </w:rPr>
        <w:t xml:space="preserve">  </w:t>
      </w:r>
      <w:r w:rsidRPr="007543F1">
        <w:rPr>
          <w:rFonts w:ascii="Times New Roman" w:hAnsi="Times New Roman"/>
          <w:bCs/>
          <w:szCs w:val="24"/>
        </w:rPr>
        <w:t xml:space="preserve">The proposed performance report metrics reflect the need to collect pertinent grantee- and subgrantee-level data that could be used to guide future program policy and practice and respond to stakeholder, congressional, and agency inquiries. Thus, the CLSD program staff would better understand whom they serve, programmatic needs, strategies to meet those needs, and how collecting program-level data would benefit the students and support their learning. The new CLSD performance report metrics would (a) collect programmatic data that demonstrate aggregate program-level impact; (b) provide subgrantees’ aggregated data, such as the number of </w:t>
      </w:r>
      <w:r w:rsidRPr="007543F1">
        <w:rPr>
          <w:rFonts w:ascii="Times New Roman" w:hAnsi="Times New Roman"/>
          <w:bCs/>
          <w:szCs w:val="24"/>
        </w:rPr>
        <w:t>students and professionals served, how funds have been used (e.g., professional learning, curricular materials), and staffing; and (c) provide the CLSD program staff the data to report the performance and outcomes of the CLSD program, at both the grantee and the subgrantee levels. These new measures also would help to add specificity to ED’s monitoring efforts.</w:t>
      </w:r>
    </w:p>
    <w:p w:rsidR="00DA0CA9" w:rsidP="007543F1" w14:paraId="2A8A893E" w14:textId="77777777">
      <w:pPr>
        <w:suppressAutoHyphens/>
        <w:spacing w:line="240" w:lineRule="exact"/>
        <w:rPr>
          <w:rFonts w:ascii="Times New Roman" w:hAnsi="Times New Roman"/>
          <w:bCs/>
          <w:szCs w:val="24"/>
        </w:rPr>
      </w:pPr>
    </w:p>
    <w:p w:rsidR="007543F1" w:rsidP="007543F1" w14:paraId="4CA4EF10" w14:textId="70DB6408">
      <w:pPr>
        <w:suppressAutoHyphens/>
        <w:spacing w:line="240" w:lineRule="exact"/>
        <w:rPr>
          <w:rFonts w:ascii="Times New Roman" w:hAnsi="Times New Roman"/>
          <w:bCs/>
          <w:szCs w:val="24"/>
        </w:rPr>
      </w:pPr>
      <w:r w:rsidRPr="007543F1">
        <w:rPr>
          <w:rFonts w:ascii="Times New Roman" w:hAnsi="Times New Roman"/>
          <w:bCs/>
          <w:szCs w:val="24"/>
        </w:rPr>
        <w:t>In addition, the program office is requesting approval the CLSD Project Budget Workbook.  This budget tool was created in response to feedback from our grantees who had difficulty completing their budgets in a Word document.  The tool will allow grantees to track the budget over the lifecycle of the grant.  An additional benefit of the tool is that it allows all grantee budget data, including any budget revisions, to be located in one file.  Use of this Workbook will alleviate issues that arise when there is personnel turnover at the State Education Agency (SEA).  New project directors will be able to easily locate not just current budget information, but also have historical information as well on changes, approvals, etc. that will allow for a more seamless transition from one project director to the next.</w:t>
      </w:r>
    </w:p>
    <w:p w:rsidR="007543F1" w:rsidRPr="007543F1" w:rsidP="007543F1" w14:paraId="43088675" w14:textId="77777777">
      <w:pPr>
        <w:suppressAutoHyphens/>
        <w:spacing w:line="240" w:lineRule="exact"/>
        <w:rPr>
          <w:rFonts w:ascii="Times New Roman" w:hAnsi="Times New Roman"/>
          <w:bCs/>
          <w:szCs w:val="24"/>
        </w:rPr>
      </w:pPr>
    </w:p>
    <w:p w:rsidR="009A2178" w:rsidRPr="007543F1" w:rsidP="007543F1" w14:paraId="2AE571CB" w14:textId="40709409">
      <w:pPr>
        <w:suppressAutoHyphens/>
        <w:spacing w:line="240" w:lineRule="exact"/>
        <w:rPr>
          <w:rFonts w:ascii="Times New Roman" w:hAnsi="Times New Roman"/>
          <w:bCs/>
          <w:szCs w:val="24"/>
        </w:rPr>
      </w:pPr>
      <w:r w:rsidRPr="007543F1">
        <w:rPr>
          <w:rFonts w:ascii="Times New Roman" w:hAnsi="Times New Roman"/>
          <w:bCs/>
          <w:szCs w:val="24"/>
        </w:rPr>
        <w:t xml:space="preserve">This request represents a major step in the CLSD program’s efforts to improve its ability to assess its grantees’ impact and use data collected from its discretionary grant portfolio to enhance grantee performance and improve Americans’ literacy. Approval of this information collection would help the CLSD program staff continue to meet the </w:t>
      </w:r>
      <w:r w:rsidR="009F3901">
        <w:rPr>
          <w:rFonts w:ascii="Times New Roman" w:hAnsi="Times New Roman"/>
          <w:bCs/>
          <w:szCs w:val="24"/>
        </w:rPr>
        <w:t xml:space="preserve">reporting </w:t>
      </w:r>
      <w:r w:rsidRPr="007543F1">
        <w:rPr>
          <w:rFonts w:ascii="Times New Roman" w:hAnsi="Times New Roman"/>
          <w:bCs/>
          <w:szCs w:val="24"/>
        </w:rPr>
        <w:t>requirements—quantifying the effects and accomplishments of its discretionary grant programs, consistent with OMB guidance.</w:t>
      </w: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9A2178"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A2178" w:rsidP="009A2178" w14:paraId="67496F5E" w14:textId="77777777">
      <w:pPr>
        <w:suppressAutoHyphens/>
        <w:spacing w:line="240" w:lineRule="exact"/>
        <w:rPr>
          <w:rFonts w:ascii="Times New Roman" w:hAnsi="Times New Roman"/>
          <w:szCs w:val="24"/>
        </w:rPr>
      </w:pPr>
    </w:p>
    <w:p w:rsidR="009A2178" w:rsidRPr="009A2178" w:rsidP="009A2178" w14:paraId="7F44F81C" w14:textId="78AC4D87">
      <w:pPr>
        <w:suppressAutoHyphens/>
        <w:spacing w:line="240" w:lineRule="exact"/>
        <w:rPr>
          <w:rFonts w:ascii="Times New Roman" w:hAnsi="Times New Roman"/>
          <w:szCs w:val="24"/>
        </w:rPr>
      </w:pPr>
      <w:r w:rsidRPr="009A2178">
        <w:rPr>
          <w:rFonts w:ascii="Times New Roman" w:hAnsi="Times New Roman"/>
          <w:szCs w:val="24"/>
        </w:rPr>
        <w:t xml:space="preserve">The information gathered as part of the performance report process would be used by </w:t>
      </w:r>
      <w:bookmarkStart w:id="0" w:name="_Hlk144989273"/>
      <w:r w:rsidRPr="009A2178">
        <w:rPr>
          <w:rFonts w:ascii="Times New Roman" w:hAnsi="Times New Roman"/>
          <w:szCs w:val="24"/>
        </w:rPr>
        <w:t>CLSD program staff to (1) track the performance, outcomes, and budget expenditures of the grantees receiving CLSD funds; (2) identify the strengths, challenges, and needs of grantees; and (3) gather demographic information about subgrantees. These data would be used by the CLSD program office to inform the design, implementation, and performance of various technical assistance (TA) strategies, such as convenings, communities of practice, products, resources, and web content.</w:t>
      </w:r>
    </w:p>
    <w:bookmarkEnd w:id="0"/>
    <w:p w:rsidR="00AD381B" w:rsidP="00AD381B" w14:paraId="58CE252B"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625E84" w:rsidP="00625E84" w14:paraId="4C7EAA99" w14:textId="77777777">
      <w:pPr>
        <w:tabs>
          <w:tab w:val="left" w:pos="-720"/>
        </w:tabs>
        <w:suppressAutoHyphens/>
        <w:rPr>
          <w:rFonts w:ascii="Times New Roman" w:hAnsi="Times New Roman"/>
          <w:b/>
          <w:szCs w:val="24"/>
        </w:rPr>
      </w:pPr>
    </w:p>
    <w:p w:rsidR="006D5C3B" w:rsidP="007C4F66" w14:paraId="27DEE332" w14:textId="71057262">
      <w:pPr>
        <w:spacing w:after="160"/>
        <w:rPr>
          <w:rFonts w:ascii="Times New Roman" w:hAnsi="Times New Roman"/>
          <w:color w:val="000000"/>
          <w:shd w:val="clear" w:color="auto" w:fill="FFFFFF"/>
        </w:rPr>
      </w:pPr>
      <w:r w:rsidRPr="00625E84">
        <w:rPr>
          <w:rFonts w:ascii="Times New Roman" w:hAnsi="Times New Roman"/>
          <w:color w:val="000000"/>
          <w:shd w:val="clear" w:color="auto" w:fill="FFFFFF"/>
        </w:rPr>
        <w:t>Since FY 2019, CLSD grantees have used a password-protected knowledge management system (KMS) to enter and manage data such as PSPMs</w:t>
      </w:r>
      <w:r w:rsidR="009F3901">
        <w:rPr>
          <w:rFonts w:ascii="Times New Roman" w:hAnsi="Times New Roman"/>
          <w:color w:val="000000"/>
          <w:shd w:val="clear" w:color="auto" w:fill="FFFFFF"/>
        </w:rPr>
        <w:t xml:space="preserve">, </w:t>
      </w:r>
      <w:r w:rsidRPr="00625E84">
        <w:rPr>
          <w:rFonts w:ascii="Times New Roman" w:hAnsi="Times New Roman"/>
          <w:color w:val="000000"/>
          <w:shd w:val="clear" w:color="auto" w:fill="FFFFFF"/>
        </w:rPr>
        <w:t>performance</w:t>
      </w:r>
      <w:r w:rsidR="009F3901">
        <w:rPr>
          <w:rFonts w:ascii="Times New Roman" w:hAnsi="Times New Roman"/>
          <w:color w:val="000000"/>
          <w:shd w:val="clear" w:color="auto" w:fill="FFFFFF"/>
        </w:rPr>
        <w:t>,</w:t>
      </w:r>
      <w:r w:rsidRPr="00625E84">
        <w:rPr>
          <w:rFonts w:ascii="Times New Roman" w:hAnsi="Times New Roman"/>
          <w:color w:val="000000"/>
          <w:shd w:val="clear" w:color="auto" w:fill="FFFFFF"/>
        </w:rPr>
        <w:t xml:space="preserve"> and budget updates. The rationale for developing the KMS was to create an alternative to submitting performance reports into the G5 system, including the ability to (a) customize or add data elements, (b) provide grantees a regularly scheduled timeline (e.g., quarterly) for entering both performance and budget data to ease annual reporting requirements, and (c) reduce the burden for grantees by </w:t>
      </w:r>
      <w:r w:rsidRPr="00625E84">
        <w:rPr>
          <w:rFonts w:ascii="Times New Roman" w:hAnsi="Times New Roman"/>
          <w:color w:val="000000"/>
          <w:shd w:val="clear" w:color="auto" w:fill="FFFFFF"/>
        </w:rPr>
        <w:t xml:space="preserve">streamlining reporting elements into one reporting hub housed within the larger CLSD website. The KMS will be enhanced and modified to improve the ability for grantees to enter data. The CLSD program office is working with a technical working group to ensure that the KMS will function as a user-friendly system for grantees. For example, it allows information previously entered to be </w:t>
      </w:r>
      <w:r w:rsidRPr="00625E84">
        <w:rPr>
          <w:rFonts w:ascii="Times New Roman" w:hAnsi="Times New Roman"/>
          <w:color w:val="000000"/>
          <w:shd w:val="clear" w:color="auto" w:fill="FFFFFF"/>
        </w:rPr>
        <w:t>auto-populated</w:t>
      </w:r>
      <w:r w:rsidRPr="00625E84">
        <w:rPr>
          <w:rFonts w:ascii="Times New Roman" w:hAnsi="Times New Roman"/>
          <w:color w:val="000000"/>
          <w:shd w:val="clear" w:color="auto" w:fill="FFFFFF"/>
        </w:rPr>
        <w:t xml:space="preserve"> in future submissions. </w:t>
      </w:r>
    </w:p>
    <w:p w:rsidR="006D5C3B" w:rsidRPr="007C4F66" w:rsidP="007C4F66" w14:paraId="32FC28F6" w14:textId="7484BE38">
      <w:pPr>
        <w:spacing w:after="160"/>
        <w:rPr>
          <w:rFonts w:ascii="Times New Roman" w:hAnsi="Times New Roman"/>
          <w:color w:val="000000"/>
          <w:shd w:val="clear" w:color="auto" w:fill="FFFFFF"/>
        </w:rPr>
      </w:pPr>
      <w:r w:rsidRPr="003011D8">
        <w:rPr>
          <w:rFonts w:ascii="Times New Roman" w:hAnsi="Times New Roman"/>
          <w:color w:val="000000"/>
          <w:shd w:val="clear" w:color="auto" w:fill="FFFFFF"/>
        </w:rPr>
        <w:t xml:space="preserve">In addition, the Excel budget tool has been created to reduce the burden on grantees when submitting budget information as part of the APR and Ad Hoc APR.  </w:t>
      </w:r>
      <w:r w:rsidRPr="003011D8" w:rsidR="0038441B">
        <w:rPr>
          <w:rFonts w:ascii="Times New Roman" w:hAnsi="Times New Roman"/>
          <w:color w:val="000000"/>
          <w:shd w:val="clear" w:color="auto" w:fill="FFFFFF"/>
        </w:rPr>
        <w:t xml:space="preserve">Currently grantees must use the </w:t>
      </w:r>
      <w:r w:rsidRPr="003011D8" w:rsidR="00C5229F">
        <w:rPr>
          <w:rFonts w:ascii="Times New Roman" w:hAnsi="Times New Roman"/>
          <w:color w:val="000000"/>
          <w:shd w:val="clear" w:color="auto" w:fill="FFFFFF"/>
        </w:rPr>
        <w:t xml:space="preserve">Word version of the ED 524B.  </w:t>
      </w:r>
      <w:r w:rsidRPr="003011D8" w:rsidR="00CE47B9">
        <w:rPr>
          <w:rFonts w:ascii="Times New Roman" w:hAnsi="Times New Roman"/>
          <w:color w:val="000000"/>
          <w:shd w:val="clear" w:color="auto" w:fill="FFFFFF"/>
        </w:rPr>
        <w:t xml:space="preserve">The program office has noted that, in past Grantee Satisfaction Surveys, respondents complained about using a Word document for a budget. </w:t>
      </w:r>
      <w:r w:rsidRPr="003011D8" w:rsidR="00C5229F">
        <w:rPr>
          <w:rFonts w:ascii="Times New Roman" w:hAnsi="Times New Roman"/>
          <w:color w:val="000000"/>
          <w:shd w:val="clear" w:color="auto" w:fill="FFFFFF"/>
        </w:rPr>
        <w:t xml:space="preserve">The Excel budget tool uses the same line items but will allow grantees to utilize formulas embedded in the spreadsheet to </w:t>
      </w:r>
      <w:r w:rsidRPr="003011D8" w:rsidR="00B85779">
        <w:rPr>
          <w:rFonts w:ascii="Times New Roman" w:hAnsi="Times New Roman"/>
          <w:color w:val="000000"/>
          <w:shd w:val="clear" w:color="auto" w:fill="FFFFFF"/>
        </w:rPr>
        <w:t>automatically calculate figures and reduce errors.</w:t>
      </w:r>
      <w:r w:rsidR="00B85779">
        <w:rPr>
          <w:rFonts w:ascii="Times New Roman" w:hAnsi="Times New Roman"/>
          <w:color w:val="000000"/>
          <w:shd w:val="clear" w:color="auto" w:fill="FFFFFF"/>
        </w:rPr>
        <w:t xml:space="preserve">  </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3629A8" w:rsidP="003629A8" w14:paraId="402F1B7B" w14:textId="77777777">
      <w:pPr>
        <w:tabs>
          <w:tab w:val="left" w:pos="-720"/>
        </w:tabs>
        <w:suppressAutoHyphens/>
        <w:rPr>
          <w:rFonts w:ascii="Times New Roman" w:hAnsi="Times New Roman"/>
          <w:b/>
          <w:szCs w:val="24"/>
        </w:rPr>
      </w:pPr>
    </w:p>
    <w:p w:rsidR="00246FE9" w:rsidRPr="0020523A" w:rsidP="0020523A" w14:paraId="58CE2531" w14:textId="5BEE09B7">
      <w:pPr>
        <w:spacing w:after="160"/>
        <w:rPr>
          <w:rFonts w:ascii="Times New Roman" w:hAnsi="Times New Roman"/>
          <w:color w:val="000000"/>
          <w:shd w:val="clear" w:color="auto" w:fill="FFFFFF"/>
        </w:rPr>
      </w:pPr>
      <w:r w:rsidRPr="0020523A">
        <w:rPr>
          <w:rFonts w:ascii="Times New Roman" w:hAnsi="Times New Roman"/>
          <w:color w:val="000000"/>
          <w:shd w:val="clear" w:color="auto" w:fill="FFFFFF"/>
        </w:rPr>
        <w:t xml:space="preserve">The new CLSD metrics would provide additional grantee data currently not collected and data at the subgrantee level. This would not duplicate any existing data collection. </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01F61" w:rsidP="00AD381B" w14:paraId="67DA6407" w14:textId="77777777">
      <w:pPr>
        <w:pStyle w:val="ListParagraph"/>
        <w:contextualSpacing w:val="0"/>
        <w:rPr>
          <w:rFonts w:ascii="Times New Roman" w:hAnsi="Times New Roman"/>
          <w:szCs w:val="24"/>
        </w:rPr>
      </w:pPr>
    </w:p>
    <w:p w:rsidR="00E01F61" w:rsidP="00E01F61" w14:paraId="0E7ECBB1" w14:textId="4BF415D3">
      <w:pPr>
        <w:rPr>
          <w:rFonts w:ascii="Times New Roman" w:hAnsi="Times New Roman"/>
          <w:szCs w:val="24"/>
        </w:rPr>
      </w:pPr>
      <w:r w:rsidRPr="00E01F61">
        <w:rPr>
          <w:rFonts w:ascii="Times New Roman" w:hAnsi="Times New Roman"/>
          <w:szCs w:val="24"/>
        </w:rPr>
        <w:t>There are no small businesses or entities involved in this request.</w:t>
      </w:r>
    </w:p>
    <w:p w:rsidR="00E01F61" w:rsidRPr="00E01F61" w:rsidP="00E01F61" w14:paraId="3F5224B0" w14:textId="77777777">
      <w:pPr>
        <w:rPr>
          <w:rFonts w:ascii="Times New Roman" w:hAnsi="Times New Roman"/>
          <w:szCs w:val="24"/>
        </w:rPr>
      </w:pP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01F61" w:rsidP="00E01F61" w14:paraId="00F2F3FD" w14:textId="77777777">
      <w:pPr>
        <w:tabs>
          <w:tab w:val="left" w:pos="-720"/>
        </w:tabs>
        <w:suppressAutoHyphens/>
        <w:rPr>
          <w:rFonts w:ascii="Times New Roman" w:hAnsi="Times New Roman"/>
          <w:b/>
          <w:szCs w:val="24"/>
        </w:rPr>
      </w:pPr>
    </w:p>
    <w:p w:rsidR="000041BA" w:rsidRPr="000041BA" w:rsidP="000041BA" w14:paraId="752B327E" w14:textId="77777777">
      <w:pPr>
        <w:spacing w:after="160"/>
        <w:rPr>
          <w:rFonts w:ascii="Times New Roman" w:hAnsi="Times New Roman"/>
          <w:color w:val="000000"/>
          <w:shd w:val="clear" w:color="auto" w:fill="FFFFFF"/>
        </w:rPr>
      </w:pPr>
      <w:r w:rsidRPr="000041BA">
        <w:rPr>
          <w:rFonts w:ascii="Times New Roman" w:hAnsi="Times New Roman"/>
          <w:color w:val="000000"/>
          <w:shd w:val="clear" w:color="auto" w:fill="FFFFFF"/>
        </w:rPr>
        <w:t>The program office is seeking additional grantee and subgrantee data necessary for monitoring and compliance. If this information were to be collected less frequently, the program office would not be able to ensure that statutory and regulatory requirements are met.</w:t>
      </w:r>
    </w:p>
    <w:p w:rsidR="00E01F61" w:rsidRPr="000041BA" w:rsidP="000041BA" w14:paraId="2D0B6227"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77777777">
      <w:pPr>
        <w:pStyle w:val="ListParagraph"/>
        <w:rPr>
          <w:rFonts w:ascii="Times New Roman" w:hAnsi="Times New Roman"/>
          <w:b/>
          <w:szCs w:val="24"/>
        </w:rPr>
      </w:pPr>
    </w:p>
    <w:p w:rsidR="00DC7B56" w:rsidRPr="00DC7B56" w:rsidP="00DC7B56" w14:paraId="525AB78B" w14:textId="77777777">
      <w:pPr>
        <w:spacing w:after="160"/>
        <w:rPr>
          <w:rFonts w:ascii="Times New Roman" w:hAnsi="Times New Roman"/>
          <w:color w:val="000000"/>
          <w:shd w:val="clear" w:color="auto" w:fill="FFFFFF"/>
        </w:rPr>
      </w:pPr>
      <w:r w:rsidRPr="00DC7B56">
        <w:rPr>
          <w:rFonts w:ascii="Times New Roman" w:hAnsi="Times New Roman"/>
          <w:color w:val="000000"/>
          <w:shd w:val="clear" w:color="auto" w:fill="FFFFFF"/>
        </w:rPr>
        <w:t xml:space="preserve">This information collection does not have any special circumstances. </w:t>
      </w:r>
    </w:p>
    <w:p w:rsidR="000041BA" w:rsidP="00AD381B" w14:paraId="7F0E0C4B" w14:textId="77777777">
      <w:pPr>
        <w:pStyle w:val="ListParagraph"/>
        <w:rPr>
          <w:rFonts w:ascii="Times New Roman" w:hAnsi="Times New Roman"/>
          <w:b/>
          <w:szCs w:val="24"/>
        </w:rPr>
      </w:pPr>
    </w:p>
    <w:p w:rsidR="00AD381B" w:rsidRPr="00AD381B" w:rsidP="00AD381B" w14:paraId="58CE2548" w14:textId="77777777">
      <w:pPr>
        <w:tabs>
          <w:tab w:val="left" w:pos="-720"/>
        </w:tabs>
        <w:suppressAutoHyphens/>
        <w:rPr>
          <w:rFonts w:ascii="Times New Roman" w:hAnsi="Times New Roman"/>
          <w:szCs w:val="24"/>
        </w:rPr>
      </w:pPr>
    </w:p>
    <w:p w:rsidR="00D75313" w:rsidRPr="003011D8"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011D8">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3011D8"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RPr="003011D8" w:rsidP="00D75313" w14:paraId="58CE254B" w14:textId="77777777">
      <w:pPr>
        <w:pStyle w:val="ListParagraph"/>
        <w:tabs>
          <w:tab w:val="left" w:pos="-720"/>
          <w:tab w:val="left" w:pos="375"/>
        </w:tabs>
        <w:suppressAutoHyphens/>
        <w:contextualSpacing w:val="0"/>
        <w:rPr>
          <w:rFonts w:ascii="Times New Roman" w:hAnsi="Times New Roman"/>
          <w:b/>
          <w:szCs w:val="24"/>
        </w:rPr>
      </w:pPr>
      <w:r w:rsidRPr="003011D8">
        <w:rPr>
          <w:rFonts w:ascii="Times New Roman" w:hAnsi="Times New Roman"/>
          <w:b/>
          <w:szCs w:val="24"/>
        </w:rPr>
        <w:t xml:space="preserve">Include a citation for the </w:t>
      </w:r>
      <w:r w:rsidRPr="003011D8">
        <w:rPr>
          <w:rFonts w:ascii="Times New Roman" w:hAnsi="Times New Roman"/>
          <w:b/>
          <w:szCs w:val="24"/>
        </w:rPr>
        <w:t>60 day</w:t>
      </w:r>
      <w:r w:rsidRPr="003011D8">
        <w:rPr>
          <w:rFonts w:ascii="Times New Roman" w:hAnsi="Times New Roman"/>
          <w:b/>
          <w:szCs w:val="24"/>
        </w:rPr>
        <w:t xml:space="preserve"> comment period (e.g. Vol. 84 FR ##### and the date of publication).</w:t>
      </w:r>
      <w:r w:rsidRPr="003011D8">
        <w:rPr>
          <w:rFonts w:ascii="Times New Roman" w:hAnsi="Times New Roman"/>
          <w:b/>
          <w:szCs w:val="24"/>
        </w:rPr>
        <w:t xml:space="preserve">  Summarize public comments received in response to </w:t>
      </w:r>
      <w:r w:rsidRPr="003011D8">
        <w:rPr>
          <w:rFonts w:ascii="Times New Roman" w:hAnsi="Times New Roman"/>
          <w:b/>
          <w:szCs w:val="24"/>
        </w:rPr>
        <w:t xml:space="preserve">the </w:t>
      </w:r>
      <w:r w:rsidRPr="003011D8">
        <w:rPr>
          <w:rFonts w:ascii="Times New Roman" w:hAnsi="Times New Roman"/>
          <w:b/>
          <w:szCs w:val="24"/>
        </w:rPr>
        <w:t>60 day</w:t>
      </w:r>
      <w:r w:rsidRPr="003011D8">
        <w:rPr>
          <w:rFonts w:ascii="Times New Roman" w:hAnsi="Times New Roman"/>
          <w:b/>
          <w:szCs w:val="24"/>
        </w:rPr>
        <w:t xml:space="preserve"> notice and describe actions taken by the agency in response to these comments.  Specifically address comments received on cost and hour burden.</w:t>
      </w:r>
      <w:r w:rsidRPr="003011D8" w:rsidR="007C0A4C">
        <w:rPr>
          <w:rFonts w:ascii="Times New Roman" w:hAnsi="Times New Roman"/>
          <w:b/>
          <w:szCs w:val="24"/>
        </w:rPr>
        <w:t xml:space="preserve">  If only non-substantive comments are provided, please provide a statement to that effect and that it did not relate or warrant any change</w:t>
      </w:r>
      <w:r w:rsidRPr="003011D8">
        <w:rPr>
          <w:rFonts w:ascii="Times New Roman" w:hAnsi="Times New Roman"/>
          <w:b/>
          <w:szCs w:val="24"/>
        </w:rPr>
        <w:t>s to this information collection request</w:t>
      </w:r>
      <w:r w:rsidRPr="003011D8" w:rsidR="007C0A4C">
        <w:rPr>
          <w:rFonts w:ascii="Times New Roman" w:hAnsi="Times New Roman"/>
          <w:b/>
          <w:szCs w:val="24"/>
        </w:rPr>
        <w:t xml:space="preserve">. </w:t>
      </w:r>
      <w:r w:rsidRPr="003011D8">
        <w:rPr>
          <w:rFonts w:ascii="Times New Roman" w:hAnsi="Times New Roman"/>
          <w:b/>
          <w:szCs w:val="24"/>
        </w:rPr>
        <w:t>In your comments, please also indicate the number of public comments received.</w:t>
      </w:r>
    </w:p>
    <w:p w:rsidR="00D75313" w:rsidRPr="003011D8"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3011D8" w:rsidP="00D75313" w14:paraId="58CE254D" w14:textId="77777777">
      <w:pPr>
        <w:pStyle w:val="ListParagraph"/>
        <w:tabs>
          <w:tab w:val="left" w:pos="-720"/>
          <w:tab w:val="left" w:pos="375"/>
        </w:tabs>
        <w:suppressAutoHyphens/>
        <w:contextualSpacing w:val="0"/>
        <w:rPr>
          <w:rFonts w:ascii="Times New Roman" w:hAnsi="Times New Roman"/>
          <w:b/>
          <w:szCs w:val="24"/>
        </w:rPr>
      </w:pPr>
      <w:r w:rsidRPr="003011D8">
        <w:rPr>
          <w:rFonts w:ascii="Times New Roman" w:hAnsi="Times New Roman"/>
          <w:b/>
          <w:szCs w:val="24"/>
        </w:rPr>
        <w:t xml:space="preserve">For the </w:t>
      </w:r>
      <w:r w:rsidRPr="003011D8">
        <w:rPr>
          <w:rFonts w:ascii="Times New Roman" w:hAnsi="Times New Roman"/>
          <w:b/>
          <w:szCs w:val="24"/>
        </w:rPr>
        <w:t>30 day</w:t>
      </w:r>
      <w:r w:rsidRPr="003011D8">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3011D8">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2209F" w:rsidP="00AD381B" w14:paraId="55E345CB" w14:textId="77777777">
      <w:pPr>
        <w:tabs>
          <w:tab w:val="left" w:pos="-720"/>
        </w:tabs>
        <w:suppressAutoHyphens/>
        <w:ind w:left="720"/>
        <w:rPr>
          <w:rStyle w:val="a"/>
          <w:rFonts w:ascii="Times New Roman" w:hAnsi="Times New Roman"/>
          <w:b/>
          <w:szCs w:val="24"/>
        </w:rPr>
      </w:pPr>
    </w:p>
    <w:p w:rsidR="00B05220" w:rsidP="00E53242" w14:paraId="491E8CE2" w14:textId="39B30147">
      <w:pPr>
        <w:spacing w:after="160"/>
        <w:rPr>
          <w:rFonts w:ascii="Times New Roman" w:hAnsi="Times New Roman"/>
          <w:color w:val="000000"/>
          <w:shd w:val="clear" w:color="auto" w:fill="FFFFFF"/>
        </w:rPr>
      </w:pPr>
      <w:r>
        <w:rPr>
          <w:rFonts w:ascii="Times New Roman" w:hAnsi="Times New Roman"/>
          <w:color w:val="000000"/>
          <w:shd w:val="clear" w:color="auto" w:fill="FFFFFF"/>
        </w:rPr>
        <w:t>O</w:t>
      </w:r>
      <w:r w:rsidRPr="003E0C08">
        <w:rPr>
          <w:rFonts w:ascii="Times New Roman" w:hAnsi="Times New Roman"/>
          <w:szCs w:val="24"/>
        </w:rPr>
        <w:t>n September 27, 2023 (88 FR 66434)</w:t>
      </w:r>
      <w:r>
        <w:rPr>
          <w:rFonts w:ascii="Times New Roman" w:hAnsi="Times New Roman"/>
          <w:szCs w:val="24"/>
        </w:rPr>
        <w:t xml:space="preserve"> the Department published a 60-day comment notice requesting feedback from the public. </w:t>
      </w:r>
      <w:r w:rsidR="009E316E">
        <w:rPr>
          <w:rFonts w:ascii="Times New Roman" w:hAnsi="Times New Roman"/>
          <w:szCs w:val="24"/>
        </w:rPr>
        <w:t>During the 60-day comment period we received one comment to which we have responded in a separate document. T</w:t>
      </w:r>
      <w:r w:rsidRPr="00B05220">
        <w:rPr>
          <w:rFonts w:ascii="Times New Roman" w:hAnsi="Times New Roman"/>
          <w:color w:val="000000"/>
          <w:shd w:val="clear" w:color="auto" w:fill="FFFFFF"/>
        </w:rPr>
        <w:t>he Department will publish 30-day notice in the Federal Register.</w:t>
      </w:r>
    </w:p>
    <w:p w:rsidR="00AD381B" w:rsidP="00E53242" w14:paraId="58CE2551" w14:textId="699826F1">
      <w:pPr>
        <w:spacing w:after="160"/>
        <w:rPr>
          <w:rFonts w:ascii="Times New Roman" w:hAnsi="Times New Roman"/>
          <w:color w:val="000000"/>
          <w:shd w:val="clear" w:color="auto" w:fill="FFFFFF"/>
        </w:rPr>
      </w:pPr>
      <w:r w:rsidRPr="003502AD">
        <w:rPr>
          <w:rFonts w:ascii="Times New Roman" w:hAnsi="Times New Roman"/>
          <w:color w:val="000000"/>
          <w:shd w:val="clear" w:color="auto" w:fill="FFFFFF"/>
        </w:rPr>
        <w:t xml:space="preserve">Eight current grantees served on a working group to provide input on the proposed information collection. Selection considerations for grantees in the working group included grantee cohort; total number of students enrolled (K-12); percentage of students who are served by special education programs; percentage of students who are English learners; number of subgrantees; and the region of the United States. Table 1 illustrates the extent of broad representation across the category groups named above. These grantees reported a higher than average (compared to other grantees) percentage of students for at least two of the following: student population size, special education, English learners, and state size. In addition, most grantees had combination geographical makeups reflecting a mix of rural, suburban, and urban communities and varied </w:t>
      </w:r>
      <w:r w:rsidRPr="003502AD">
        <w:rPr>
          <w:rFonts w:ascii="Times New Roman" w:hAnsi="Times New Roman"/>
          <w:color w:val="000000" w:themeColor="text1"/>
        </w:rPr>
        <w:t xml:space="preserve">by </w:t>
      </w:r>
      <w:r w:rsidRPr="003502AD">
        <w:rPr>
          <w:rFonts w:ascii="Times New Roman" w:hAnsi="Times New Roman"/>
          <w:color w:val="000000"/>
          <w:shd w:val="clear" w:color="auto" w:fill="FFFFFF"/>
        </w:rPr>
        <w:t xml:space="preserve">region of the United States. The 2019 and 2020 CLSD cohorts were represented equally on the working group. </w:t>
      </w:r>
    </w:p>
    <w:p w:rsidR="00462A1B" w:rsidRPr="00462A1B" w:rsidP="00462A1B" w14:paraId="048022DE" w14:textId="77777777">
      <w:pPr>
        <w:keepNext/>
        <w:spacing w:after="80"/>
        <w:rPr>
          <w:rFonts w:ascii="Times New Roman" w:hAnsi="Times New Roman"/>
          <w:b/>
          <w:bCs/>
          <w:i/>
          <w:iCs/>
          <w:color w:val="1F497D" w:themeColor="text2"/>
          <w:sz w:val="18"/>
          <w:szCs w:val="24"/>
        </w:rPr>
      </w:pPr>
      <w:r w:rsidRPr="00462A1B">
        <w:rPr>
          <w:rFonts w:ascii="Times New Roman" w:hAnsi="Times New Roman"/>
          <w:b/>
          <w:bCs/>
          <w:color w:val="1F497D" w:themeColor="text2"/>
          <w:szCs w:val="24"/>
        </w:rPr>
        <w:t>Table 1.  Demographics of States Represented on the Working Group</w:t>
      </w:r>
    </w:p>
    <w:tbl>
      <w:tblPr>
        <w:tblStyle w:val="TableGrid1"/>
        <w:tblW w:w="9540" w:type="dxa"/>
        <w:tblInd w:w="-95" w:type="dxa"/>
        <w:tblLayout w:type="fixed"/>
        <w:tblLook w:val="06A0"/>
      </w:tblPr>
      <w:tblGrid>
        <w:gridCol w:w="1908"/>
        <w:gridCol w:w="1908"/>
        <w:gridCol w:w="1908"/>
        <w:gridCol w:w="1908"/>
        <w:gridCol w:w="1908"/>
      </w:tblGrid>
      <w:tr w14:paraId="36513A57" w14:textId="77777777" w:rsidTr="00015B67">
        <w:tblPrEx>
          <w:tblW w:w="9540" w:type="dxa"/>
          <w:tblInd w:w="-95" w:type="dxa"/>
          <w:tblLayout w:type="fixed"/>
          <w:tblLook w:val="06A0"/>
        </w:tblPrEx>
        <w:trPr>
          <w:trHeight w:val="300"/>
        </w:trPr>
        <w:tc>
          <w:tcPr>
            <w:tcW w:w="1908" w:type="dxa"/>
            <w:shd w:val="clear" w:color="auto" w:fill="F2F2F2" w:themeFill="background1" w:themeFillShade="F2"/>
            <w:vAlign w:val="center"/>
          </w:tcPr>
          <w:p w:rsidR="00462A1B" w:rsidRPr="00462A1B" w:rsidP="00462A1B" w14:paraId="42C644DD" w14:textId="77777777">
            <w:pPr>
              <w:jc w:val="center"/>
              <w:rPr>
                <w:rFonts w:ascii="Times New Roman" w:eastAsia="Calibri" w:hAnsi="Times New Roman"/>
                <w:b/>
                <w:bCs/>
                <w:sz w:val="20"/>
              </w:rPr>
            </w:pPr>
            <w:r w:rsidRPr="00462A1B">
              <w:rPr>
                <w:rFonts w:ascii="Times New Roman" w:eastAsia="Calibri" w:hAnsi="Times New Roman"/>
                <w:b/>
                <w:bCs/>
                <w:sz w:val="20"/>
              </w:rPr>
              <w:t>State</w:t>
            </w:r>
          </w:p>
        </w:tc>
        <w:tc>
          <w:tcPr>
            <w:tcW w:w="1908" w:type="dxa"/>
            <w:shd w:val="clear" w:color="auto" w:fill="F2F2F2" w:themeFill="background1" w:themeFillShade="F2"/>
            <w:vAlign w:val="center"/>
          </w:tcPr>
          <w:p w:rsidR="00462A1B" w:rsidRPr="00462A1B" w:rsidP="00462A1B" w14:paraId="4B4C9E30" w14:textId="77777777">
            <w:pPr>
              <w:jc w:val="center"/>
              <w:rPr>
                <w:rFonts w:ascii="Times New Roman" w:eastAsia="Calibri" w:hAnsi="Times New Roman"/>
                <w:b/>
                <w:bCs/>
                <w:sz w:val="20"/>
              </w:rPr>
            </w:pPr>
            <w:r w:rsidRPr="00462A1B">
              <w:rPr>
                <w:rFonts w:ascii="Times New Roman" w:eastAsia="Calibri" w:hAnsi="Times New Roman"/>
                <w:b/>
                <w:bCs/>
                <w:sz w:val="20"/>
              </w:rPr>
              <w:t>Total Student Population*</w:t>
            </w:r>
          </w:p>
        </w:tc>
        <w:tc>
          <w:tcPr>
            <w:tcW w:w="1908" w:type="dxa"/>
            <w:shd w:val="clear" w:color="auto" w:fill="F2F2F2" w:themeFill="background1" w:themeFillShade="F2"/>
            <w:vAlign w:val="center"/>
          </w:tcPr>
          <w:p w:rsidR="00462A1B" w:rsidRPr="00462A1B" w:rsidP="00462A1B" w14:paraId="555D715A" w14:textId="77777777">
            <w:pPr>
              <w:jc w:val="center"/>
              <w:rPr>
                <w:rFonts w:ascii="Times New Roman" w:eastAsia="Calibri" w:hAnsi="Times New Roman"/>
                <w:b/>
                <w:bCs/>
                <w:sz w:val="20"/>
              </w:rPr>
            </w:pPr>
            <w:r w:rsidRPr="00462A1B">
              <w:rPr>
                <w:rFonts w:ascii="Times New Roman" w:eastAsia="Calibri" w:hAnsi="Times New Roman"/>
                <w:b/>
                <w:bCs/>
                <w:sz w:val="20"/>
              </w:rPr>
              <w:t>Percentage of English Learners*</w:t>
            </w:r>
          </w:p>
        </w:tc>
        <w:tc>
          <w:tcPr>
            <w:tcW w:w="1908" w:type="dxa"/>
            <w:shd w:val="clear" w:color="auto" w:fill="F2F2F2" w:themeFill="background1" w:themeFillShade="F2"/>
            <w:vAlign w:val="center"/>
          </w:tcPr>
          <w:p w:rsidR="00462A1B" w:rsidRPr="00462A1B" w:rsidP="00462A1B" w14:paraId="7CD26255" w14:textId="77777777">
            <w:pPr>
              <w:spacing w:line="259" w:lineRule="auto"/>
              <w:jc w:val="center"/>
              <w:rPr>
                <w:rFonts w:ascii="Times New Roman" w:eastAsia="Calibri" w:hAnsi="Times New Roman"/>
                <w:b/>
                <w:bCs/>
                <w:sz w:val="20"/>
              </w:rPr>
            </w:pPr>
            <w:r w:rsidRPr="00462A1B">
              <w:rPr>
                <w:rFonts w:ascii="Times New Roman" w:eastAsia="Calibri" w:hAnsi="Times New Roman"/>
                <w:b/>
                <w:bCs/>
                <w:sz w:val="20"/>
              </w:rPr>
              <w:t>Percentage of Students Served by Special Education Programs*</w:t>
            </w:r>
          </w:p>
        </w:tc>
        <w:tc>
          <w:tcPr>
            <w:tcW w:w="1908" w:type="dxa"/>
            <w:shd w:val="clear" w:color="auto" w:fill="F2F2F2" w:themeFill="background1" w:themeFillShade="F2"/>
            <w:vAlign w:val="center"/>
          </w:tcPr>
          <w:p w:rsidR="00462A1B" w:rsidRPr="00462A1B" w:rsidP="00462A1B" w14:paraId="2E135283" w14:textId="77777777">
            <w:pPr>
              <w:jc w:val="center"/>
              <w:rPr>
                <w:rFonts w:ascii="Times New Roman" w:eastAsia="Calibri" w:hAnsi="Times New Roman"/>
                <w:b/>
                <w:bCs/>
                <w:sz w:val="20"/>
              </w:rPr>
            </w:pPr>
            <w:r w:rsidRPr="00462A1B">
              <w:rPr>
                <w:rFonts w:ascii="Times New Roman" w:eastAsia="Calibri" w:hAnsi="Times New Roman"/>
                <w:b/>
                <w:bCs/>
                <w:sz w:val="20"/>
              </w:rPr>
              <w:t>Geographic Size</w:t>
            </w:r>
            <w:r w:rsidRPr="00462A1B">
              <w:rPr>
                <w:rFonts w:ascii="Times New Roman" w:eastAsia="Calibri" w:hAnsi="Times New Roman"/>
                <w:b/>
                <w:bCs/>
                <w:sz w:val="20"/>
              </w:rPr>
              <w:br/>
              <w:t>(sq. mi.)**</w:t>
            </w:r>
          </w:p>
        </w:tc>
      </w:tr>
      <w:tr w14:paraId="14531922"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6537F1C5" w14:textId="77777777">
            <w:pPr>
              <w:jc w:val="center"/>
              <w:rPr>
                <w:rFonts w:ascii="Times New Roman" w:eastAsia="Calibri" w:hAnsi="Times New Roman"/>
                <w:sz w:val="20"/>
              </w:rPr>
            </w:pPr>
            <w:r w:rsidRPr="00462A1B">
              <w:rPr>
                <w:rFonts w:ascii="Times New Roman" w:eastAsia="Calibri" w:hAnsi="Times New Roman"/>
                <w:sz w:val="20"/>
              </w:rPr>
              <w:t>1</w:t>
            </w:r>
          </w:p>
        </w:tc>
        <w:tc>
          <w:tcPr>
            <w:tcW w:w="1908" w:type="dxa"/>
            <w:vAlign w:val="center"/>
          </w:tcPr>
          <w:p w:rsidR="00462A1B" w:rsidRPr="00462A1B" w:rsidP="00462A1B" w14:paraId="2E430E6D" w14:textId="77777777">
            <w:pPr>
              <w:jc w:val="right"/>
              <w:rPr>
                <w:rFonts w:ascii="Times New Roman" w:eastAsia="Calibri" w:hAnsi="Times New Roman"/>
                <w:sz w:val="20"/>
              </w:rPr>
            </w:pPr>
            <w:r w:rsidRPr="00462A1B">
              <w:rPr>
                <w:rFonts w:ascii="Times New Roman" w:eastAsia="Calibri" w:hAnsi="Times New Roman"/>
                <w:sz w:val="20"/>
              </w:rPr>
              <w:t>1,111,500</w:t>
            </w:r>
          </w:p>
        </w:tc>
        <w:tc>
          <w:tcPr>
            <w:tcW w:w="1908" w:type="dxa"/>
            <w:vAlign w:val="center"/>
          </w:tcPr>
          <w:p w:rsidR="00462A1B" w:rsidRPr="00462A1B" w:rsidP="00462A1B" w14:paraId="5D8D28BD" w14:textId="77777777">
            <w:pPr>
              <w:jc w:val="center"/>
              <w:rPr>
                <w:rFonts w:ascii="Times New Roman" w:eastAsia="Calibri" w:hAnsi="Times New Roman"/>
                <w:sz w:val="20"/>
              </w:rPr>
            </w:pPr>
            <w:r w:rsidRPr="00462A1B">
              <w:rPr>
                <w:rFonts w:ascii="Times New Roman" w:eastAsia="Calibri" w:hAnsi="Times New Roman"/>
                <w:sz w:val="20"/>
              </w:rPr>
              <w:t>7</w:t>
            </w:r>
          </w:p>
        </w:tc>
        <w:tc>
          <w:tcPr>
            <w:tcW w:w="1908" w:type="dxa"/>
            <w:vAlign w:val="center"/>
          </w:tcPr>
          <w:p w:rsidR="00462A1B" w:rsidRPr="00462A1B" w:rsidP="00462A1B" w14:paraId="0B60BCE5" w14:textId="77777777">
            <w:pPr>
              <w:jc w:val="center"/>
              <w:rPr>
                <w:rFonts w:ascii="Times New Roman" w:eastAsia="Calibri" w:hAnsi="Times New Roman"/>
                <w:sz w:val="20"/>
              </w:rPr>
            </w:pPr>
            <w:r w:rsidRPr="00462A1B">
              <w:rPr>
                <w:rFonts w:ascii="Times New Roman" w:eastAsia="Calibri" w:hAnsi="Times New Roman"/>
                <w:sz w:val="20"/>
              </w:rPr>
              <w:t>13</w:t>
            </w:r>
          </w:p>
        </w:tc>
        <w:tc>
          <w:tcPr>
            <w:tcW w:w="1908" w:type="dxa"/>
            <w:vAlign w:val="center"/>
          </w:tcPr>
          <w:p w:rsidR="00462A1B" w:rsidRPr="00462A1B" w:rsidP="00462A1B" w14:paraId="193B55B1" w14:textId="77777777">
            <w:pPr>
              <w:jc w:val="right"/>
              <w:rPr>
                <w:rFonts w:ascii="Times New Roman" w:eastAsia="Calibri" w:hAnsi="Times New Roman"/>
                <w:sz w:val="20"/>
              </w:rPr>
            </w:pPr>
            <w:r w:rsidRPr="00462A1B">
              <w:rPr>
                <w:rFonts w:ascii="Times New Roman" w:eastAsia="Calibri" w:hAnsi="Times New Roman"/>
                <w:sz w:val="20"/>
              </w:rPr>
              <w:t>113,990</w:t>
            </w:r>
          </w:p>
        </w:tc>
      </w:tr>
      <w:tr w14:paraId="174CD249"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52F7D8CF" w14:textId="77777777">
            <w:pPr>
              <w:jc w:val="center"/>
              <w:rPr>
                <w:rFonts w:ascii="Times New Roman" w:eastAsia="Calibri" w:hAnsi="Times New Roman"/>
                <w:sz w:val="20"/>
              </w:rPr>
            </w:pPr>
            <w:r w:rsidRPr="00462A1B">
              <w:rPr>
                <w:rFonts w:ascii="Times New Roman" w:eastAsia="Calibri" w:hAnsi="Times New Roman"/>
                <w:sz w:val="20"/>
              </w:rPr>
              <w:t>2</w:t>
            </w:r>
          </w:p>
        </w:tc>
        <w:tc>
          <w:tcPr>
            <w:tcW w:w="1908" w:type="dxa"/>
            <w:vAlign w:val="center"/>
          </w:tcPr>
          <w:p w:rsidR="00462A1B" w:rsidRPr="00462A1B" w:rsidP="00462A1B" w14:paraId="09456487" w14:textId="77777777">
            <w:pPr>
              <w:jc w:val="right"/>
              <w:rPr>
                <w:rFonts w:ascii="Times New Roman" w:eastAsia="Calibri" w:hAnsi="Times New Roman"/>
                <w:sz w:val="20"/>
              </w:rPr>
            </w:pPr>
            <w:r w:rsidRPr="00462A1B">
              <w:rPr>
                <w:rFonts w:ascii="Times New Roman" w:eastAsia="Calibri" w:hAnsi="Times New Roman"/>
                <w:sz w:val="20"/>
              </w:rPr>
              <w:t>89,883</w:t>
            </w:r>
          </w:p>
        </w:tc>
        <w:tc>
          <w:tcPr>
            <w:tcW w:w="1908" w:type="dxa"/>
            <w:vAlign w:val="center"/>
          </w:tcPr>
          <w:p w:rsidR="00462A1B" w:rsidRPr="00462A1B" w:rsidP="00462A1B" w14:paraId="462E5507" w14:textId="77777777">
            <w:pPr>
              <w:jc w:val="center"/>
              <w:rPr>
                <w:rFonts w:ascii="Times New Roman" w:eastAsia="Calibri" w:hAnsi="Times New Roman"/>
                <w:sz w:val="20"/>
              </w:rPr>
            </w:pPr>
            <w:r w:rsidRPr="00462A1B">
              <w:rPr>
                <w:rFonts w:ascii="Times New Roman" w:eastAsia="Calibri" w:hAnsi="Times New Roman"/>
                <w:sz w:val="20"/>
              </w:rPr>
              <w:t>12</w:t>
            </w:r>
          </w:p>
        </w:tc>
        <w:tc>
          <w:tcPr>
            <w:tcW w:w="1908" w:type="dxa"/>
            <w:vAlign w:val="center"/>
          </w:tcPr>
          <w:p w:rsidR="00462A1B" w:rsidRPr="00462A1B" w:rsidP="00462A1B" w14:paraId="7A80BA0B" w14:textId="77777777">
            <w:pPr>
              <w:jc w:val="center"/>
              <w:rPr>
                <w:rFonts w:ascii="Times New Roman" w:eastAsia="Calibri" w:hAnsi="Times New Roman"/>
                <w:sz w:val="20"/>
              </w:rPr>
            </w:pPr>
            <w:r w:rsidRPr="00462A1B">
              <w:rPr>
                <w:rFonts w:ascii="Times New Roman" w:eastAsia="Calibri" w:hAnsi="Times New Roman"/>
                <w:sz w:val="20"/>
              </w:rPr>
              <w:t>16</w:t>
            </w:r>
          </w:p>
        </w:tc>
        <w:tc>
          <w:tcPr>
            <w:tcW w:w="1908" w:type="dxa"/>
            <w:vAlign w:val="center"/>
          </w:tcPr>
          <w:p w:rsidR="00462A1B" w:rsidRPr="00462A1B" w:rsidP="00462A1B" w14:paraId="376E234B" w14:textId="77777777">
            <w:pPr>
              <w:jc w:val="right"/>
              <w:rPr>
                <w:rFonts w:ascii="Times New Roman" w:eastAsia="Calibri" w:hAnsi="Times New Roman"/>
                <w:sz w:val="20"/>
              </w:rPr>
            </w:pPr>
            <w:r w:rsidRPr="00462A1B">
              <w:rPr>
                <w:rFonts w:ascii="Times New Roman" w:eastAsia="Calibri" w:hAnsi="Times New Roman"/>
                <w:sz w:val="20"/>
              </w:rPr>
              <w:t>68</w:t>
            </w:r>
          </w:p>
        </w:tc>
      </w:tr>
      <w:tr w14:paraId="6309613F"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792BEC6B" w14:textId="77777777">
            <w:pPr>
              <w:jc w:val="center"/>
              <w:rPr>
                <w:rFonts w:ascii="Times New Roman" w:eastAsia="Calibri" w:hAnsi="Times New Roman"/>
                <w:sz w:val="20"/>
              </w:rPr>
            </w:pPr>
            <w:r w:rsidRPr="00462A1B">
              <w:rPr>
                <w:rFonts w:ascii="Times New Roman" w:eastAsia="Calibri" w:hAnsi="Times New Roman"/>
                <w:sz w:val="20"/>
              </w:rPr>
              <w:t>3</w:t>
            </w:r>
          </w:p>
        </w:tc>
        <w:tc>
          <w:tcPr>
            <w:tcW w:w="1908" w:type="dxa"/>
            <w:vAlign w:val="center"/>
          </w:tcPr>
          <w:p w:rsidR="00462A1B" w:rsidRPr="00462A1B" w:rsidP="00462A1B" w14:paraId="2519C407" w14:textId="77777777">
            <w:pPr>
              <w:jc w:val="right"/>
              <w:rPr>
                <w:rFonts w:ascii="Times New Roman" w:eastAsia="Calibri" w:hAnsi="Times New Roman"/>
                <w:sz w:val="20"/>
              </w:rPr>
            </w:pPr>
            <w:r w:rsidRPr="00462A1B">
              <w:rPr>
                <w:rFonts w:ascii="Times New Roman" w:eastAsia="Calibri" w:hAnsi="Times New Roman"/>
                <w:sz w:val="20"/>
              </w:rPr>
              <w:t>693,150</w:t>
            </w:r>
          </w:p>
        </w:tc>
        <w:tc>
          <w:tcPr>
            <w:tcW w:w="1908" w:type="dxa"/>
            <w:vAlign w:val="center"/>
          </w:tcPr>
          <w:p w:rsidR="00462A1B" w:rsidRPr="00462A1B" w:rsidP="00462A1B" w14:paraId="6881FD75" w14:textId="77777777">
            <w:pPr>
              <w:jc w:val="center"/>
              <w:rPr>
                <w:rFonts w:ascii="Times New Roman" w:eastAsia="Calibri" w:hAnsi="Times New Roman"/>
                <w:sz w:val="20"/>
              </w:rPr>
            </w:pPr>
            <w:r w:rsidRPr="00462A1B">
              <w:rPr>
                <w:rFonts w:ascii="Times New Roman" w:eastAsia="Calibri" w:hAnsi="Times New Roman"/>
                <w:sz w:val="20"/>
              </w:rPr>
              <w:t>4</w:t>
            </w:r>
          </w:p>
        </w:tc>
        <w:tc>
          <w:tcPr>
            <w:tcW w:w="1908" w:type="dxa"/>
            <w:vAlign w:val="center"/>
          </w:tcPr>
          <w:p w:rsidR="00462A1B" w:rsidRPr="00462A1B" w:rsidP="00462A1B" w14:paraId="5DE56531" w14:textId="77777777">
            <w:pPr>
              <w:jc w:val="center"/>
              <w:rPr>
                <w:rFonts w:ascii="Times New Roman" w:eastAsia="Calibri" w:hAnsi="Times New Roman"/>
                <w:sz w:val="20"/>
              </w:rPr>
            </w:pPr>
            <w:r w:rsidRPr="00462A1B">
              <w:rPr>
                <w:rFonts w:ascii="Times New Roman" w:eastAsia="Calibri" w:hAnsi="Times New Roman"/>
                <w:sz w:val="20"/>
              </w:rPr>
              <w:t>13</w:t>
            </w:r>
          </w:p>
        </w:tc>
        <w:tc>
          <w:tcPr>
            <w:tcW w:w="1908" w:type="dxa"/>
            <w:vAlign w:val="center"/>
          </w:tcPr>
          <w:p w:rsidR="00462A1B" w:rsidRPr="00462A1B" w:rsidP="00462A1B" w14:paraId="4467F406" w14:textId="77777777">
            <w:pPr>
              <w:jc w:val="right"/>
              <w:rPr>
                <w:rFonts w:ascii="Times New Roman" w:eastAsia="Calibri" w:hAnsi="Times New Roman"/>
                <w:sz w:val="20"/>
              </w:rPr>
            </w:pPr>
            <w:r w:rsidRPr="00462A1B">
              <w:rPr>
                <w:rFonts w:ascii="Times New Roman" w:eastAsia="Calibri" w:hAnsi="Times New Roman"/>
                <w:sz w:val="20"/>
              </w:rPr>
              <w:t>52,378</w:t>
            </w:r>
          </w:p>
        </w:tc>
      </w:tr>
      <w:tr w14:paraId="219B1705"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79E48A45" w14:textId="77777777">
            <w:pPr>
              <w:jc w:val="center"/>
              <w:rPr>
                <w:rFonts w:ascii="Times New Roman" w:eastAsia="Calibri" w:hAnsi="Times New Roman"/>
                <w:sz w:val="20"/>
              </w:rPr>
            </w:pPr>
            <w:r w:rsidRPr="00462A1B">
              <w:rPr>
                <w:rFonts w:ascii="Times New Roman" w:eastAsia="Calibri" w:hAnsi="Times New Roman"/>
                <w:sz w:val="20"/>
              </w:rPr>
              <w:t>4</w:t>
            </w:r>
          </w:p>
        </w:tc>
        <w:tc>
          <w:tcPr>
            <w:tcW w:w="1908" w:type="dxa"/>
            <w:vAlign w:val="center"/>
          </w:tcPr>
          <w:p w:rsidR="00462A1B" w:rsidRPr="00462A1B" w:rsidP="00462A1B" w14:paraId="4F9977D8" w14:textId="77777777">
            <w:pPr>
              <w:jc w:val="right"/>
              <w:rPr>
                <w:rFonts w:ascii="Times New Roman" w:eastAsia="Calibri" w:hAnsi="Times New Roman"/>
                <w:sz w:val="20"/>
              </w:rPr>
            </w:pPr>
            <w:r w:rsidRPr="00462A1B">
              <w:rPr>
                <w:rFonts w:ascii="Times New Roman" w:eastAsia="Calibri" w:hAnsi="Times New Roman"/>
                <w:sz w:val="20"/>
              </w:rPr>
              <w:t>872,083</w:t>
            </w:r>
          </w:p>
        </w:tc>
        <w:tc>
          <w:tcPr>
            <w:tcW w:w="1908" w:type="dxa"/>
            <w:vAlign w:val="center"/>
          </w:tcPr>
          <w:p w:rsidR="00462A1B" w:rsidRPr="00462A1B" w:rsidP="00462A1B" w14:paraId="4D978032" w14:textId="77777777">
            <w:pPr>
              <w:jc w:val="center"/>
              <w:rPr>
                <w:rFonts w:ascii="Times New Roman" w:eastAsia="Calibri" w:hAnsi="Times New Roman"/>
                <w:sz w:val="20"/>
              </w:rPr>
            </w:pPr>
            <w:r w:rsidRPr="00462A1B">
              <w:rPr>
                <w:rFonts w:ascii="Times New Roman" w:eastAsia="Calibri" w:hAnsi="Times New Roman"/>
                <w:sz w:val="20"/>
              </w:rPr>
              <w:t>9</w:t>
            </w:r>
          </w:p>
        </w:tc>
        <w:tc>
          <w:tcPr>
            <w:tcW w:w="1908" w:type="dxa"/>
            <w:vAlign w:val="center"/>
          </w:tcPr>
          <w:p w:rsidR="00462A1B" w:rsidRPr="00462A1B" w:rsidP="00462A1B" w14:paraId="481DD920" w14:textId="77777777">
            <w:pPr>
              <w:jc w:val="center"/>
              <w:rPr>
                <w:rFonts w:ascii="Times New Roman" w:eastAsia="Calibri" w:hAnsi="Times New Roman"/>
                <w:sz w:val="20"/>
              </w:rPr>
            </w:pPr>
            <w:r w:rsidRPr="00462A1B">
              <w:rPr>
                <w:rFonts w:ascii="Times New Roman" w:eastAsia="Calibri" w:hAnsi="Times New Roman"/>
                <w:sz w:val="20"/>
              </w:rPr>
              <w:t>17</w:t>
            </w:r>
          </w:p>
        </w:tc>
        <w:tc>
          <w:tcPr>
            <w:tcW w:w="1908" w:type="dxa"/>
            <w:vAlign w:val="center"/>
          </w:tcPr>
          <w:p w:rsidR="00462A1B" w:rsidRPr="00462A1B" w:rsidP="00462A1B" w14:paraId="3C1F8E19" w14:textId="77777777">
            <w:pPr>
              <w:jc w:val="right"/>
              <w:rPr>
                <w:rFonts w:ascii="Times New Roman" w:eastAsia="Calibri" w:hAnsi="Times New Roman"/>
                <w:sz w:val="20"/>
              </w:rPr>
            </w:pPr>
            <w:r w:rsidRPr="00462A1B">
              <w:rPr>
                <w:rFonts w:ascii="Times New Roman" w:eastAsia="Calibri" w:hAnsi="Times New Roman"/>
                <w:sz w:val="20"/>
              </w:rPr>
              <w:t>86,936</w:t>
            </w:r>
          </w:p>
        </w:tc>
      </w:tr>
      <w:tr w14:paraId="0A2155EA"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55CEEEA9" w14:textId="77777777">
            <w:pPr>
              <w:jc w:val="center"/>
              <w:rPr>
                <w:rFonts w:ascii="Times New Roman" w:eastAsia="Calibri" w:hAnsi="Times New Roman"/>
                <w:sz w:val="20"/>
              </w:rPr>
            </w:pPr>
            <w:r w:rsidRPr="00462A1B">
              <w:rPr>
                <w:rFonts w:ascii="Times New Roman" w:eastAsia="Calibri" w:hAnsi="Times New Roman"/>
                <w:sz w:val="20"/>
              </w:rPr>
              <w:t>5</w:t>
            </w:r>
          </w:p>
        </w:tc>
        <w:tc>
          <w:tcPr>
            <w:tcW w:w="1908" w:type="dxa"/>
            <w:vAlign w:val="center"/>
          </w:tcPr>
          <w:p w:rsidR="00462A1B" w:rsidRPr="00462A1B" w:rsidP="00462A1B" w14:paraId="7EA6AD0C" w14:textId="77777777">
            <w:pPr>
              <w:jc w:val="right"/>
              <w:rPr>
                <w:rFonts w:ascii="Times New Roman" w:eastAsia="Calibri" w:hAnsi="Times New Roman"/>
                <w:sz w:val="20"/>
              </w:rPr>
            </w:pPr>
            <w:r w:rsidRPr="00462A1B">
              <w:rPr>
                <w:rFonts w:ascii="Times New Roman" w:eastAsia="Calibri" w:hAnsi="Times New Roman"/>
                <w:sz w:val="20"/>
              </w:rPr>
              <w:t>146,252</w:t>
            </w:r>
          </w:p>
        </w:tc>
        <w:tc>
          <w:tcPr>
            <w:tcW w:w="1908" w:type="dxa"/>
            <w:vAlign w:val="center"/>
          </w:tcPr>
          <w:p w:rsidR="00462A1B" w:rsidRPr="00462A1B" w:rsidP="00462A1B" w14:paraId="5B499587" w14:textId="77777777">
            <w:pPr>
              <w:jc w:val="center"/>
              <w:rPr>
                <w:rFonts w:ascii="Times New Roman" w:eastAsia="Calibri" w:hAnsi="Times New Roman"/>
                <w:sz w:val="20"/>
              </w:rPr>
            </w:pPr>
            <w:r w:rsidRPr="00462A1B">
              <w:rPr>
                <w:rFonts w:ascii="Times New Roman" w:eastAsia="Calibri" w:hAnsi="Times New Roman"/>
                <w:sz w:val="20"/>
              </w:rPr>
              <w:t>2</w:t>
            </w:r>
          </w:p>
        </w:tc>
        <w:tc>
          <w:tcPr>
            <w:tcW w:w="1908" w:type="dxa"/>
            <w:vAlign w:val="center"/>
          </w:tcPr>
          <w:p w:rsidR="00462A1B" w:rsidRPr="00462A1B" w:rsidP="00462A1B" w14:paraId="30FA32BC" w14:textId="77777777">
            <w:pPr>
              <w:jc w:val="center"/>
              <w:rPr>
                <w:rFonts w:ascii="Times New Roman" w:eastAsia="Calibri" w:hAnsi="Times New Roman"/>
                <w:sz w:val="20"/>
              </w:rPr>
            </w:pPr>
            <w:r w:rsidRPr="00462A1B">
              <w:rPr>
                <w:rFonts w:ascii="Times New Roman" w:eastAsia="Calibri" w:hAnsi="Times New Roman"/>
                <w:sz w:val="20"/>
              </w:rPr>
              <w:t>13</w:t>
            </w:r>
          </w:p>
        </w:tc>
        <w:tc>
          <w:tcPr>
            <w:tcW w:w="1908" w:type="dxa"/>
            <w:vAlign w:val="center"/>
          </w:tcPr>
          <w:p w:rsidR="00462A1B" w:rsidRPr="00462A1B" w:rsidP="00462A1B" w14:paraId="09793635" w14:textId="77777777">
            <w:pPr>
              <w:jc w:val="right"/>
              <w:rPr>
                <w:rFonts w:ascii="Times New Roman" w:eastAsia="Calibri" w:hAnsi="Times New Roman"/>
                <w:sz w:val="20"/>
              </w:rPr>
            </w:pPr>
            <w:r w:rsidRPr="00462A1B">
              <w:rPr>
                <w:rFonts w:ascii="Times New Roman" w:eastAsia="Calibri" w:hAnsi="Times New Roman"/>
                <w:sz w:val="20"/>
              </w:rPr>
              <w:t>147,040</w:t>
            </w:r>
          </w:p>
        </w:tc>
      </w:tr>
      <w:tr w14:paraId="7331A40C"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3BE9B080" w14:textId="77777777">
            <w:pPr>
              <w:jc w:val="center"/>
              <w:rPr>
                <w:rFonts w:ascii="Times New Roman" w:eastAsia="Calibri" w:hAnsi="Times New Roman"/>
                <w:sz w:val="20"/>
              </w:rPr>
            </w:pPr>
            <w:r w:rsidRPr="00462A1B">
              <w:rPr>
                <w:rFonts w:ascii="Times New Roman" w:eastAsia="Calibri" w:hAnsi="Times New Roman"/>
                <w:sz w:val="20"/>
              </w:rPr>
              <w:t>6</w:t>
            </w:r>
          </w:p>
        </w:tc>
        <w:tc>
          <w:tcPr>
            <w:tcW w:w="1908" w:type="dxa"/>
            <w:vAlign w:val="center"/>
          </w:tcPr>
          <w:p w:rsidR="00462A1B" w:rsidRPr="00462A1B" w:rsidP="00462A1B" w14:paraId="0F24E4B6" w14:textId="77777777">
            <w:pPr>
              <w:jc w:val="right"/>
              <w:rPr>
                <w:rFonts w:ascii="Times New Roman" w:eastAsia="Calibri" w:hAnsi="Times New Roman"/>
                <w:sz w:val="20"/>
              </w:rPr>
            </w:pPr>
            <w:r w:rsidRPr="00462A1B">
              <w:rPr>
                <w:rFonts w:ascii="Times New Roman" w:eastAsia="Calibri" w:hAnsi="Times New Roman"/>
                <w:sz w:val="20"/>
              </w:rPr>
              <w:t>1,645,412</w:t>
            </w:r>
          </w:p>
        </w:tc>
        <w:tc>
          <w:tcPr>
            <w:tcW w:w="1908" w:type="dxa"/>
            <w:vAlign w:val="center"/>
          </w:tcPr>
          <w:p w:rsidR="00462A1B" w:rsidRPr="00462A1B" w:rsidP="00462A1B" w14:paraId="1566D52A" w14:textId="77777777">
            <w:pPr>
              <w:jc w:val="center"/>
              <w:rPr>
                <w:rFonts w:ascii="Times New Roman" w:eastAsia="Calibri" w:hAnsi="Times New Roman"/>
                <w:sz w:val="20"/>
              </w:rPr>
            </w:pPr>
            <w:r w:rsidRPr="00462A1B">
              <w:rPr>
                <w:rFonts w:ascii="Times New Roman" w:eastAsia="Calibri" w:hAnsi="Times New Roman"/>
                <w:sz w:val="20"/>
              </w:rPr>
              <w:t>4</w:t>
            </w:r>
          </w:p>
        </w:tc>
        <w:tc>
          <w:tcPr>
            <w:tcW w:w="1908" w:type="dxa"/>
            <w:vAlign w:val="center"/>
          </w:tcPr>
          <w:p w:rsidR="00462A1B" w:rsidRPr="00462A1B" w:rsidP="00462A1B" w14:paraId="250C64D5" w14:textId="77777777">
            <w:pPr>
              <w:jc w:val="center"/>
              <w:rPr>
                <w:rFonts w:ascii="Times New Roman" w:eastAsia="Calibri" w:hAnsi="Times New Roman"/>
                <w:sz w:val="20"/>
              </w:rPr>
            </w:pPr>
            <w:r w:rsidRPr="00462A1B">
              <w:rPr>
                <w:rFonts w:ascii="Times New Roman" w:eastAsia="Calibri" w:hAnsi="Times New Roman"/>
                <w:sz w:val="20"/>
              </w:rPr>
              <w:t>16</w:t>
            </w:r>
          </w:p>
        </w:tc>
        <w:tc>
          <w:tcPr>
            <w:tcW w:w="1908" w:type="dxa"/>
            <w:vAlign w:val="center"/>
          </w:tcPr>
          <w:p w:rsidR="00462A1B" w:rsidRPr="00462A1B" w:rsidP="00462A1B" w14:paraId="6784F82C" w14:textId="77777777">
            <w:pPr>
              <w:jc w:val="right"/>
              <w:rPr>
                <w:rFonts w:ascii="Times New Roman" w:eastAsia="Calibri" w:hAnsi="Times New Roman"/>
                <w:sz w:val="20"/>
              </w:rPr>
            </w:pPr>
            <w:r w:rsidRPr="00462A1B">
              <w:rPr>
                <w:rFonts w:ascii="Times New Roman" w:eastAsia="Calibri" w:hAnsi="Times New Roman"/>
                <w:sz w:val="20"/>
              </w:rPr>
              <w:t>44,826</w:t>
            </w:r>
          </w:p>
        </w:tc>
      </w:tr>
      <w:tr w14:paraId="30A2A3EA"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526F480F" w14:textId="77777777">
            <w:pPr>
              <w:jc w:val="center"/>
              <w:rPr>
                <w:rFonts w:ascii="Times New Roman" w:eastAsia="Calibri" w:hAnsi="Times New Roman"/>
                <w:sz w:val="20"/>
              </w:rPr>
            </w:pPr>
            <w:r w:rsidRPr="00462A1B">
              <w:rPr>
                <w:rFonts w:ascii="Times New Roman" w:eastAsia="Calibri" w:hAnsi="Times New Roman"/>
                <w:sz w:val="20"/>
              </w:rPr>
              <w:t>7</w:t>
            </w:r>
          </w:p>
        </w:tc>
        <w:tc>
          <w:tcPr>
            <w:tcW w:w="1908" w:type="dxa"/>
            <w:vAlign w:val="center"/>
          </w:tcPr>
          <w:p w:rsidR="00462A1B" w:rsidRPr="00462A1B" w:rsidP="00462A1B" w14:paraId="122C5047" w14:textId="77777777">
            <w:pPr>
              <w:jc w:val="right"/>
              <w:rPr>
                <w:rFonts w:ascii="Times New Roman" w:eastAsia="Calibri" w:hAnsi="Times New Roman"/>
                <w:sz w:val="20"/>
              </w:rPr>
            </w:pPr>
            <w:r w:rsidRPr="00462A1B">
              <w:rPr>
                <w:rFonts w:ascii="Times New Roman" w:eastAsia="Calibri" w:hAnsi="Times New Roman"/>
                <w:sz w:val="20"/>
              </w:rPr>
              <w:t>139,184</w:t>
            </w:r>
          </w:p>
        </w:tc>
        <w:tc>
          <w:tcPr>
            <w:tcW w:w="1908" w:type="dxa"/>
            <w:vAlign w:val="center"/>
          </w:tcPr>
          <w:p w:rsidR="00462A1B" w:rsidRPr="00462A1B" w:rsidP="00462A1B" w14:paraId="49106BB0" w14:textId="77777777">
            <w:pPr>
              <w:jc w:val="center"/>
              <w:rPr>
                <w:rFonts w:ascii="Times New Roman" w:eastAsia="Calibri" w:hAnsi="Times New Roman"/>
                <w:sz w:val="20"/>
              </w:rPr>
            </w:pPr>
            <w:r w:rsidRPr="00462A1B">
              <w:rPr>
                <w:rFonts w:ascii="Times New Roman" w:eastAsia="Calibri" w:hAnsi="Times New Roman"/>
                <w:sz w:val="20"/>
              </w:rPr>
              <w:t>12</w:t>
            </w:r>
          </w:p>
        </w:tc>
        <w:tc>
          <w:tcPr>
            <w:tcW w:w="1908" w:type="dxa"/>
            <w:vAlign w:val="center"/>
          </w:tcPr>
          <w:p w:rsidR="00462A1B" w:rsidRPr="00462A1B" w:rsidP="00462A1B" w14:paraId="16002C1C" w14:textId="77777777">
            <w:pPr>
              <w:jc w:val="center"/>
              <w:rPr>
                <w:rFonts w:ascii="Times New Roman" w:eastAsia="Calibri" w:hAnsi="Times New Roman"/>
                <w:sz w:val="20"/>
              </w:rPr>
            </w:pPr>
            <w:r w:rsidRPr="00462A1B">
              <w:rPr>
                <w:rFonts w:ascii="Times New Roman" w:eastAsia="Calibri" w:hAnsi="Times New Roman"/>
                <w:sz w:val="20"/>
              </w:rPr>
              <w:t>17</w:t>
            </w:r>
          </w:p>
        </w:tc>
        <w:tc>
          <w:tcPr>
            <w:tcW w:w="1908" w:type="dxa"/>
            <w:vAlign w:val="center"/>
          </w:tcPr>
          <w:p w:rsidR="00462A1B" w:rsidRPr="00462A1B" w:rsidP="00462A1B" w14:paraId="1FA8FA9A" w14:textId="77777777">
            <w:pPr>
              <w:jc w:val="right"/>
              <w:rPr>
                <w:rFonts w:ascii="Times New Roman" w:eastAsia="Calibri" w:hAnsi="Times New Roman"/>
                <w:sz w:val="20"/>
              </w:rPr>
            </w:pPr>
            <w:r w:rsidRPr="00462A1B">
              <w:rPr>
                <w:rFonts w:ascii="Times New Roman" w:eastAsia="Calibri" w:hAnsi="Times New Roman"/>
                <w:sz w:val="20"/>
              </w:rPr>
              <w:t>1,545</w:t>
            </w:r>
          </w:p>
        </w:tc>
      </w:tr>
      <w:tr w14:paraId="1CD0D96B" w14:textId="77777777" w:rsidTr="00015B67">
        <w:tblPrEx>
          <w:tblW w:w="9540" w:type="dxa"/>
          <w:tblInd w:w="-95" w:type="dxa"/>
          <w:tblLayout w:type="fixed"/>
          <w:tblLook w:val="06A0"/>
        </w:tblPrEx>
        <w:trPr>
          <w:trHeight w:val="300"/>
        </w:trPr>
        <w:tc>
          <w:tcPr>
            <w:tcW w:w="1908" w:type="dxa"/>
            <w:vAlign w:val="center"/>
          </w:tcPr>
          <w:p w:rsidR="00462A1B" w:rsidRPr="00462A1B" w:rsidP="00462A1B" w14:paraId="6A7703CC" w14:textId="77777777">
            <w:pPr>
              <w:jc w:val="center"/>
              <w:rPr>
                <w:rFonts w:ascii="Times New Roman" w:eastAsia="Calibri" w:hAnsi="Times New Roman"/>
                <w:sz w:val="20"/>
              </w:rPr>
            </w:pPr>
            <w:r w:rsidRPr="00462A1B">
              <w:rPr>
                <w:rFonts w:ascii="Times New Roman" w:eastAsia="Calibri" w:hAnsi="Times New Roman"/>
                <w:sz w:val="20"/>
              </w:rPr>
              <w:t>8</w:t>
            </w:r>
          </w:p>
        </w:tc>
        <w:tc>
          <w:tcPr>
            <w:tcW w:w="1908" w:type="dxa"/>
            <w:vAlign w:val="center"/>
          </w:tcPr>
          <w:p w:rsidR="00462A1B" w:rsidRPr="00462A1B" w:rsidP="00462A1B" w14:paraId="72D9A75C" w14:textId="77777777">
            <w:pPr>
              <w:jc w:val="right"/>
              <w:rPr>
                <w:rFonts w:ascii="Times New Roman" w:eastAsia="Calibri" w:hAnsi="Times New Roman"/>
                <w:sz w:val="20"/>
              </w:rPr>
            </w:pPr>
            <w:r w:rsidRPr="00462A1B">
              <w:rPr>
                <w:rFonts w:ascii="Times New Roman" w:eastAsia="Calibri" w:hAnsi="Times New Roman"/>
                <w:sz w:val="20"/>
              </w:rPr>
              <w:t>5,372,806</w:t>
            </w:r>
          </w:p>
        </w:tc>
        <w:tc>
          <w:tcPr>
            <w:tcW w:w="1908" w:type="dxa"/>
            <w:vAlign w:val="center"/>
          </w:tcPr>
          <w:p w:rsidR="00462A1B" w:rsidRPr="00462A1B" w:rsidP="00462A1B" w14:paraId="22F67719" w14:textId="77777777">
            <w:pPr>
              <w:jc w:val="center"/>
              <w:rPr>
                <w:rFonts w:ascii="Times New Roman" w:eastAsia="Calibri" w:hAnsi="Times New Roman"/>
                <w:sz w:val="20"/>
              </w:rPr>
            </w:pPr>
            <w:r w:rsidRPr="00462A1B">
              <w:rPr>
                <w:rFonts w:ascii="Times New Roman" w:eastAsia="Calibri" w:hAnsi="Times New Roman"/>
                <w:sz w:val="20"/>
              </w:rPr>
              <w:t>20</w:t>
            </w:r>
          </w:p>
        </w:tc>
        <w:tc>
          <w:tcPr>
            <w:tcW w:w="1908" w:type="dxa"/>
            <w:vAlign w:val="center"/>
          </w:tcPr>
          <w:p w:rsidR="00462A1B" w:rsidRPr="00462A1B" w:rsidP="00462A1B" w14:paraId="6443CB87" w14:textId="77777777">
            <w:pPr>
              <w:jc w:val="center"/>
              <w:rPr>
                <w:rFonts w:ascii="Times New Roman" w:eastAsia="Calibri" w:hAnsi="Times New Roman"/>
                <w:sz w:val="20"/>
              </w:rPr>
            </w:pPr>
            <w:r w:rsidRPr="00462A1B">
              <w:rPr>
                <w:rFonts w:ascii="Times New Roman" w:eastAsia="Calibri" w:hAnsi="Times New Roman"/>
                <w:sz w:val="20"/>
              </w:rPr>
              <w:t>12</w:t>
            </w:r>
          </w:p>
        </w:tc>
        <w:tc>
          <w:tcPr>
            <w:tcW w:w="1908" w:type="dxa"/>
            <w:vAlign w:val="center"/>
          </w:tcPr>
          <w:p w:rsidR="00462A1B" w:rsidRPr="00462A1B" w:rsidP="00462A1B" w14:paraId="17E3E4E5" w14:textId="77777777">
            <w:pPr>
              <w:jc w:val="right"/>
              <w:rPr>
                <w:rFonts w:ascii="Times New Roman" w:eastAsia="Calibri" w:hAnsi="Times New Roman"/>
                <w:sz w:val="20"/>
              </w:rPr>
            </w:pPr>
            <w:r w:rsidRPr="00462A1B">
              <w:rPr>
                <w:rFonts w:ascii="Times New Roman" w:eastAsia="Calibri" w:hAnsi="Times New Roman"/>
                <w:sz w:val="20"/>
              </w:rPr>
              <w:t>268,596</w:t>
            </w:r>
          </w:p>
        </w:tc>
      </w:tr>
    </w:tbl>
    <w:p w:rsidR="00462A1B" w:rsidRPr="00462A1B" w:rsidP="00462A1B" w14:paraId="1331A881" w14:textId="77777777">
      <w:pPr>
        <w:rPr>
          <w:rFonts w:ascii="Times New Roman" w:eastAsia="Calibri" w:hAnsi="Times New Roman"/>
          <w:sz w:val="20"/>
        </w:rPr>
      </w:pPr>
      <w:r w:rsidRPr="00462A1B">
        <w:rPr>
          <w:rFonts w:ascii="Times New Roman" w:eastAsia="Calibri" w:hAnsi="Times New Roman"/>
          <w:sz w:val="20"/>
        </w:rPr>
        <w:t xml:space="preserve">Source: </w:t>
      </w:r>
    </w:p>
    <w:p w:rsidR="00462A1B" w:rsidRPr="00462A1B" w:rsidP="00462A1B" w14:paraId="731A0D0A" w14:textId="77777777">
      <w:pPr>
        <w:rPr>
          <w:rFonts w:ascii="Times New Roman" w:eastAsia="Calibri" w:hAnsi="Times New Roman"/>
          <w:sz w:val="20"/>
        </w:rPr>
      </w:pPr>
      <w:r w:rsidRPr="00462A1B">
        <w:rPr>
          <w:rFonts w:ascii="Times New Roman" w:eastAsia="Calibri" w:hAnsi="Times New Roman"/>
          <w:sz w:val="20"/>
        </w:rPr>
        <w:t>*U.S. Department of Education, National Center for Education Statistics, Common Core Data (</w:t>
      </w:r>
      <w:hyperlink r:id="rId9" w:history="1">
        <w:r w:rsidRPr="00462A1B">
          <w:rPr>
            <w:rFonts w:ascii="Times New Roman" w:eastAsia="Calibri" w:hAnsi="Times New Roman"/>
            <w:color w:val="0000FF"/>
            <w:sz w:val="20"/>
            <w:u w:val="single"/>
          </w:rPr>
          <w:t>https://nces.ed.gov/ccd/</w:t>
        </w:r>
      </w:hyperlink>
      <w:r w:rsidRPr="00462A1B">
        <w:rPr>
          <w:rFonts w:ascii="Times New Roman" w:eastAsia="Calibri" w:hAnsi="Times New Roman"/>
          <w:sz w:val="20"/>
        </w:rPr>
        <w:t>)</w:t>
      </w:r>
    </w:p>
    <w:p w:rsidR="00462A1B" w:rsidRPr="00462A1B" w:rsidP="00462A1B" w14:paraId="497330F8" w14:textId="77777777">
      <w:pPr>
        <w:rPr>
          <w:rFonts w:ascii="Times New Roman" w:eastAsia="Calibri" w:hAnsi="Times New Roman"/>
          <w:sz w:val="20"/>
        </w:rPr>
      </w:pPr>
      <w:r w:rsidRPr="00462A1B">
        <w:rPr>
          <w:rFonts w:ascii="Times New Roman" w:eastAsia="Calibri" w:hAnsi="Times New Roman"/>
          <w:sz w:val="20"/>
        </w:rPr>
        <w:t>**U.S. Census Bureau (</w:t>
      </w:r>
      <w:hyperlink r:id="rId10" w:history="1">
        <w:r w:rsidRPr="00462A1B">
          <w:rPr>
            <w:rFonts w:ascii="Times New Roman" w:eastAsia="Calibri" w:hAnsi="Times New Roman"/>
            <w:color w:val="0000FF"/>
            <w:sz w:val="20"/>
            <w:u w:val="single"/>
          </w:rPr>
          <w:t>https://www.census.gov/geographies/reference-files/2010/geo/state-area.html</w:t>
        </w:r>
      </w:hyperlink>
      <w:r w:rsidRPr="00462A1B">
        <w:rPr>
          <w:rFonts w:ascii="Times New Roman" w:eastAsia="Calibri" w:hAnsi="Times New Roman"/>
          <w:sz w:val="20"/>
        </w:rPr>
        <w:t>)</w:t>
      </w:r>
    </w:p>
    <w:p w:rsidR="00E66550" w:rsidP="00462A1B" w14:paraId="58CE2552" w14:textId="77777777">
      <w:pPr>
        <w:tabs>
          <w:tab w:val="left" w:pos="-720"/>
        </w:tabs>
        <w:suppressAutoHyphens/>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462A1B" w:rsidP="00462A1B" w14:paraId="64064043" w14:textId="77777777">
      <w:pPr>
        <w:tabs>
          <w:tab w:val="left" w:pos="-720"/>
        </w:tabs>
        <w:suppressAutoHyphens/>
        <w:rPr>
          <w:rStyle w:val="a"/>
          <w:rFonts w:ascii="Times New Roman" w:hAnsi="Times New Roman"/>
          <w:b/>
          <w:szCs w:val="24"/>
        </w:rPr>
      </w:pPr>
    </w:p>
    <w:p w:rsidR="00920F63" w:rsidRPr="00ED153B" w:rsidP="00ED153B" w14:paraId="58CE2554" w14:textId="0F843CFB">
      <w:pPr>
        <w:spacing w:after="160"/>
        <w:rPr>
          <w:rFonts w:ascii="Times New Roman" w:hAnsi="Times New Roman"/>
          <w:color w:val="000000"/>
          <w:shd w:val="clear" w:color="auto" w:fill="FFFFFF"/>
        </w:rPr>
      </w:pPr>
      <w:r w:rsidRPr="00ED153B">
        <w:rPr>
          <w:rFonts w:ascii="Times New Roman" w:hAnsi="Times New Roman"/>
          <w:color w:val="000000"/>
          <w:shd w:val="clear" w:color="auto" w:fill="FFFFFF"/>
        </w:rPr>
        <w:t xml:space="preserve">There is no monetary compensation for participants. </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3A352E" w:rsidP="003A352E" w14:paraId="094B4859" w14:textId="77777777">
      <w:pPr>
        <w:tabs>
          <w:tab w:val="left" w:pos="-720"/>
        </w:tabs>
        <w:suppressAutoHyphens/>
        <w:rPr>
          <w:rFonts w:ascii="Times New Roman" w:hAnsi="Times New Roman"/>
          <w:b/>
          <w:szCs w:val="24"/>
        </w:rPr>
      </w:pPr>
    </w:p>
    <w:p w:rsidR="00920F63" w:rsidRPr="005374D8" w:rsidP="005374D8" w14:paraId="58CE2557" w14:textId="0B204984">
      <w:pPr>
        <w:spacing w:after="160"/>
        <w:rPr>
          <w:rFonts w:ascii="Times New Roman" w:hAnsi="Times New Roman"/>
          <w:color w:val="000000"/>
          <w:shd w:val="clear" w:color="auto" w:fill="FFFFFF"/>
        </w:rPr>
      </w:pPr>
      <w:r w:rsidRPr="005374D8">
        <w:rPr>
          <w:rFonts w:ascii="Times New Roman" w:hAnsi="Times New Roman"/>
          <w:color w:val="000000"/>
          <w:shd w:val="clear" w:color="auto" w:fill="FFFFFF"/>
        </w:rPr>
        <w:t>Confidentiality is not assured as part of this information collection.</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74D8" w:rsidP="005374D8" w14:paraId="50A6D66D" w14:textId="77777777">
      <w:pPr>
        <w:tabs>
          <w:tab w:val="left" w:pos="-720"/>
        </w:tabs>
        <w:suppressAutoHyphens/>
        <w:rPr>
          <w:rFonts w:ascii="Times New Roman" w:hAnsi="Times New Roman"/>
          <w:b/>
          <w:szCs w:val="24"/>
        </w:rPr>
      </w:pPr>
    </w:p>
    <w:p w:rsidR="005374D8" w:rsidRPr="001D4351" w:rsidP="001D4351" w14:paraId="1EBF9FDE" w14:textId="7AA9491B">
      <w:pPr>
        <w:keepNext/>
        <w:spacing w:after="160"/>
        <w:rPr>
          <w:rFonts w:ascii="Times New Roman" w:hAnsi="Times New Roman"/>
          <w:color w:val="000000"/>
          <w:shd w:val="clear" w:color="auto" w:fill="FFFFFF"/>
        </w:rPr>
      </w:pPr>
      <w:r w:rsidRPr="006D7464">
        <w:rPr>
          <w:rFonts w:ascii="Times New Roman" w:hAnsi="Times New Roman"/>
          <w:color w:val="000000"/>
          <w:shd w:val="clear" w:color="auto" w:fill="FFFFFF"/>
        </w:rPr>
        <w:t xml:space="preserve">No questions of a sensitive nature would be asked in the updated performance report metrics. </w:t>
      </w:r>
    </w:p>
    <w:p w:rsidR="00920F63" w:rsidP="00920F63" w14:paraId="58CE255A" w14:textId="77777777">
      <w:pPr>
        <w:tabs>
          <w:tab w:val="left" w:pos="-720"/>
        </w:tabs>
        <w:suppressAutoHyphens/>
        <w:rPr>
          <w:rFonts w:ascii="Times New Roman" w:hAnsi="Times New Roman"/>
          <w:b/>
          <w:szCs w:val="24"/>
        </w:rPr>
      </w:pP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E1E59" w:rsidP="00946126" w14:paraId="7B1485FB" w14:textId="77777777">
      <w:pPr>
        <w:pStyle w:val="ListParagraph"/>
        <w:tabs>
          <w:tab w:val="left" w:pos="-720"/>
        </w:tabs>
        <w:suppressAutoHyphens/>
        <w:contextualSpacing w:val="0"/>
        <w:rPr>
          <w:rFonts w:ascii="Times New Roman" w:hAnsi="Times New Roman"/>
          <w:b/>
          <w:sz w:val="26"/>
          <w:szCs w:val="26"/>
        </w:rPr>
      </w:pPr>
    </w:p>
    <w:p w:rsidR="005A45B1" w:rsidP="004E1E59" w14:paraId="5BB94DEC" w14:textId="6FF627EE">
      <w:pPr>
        <w:spacing w:after="160"/>
        <w:rPr>
          <w:rFonts w:ascii="Times New Roman" w:hAnsi="Times New Roman"/>
          <w:color w:val="000000"/>
          <w:shd w:val="clear" w:color="auto" w:fill="FFFFFF"/>
        </w:rPr>
      </w:pPr>
      <w:r w:rsidRPr="004E1E59">
        <w:rPr>
          <w:rFonts w:ascii="Times New Roman" w:hAnsi="Times New Roman"/>
          <w:color w:val="000000"/>
          <w:shd w:val="clear" w:color="auto" w:fill="FFFFFF"/>
        </w:rPr>
        <w:t xml:space="preserve">The number of participants in subsequent years is estimated to be the same, resulting in the same annual burden estimate for those years. Grantees use the KMS to input </w:t>
      </w:r>
      <w:r w:rsidR="009C3300">
        <w:rPr>
          <w:rFonts w:ascii="Times New Roman" w:hAnsi="Times New Roman"/>
          <w:color w:val="000000"/>
          <w:shd w:val="clear" w:color="auto" w:fill="FFFFFF"/>
        </w:rPr>
        <w:t xml:space="preserve">project-specific performance measures, </w:t>
      </w:r>
      <w:r w:rsidR="003264A3">
        <w:rPr>
          <w:rFonts w:ascii="Times New Roman" w:hAnsi="Times New Roman"/>
          <w:color w:val="000000"/>
          <w:shd w:val="clear" w:color="auto" w:fill="FFFFFF"/>
        </w:rPr>
        <w:t xml:space="preserve">targets, </w:t>
      </w:r>
      <w:r w:rsidRPr="004E1E59">
        <w:rPr>
          <w:rFonts w:ascii="Times New Roman" w:hAnsi="Times New Roman"/>
          <w:color w:val="000000"/>
          <w:shd w:val="clear" w:color="auto" w:fill="FFFFFF"/>
        </w:rPr>
        <w:t xml:space="preserve"> </w:t>
      </w:r>
      <w:r w:rsidR="003264A3">
        <w:rPr>
          <w:rFonts w:ascii="Times New Roman" w:hAnsi="Times New Roman"/>
          <w:color w:val="000000"/>
          <w:shd w:val="clear" w:color="auto" w:fill="FFFFFF"/>
        </w:rPr>
        <w:t xml:space="preserve">and </w:t>
      </w:r>
      <w:r w:rsidRPr="004E1E59">
        <w:rPr>
          <w:rFonts w:ascii="Times New Roman" w:hAnsi="Times New Roman"/>
          <w:color w:val="000000"/>
          <w:shd w:val="clear" w:color="auto" w:fill="FFFFFF"/>
        </w:rPr>
        <w:t xml:space="preserve">performance data. </w:t>
      </w:r>
      <w:r w:rsidR="003264A3">
        <w:rPr>
          <w:rFonts w:ascii="Times New Roman" w:hAnsi="Times New Roman"/>
          <w:color w:val="000000"/>
          <w:shd w:val="clear" w:color="auto" w:fill="FFFFFF"/>
        </w:rPr>
        <w:t>The PSPM Chart</w:t>
      </w:r>
      <w:r w:rsidR="00F04229">
        <w:rPr>
          <w:rFonts w:ascii="Times New Roman" w:hAnsi="Times New Roman"/>
          <w:color w:val="000000"/>
          <w:shd w:val="clear" w:color="auto" w:fill="FFFFFF"/>
        </w:rPr>
        <w:t xml:space="preserve"> in the KMS will be completed one-time by grantees at the start of the project.  </w:t>
      </w:r>
      <w:r w:rsidR="00872E29">
        <w:rPr>
          <w:rFonts w:ascii="Times New Roman" w:hAnsi="Times New Roman"/>
          <w:color w:val="000000"/>
          <w:shd w:val="clear" w:color="auto" w:fill="FFFFFF"/>
        </w:rPr>
        <w:t>A</w:t>
      </w:r>
      <w:r w:rsidRPr="004E1E59">
        <w:rPr>
          <w:rFonts w:ascii="Times New Roman" w:hAnsi="Times New Roman"/>
          <w:color w:val="000000"/>
          <w:shd w:val="clear" w:color="auto" w:fill="FFFFFF"/>
        </w:rPr>
        <w:t xml:space="preserve">nnual performance targets and </w:t>
      </w:r>
      <w:r w:rsidR="009F3901">
        <w:rPr>
          <w:rFonts w:ascii="Times New Roman" w:hAnsi="Times New Roman"/>
          <w:color w:val="000000"/>
          <w:shd w:val="clear" w:color="auto" w:fill="FFFFFF"/>
        </w:rPr>
        <w:t>performance reporting</w:t>
      </w:r>
      <w:r w:rsidRPr="004E1E59">
        <w:rPr>
          <w:rFonts w:ascii="Times New Roman" w:hAnsi="Times New Roman"/>
          <w:color w:val="000000"/>
          <w:shd w:val="clear" w:color="auto" w:fill="FFFFFF"/>
        </w:rPr>
        <w:t xml:space="preserve"> data are submitted annually. </w:t>
      </w:r>
    </w:p>
    <w:p w:rsidR="005A45B1" w:rsidP="004E1E59" w14:paraId="3EC557D6" w14:textId="5F849C1C">
      <w:pPr>
        <w:spacing w:after="160"/>
        <w:rPr>
          <w:rFonts w:ascii="Times New Roman" w:hAnsi="Times New Roman"/>
          <w:color w:val="000000"/>
          <w:shd w:val="clear" w:color="auto" w:fill="FFFFFF"/>
        </w:rPr>
      </w:pPr>
      <w:r>
        <w:rPr>
          <w:rFonts w:ascii="Times New Roman" w:hAnsi="Times New Roman"/>
          <w:color w:val="000000"/>
          <w:shd w:val="clear" w:color="auto" w:fill="FFFFFF"/>
        </w:rPr>
        <w:t xml:space="preserve">The Excel Budget Tool will be updated twice per year by all grantees and uploaded with the APR and Ad Hoc APR.  </w:t>
      </w:r>
    </w:p>
    <w:p w:rsidR="004E1E59" w:rsidRPr="004E1E59" w:rsidP="004E1E59" w14:paraId="1BA8A63E" w14:textId="472570DD">
      <w:pPr>
        <w:spacing w:after="160"/>
        <w:rPr>
          <w:rFonts w:ascii="Times New Roman" w:hAnsi="Times New Roman"/>
          <w:color w:val="000000"/>
          <w:shd w:val="clear" w:color="auto" w:fill="FFFFFF"/>
        </w:rPr>
      </w:pPr>
      <w:r>
        <w:rPr>
          <w:rFonts w:ascii="Times New Roman" w:hAnsi="Times New Roman"/>
          <w:color w:val="000000"/>
          <w:shd w:val="clear" w:color="auto" w:fill="FFFFFF"/>
        </w:rPr>
        <w:t xml:space="preserve">The table below </w:t>
      </w:r>
      <w:r w:rsidRPr="004E1E59">
        <w:rPr>
          <w:rFonts w:ascii="Times New Roman" w:hAnsi="Times New Roman"/>
          <w:color w:val="000000"/>
          <w:shd w:val="clear" w:color="auto" w:fill="FFFFFF"/>
        </w:rPr>
        <w:t xml:space="preserve"> </w:t>
      </w:r>
      <w:r w:rsidR="00C64D48">
        <w:rPr>
          <w:rFonts w:ascii="Times New Roman" w:hAnsi="Times New Roman"/>
          <w:color w:val="000000"/>
          <w:shd w:val="clear" w:color="auto" w:fill="FFFFFF"/>
        </w:rPr>
        <w:t xml:space="preserve">highlights </w:t>
      </w:r>
      <w:r w:rsidRPr="004E1E59">
        <w:rPr>
          <w:rFonts w:ascii="Times New Roman" w:hAnsi="Times New Roman"/>
          <w:color w:val="000000"/>
          <w:shd w:val="clear" w:color="auto" w:fill="FFFFFF"/>
        </w:rPr>
        <w:t xml:space="preserve">that grantees submit annual </w:t>
      </w:r>
      <w:r w:rsidR="00C64D48">
        <w:rPr>
          <w:rFonts w:ascii="Times New Roman" w:hAnsi="Times New Roman"/>
          <w:color w:val="000000"/>
          <w:shd w:val="clear" w:color="auto" w:fill="FFFFFF"/>
        </w:rPr>
        <w:t xml:space="preserve">data for </w:t>
      </w:r>
      <w:r w:rsidRPr="004E1E59">
        <w:rPr>
          <w:rFonts w:ascii="Times New Roman" w:hAnsi="Times New Roman"/>
          <w:color w:val="000000"/>
          <w:shd w:val="clear" w:color="auto" w:fill="FFFFFF"/>
        </w:rPr>
        <w:t xml:space="preserve">PSPMs, which demonstrate progress in project implementation in the spring, and </w:t>
      </w:r>
      <w:r w:rsidR="00F719A3">
        <w:rPr>
          <w:rFonts w:ascii="Times New Roman" w:hAnsi="Times New Roman"/>
          <w:color w:val="000000"/>
          <w:shd w:val="clear" w:color="auto" w:fill="FFFFFF"/>
        </w:rPr>
        <w:t xml:space="preserve">reporting </w:t>
      </w:r>
      <w:r w:rsidRPr="004E1E59">
        <w:rPr>
          <w:rFonts w:ascii="Times New Roman" w:hAnsi="Times New Roman"/>
          <w:color w:val="000000"/>
          <w:shd w:val="clear" w:color="auto" w:fill="FFFFFF"/>
        </w:rPr>
        <w:t>data, largely based on results on statewide assessments, in the late fall. The estimates reflect the maximum annual burden for the proposed revised annual performance report (APR)</w:t>
      </w:r>
      <w:r w:rsidR="001E5492">
        <w:rPr>
          <w:rFonts w:ascii="Times New Roman" w:hAnsi="Times New Roman"/>
          <w:color w:val="000000"/>
          <w:shd w:val="clear" w:color="auto" w:fill="FFFFFF"/>
        </w:rPr>
        <w:t>.</w:t>
      </w:r>
      <w:r w:rsidRPr="004E1E59">
        <w:rPr>
          <w:rFonts w:ascii="Times New Roman" w:hAnsi="Times New Roman"/>
          <w:color w:val="000000"/>
          <w:shd w:val="clear" w:color="auto" w:fill="FFFFFF"/>
        </w:rPr>
        <w:t xml:space="preserve"> </w:t>
      </w:r>
      <w:r w:rsidR="001E5492">
        <w:rPr>
          <w:rFonts w:ascii="Times New Roman" w:hAnsi="Times New Roman"/>
          <w:color w:val="000000"/>
          <w:shd w:val="clear" w:color="auto" w:fill="FFFFFF"/>
        </w:rPr>
        <w:t>The annual burden for each respondent to complete the APR is</w:t>
      </w:r>
      <w:r w:rsidRPr="004E1E59">
        <w:rPr>
          <w:rFonts w:ascii="Times New Roman" w:hAnsi="Times New Roman"/>
          <w:color w:val="000000"/>
          <w:shd w:val="clear" w:color="auto" w:fill="FFFFFF"/>
        </w:rPr>
        <w:t xml:space="preserve"> based on an estimated </w:t>
      </w:r>
      <w:r w:rsidR="001E5492">
        <w:rPr>
          <w:rFonts w:ascii="Times New Roman" w:hAnsi="Times New Roman"/>
          <w:color w:val="000000"/>
          <w:shd w:val="clear" w:color="auto" w:fill="FFFFFF"/>
        </w:rPr>
        <w:t>eight (8)</w:t>
      </w:r>
      <w:r w:rsidRPr="004E1E59">
        <w:rPr>
          <w:rFonts w:ascii="Times New Roman" w:hAnsi="Times New Roman"/>
          <w:color w:val="000000"/>
          <w:shd w:val="clear" w:color="auto" w:fill="FFFFFF"/>
        </w:rPr>
        <w:t xml:space="preserve"> hours to collect data for each entry and </w:t>
      </w:r>
      <w:r w:rsidR="001E5492">
        <w:rPr>
          <w:rFonts w:ascii="Times New Roman" w:hAnsi="Times New Roman"/>
          <w:color w:val="000000"/>
          <w:shd w:val="clear" w:color="auto" w:fill="FFFFFF"/>
        </w:rPr>
        <w:t>one (1)</w:t>
      </w:r>
      <w:r w:rsidRPr="004E1E59">
        <w:rPr>
          <w:rFonts w:ascii="Times New Roman" w:hAnsi="Times New Roman"/>
          <w:color w:val="000000"/>
          <w:shd w:val="clear" w:color="auto" w:fill="FFFFFF"/>
        </w:rPr>
        <w:t xml:space="preserve"> hour to complete each </w:t>
      </w:r>
      <w:r w:rsidR="001E5492">
        <w:rPr>
          <w:rFonts w:ascii="Times New Roman" w:hAnsi="Times New Roman"/>
          <w:color w:val="000000"/>
          <w:shd w:val="clear" w:color="auto" w:fill="FFFFFF"/>
        </w:rPr>
        <w:t xml:space="preserve">APR </w:t>
      </w:r>
      <w:r w:rsidRPr="004E1E59">
        <w:rPr>
          <w:rFonts w:ascii="Times New Roman" w:hAnsi="Times New Roman"/>
          <w:color w:val="000000"/>
          <w:shd w:val="clear" w:color="auto" w:fill="FFFFFF"/>
        </w:rPr>
        <w:t>form</w:t>
      </w:r>
      <w:r w:rsidR="001E5492">
        <w:rPr>
          <w:rFonts w:ascii="Times New Roman" w:hAnsi="Times New Roman"/>
          <w:color w:val="000000"/>
          <w:shd w:val="clear" w:color="auto" w:fill="FFFFFF"/>
        </w:rPr>
        <w:t>, and an estimated two (2) hours to complete the Excel budget tool</w:t>
      </w:r>
      <w:r w:rsidRPr="004E1E59">
        <w:rPr>
          <w:rFonts w:ascii="Times New Roman" w:hAnsi="Times New Roman"/>
          <w:color w:val="000000"/>
          <w:shd w:val="clear" w:color="auto" w:fill="FFFFFF"/>
        </w:rPr>
        <w:t>.</w:t>
      </w:r>
      <w:r w:rsidR="001E5492">
        <w:rPr>
          <w:rFonts w:ascii="Times New Roman" w:hAnsi="Times New Roman"/>
          <w:color w:val="000000"/>
          <w:shd w:val="clear" w:color="auto" w:fill="FFFFFF"/>
        </w:rPr>
        <w:t xml:space="preserve"> </w:t>
      </w:r>
    </w:p>
    <w:p w:rsidR="004E1E59" w:rsidRPr="004E1E59" w:rsidP="004E1E59" w14:paraId="2FFE572A" w14:textId="60BD1920">
      <w:pPr>
        <w:spacing w:after="160"/>
        <w:rPr>
          <w:rFonts w:ascii="Times New Roman" w:hAnsi="Times New Roman"/>
          <w:color w:val="000000"/>
          <w:shd w:val="clear" w:color="auto" w:fill="FFFFFF"/>
        </w:rPr>
      </w:pPr>
      <w:r w:rsidRPr="004E1E59">
        <w:rPr>
          <w:rFonts w:ascii="Times New Roman" w:hAnsi="Times New Roman"/>
          <w:color w:val="000000"/>
          <w:shd w:val="clear" w:color="auto" w:fill="FFFFFF"/>
        </w:rPr>
        <w:t>The estimates, based on current program expectations and plans for FY 202</w:t>
      </w:r>
      <w:r w:rsidR="001E5492">
        <w:rPr>
          <w:rFonts w:ascii="Times New Roman" w:hAnsi="Times New Roman"/>
          <w:color w:val="000000"/>
          <w:shd w:val="clear" w:color="auto" w:fill="FFFFFF"/>
        </w:rPr>
        <w:t>4</w:t>
      </w:r>
      <w:r w:rsidRPr="004E1E59">
        <w:rPr>
          <w:rFonts w:ascii="Times New Roman" w:hAnsi="Times New Roman"/>
          <w:color w:val="000000"/>
          <w:shd w:val="clear" w:color="auto" w:fill="FFFFFF"/>
        </w:rPr>
        <w:t>, were calculated based on the working groups described in section A8.</w:t>
      </w:r>
    </w:p>
    <w:p w:rsidR="004E1E59" w:rsidP="00946126" w14:paraId="04CC55B3" w14:textId="430F355C">
      <w:pPr>
        <w:pStyle w:val="ListParagraph"/>
        <w:tabs>
          <w:tab w:val="left" w:pos="-720"/>
        </w:tabs>
        <w:suppressAutoHyphens/>
        <w:contextualSpacing w:val="0"/>
        <w:rPr>
          <w:rFonts w:ascii="Times New Roman" w:hAnsi="Times New Roman"/>
          <w:b/>
          <w:sz w:val="26"/>
          <w:szCs w:val="26"/>
        </w:rPr>
      </w:pPr>
    </w:p>
    <w:p w:rsidR="00405F5A" w:rsidP="00946126" w14:paraId="397EDB45" w14:textId="52AEBF88">
      <w:pPr>
        <w:pStyle w:val="ListParagraph"/>
        <w:tabs>
          <w:tab w:val="left" w:pos="-720"/>
        </w:tabs>
        <w:suppressAutoHyphens/>
        <w:contextualSpacing w:val="0"/>
        <w:rPr>
          <w:rFonts w:ascii="Times New Roman" w:hAnsi="Times New Roman"/>
          <w:b/>
          <w:sz w:val="26"/>
          <w:szCs w:val="26"/>
        </w:rPr>
      </w:pPr>
    </w:p>
    <w:p w:rsidR="00405F5A" w:rsidP="00946126" w14:paraId="14F6999A" w14:textId="536F7093">
      <w:pPr>
        <w:pStyle w:val="ListParagraph"/>
        <w:tabs>
          <w:tab w:val="left" w:pos="-720"/>
        </w:tabs>
        <w:suppressAutoHyphens/>
        <w:contextualSpacing w:val="0"/>
        <w:rPr>
          <w:rFonts w:ascii="Times New Roman" w:hAnsi="Times New Roman"/>
          <w:b/>
          <w:sz w:val="26"/>
          <w:szCs w:val="26"/>
        </w:rPr>
      </w:pPr>
    </w:p>
    <w:p w:rsidR="00405F5A" w:rsidP="00946126" w14:paraId="753EAA1D" w14:textId="00111E43">
      <w:pPr>
        <w:pStyle w:val="ListParagraph"/>
        <w:tabs>
          <w:tab w:val="left" w:pos="-720"/>
        </w:tabs>
        <w:suppressAutoHyphens/>
        <w:contextualSpacing w:val="0"/>
        <w:rPr>
          <w:rFonts w:ascii="Times New Roman" w:hAnsi="Times New Roman"/>
          <w:b/>
          <w:sz w:val="26"/>
          <w:szCs w:val="26"/>
        </w:rPr>
      </w:pPr>
    </w:p>
    <w:p w:rsidR="00405F5A" w:rsidP="00946126" w14:paraId="2BC2B068" w14:textId="66F644DF">
      <w:pPr>
        <w:pStyle w:val="ListParagraph"/>
        <w:tabs>
          <w:tab w:val="left" w:pos="-720"/>
        </w:tabs>
        <w:suppressAutoHyphens/>
        <w:contextualSpacing w:val="0"/>
        <w:rPr>
          <w:rFonts w:ascii="Times New Roman" w:hAnsi="Times New Roman"/>
          <w:b/>
          <w:sz w:val="26"/>
          <w:szCs w:val="26"/>
        </w:rPr>
      </w:pPr>
    </w:p>
    <w:p w:rsidR="00405F5A" w:rsidP="00946126" w14:paraId="10BD043E" w14:textId="3E588136">
      <w:pPr>
        <w:pStyle w:val="ListParagraph"/>
        <w:tabs>
          <w:tab w:val="left" w:pos="-720"/>
        </w:tabs>
        <w:suppressAutoHyphens/>
        <w:contextualSpacing w:val="0"/>
        <w:rPr>
          <w:rFonts w:ascii="Times New Roman" w:hAnsi="Times New Roman"/>
          <w:b/>
          <w:sz w:val="26"/>
          <w:szCs w:val="26"/>
        </w:rPr>
      </w:pPr>
    </w:p>
    <w:p w:rsidR="00405F5A" w:rsidRPr="00756FD3" w:rsidP="00946126" w14:paraId="6461C16B" w14:textId="77777777">
      <w:pPr>
        <w:pStyle w:val="ListParagraph"/>
        <w:tabs>
          <w:tab w:val="left" w:pos="-720"/>
        </w:tabs>
        <w:suppressAutoHyphens/>
        <w:contextualSpacing w:val="0"/>
        <w:rPr>
          <w:rFonts w:ascii="Times New Roman" w:hAnsi="Times New Roman"/>
          <w:b/>
          <w:sz w:val="26"/>
          <w:szCs w:val="26"/>
        </w:rPr>
      </w:pP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430" w:type="dxa"/>
        <w:tblLayout w:type="fixed"/>
        <w:tblLook w:val="0020"/>
      </w:tblPr>
      <w:tblGrid>
        <w:gridCol w:w="1530"/>
        <w:gridCol w:w="1175"/>
        <w:gridCol w:w="1255"/>
        <w:gridCol w:w="1275"/>
        <w:gridCol w:w="1080"/>
        <w:gridCol w:w="1335"/>
        <w:gridCol w:w="900"/>
        <w:gridCol w:w="1530"/>
        <w:gridCol w:w="1350"/>
      </w:tblGrid>
      <w:tr w14:paraId="58CE257E" w14:textId="77777777" w:rsidTr="00082CDF">
        <w:tblPrEx>
          <w:tblW w:w="11430" w:type="dxa"/>
          <w:tblLayout w:type="fixed"/>
          <w:tblLook w:val="0020"/>
        </w:tblPrEx>
        <w:trPr>
          <w:tblHeader/>
        </w:trPr>
        <w:tc>
          <w:tcPr>
            <w:tcW w:w="1530"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082CDF">
        <w:tblPrEx>
          <w:tblW w:w="11430" w:type="dxa"/>
          <w:tblLayout w:type="fixed"/>
          <w:tblLook w:val="0020"/>
        </w:tblPrEx>
        <w:tc>
          <w:tcPr>
            <w:tcW w:w="1530" w:type="dxa"/>
          </w:tcPr>
          <w:p w:rsidR="00C86713" w:rsidRPr="00442E07" w:rsidP="00FE1BAE" w14:paraId="58CE257F" w14:textId="55529DAF">
            <w:pPr>
              <w:rPr>
                <w:rFonts w:ascii="Times New Roman" w:hAnsi="Times New Roman"/>
                <w:szCs w:val="24"/>
              </w:rPr>
            </w:pPr>
            <w:r>
              <w:rPr>
                <w:rFonts w:ascii="Times New Roman" w:hAnsi="Times New Roman"/>
                <w:szCs w:val="24"/>
              </w:rPr>
              <w:t>Annual Performance Report (APR)</w:t>
            </w:r>
          </w:p>
        </w:tc>
        <w:tc>
          <w:tcPr>
            <w:tcW w:w="1175" w:type="dxa"/>
          </w:tcPr>
          <w:p w:rsidR="00C86713" w:rsidP="00FE1BAE" w14:paraId="62AEEB07" w14:textId="77777777">
            <w:pPr>
              <w:rPr>
                <w:rFonts w:ascii="Times New Roman" w:hAnsi="Times New Roman"/>
                <w:szCs w:val="24"/>
              </w:rPr>
            </w:pPr>
          </w:p>
          <w:p w:rsidR="00811C5D" w:rsidRPr="00442E07" w:rsidP="00FE1BAE" w14:paraId="58CE2580" w14:textId="61FA7E47">
            <w:pPr>
              <w:rPr>
                <w:rFonts w:ascii="Times New Roman" w:hAnsi="Times New Roman"/>
                <w:szCs w:val="24"/>
              </w:rPr>
            </w:pPr>
            <w:r>
              <w:rPr>
                <w:rFonts w:ascii="Times New Roman" w:hAnsi="Times New Roman"/>
                <w:szCs w:val="24"/>
              </w:rPr>
              <w:t>N/A</w:t>
            </w:r>
          </w:p>
        </w:tc>
        <w:tc>
          <w:tcPr>
            <w:tcW w:w="1255" w:type="dxa"/>
          </w:tcPr>
          <w:p w:rsidR="00C86713" w:rsidP="00FE1BAE" w14:paraId="76FCE4BA" w14:textId="77777777">
            <w:pPr>
              <w:rPr>
                <w:rFonts w:ascii="Times New Roman" w:hAnsi="Times New Roman"/>
                <w:szCs w:val="24"/>
              </w:rPr>
            </w:pPr>
          </w:p>
          <w:p w:rsidR="001F3913" w:rsidRPr="00442E07" w:rsidP="00FE1BAE" w14:paraId="58CE2581" w14:textId="210B98A2">
            <w:pPr>
              <w:rPr>
                <w:rFonts w:ascii="Times New Roman" w:hAnsi="Times New Roman"/>
                <w:szCs w:val="24"/>
              </w:rPr>
            </w:pPr>
            <w:r>
              <w:rPr>
                <w:rFonts w:ascii="Times New Roman" w:hAnsi="Times New Roman"/>
                <w:szCs w:val="24"/>
              </w:rPr>
              <w:t>2</w:t>
            </w:r>
          </w:p>
        </w:tc>
        <w:tc>
          <w:tcPr>
            <w:tcW w:w="1275" w:type="dxa"/>
          </w:tcPr>
          <w:p w:rsidR="00811C5D" w:rsidP="00FE1BAE" w14:paraId="0B9BE63B" w14:textId="77777777">
            <w:pPr>
              <w:rPr>
                <w:rFonts w:ascii="Times New Roman" w:hAnsi="Times New Roman"/>
                <w:szCs w:val="24"/>
              </w:rPr>
            </w:pPr>
          </w:p>
          <w:p w:rsidR="00C86713" w:rsidRPr="00442E07" w:rsidP="00FE1BAE" w14:paraId="58CE2582" w14:textId="3AEC0581">
            <w:pPr>
              <w:rPr>
                <w:rFonts w:ascii="Times New Roman" w:hAnsi="Times New Roman"/>
                <w:szCs w:val="24"/>
              </w:rPr>
            </w:pPr>
            <w:r>
              <w:rPr>
                <w:rFonts w:ascii="Times New Roman" w:hAnsi="Times New Roman"/>
                <w:szCs w:val="24"/>
              </w:rPr>
              <w:t>29</w:t>
            </w:r>
          </w:p>
        </w:tc>
        <w:tc>
          <w:tcPr>
            <w:tcW w:w="1080" w:type="dxa"/>
          </w:tcPr>
          <w:p w:rsidR="00C86713" w:rsidP="00FE1BAE" w14:paraId="3102EDFA" w14:textId="77777777">
            <w:pPr>
              <w:jc w:val="center"/>
              <w:rPr>
                <w:rFonts w:ascii="Times New Roman" w:hAnsi="Times New Roman"/>
                <w:szCs w:val="24"/>
              </w:rPr>
            </w:pPr>
          </w:p>
          <w:p w:rsidR="00657AE9" w:rsidRPr="00442E07" w:rsidP="00FE1BAE" w14:paraId="58CE2583" w14:textId="298F8366">
            <w:pPr>
              <w:jc w:val="center"/>
              <w:rPr>
                <w:rFonts w:ascii="Times New Roman" w:hAnsi="Times New Roman"/>
                <w:szCs w:val="24"/>
              </w:rPr>
            </w:pPr>
            <w:r>
              <w:rPr>
                <w:rFonts w:ascii="Times New Roman" w:hAnsi="Times New Roman"/>
                <w:szCs w:val="24"/>
              </w:rPr>
              <w:t>58</w:t>
            </w:r>
          </w:p>
        </w:tc>
        <w:tc>
          <w:tcPr>
            <w:tcW w:w="1335" w:type="dxa"/>
          </w:tcPr>
          <w:p w:rsidR="00C86713" w:rsidP="00FE1BAE" w14:paraId="424B1124" w14:textId="77777777">
            <w:pPr>
              <w:jc w:val="center"/>
              <w:rPr>
                <w:rFonts w:ascii="Times New Roman" w:hAnsi="Times New Roman"/>
                <w:szCs w:val="24"/>
              </w:rPr>
            </w:pPr>
          </w:p>
          <w:p w:rsidR="003F3426" w:rsidRPr="00442E07" w:rsidP="00FE1BAE" w14:paraId="58CE2584" w14:textId="1F685BAD">
            <w:pPr>
              <w:jc w:val="center"/>
              <w:rPr>
                <w:rFonts w:ascii="Times New Roman" w:hAnsi="Times New Roman"/>
                <w:szCs w:val="24"/>
              </w:rPr>
            </w:pPr>
            <w:r>
              <w:rPr>
                <w:rFonts w:ascii="Times New Roman" w:hAnsi="Times New Roman"/>
                <w:szCs w:val="24"/>
              </w:rPr>
              <w:t>9</w:t>
            </w:r>
          </w:p>
        </w:tc>
        <w:tc>
          <w:tcPr>
            <w:tcW w:w="900" w:type="dxa"/>
          </w:tcPr>
          <w:p w:rsidR="00231226" w:rsidP="00FE1BAE" w14:paraId="70347CA2" w14:textId="77777777">
            <w:pPr>
              <w:rPr>
                <w:rFonts w:ascii="Times New Roman" w:hAnsi="Times New Roman"/>
                <w:szCs w:val="24"/>
              </w:rPr>
            </w:pPr>
          </w:p>
          <w:p w:rsidR="00C86713" w:rsidRPr="00442E07" w:rsidP="00FE1BAE" w14:paraId="58CE2585" w14:textId="0191C0A3">
            <w:pPr>
              <w:rPr>
                <w:rFonts w:ascii="Times New Roman" w:hAnsi="Times New Roman"/>
                <w:szCs w:val="24"/>
              </w:rPr>
            </w:pPr>
            <w:r>
              <w:rPr>
                <w:rFonts w:ascii="Times New Roman" w:hAnsi="Times New Roman"/>
                <w:szCs w:val="24"/>
              </w:rPr>
              <w:t>522</w:t>
            </w:r>
          </w:p>
        </w:tc>
        <w:tc>
          <w:tcPr>
            <w:tcW w:w="1530" w:type="dxa"/>
          </w:tcPr>
          <w:p w:rsidR="00C86713" w:rsidP="00FE1BAE" w14:paraId="13BA4A7E" w14:textId="77777777">
            <w:pPr>
              <w:rPr>
                <w:rFonts w:ascii="Times New Roman" w:hAnsi="Times New Roman"/>
                <w:szCs w:val="24"/>
              </w:rPr>
            </w:pPr>
          </w:p>
          <w:p w:rsidR="00231226" w:rsidRPr="00442E07" w:rsidP="00FE1BAE" w14:paraId="58CE2586" w14:textId="1255030E">
            <w:pPr>
              <w:rPr>
                <w:rFonts w:ascii="Times New Roman" w:hAnsi="Times New Roman"/>
                <w:szCs w:val="24"/>
              </w:rPr>
            </w:pPr>
            <w:r>
              <w:rPr>
                <w:rFonts w:ascii="Times New Roman" w:hAnsi="Times New Roman"/>
                <w:szCs w:val="24"/>
              </w:rPr>
              <w:t>$3</w:t>
            </w:r>
            <w:r w:rsidR="00095812">
              <w:rPr>
                <w:rFonts w:ascii="Times New Roman" w:hAnsi="Times New Roman"/>
                <w:szCs w:val="24"/>
              </w:rPr>
              <w:t>5</w:t>
            </w:r>
            <w:r>
              <w:rPr>
                <w:rFonts w:ascii="Times New Roman" w:hAnsi="Times New Roman"/>
                <w:szCs w:val="24"/>
              </w:rPr>
              <w:t>.6</w:t>
            </w:r>
            <w:r w:rsidR="00095812">
              <w:rPr>
                <w:rFonts w:ascii="Times New Roman" w:hAnsi="Times New Roman"/>
                <w:szCs w:val="24"/>
              </w:rPr>
              <w:t>9</w:t>
            </w:r>
          </w:p>
        </w:tc>
        <w:tc>
          <w:tcPr>
            <w:tcW w:w="1350" w:type="dxa"/>
          </w:tcPr>
          <w:p w:rsidR="00C86713" w:rsidP="00FE1BAE" w14:paraId="3A574500" w14:textId="77777777">
            <w:pPr>
              <w:rPr>
                <w:rFonts w:ascii="Times New Roman" w:hAnsi="Times New Roman"/>
                <w:szCs w:val="24"/>
              </w:rPr>
            </w:pPr>
          </w:p>
          <w:p w:rsidR="006A741E" w:rsidRPr="00442E07" w:rsidP="00FE1BAE" w14:paraId="58CE2587" w14:textId="4F97D6F3">
            <w:pPr>
              <w:rPr>
                <w:rFonts w:ascii="Times New Roman" w:hAnsi="Times New Roman"/>
                <w:szCs w:val="24"/>
              </w:rPr>
            </w:pPr>
            <w:r>
              <w:rPr>
                <w:rFonts w:ascii="Times New Roman" w:hAnsi="Times New Roman"/>
                <w:szCs w:val="24"/>
              </w:rPr>
              <w:t>$</w:t>
            </w:r>
            <w:r w:rsidR="00847604">
              <w:rPr>
                <w:rFonts w:ascii="Times New Roman" w:hAnsi="Times New Roman"/>
                <w:szCs w:val="24"/>
              </w:rPr>
              <w:t>18,630.18</w:t>
            </w:r>
          </w:p>
        </w:tc>
      </w:tr>
      <w:tr w14:paraId="58CE2592" w14:textId="77777777" w:rsidTr="00082CDF">
        <w:tblPrEx>
          <w:tblW w:w="11430" w:type="dxa"/>
          <w:tblLayout w:type="fixed"/>
          <w:tblLook w:val="0020"/>
        </w:tblPrEx>
        <w:tc>
          <w:tcPr>
            <w:tcW w:w="1530" w:type="dxa"/>
          </w:tcPr>
          <w:p w:rsidR="00C86713" w:rsidRPr="00442E07" w:rsidP="00FE1BAE" w14:paraId="58CE2589" w14:textId="2470C4FD">
            <w:pPr>
              <w:rPr>
                <w:rFonts w:ascii="Times New Roman" w:hAnsi="Times New Roman"/>
                <w:szCs w:val="24"/>
              </w:rPr>
            </w:pPr>
            <w:r>
              <w:rPr>
                <w:rFonts w:ascii="Times New Roman" w:hAnsi="Times New Roman"/>
                <w:szCs w:val="24"/>
              </w:rPr>
              <w:t>Excel Budget Tool</w:t>
            </w:r>
          </w:p>
        </w:tc>
        <w:tc>
          <w:tcPr>
            <w:tcW w:w="1175" w:type="dxa"/>
          </w:tcPr>
          <w:p w:rsidR="00C86713" w:rsidRPr="00442E07" w:rsidP="00FE1BAE" w14:paraId="58CE258A" w14:textId="246368FA">
            <w:pPr>
              <w:rPr>
                <w:rFonts w:ascii="Times New Roman" w:hAnsi="Times New Roman"/>
                <w:szCs w:val="24"/>
              </w:rPr>
            </w:pPr>
            <w:r>
              <w:rPr>
                <w:rFonts w:ascii="Times New Roman" w:hAnsi="Times New Roman"/>
                <w:szCs w:val="24"/>
              </w:rPr>
              <w:t>N/A</w:t>
            </w:r>
          </w:p>
        </w:tc>
        <w:tc>
          <w:tcPr>
            <w:tcW w:w="1255" w:type="dxa"/>
          </w:tcPr>
          <w:p w:rsidR="00C86713" w:rsidRPr="00442E07" w:rsidP="00FE1BAE" w14:paraId="58CE258B" w14:textId="43264FE4">
            <w:pPr>
              <w:rPr>
                <w:rFonts w:ascii="Times New Roman" w:hAnsi="Times New Roman"/>
                <w:szCs w:val="24"/>
              </w:rPr>
            </w:pPr>
            <w:r>
              <w:rPr>
                <w:rFonts w:ascii="Times New Roman" w:hAnsi="Times New Roman"/>
                <w:szCs w:val="24"/>
              </w:rPr>
              <w:t>2</w:t>
            </w:r>
          </w:p>
        </w:tc>
        <w:tc>
          <w:tcPr>
            <w:tcW w:w="1275" w:type="dxa"/>
          </w:tcPr>
          <w:p w:rsidR="00C86713" w:rsidRPr="00442E07" w:rsidP="00FE1BAE" w14:paraId="58CE258C" w14:textId="75608F71">
            <w:pPr>
              <w:rPr>
                <w:rFonts w:ascii="Times New Roman" w:hAnsi="Times New Roman"/>
                <w:szCs w:val="24"/>
              </w:rPr>
            </w:pPr>
            <w:r>
              <w:rPr>
                <w:rFonts w:ascii="Times New Roman" w:hAnsi="Times New Roman"/>
                <w:szCs w:val="24"/>
              </w:rPr>
              <w:t>29</w:t>
            </w:r>
          </w:p>
        </w:tc>
        <w:tc>
          <w:tcPr>
            <w:tcW w:w="1080" w:type="dxa"/>
          </w:tcPr>
          <w:p w:rsidR="00C86713" w:rsidRPr="00442E07" w:rsidP="00FE1BAE" w14:paraId="58CE258D" w14:textId="6678C2E0">
            <w:pPr>
              <w:jc w:val="center"/>
              <w:rPr>
                <w:rFonts w:ascii="Times New Roman" w:hAnsi="Times New Roman"/>
                <w:szCs w:val="24"/>
              </w:rPr>
            </w:pPr>
            <w:r>
              <w:rPr>
                <w:rFonts w:ascii="Times New Roman" w:hAnsi="Times New Roman"/>
                <w:szCs w:val="24"/>
              </w:rPr>
              <w:t>58</w:t>
            </w:r>
          </w:p>
        </w:tc>
        <w:tc>
          <w:tcPr>
            <w:tcW w:w="1335" w:type="dxa"/>
          </w:tcPr>
          <w:p w:rsidR="00C86713" w:rsidRPr="00442E07" w:rsidP="00FE1BAE" w14:paraId="58CE258E" w14:textId="53365A41">
            <w:pPr>
              <w:jc w:val="center"/>
              <w:rPr>
                <w:rFonts w:ascii="Times New Roman" w:hAnsi="Times New Roman"/>
                <w:szCs w:val="24"/>
              </w:rPr>
            </w:pPr>
            <w:r>
              <w:rPr>
                <w:rFonts w:ascii="Times New Roman" w:hAnsi="Times New Roman"/>
                <w:szCs w:val="24"/>
              </w:rPr>
              <w:t>2</w:t>
            </w:r>
          </w:p>
        </w:tc>
        <w:tc>
          <w:tcPr>
            <w:tcW w:w="900" w:type="dxa"/>
          </w:tcPr>
          <w:p w:rsidR="00C86713" w:rsidRPr="00442E07" w:rsidP="00FE1BAE" w14:paraId="58CE258F" w14:textId="148F5421">
            <w:pPr>
              <w:pStyle w:val="EndnoteText"/>
              <w:tabs>
                <w:tab w:val="clear" w:pos="-720"/>
              </w:tabs>
              <w:suppressAutoHyphens w:val="0"/>
              <w:rPr>
                <w:rFonts w:ascii="Times New Roman" w:hAnsi="Times New Roman"/>
                <w:szCs w:val="24"/>
              </w:rPr>
            </w:pPr>
            <w:r>
              <w:rPr>
                <w:rFonts w:ascii="Times New Roman" w:hAnsi="Times New Roman"/>
                <w:szCs w:val="24"/>
              </w:rPr>
              <w:t>116</w:t>
            </w:r>
          </w:p>
        </w:tc>
        <w:tc>
          <w:tcPr>
            <w:tcW w:w="1530" w:type="dxa"/>
          </w:tcPr>
          <w:p w:rsidR="00C86713" w:rsidRPr="00442E07" w:rsidP="00FE1BAE" w14:paraId="58CE2590" w14:textId="14B188C9">
            <w:pPr>
              <w:rPr>
                <w:rFonts w:ascii="Times New Roman" w:hAnsi="Times New Roman"/>
                <w:szCs w:val="24"/>
              </w:rPr>
            </w:pPr>
            <w:r>
              <w:rPr>
                <w:rFonts w:ascii="Times New Roman" w:hAnsi="Times New Roman"/>
                <w:szCs w:val="24"/>
              </w:rPr>
              <w:t>$35.69</w:t>
            </w:r>
          </w:p>
        </w:tc>
        <w:tc>
          <w:tcPr>
            <w:tcW w:w="1350" w:type="dxa"/>
          </w:tcPr>
          <w:p w:rsidR="00C86713" w:rsidRPr="00442E07" w:rsidP="00FE1BAE" w14:paraId="58CE2591" w14:textId="169A77CC">
            <w:pPr>
              <w:rPr>
                <w:rFonts w:ascii="Times New Roman" w:hAnsi="Times New Roman"/>
                <w:szCs w:val="24"/>
              </w:rPr>
            </w:pPr>
            <w:r>
              <w:rPr>
                <w:rFonts w:ascii="Times New Roman" w:hAnsi="Times New Roman"/>
                <w:szCs w:val="24"/>
              </w:rPr>
              <w:t>$4,140.04</w:t>
            </w:r>
          </w:p>
        </w:tc>
      </w:tr>
      <w:tr w14:paraId="58CE259C" w14:textId="77777777" w:rsidTr="00082CDF">
        <w:tblPrEx>
          <w:tblW w:w="11430" w:type="dxa"/>
          <w:tblLayout w:type="fixed"/>
          <w:tblLook w:val="0020"/>
        </w:tblPrEx>
        <w:tc>
          <w:tcPr>
            <w:tcW w:w="1530" w:type="dxa"/>
          </w:tcPr>
          <w:p w:rsidR="00C86713" w:rsidRPr="00442E07" w:rsidP="00FE1BAE" w14:paraId="58CE2593" w14:textId="77777777">
            <w:pPr>
              <w:rPr>
                <w:rFonts w:ascii="Times New Roman" w:hAnsi="Times New Roman"/>
                <w:szCs w:val="24"/>
              </w:rPr>
            </w:pPr>
          </w:p>
        </w:tc>
        <w:tc>
          <w:tcPr>
            <w:tcW w:w="1175" w:type="dxa"/>
          </w:tcPr>
          <w:p w:rsidR="00C86713" w:rsidRPr="00442E07" w:rsidP="00FE1BAE" w14:paraId="58CE2594" w14:textId="77777777">
            <w:pPr>
              <w:rPr>
                <w:rFonts w:ascii="Times New Roman" w:hAnsi="Times New Roman"/>
                <w:szCs w:val="24"/>
              </w:rPr>
            </w:pPr>
          </w:p>
        </w:tc>
        <w:tc>
          <w:tcPr>
            <w:tcW w:w="1255" w:type="dxa"/>
          </w:tcPr>
          <w:p w:rsidR="00C86713" w:rsidRPr="00442E07" w:rsidP="00FE1BAE" w14:paraId="58CE2595" w14:textId="77777777">
            <w:pPr>
              <w:rPr>
                <w:rFonts w:ascii="Times New Roman" w:hAnsi="Times New Roman"/>
                <w:szCs w:val="24"/>
              </w:rPr>
            </w:pPr>
          </w:p>
        </w:tc>
        <w:tc>
          <w:tcPr>
            <w:tcW w:w="1275" w:type="dxa"/>
          </w:tcPr>
          <w:p w:rsidR="00C86713" w:rsidRPr="00442E07" w:rsidP="00FE1BAE" w14:paraId="58CE2596" w14:textId="77777777">
            <w:pPr>
              <w:rPr>
                <w:rFonts w:ascii="Times New Roman" w:hAnsi="Times New Roman"/>
                <w:szCs w:val="24"/>
              </w:rPr>
            </w:pPr>
          </w:p>
        </w:tc>
        <w:tc>
          <w:tcPr>
            <w:tcW w:w="1080" w:type="dxa"/>
          </w:tcPr>
          <w:p w:rsidR="00C86713" w:rsidRPr="00442E07" w:rsidP="00FE1BAE" w14:paraId="58CE2597" w14:textId="77777777">
            <w:pPr>
              <w:jc w:val="center"/>
              <w:rPr>
                <w:rFonts w:ascii="Times New Roman" w:hAnsi="Times New Roman"/>
                <w:szCs w:val="24"/>
              </w:rPr>
            </w:pPr>
          </w:p>
        </w:tc>
        <w:tc>
          <w:tcPr>
            <w:tcW w:w="1335" w:type="dxa"/>
          </w:tcPr>
          <w:p w:rsidR="00C86713" w:rsidRPr="00442E07" w:rsidP="00FE1BAE" w14:paraId="58CE2598" w14:textId="77777777">
            <w:pPr>
              <w:jc w:val="center"/>
              <w:rPr>
                <w:rFonts w:ascii="Times New Roman" w:hAnsi="Times New Roman"/>
                <w:szCs w:val="24"/>
              </w:rPr>
            </w:pPr>
          </w:p>
        </w:tc>
        <w:tc>
          <w:tcPr>
            <w:tcW w:w="900" w:type="dxa"/>
          </w:tcPr>
          <w:p w:rsidR="00C86713" w:rsidRPr="00442E07" w:rsidP="00FE1BAE" w14:paraId="58CE259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A" w14:textId="77777777">
            <w:pPr>
              <w:rPr>
                <w:rFonts w:ascii="Times New Roman" w:hAnsi="Times New Roman"/>
                <w:szCs w:val="24"/>
              </w:rPr>
            </w:pPr>
          </w:p>
        </w:tc>
        <w:tc>
          <w:tcPr>
            <w:tcW w:w="1350" w:type="dxa"/>
          </w:tcPr>
          <w:p w:rsidR="00C86713" w:rsidRPr="00442E07" w:rsidP="00FE1BAE" w14:paraId="58CE259B" w14:textId="77777777">
            <w:pPr>
              <w:rPr>
                <w:rFonts w:ascii="Times New Roman" w:hAnsi="Times New Roman"/>
                <w:szCs w:val="24"/>
              </w:rPr>
            </w:pPr>
          </w:p>
        </w:tc>
      </w:tr>
      <w:tr w14:paraId="58CE25A6" w14:textId="77777777" w:rsidTr="00082CDF">
        <w:tblPrEx>
          <w:tblW w:w="11430" w:type="dxa"/>
          <w:tblLayout w:type="fixed"/>
          <w:tblLook w:val="0020"/>
        </w:tblPrEx>
        <w:tc>
          <w:tcPr>
            <w:tcW w:w="1530" w:type="dxa"/>
          </w:tcPr>
          <w:p w:rsidR="00C86713" w:rsidRPr="00442E07" w:rsidP="00FE1BAE" w14:paraId="58CE259D" w14:textId="77777777">
            <w:pPr>
              <w:rPr>
                <w:rFonts w:ascii="Times New Roman" w:hAnsi="Times New Roman"/>
                <w:szCs w:val="24"/>
              </w:rPr>
            </w:pPr>
          </w:p>
        </w:tc>
        <w:tc>
          <w:tcPr>
            <w:tcW w:w="1175" w:type="dxa"/>
          </w:tcPr>
          <w:p w:rsidR="00C86713" w:rsidRPr="00442E07" w:rsidP="00FE1BAE" w14:paraId="58CE259E" w14:textId="77777777">
            <w:pPr>
              <w:rPr>
                <w:rFonts w:ascii="Times New Roman" w:hAnsi="Times New Roman"/>
                <w:szCs w:val="24"/>
              </w:rPr>
            </w:pPr>
          </w:p>
        </w:tc>
        <w:tc>
          <w:tcPr>
            <w:tcW w:w="1255" w:type="dxa"/>
          </w:tcPr>
          <w:p w:rsidR="00C86713" w:rsidRPr="00442E07" w:rsidP="00FE1BAE" w14:paraId="58CE259F" w14:textId="77777777">
            <w:pPr>
              <w:rPr>
                <w:rFonts w:ascii="Times New Roman" w:hAnsi="Times New Roman"/>
                <w:szCs w:val="24"/>
              </w:rPr>
            </w:pPr>
          </w:p>
        </w:tc>
        <w:tc>
          <w:tcPr>
            <w:tcW w:w="1275" w:type="dxa"/>
          </w:tcPr>
          <w:p w:rsidR="00C86713" w:rsidRPr="00442E07" w:rsidP="00FE1BAE" w14:paraId="58CE25A0" w14:textId="77777777">
            <w:pPr>
              <w:rPr>
                <w:rFonts w:ascii="Times New Roman" w:hAnsi="Times New Roman"/>
                <w:szCs w:val="24"/>
              </w:rPr>
            </w:pPr>
          </w:p>
        </w:tc>
        <w:tc>
          <w:tcPr>
            <w:tcW w:w="1080" w:type="dxa"/>
          </w:tcPr>
          <w:p w:rsidR="00C86713" w:rsidRPr="00442E07" w:rsidP="00FE1BAE" w14:paraId="58CE25A1" w14:textId="77777777">
            <w:pPr>
              <w:rPr>
                <w:rFonts w:ascii="Times New Roman" w:hAnsi="Times New Roman"/>
                <w:szCs w:val="24"/>
              </w:rPr>
            </w:pPr>
          </w:p>
        </w:tc>
        <w:tc>
          <w:tcPr>
            <w:tcW w:w="1335" w:type="dxa"/>
          </w:tcPr>
          <w:p w:rsidR="00C86713" w:rsidRPr="00442E07" w:rsidP="00FE1BAE" w14:paraId="58CE25A2" w14:textId="77777777">
            <w:pPr>
              <w:rPr>
                <w:rFonts w:ascii="Times New Roman" w:hAnsi="Times New Roman"/>
                <w:szCs w:val="24"/>
              </w:rPr>
            </w:pPr>
          </w:p>
        </w:tc>
        <w:tc>
          <w:tcPr>
            <w:tcW w:w="900" w:type="dxa"/>
          </w:tcPr>
          <w:p w:rsidR="00C86713" w:rsidRPr="00442E07" w:rsidP="00FE1BAE" w14:paraId="58CE25A3" w14:textId="77777777">
            <w:pPr>
              <w:rPr>
                <w:rFonts w:ascii="Times New Roman" w:hAnsi="Times New Roman"/>
                <w:szCs w:val="24"/>
              </w:rPr>
            </w:pPr>
          </w:p>
        </w:tc>
        <w:tc>
          <w:tcPr>
            <w:tcW w:w="1530" w:type="dxa"/>
          </w:tcPr>
          <w:p w:rsidR="00C86713" w:rsidRPr="00442E07" w:rsidP="00FE1BAE" w14:paraId="58CE25A4" w14:textId="77777777">
            <w:pPr>
              <w:rPr>
                <w:rFonts w:ascii="Times New Roman" w:hAnsi="Times New Roman"/>
                <w:szCs w:val="24"/>
              </w:rPr>
            </w:pPr>
          </w:p>
        </w:tc>
        <w:tc>
          <w:tcPr>
            <w:tcW w:w="1350" w:type="dxa"/>
          </w:tcPr>
          <w:p w:rsidR="00C86713" w:rsidRPr="00442E07" w:rsidP="00FE1BAE" w14:paraId="58CE25A5" w14:textId="77777777">
            <w:pPr>
              <w:rPr>
                <w:rFonts w:ascii="Times New Roman" w:hAnsi="Times New Roman"/>
                <w:szCs w:val="24"/>
              </w:rPr>
            </w:pPr>
          </w:p>
        </w:tc>
      </w:tr>
      <w:tr w14:paraId="58CE25B0" w14:textId="77777777" w:rsidTr="00082CDF">
        <w:tblPrEx>
          <w:tblW w:w="11430" w:type="dxa"/>
          <w:tblLayout w:type="fixed"/>
          <w:tblLook w:val="0020"/>
        </w:tblPrEx>
        <w:tc>
          <w:tcPr>
            <w:tcW w:w="1530"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17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1C8A78AC">
            <w:pPr>
              <w:rPr>
                <w:rFonts w:ascii="Times New Roman" w:hAnsi="Times New Roman"/>
                <w:szCs w:val="24"/>
              </w:rPr>
            </w:pPr>
            <w:r>
              <w:rPr>
                <w:rFonts w:ascii="Times New Roman" w:hAnsi="Times New Roman"/>
                <w:szCs w:val="24"/>
              </w:rPr>
              <w:t>2</w:t>
            </w:r>
          </w:p>
        </w:tc>
        <w:tc>
          <w:tcPr>
            <w:tcW w:w="1275" w:type="dxa"/>
          </w:tcPr>
          <w:p w:rsidR="009767AF" w:rsidRPr="00442E07" w:rsidP="00FE1BAE" w14:paraId="58CE25AA" w14:textId="0C877AAE">
            <w:pPr>
              <w:rPr>
                <w:rFonts w:ascii="Times New Roman" w:hAnsi="Times New Roman"/>
                <w:szCs w:val="24"/>
              </w:rPr>
            </w:pPr>
            <w:r>
              <w:rPr>
                <w:rFonts w:ascii="Times New Roman" w:hAnsi="Times New Roman"/>
                <w:szCs w:val="24"/>
              </w:rPr>
              <w:t>29</w:t>
            </w:r>
          </w:p>
        </w:tc>
        <w:tc>
          <w:tcPr>
            <w:tcW w:w="1080" w:type="dxa"/>
          </w:tcPr>
          <w:p w:rsidR="009767AF" w:rsidRPr="00442E07" w:rsidP="00FE1BAE" w14:paraId="58CE25AB" w14:textId="7A3F7BB8">
            <w:pPr>
              <w:rPr>
                <w:rFonts w:ascii="Times New Roman" w:hAnsi="Times New Roman"/>
                <w:szCs w:val="24"/>
              </w:rPr>
            </w:pPr>
            <w:r>
              <w:rPr>
                <w:rFonts w:ascii="Times New Roman" w:hAnsi="Times New Roman"/>
                <w:szCs w:val="24"/>
              </w:rPr>
              <w:t>58</w:t>
            </w:r>
          </w:p>
        </w:tc>
        <w:tc>
          <w:tcPr>
            <w:tcW w:w="1335" w:type="dxa"/>
          </w:tcPr>
          <w:p w:rsidR="009767AF" w:rsidRPr="00442E07" w:rsidP="00FE1BAE" w14:paraId="58CE25AC" w14:textId="420D5BF6">
            <w:pPr>
              <w:rPr>
                <w:rFonts w:ascii="Times New Roman" w:hAnsi="Times New Roman"/>
                <w:szCs w:val="24"/>
              </w:rPr>
            </w:pPr>
            <w:r>
              <w:rPr>
                <w:rFonts w:ascii="Times New Roman" w:hAnsi="Times New Roman"/>
                <w:szCs w:val="24"/>
              </w:rPr>
              <w:t>11</w:t>
            </w:r>
          </w:p>
        </w:tc>
        <w:tc>
          <w:tcPr>
            <w:tcW w:w="900" w:type="dxa"/>
          </w:tcPr>
          <w:p w:rsidR="009767AF" w:rsidRPr="00442E07" w:rsidP="00FE1BAE" w14:paraId="58CE25AD" w14:textId="23055EBA">
            <w:pPr>
              <w:rPr>
                <w:rFonts w:ascii="Times New Roman" w:hAnsi="Times New Roman"/>
                <w:szCs w:val="24"/>
              </w:rPr>
            </w:pPr>
            <w:r>
              <w:rPr>
                <w:rFonts w:ascii="Times New Roman" w:hAnsi="Times New Roman"/>
                <w:szCs w:val="24"/>
              </w:rPr>
              <w:t>638</w:t>
            </w:r>
          </w:p>
        </w:tc>
        <w:tc>
          <w:tcPr>
            <w:tcW w:w="1530" w:type="dxa"/>
          </w:tcPr>
          <w:p w:rsidR="009767AF" w:rsidRPr="00442E07" w:rsidP="00FE1BAE" w14:paraId="58CE25AE" w14:textId="4FA5ED78">
            <w:pPr>
              <w:rPr>
                <w:rFonts w:ascii="Times New Roman" w:hAnsi="Times New Roman"/>
                <w:szCs w:val="24"/>
              </w:rPr>
            </w:pPr>
            <w:r>
              <w:rPr>
                <w:rFonts w:ascii="Times New Roman" w:hAnsi="Times New Roman"/>
                <w:szCs w:val="24"/>
              </w:rPr>
              <w:t>$35.69</w:t>
            </w:r>
          </w:p>
        </w:tc>
        <w:tc>
          <w:tcPr>
            <w:tcW w:w="1350" w:type="dxa"/>
          </w:tcPr>
          <w:p w:rsidR="009767AF" w:rsidRPr="00442E07" w:rsidP="00FE1BAE" w14:paraId="58CE25AF" w14:textId="200FBDFE">
            <w:pPr>
              <w:rPr>
                <w:rFonts w:ascii="Times New Roman" w:hAnsi="Times New Roman"/>
                <w:szCs w:val="24"/>
              </w:rPr>
            </w:pPr>
            <w:r>
              <w:rPr>
                <w:rFonts w:ascii="Times New Roman" w:hAnsi="Times New Roman"/>
                <w:szCs w:val="24"/>
              </w:rPr>
              <w:t>$22,770.22</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w:t>
      </w:r>
      <w:r w:rsidRPr="00ED7195">
        <w:rPr>
          <w:rFonts w:ascii="Times New Roman" w:hAnsi="Times New Roman"/>
          <w:b/>
          <w:szCs w:val="24"/>
        </w:rPr>
        <w:t>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0C655A46">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887C15">
        <w:rPr>
          <w:rFonts w:ascii="Times New Roman" w:hAnsi="Times New Roman"/>
          <w:b/>
          <w:szCs w:val="24"/>
        </w:rPr>
        <w:t>$</w:t>
      </w:r>
      <w:r w:rsidR="002170C0">
        <w:rPr>
          <w:rFonts w:ascii="Times New Roman" w:hAnsi="Times New Roman"/>
          <w:b/>
          <w:szCs w:val="24"/>
        </w:rPr>
        <w:t>500</w:t>
      </w:r>
    </w:p>
    <w:p w:rsidR="00043C32" w:rsidRPr="00ED7195" w:rsidP="00AD381B" w14:paraId="58CE25BD" w14:textId="16F88A80">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2170C0">
        <w:rPr>
          <w:rFonts w:ascii="Times New Roman" w:hAnsi="Times New Roman"/>
          <w:b/>
          <w:szCs w:val="24"/>
        </w:rPr>
        <w:t>$500</w:t>
      </w:r>
    </w:p>
    <w:p w:rsidR="00D91DDE" w:rsidP="00AD381B" w14:paraId="37DF1D86" w14:textId="06892A1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2170C0">
        <w:rPr>
          <w:rFonts w:ascii="Times New Roman" w:hAnsi="Times New Roman"/>
          <w:b/>
          <w:szCs w:val="24"/>
        </w:rPr>
        <w:t>$</w:t>
      </w:r>
      <w:r w:rsidR="002170C0">
        <w:rPr>
          <w:rFonts w:ascii="Times New Roman" w:hAnsi="Times New Roman"/>
          <w:b/>
          <w:szCs w:val="24"/>
        </w:rPr>
        <w:t>1,000</w:t>
      </w:r>
    </w:p>
    <w:p w:rsidR="00D91DDE" w:rsidP="00AD381B" w14:paraId="5EBB7B33" w14:textId="77777777">
      <w:pPr>
        <w:tabs>
          <w:tab w:val="left" w:pos="-720"/>
        </w:tabs>
        <w:suppressAutoHyphens/>
        <w:rPr>
          <w:rFonts w:ascii="Times New Roman" w:hAnsi="Times New Roman"/>
          <w:b/>
          <w:szCs w:val="24"/>
        </w:rPr>
      </w:pPr>
    </w:p>
    <w:p w:rsidR="00D91DDE" w:rsidRPr="00D91DDE" w:rsidP="00D91DDE" w14:paraId="2C733666" w14:textId="239B988D">
      <w:pPr>
        <w:spacing w:after="160"/>
        <w:rPr>
          <w:rFonts w:ascii="Times New Roman" w:hAnsi="Times New Roman"/>
          <w:color w:val="000000"/>
          <w:shd w:val="clear" w:color="auto" w:fill="FFFFFF"/>
        </w:rPr>
      </w:pPr>
      <w:r w:rsidRPr="00D91DDE">
        <w:rPr>
          <w:rFonts w:ascii="Times New Roman" w:hAnsi="Times New Roman"/>
          <w:color w:val="000000"/>
          <w:shd w:val="clear" w:color="auto" w:fill="FFFFFF"/>
        </w:rPr>
        <w:t>This estimate is based on the annual cost to maintain Google workspace tools which several working group participants indicated is the method they use to gather and house data from subgrantees.</w:t>
      </w:r>
    </w:p>
    <w:p w:rsidR="00043C32" w:rsidP="00AD381B" w14:paraId="58CE25BF" w14:textId="77777777">
      <w:pPr>
        <w:tabs>
          <w:tab w:val="left" w:pos="-720"/>
        </w:tabs>
        <w:suppressAutoHyphens/>
        <w:rPr>
          <w:rFonts w:ascii="Times New Roman" w:hAnsi="Times New Roman"/>
          <w:szCs w:val="24"/>
        </w:rPr>
      </w:pPr>
    </w:p>
    <w:p w:rsidR="00043C32"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91DDE" w:rsidRPr="00D91DDE" w:rsidP="00D91DDE" w14:paraId="225DC0E2" w14:textId="77777777">
      <w:pPr>
        <w:tabs>
          <w:tab w:val="left" w:pos="-720"/>
        </w:tabs>
        <w:suppressAutoHyphens/>
        <w:rPr>
          <w:rStyle w:val="a"/>
          <w:rFonts w:ascii="Times New Roman" w:hAnsi="Times New Roman"/>
          <w:b/>
          <w:szCs w:val="24"/>
        </w:rPr>
      </w:pPr>
    </w:p>
    <w:p w:rsidR="00C03743" w:rsidRPr="00C03743" w:rsidP="00C03743" w14:paraId="5A6FBD88" w14:textId="77777777">
      <w:pPr>
        <w:spacing w:after="160"/>
        <w:rPr>
          <w:rFonts w:ascii="Times New Roman" w:hAnsi="Times New Roman"/>
          <w:color w:val="000000"/>
          <w:shd w:val="clear" w:color="auto" w:fill="FFFFFF"/>
        </w:rPr>
      </w:pPr>
      <w:r w:rsidRPr="00C03743">
        <w:rPr>
          <w:rFonts w:ascii="Times New Roman" w:hAnsi="Times New Roman"/>
          <w:color w:val="000000"/>
          <w:shd w:val="clear" w:color="auto" w:fill="FFFFFF"/>
        </w:rPr>
        <w:t xml:space="preserve">The cost to add the new fields would be approximately $10,000 of contractor time, which is aligned to the projected statement of work in the current contract. There would be an annual maintenance or operating cost of $3,000. </w:t>
      </w:r>
    </w:p>
    <w:p w:rsidR="00534B4A" w:rsidRPr="00C03743" w:rsidP="00C03743" w14:paraId="58CE25C2" w14:textId="77777777">
      <w:pPr>
        <w:tabs>
          <w:tab w:val="left" w:pos="-720"/>
        </w:tabs>
        <w:suppressAutoHyphens/>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D0BEF" w:rsidP="00C12529" w14:paraId="3C3B7CDC" w14:textId="77777777">
      <w:pPr>
        <w:tabs>
          <w:tab w:val="left" w:pos="-720"/>
        </w:tabs>
        <w:suppressAutoHyphens/>
        <w:rPr>
          <w:rFonts w:ascii="Times New Roman" w:hAnsi="Times New Roman"/>
          <w:b/>
          <w:sz w:val="26"/>
          <w:szCs w:val="26"/>
        </w:rPr>
      </w:pPr>
    </w:p>
    <w:p w:rsidR="00C12529" w:rsidRPr="00F64E2A" w:rsidP="00C12529" w14:paraId="29633A61" w14:textId="42FDA11E">
      <w:pPr>
        <w:tabs>
          <w:tab w:val="left" w:pos="-720"/>
        </w:tabs>
        <w:suppressAutoHyphens/>
        <w:rPr>
          <w:rFonts w:ascii="Times New Roman" w:hAnsi="Times New Roman"/>
          <w:bCs/>
          <w:szCs w:val="24"/>
        </w:rPr>
      </w:pPr>
      <w:r w:rsidRPr="00F64E2A">
        <w:rPr>
          <w:rFonts w:ascii="Times New Roman" w:hAnsi="Times New Roman"/>
          <w:bCs/>
          <w:szCs w:val="24"/>
        </w:rPr>
        <w:t xml:space="preserve">This is a new collection that will provide more data about our grantees and subgrantees (at least 95% of all CLSD grant funds must be </w:t>
      </w:r>
      <w:r w:rsidRPr="00F64E2A">
        <w:rPr>
          <w:rFonts w:ascii="Times New Roman" w:hAnsi="Times New Roman"/>
          <w:bCs/>
          <w:szCs w:val="24"/>
        </w:rPr>
        <w:t>subgranted</w:t>
      </w:r>
      <w:r w:rsidRPr="00F64E2A">
        <w:rPr>
          <w:rFonts w:ascii="Times New Roman" w:hAnsi="Times New Roman"/>
          <w:bCs/>
          <w:szCs w:val="24"/>
        </w:rPr>
        <w:t xml:space="preserve">).  </w:t>
      </w:r>
      <w:r w:rsidRPr="00F64E2A" w:rsidR="00903B35">
        <w:rPr>
          <w:rFonts w:ascii="Times New Roman" w:hAnsi="Times New Roman"/>
          <w:bCs/>
          <w:szCs w:val="24"/>
        </w:rPr>
        <w:t>With this information the CLSD program staff will be able to better (1) track the performance, outcomes, and budget expenditures of the grantees receiving CLSD funds; (2) identify the strengths, challenges, and needs of grantees; and (3) gather demographic information about subgrantees. These data would be used by the CLSD program office to inform the design, implementation, and performance of various technical assistance (TA) strategies, such as convenings, communities of practice, products, resources, and web content.</w:t>
      </w:r>
    </w:p>
    <w:p w:rsidR="00534B4A" w:rsidRPr="00F64E2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48B486D1">
            <w:pPr>
              <w:tabs>
                <w:tab w:val="left" w:pos="-720"/>
              </w:tabs>
              <w:suppressAutoHyphens/>
              <w:rPr>
                <w:rFonts w:ascii="Times New Roman" w:hAnsi="Times New Roman"/>
                <w:b/>
                <w:szCs w:val="24"/>
              </w:rPr>
            </w:pPr>
            <w:r>
              <w:rPr>
                <w:rFonts w:ascii="Times New Roman" w:hAnsi="Times New Roman"/>
                <w:szCs w:val="24"/>
              </w:rPr>
              <w:t>638</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RPr="003011D8" w:rsidP="00534B4A" w14:paraId="58CE25D3" w14:textId="2C79AD46">
            <w:pPr>
              <w:tabs>
                <w:tab w:val="left" w:pos="-720"/>
              </w:tabs>
              <w:suppressAutoHyphens/>
              <w:rPr>
                <w:rFonts w:ascii="Times New Roman" w:hAnsi="Times New Roman"/>
                <w:bCs/>
                <w:szCs w:val="24"/>
              </w:rPr>
            </w:pPr>
            <w:r w:rsidRPr="003011D8">
              <w:rPr>
                <w:rFonts w:ascii="Times New Roman" w:hAnsi="Times New Roman"/>
                <w:bCs/>
                <w:szCs w:val="24"/>
              </w:rPr>
              <w:t>58</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480644D8">
            <w:pPr>
              <w:tabs>
                <w:tab w:val="left" w:pos="-720"/>
              </w:tabs>
              <w:suppressAutoHyphens/>
              <w:rPr>
                <w:rFonts w:ascii="Times New Roman" w:hAnsi="Times New Roman"/>
                <w:b/>
                <w:szCs w:val="24"/>
              </w:rPr>
            </w:pPr>
            <w:r>
              <w:rPr>
                <w:rFonts w:ascii="Times New Roman" w:hAnsi="Times New Roman"/>
                <w:szCs w:val="24"/>
              </w:rPr>
              <w:t>$1,000</w:t>
            </w: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6873" w:rsidP="00E56873" w14:paraId="6A654B29" w14:textId="77777777">
      <w:pPr>
        <w:tabs>
          <w:tab w:val="left" w:pos="-720"/>
        </w:tabs>
        <w:suppressAutoHyphens/>
        <w:rPr>
          <w:rStyle w:val="a"/>
          <w:rFonts w:ascii="Times New Roman" w:hAnsi="Times New Roman"/>
          <w:b/>
          <w:szCs w:val="24"/>
        </w:rPr>
      </w:pPr>
    </w:p>
    <w:p w:rsidR="00534B4A" w:rsidRPr="00377049" w:rsidP="00377049" w14:paraId="58CE25DE" w14:textId="141F891A">
      <w:pPr>
        <w:pStyle w:val="paragraph"/>
        <w:spacing w:before="0" w:beforeAutospacing="0" w:after="0" w:afterAutospacing="0"/>
        <w:textAlignment w:val="baseline"/>
        <w:rPr>
          <w:rFonts w:ascii="Segoe UI" w:hAnsi="Segoe UI" w:cs="Segoe UI"/>
          <w:sz w:val="18"/>
          <w:szCs w:val="18"/>
        </w:rPr>
      </w:pPr>
      <w:r w:rsidRPr="000632A8">
        <w:rPr>
          <w:rStyle w:val="normaltextrun"/>
          <w:color w:val="000000"/>
          <w:shd w:val="clear" w:color="auto" w:fill="FFFFFF"/>
        </w:rPr>
        <w:t xml:space="preserve">Data are only reported to </w:t>
      </w:r>
      <w:r>
        <w:rPr>
          <w:rStyle w:val="normaltextrun"/>
          <w:color w:val="000000"/>
          <w:shd w:val="clear" w:color="auto" w:fill="FFFFFF"/>
        </w:rPr>
        <w:t>ED</w:t>
      </w:r>
      <w:r w:rsidRPr="000632A8">
        <w:rPr>
          <w:rStyle w:val="normaltextrun"/>
          <w:color w:val="000000"/>
          <w:shd w:val="clear" w:color="auto" w:fill="FFFFFF"/>
        </w:rPr>
        <w:t xml:space="preserve"> for use by the CLSD Program staff. </w:t>
      </w:r>
      <w:r w:rsidRPr="00536B56">
        <w:rPr>
          <w:rStyle w:val="normaltextrun"/>
          <w:color w:val="000000" w:themeColor="text1"/>
        </w:rPr>
        <w:t xml:space="preserve">Any information shared with </w:t>
      </w:r>
      <w:r w:rsidRPr="00536B56">
        <w:rPr>
          <w:rStyle w:val="normaltextrun"/>
          <w:color w:val="000000" w:themeColor="text1"/>
        </w:rPr>
        <w:t>grantees</w:t>
      </w:r>
      <w:r w:rsidRPr="00536B56">
        <w:rPr>
          <w:rStyle w:val="normaltextrun"/>
          <w:color w:val="000000" w:themeColor="text1"/>
        </w:rPr>
        <w:t xml:space="preserve"> or the wider field will be presented in the aggregate by cohort and will not name specific SEAs/grantees.</w:t>
      </w:r>
      <w:r w:rsidRPr="00536B56">
        <w:rPr>
          <w:rStyle w:val="eop"/>
          <w:color w:val="000000" w:themeColor="text1"/>
        </w:rPr>
        <w:t> </w:t>
      </w:r>
    </w:p>
    <w:p w:rsidR="00534B4A" w:rsidRPr="00534B4A" w:rsidP="00534B4A" w14:paraId="58CE25DF" w14:textId="77777777">
      <w:pPr>
        <w:tabs>
          <w:tab w:val="left" w:pos="-720"/>
        </w:tabs>
        <w:suppressAutoHyphens/>
        <w:rPr>
          <w:rFonts w:ascii="Times New Roman" w:hAnsi="Times New Roman"/>
          <w:szCs w:val="24"/>
        </w:rPr>
      </w:pPr>
    </w:p>
    <w:p w:rsidR="00043C32"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1056E8" w:rsidP="001056E8" w14:paraId="647F1011" w14:textId="77777777">
      <w:pPr>
        <w:tabs>
          <w:tab w:val="left" w:pos="-720"/>
        </w:tabs>
        <w:suppressAutoHyphens/>
        <w:rPr>
          <w:rStyle w:val="a"/>
          <w:rFonts w:ascii="Times New Roman" w:hAnsi="Times New Roman"/>
          <w:b/>
          <w:szCs w:val="24"/>
        </w:rPr>
      </w:pPr>
    </w:p>
    <w:p w:rsidR="00534B4A" w:rsidRPr="00E56873" w:rsidP="00E56873" w14:paraId="58CE25E2" w14:textId="78CCDBCC">
      <w:pPr>
        <w:spacing w:after="160"/>
        <w:rPr>
          <w:rFonts w:ascii="Times New Roman" w:hAnsi="Times New Roman"/>
          <w:color w:val="000000"/>
          <w:shd w:val="clear" w:color="auto" w:fill="FFFFFF"/>
        </w:rPr>
      </w:pPr>
      <w:r w:rsidRPr="00E56873">
        <w:rPr>
          <w:rFonts w:ascii="Times New Roman" w:hAnsi="Times New Roman"/>
          <w:color w:val="000000"/>
          <w:shd w:val="clear" w:color="auto" w:fill="FFFFFF"/>
        </w:rPr>
        <w:t>The expiration date for OMB approval is to be displayed on all data collection instruments.</w:t>
      </w: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75DD3" w:rsidP="00375DD3" w14:paraId="7B8D2869" w14:textId="77777777">
      <w:pPr>
        <w:tabs>
          <w:tab w:val="left" w:pos="-720"/>
        </w:tabs>
        <w:suppressAutoHyphens/>
        <w:rPr>
          <w:rFonts w:ascii="Times New Roman" w:hAnsi="Times New Roman"/>
          <w:b/>
          <w:szCs w:val="24"/>
        </w:rPr>
      </w:pPr>
    </w:p>
    <w:p w:rsidR="00375DD3" w:rsidRPr="001056E8" w:rsidP="00375DD3" w14:paraId="5C64C6A3" w14:textId="6D361E2E">
      <w:pPr>
        <w:tabs>
          <w:tab w:val="left" w:pos="-720"/>
        </w:tabs>
        <w:suppressAutoHyphens/>
        <w:rPr>
          <w:rFonts w:ascii="Times New Roman" w:hAnsi="Times New Roman"/>
          <w:bCs/>
          <w:szCs w:val="24"/>
        </w:rPr>
      </w:pPr>
      <w:r w:rsidRPr="001056E8">
        <w:rPr>
          <w:rFonts w:ascii="Times New Roman" w:hAnsi="Times New Roman"/>
          <w:bCs/>
          <w:szCs w:val="24"/>
        </w:rPr>
        <w:t>This collection of information involves no exceptions to the Certification for Paperwork Reduction Act Submissions. The certifications are included in this submission.</w:t>
      </w:r>
    </w:p>
    <w:sectPr w:rsidSect="00043C32">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B06" w14:paraId="58CE25E8" w14:textId="77777777">
    <w:pPr>
      <w:spacing w:before="140" w:line="100" w:lineRule="exact"/>
      <w:rPr>
        <w:sz w:val="10"/>
      </w:rPr>
    </w:pPr>
  </w:p>
  <w:p w:rsidR="00192B06" w14:paraId="58CE25E9" w14:textId="77777777">
    <w:pPr>
      <w:tabs>
        <w:tab w:val="left" w:pos="0"/>
      </w:tabs>
      <w:suppressAutoHyphens/>
    </w:pPr>
  </w:p>
  <w:p w:rsidR="00192B06"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92B06"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92B06"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059A" w:rsidP="00043C32" w14:paraId="146EEAA0" w14:textId="77777777">
      <w:r>
        <w:separator/>
      </w:r>
    </w:p>
  </w:footnote>
  <w:footnote w:type="continuationSeparator" w:id="1">
    <w:p w:rsidR="0063059A" w:rsidP="00043C32" w14:paraId="6E77E78B"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9150282">
    <w:abstractNumId w:val="0"/>
  </w:num>
  <w:num w:numId="2" w16cid:durableId="1866554179">
    <w:abstractNumId w:val="2"/>
  </w:num>
  <w:num w:numId="3" w16cid:durableId="2139301312">
    <w:abstractNumId w:val="1"/>
  </w:num>
  <w:num w:numId="4" w16cid:durableId="325406019">
    <w:abstractNumId w:val="3"/>
  </w:num>
  <w:num w:numId="5" w16cid:durableId="825783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1BA"/>
    <w:rsid w:val="00010D85"/>
    <w:rsid w:val="00035ED5"/>
    <w:rsid w:val="00043C32"/>
    <w:rsid w:val="000446F5"/>
    <w:rsid w:val="0005309F"/>
    <w:rsid w:val="000632A8"/>
    <w:rsid w:val="00082CDF"/>
    <w:rsid w:val="00093017"/>
    <w:rsid w:val="00095812"/>
    <w:rsid w:val="000B04A4"/>
    <w:rsid w:val="000E63A7"/>
    <w:rsid w:val="001056E8"/>
    <w:rsid w:val="001824F3"/>
    <w:rsid w:val="00192B06"/>
    <w:rsid w:val="001A6AE0"/>
    <w:rsid w:val="001C73C0"/>
    <w:rsid w:val="001D4351"/>
    <w:rsid w:val="001E5492"/>
    <w:rsid w:val="001E79BD"/>
    <w:rsid w:val="001F3913"/>
    <w:rsid w:val="0020523A"/>
    <w:rsid w:val="002170C0"/>
    <w:rsid w:val="002173D9"/>
    <w:rsid w:val="002225CC"/>
    <w:rsid w:val="00224A3B"/>
    <w:rsid w:val="00231226"/>
    <w:rsid w:val="00240A39"/>
    <w:rsid w:val="00246FE9"/>
    <w:rsid w:val="00250100"/>
    <w:rsid w:val="00262A69"/>
    <w:rsid w:val="00270AF7"/>
    <w:rsid w:val="002A3221"/>
    <w:rsid w:val="002C3520"/>
    <w:rsid w:val="002E14E0"/>
    <w:rsid w:val="002F55E5"/>
    <w:rsid w:val="003011D8"/>
    <w:rsid w:val="0032078A"/>
    <w:rsid w:val="0032539E"/>
    <w:rsid w:val="003264A3"/>
    <w:rsid w:val="00334F23"/>
    <w:rsid w:val="003502AD"/>
    <w:rsid w:val="003629A8"/>
    <w:rsid w:val="00375DD3"/>
    <w:rsid w:val="00377049"/>
    <w:rsid w:val="0038441B"/>
    <w:rsid w:val="003860E4"/>
    <w:rsid w:val="003A352E"/>
    <w:rsid w:val="003B1545"/>
    <w:rsid w:val="003D2D84"/>
    <w:rsid w:val="003E0C08"/>
    <w:rsid w:val="003F3426"/>
    <w:rsid w:val="00405F5A"/>
    <w:rsid w:val="00412915"/>
    <w:rsid w:val="004160C3"/>
    <w:rsid w:val="00442E07"/>
    <w:rsid w:val="00452C44"/>
    <w:rsid w:val="00462A1B"/>
    <w:rsid w:val="004A345F"/>
    <w:rsid w:val="004E1E59"/>
    <w:rsid w:val="0052073E"/>
    <w:rsid w:val="00534B4A"/>
    <w:rsid w:val="00536B56"/>
    <w:rsid w:val="005374D8"/>
    <w:rsid w:val="005463E3"/>
    <w:rsid w:val="00581C11"/>
    <w:rsid w:val="005A45B1"/>
    <w:rsid w:val="00615DEF"/>
    <w:rsid w:val="00625E84"/>
    <w:rsid w:val="0063059A"/>
    <w:rsid w:val="00657AE9"/>
    <w:rsid w:val="006663C3"/>
    <w:rsid w:val="0068567A"/>
    <w:rsid w:val="006A292A"/>
    <w:rsid w:val="006A38F7"/>
    <w:rsid w:val="006A4EBB"/>
    <w:rsid w:val="006A741E"/>
    <w:rsid w:val="006B4172"/>
    <w:rsid w:val="006B74D9"/>
    <w:rsid w:val="006D5747"/>
    <w:rsid w:val="006D5C3B"/>
    <w:rsid w:val="006D7464"/>
    <w:rsid w:val="006E56B6"/>
    <w:rsid w:val="007136CF"/>
    <w:rsid w:val="0074541E"/>
    <w:rsid w:val="007543F1"/>
    <w:rsid w:val="00755D99"/>
    <w:rsid w:val="00756FD3"/>
    <w:rsid w:val="00765392"/>
    <w:rsid w:val="00773785"/>
    <w:rsid w:val="00773DA5"/>
    <w:rsid w:val="00790E3E"/>
    <w:rsid w:val="007A5FAB"/>
    <w:rsid w:val="007C0A4C"/>
    <w:rsid w:val="007C4F66"/>
    <w:rsid w:val="007E7A13"/>
    <w:rsid w:val="007F6104"/>
    <w:rsid w:val="00800D30"/>
    <w:rsid w:val="00807D1A"/>
    <w:rsid w:val="00811C5D"/>
    <w:rsid w:val="00842B1B"/>
    <w:rsid w:val="00847604"/>
    <w:rsid w:val="00872611"/>
    <w:rsid w:val="00872E29"/>
    <w:rsid w:val="00874EFE"/>
    <w:rsid w:val="00882126"/>
    <w:rsid w:val="00887C15"/>
    <w:rsid w:val="008933F1"/>
    <w:rsid w:val="008A6717"/>
    <w:rsid w:val="008D0601"/>
    <w:rsid w:val="008D1F11"/>
    <w:rsid w:val="008E1702"/>
    <w:rsid w:val="008E5919"/>
    <w:rsid w:val="008E7255"/>
    <w:rsid w:val="00903B3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2178"/>
    <w:rsid w:val="009C3300"/>
    <w:rsid w:val="009E0DDA"/>
    <w:rsid w:val="009E316E"/>
    <w:rsid w:val="009E3E86"/>
    <w:rsid w:val="009F3901"/>
    <w:rsid w:val="00A118A2"/>
    <w:rsid w:val="00A23F26"/>
    <w:rsid w:val="00A4001C"/>
    <w:rsid w:val="00A40AAB"/>
    <w:rsid w:val="00A46D01"/>
    <w:rsid w:val="00A70816"/>
    <w:rsid w:val="00A7636D"/>
    <w:rsid w:val="00A9138E"/>
    <w:rsid w:val="00AC1C89"/>
    <w:rsid w:val="00AD381B"/>
    <w:rsid w:val="00AF5B5B"/>
    <w:rsid w:val="00AF5D1A"/>
    <w:rsid w:val="00B017F9"/>
    <w:rsid w:val="00B05220"/>
    <w:rsid w:val="00B07213"/>
    <w:rsid w:val="00B10A05"/>
    <w:rsid w:val="00B33A9F"/>
    <w:rsid w:val="00B54167"/>
    <w:rsid w:val="00B62E06"/>
    <w:rsid w:val="00B64B1D"/>
    <w:rsid w:val="00B85779"/>
    <w:rsid w:val="00B87985"/>
    <w:rsid w:val="00B9671B"/>
    <w:rsid w:val="00BA1D31"/>
    <w:rsid w:val="00BD0BEF"/>
    <w:rsid w:val="00BD7B8F"/>
    <w:rsid w:val="00C03630"/>
    <w:rsid w:val="00C03743"/>
    <w:rsid w:val="00C12529"/>
    <w:rsid w:val="00C164D3"/>
    <w:rsid w:val="00C168BE"/>
    <w:rsid w:val="00C20670"/>
    <w:rsid w:val="00C224FD"/>
    <w:rsid w:val="00C25C44"/>
    <w:rsid w:val="00C5229F"/>
    <w:rsid w:val="00C64D48"/>
    <w:rsid w:val="00C86713"/>
    <w:rsid w:val="00C875E8"/>
    <w:rsid w:val="00C92035"/>
    <w:rsid w:val="00CA40C2"/>
    <w:rsid w:val="00CA4DEF"/>
    <w:rsid w:val="00CC2A72"/>
    <w:rsid w:val="00CC3FB5"/>
    <w:rsid w:val="00CD2067"/>
    <w:rsid w:val="00CD47BC"/>
    <w:rsid w:val="00CE47B9"/>
    <w:rsid w:val="00D34984"/>
    <w:rsid w:val="00D36C35"/>
    <w:rsid w:val="00D75313"/>
    <w:rsid w:val="00D76670"/>
    <w:rsid w:val="00D91DDE"/>
    <w:rsid w:val="00DA0CA9"/>
    <w:rsid w:val="00DB6F22"/>
    <w:rsid w:val="00DC7B56"/>
    <w:rsid w:val="00DD391B"/>
    <w:rsid w:val="00E01F61"/>
    <w:rsid w:val="00E16ACD"/>
    <w:rsid w:val="00E17134"/>
    <w:rsid w:val="00E2130C"/>
    <w:rsid w:val="00E25EBC"/>
    <w:rsid w:val="00E53242"/>
    <w:rsid w:val="00E555BC"/>
    <w:rsid w:val="00E56873"/>
    <w:rsid w:val="00E66550"/>
    <w:rsid w:val="00E877BF"/>
    <w:rsid w:val="00EA1767"/>
    <w:rsid w:val="00EB0929"/>
    <w:rsid w:val="00EB0FA5"/>
    <w:rsid w:val="00EC01DD"/>
    <w:rsid w:val="00EC35E3"/>
    <w:rsid w:val="00ED153B"/>
    <w:rsid w:val="00ED1E00"/>
    <w:rsid w:val="00ED7195"/>
    <w:rsid w:val="00EF537B"/>
    <w:rsid w:val="00F0414F"/>
    <w:rsid w:val="00F04229"/>
    <w:rsid w:val="00F2209F"/>
    <w:rsid w:val="00F27AAF"/>
    <w:rsid w:val="00F31BEC"/>
    <w:rsid w:val="00F50431"/>
    <w:rsid w:val="00F544A4"/>
    <w:rsid w:val="00F5782B"/>
    <w:rsid w:val="00F64E2A"/>
    <w:rsid w:val="00F719A3"/>
    <w:rsid w:val="00F73131"/>
    <w:rsid w:val="00FA64AB"/>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73785"/>
    <w:rPr>
      <w:rFonts w:ascii="Courier" w:hAnsi="Courier"/>
      <w:sz w:val="24"/>
    </w:rPr>
  </w:style>
  <w:style w:type="table" w:customStyle="1" w:styleId="TableGrid1">
    <w:name w:val="Table Grid1"/>
    <w:basedOn w:val="TableNormal"/>
    <w:next w:val="TableGrid"/>
    <w:uiPriority w:val="59"/>
    <w:rsid w:val="00462A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77049"/>
  </w:style>
  <w:style w:type="character" w:customStyle="1" w:styleId="eop">
    <w:name w:val="eop"/>
    <w:basedOn w:val="DefaultParagraphFont"/>
    <w:rsid w:val="00377049"/>
  </w:style>
  <w:style w:type="paragraph" w:customStyle="1" w:styleId="paragraph">
    <w:name w:val="paragraph"/>
    <w:basedOn w:val="Normal"/>
    <w:rsid w:val="00377049"/>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geographies/reference-files/2010/geo/state-area.html" TargetMode="External" /><Relationship Id="rId11" Type="http://schemas.openxmlformats.org/officeDocument/2006/relationships/hyperlink" Target="https://www.bls.gov/oes/current/oes_nat.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ces.ed.gov/c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2023-12-13T20:58:00Z</dcterms:created>
  <dcterms:modified xsi:type="dcterms:W3CDTF">2023-12-13T20:58:00Z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