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0E9C" w:rsidP="00F00E9C" w14:paraId="3D2882C1" w14:textId="77777777">
      <w:pPr>
        <w:pStyle w:val="Title"/>
        <w:rPr>
          <w:b/>
        </w:rPr>
      </w:pPr>
      <w:r>
        <w:rPr>
          <w:b/>
        </w:rPr>
        <w:t>Public Burden Statement</w:t>
      </w:r>
    </w:p>
    <w:p w:rsidR="00F00E9C" w:rsidP="00F00E9C" w14:paraId="562D0618" w14:textId="77777777">
      <w:pPr>
        <w:jc w:val="both"/>
      </w:pPr>
    </w:p>
    <w:p w:rsidR="00F00E9C" w:rsidP="00F00E9C" w14:paraId="54B5D142" w14:textId="08364EBF">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140641">
        <w:t>1820-0682.</w:t>
      </w:r>
      <w:r w:rsidRPr="0075044B">
        <w:t xml:space="preserve">  Public reporting burden for this collection of information is estimated to average </w:t>
      </w:r>
      <w:r>
        <w:t>6 hours</w:t>
      </w:r>
      <w:r w:rsidRPr="0075044B">
        <w:t xml:space="preserve"> per response, including time for reviewing instructions, searching existing data sources, </w:t>
      </w:r>
      <w:r w:rsidRPr="0075044B">
        <w:t>gathering</w:t>
      </w:r>
      <w:r w:rsidRPr="0075044B">
        <w:t xml:space="preserve"> and maintaining the data needed, and completing and reviewing the collection of information.  The obligation to respond to this collection is </w:t>
      </w:r>
      <w:r w:rsidRPr="00DB6375">
        <w:t>required to obtain or retain benefit</w:t>
      </w:r>
      <w:r w:rsidRPr="00DB6375">
        <w:rPr>
          <w:i/>
          <w:iCs/>
        </w:rPr>
        <w:t xml:space="preserve"> </w:t>
      </w:r>
      <w:r w:rsidRPr="00DB6375">
        <w:t xml:space="preserve">under 20 U.S.C. section 1400 et. </w:t>
      </w:r>
      <w:r w:rsidRPr="00DB6375">
        <w:t>seq..</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rsidR="004438F5">
        <w:t>Diana Yu (</w:t>
      </w:r>
      <w:hyperlink r:id="rId7" w:history="1">
        <w:r w:rsidRPr="0051481C" w:rsidR="004438F5">
          <w:rPr>
            <w:rStyle w:val="Hyperlink"/>
          </w:rPr>
          <w:t>diana.yu@ed.gov</w:t>
        </w:r>
      </w:hyperlink>
      <w:r w:rsidR="004438F5">
        <w:t xml:space="preserve">) </w:t>
      </w:r>
      <w:r w:rsidRPr="00481531">
        <w:t>directly.</w:t>
      </w:r>
    </w:p>
    <w:p w:rsidR="00F00E9C" w:rsidP="00F00E9C" w14:paraId="7E3D7499" w14:textId="77777777"/>
    <w:p w:rsidR="00F00E9C" w:rsidP="00F00E9C" w14:paraId="521F823C" w14:textId="77777777"/>
    <w:p w:rsidR="00A610F9" w:rsidP="00F00E9C" w14:paraId="45EE61DB" w14:textId="16AEFCA8">
      <w:r>
        <w:t>The chart catalogs tho</w:t>
      </w:r>
      <w:r w:rsidR="00396D9D">
        <w:t xml:space="preserve">se IDEA Part C requirements that State Part C lead agencies </w:t>
      </w:r>
      <w:r w:rsidR="008B32EE">
        <w:t xml:space="preserve">and early intervention services programs must compile, retain, and make available, as appropriate. </w:t>
      </w:r>
      <w:r w:rsidR="003530CE">
        <w:t>The Federal government does not collect this information.</w:t>
      </w:r>
    </w:p>
    <w:p w:rsidR="00A610F9" w14:paraId="05837240" w14:textId="77777777"/>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1800"/>
        <w:gridCol w:w="1440"/>
        <w:gridCol w:w="1260"/>
        <w:gridCol w:w="1080"/>
      </w:tblGrid>
      <w:tr w14:paraId="71C55E65" w14:textId="77777777" w:rsidTr="00327BFE">
        <w:tblPrEx>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3960" w:type="dxa"/>
          </w:tcPr>
          <w:p w:rsidR="00A732C8" w:rsidP="003F4115" w14:paraId="5DC7582B" w14:textId="77777777">
            <w:pPr>
              <w:spacing w:before="120" w:after="120"/>
              <w:jc w:val="center"/>
              <w:rPr>
                <w:rFonts w:cs="Arial"/>
                <w:b/>
                <w:bCs/>
                <w:szCs w:val="20"/>
              </w:rPr>
            </w:pPr>
            <w:r>
              <w:rPr>
                <w:rFonts w:cs="Arial"/>
                <w:b/>
                <w:bCs/>
                <w:szCs w:val="20"/>
              </w:rPr>
              <w:t>Collection</w:t>
            </w:r>
          </w:p>
        </w:tc>
        <w:tc>
          <w:tcPr>
            <w:tcW w:w="1800" w:type="dxa"/>
          </w:tcPr>
          <w:p w:rsidR="00A732C8" w:rsidP="003F4115" w14:paraId="438E49D4" w14:textId="77777777">
            <w:pPr>
              <w:spacing w:before="120" w:after="120"/>
              <w:jc w:val="center"/>
              <w:rPr>
                <w:rFonts w:cs="Arial"/>
                <w:b/>
                <w:bCs/>
                <w:szCs w:val="20"/>
              </w:rPr>
            </w:pPr>
            <w:r>
              <w:rPr>
                <w:rFonts w:cs="Arial"/>
                <w:b/>
                <w:bCs/>
                <w:szCs w:val="20"/>
              </w:rPr>
              <w:t>Respondents, Frequency, Burden</w:t>
            </w:r>
          </w:p>
        </w:tc>
        <w:tc>
          <w:tcPr>
            <w:tcW w:w="1440" w:type="dxa"/>
          </w:tcPr>
          <w:p w:rsidR="00A732C8" w:rsidP="003F4115" w14:paraId="44B32C8C" w14:textId="77777777">
            <w:pPr>
              <w:spacing w:before="120" w:after="120"/>
              <w:jc w:val="center"/>
              <w:rPr>
                <w:rFonts w:cs="Arial"/>
                <w:b/>
                <w:bCs/>
                <w:szCs w:val="20"/>
              </w:rPr>
            </w:pPr>
            <w:r>
              <w:rPr>
                <w:rFonts w:cs="Arial"/>
                <w:b/>
                <w:bCs/>
                <w:szCs w:val="20"/>
              </w:rPr>
              <w:t>Total Annual Burden Hours</w:t>
            </w:r>
          </w:p>
        </w:tc>
        <w:tc>
          <w:tcPr>
            <w:tcW w:w="1260" w:type="dxa"/>
          </w:tcPr>
          <w:p w:rsidR="00A732C8" w:rsidP="003F4115" w14:paraId="28C0CB3B" w14:textId="77777777">
            <w:pPr>
              <w:spacing w:before="120" w:after="120"/>
              <w:jc w:val="center"/>
              <w:rPr>
                <w:rFonts w:cs="Arial"/>
                <w:b/>
                <w:bCs/>
                <w:szCs w:val="20"/>
              </w:rPr>
            </w:pPr>
            <w:r>
              <w:rPr>
                <w:rFonts w:cs="Arial"/>
                <w:b/>
                <w:bCs/>
                <w:szCs w:val="20"/>
              </w:rPr>
              <w:t xml:space="preserve">Cost Burden Estimate </w:t>
            </w:r>
          </w:p>
        </w:tc>
        <w:tc>
          <w:tcPr>
            <w:tcW w:w="1080" w:type="dxa"/>
          </w:tcPr>
          <w:p w:rsidR="00A732C8" w:rsidP="003F4115" w14:paraId="07415E25" w14:textId="77777777">
            <w:pPr>
              <w:spacing w:before="120" w:after="120"/>
              <w:jc w:val="center"/>
              <w:rPr>
                <w:rFonts w:cs="Arial"/>
                <w:b/>
                <w:bCs/>
                <w:szCs w:val="20"/>
              </w:rPr>
            </w:pPr>
            <w:r>
              <w:rPr>
                <w:rFonts w:cs="Arial"/>
                <w:b/>
                <w:bCs/>
                <w:szCs w:val="20"/>
              </w:rPr>
              <w:t>Total Cost</w:t>
            </w:r>
          </w:p>
        </w:tc>
      </w:tr>
      <w:tr w14:paraId="0EC35D21" w14:textId="77777777" w:rsidTr="00327BFE">
        <w:tblPrEx>
          <w:tblW w:w="9540" w:type="dxa"/>
          <w:tblInd w:w="-95" w:type="dxa"/>
          <w:tblLayout w:type="fixed"/>
          <w:tblLook w:val="0000"/>
        </w:tblPrEx>
        <w:tc>
          <w:tcPr>
            <w:tcW w:w="3960" w:type="dxa"/>
          </w:tcPr>
          <w:p w:rsidR="00A732C8" w:rsidP="003F4115" w14:paraId="3BC3484B" w14:textId="77777777">
            <w:pPr>
              <w:spacing w:before="120" w:after="120"/>
              <w:rPr>
                <w:szCs w:val="20"/>
              </w:rPr>
            </w:pPr>
            <w:r>
              <w:rPr>
                <w:i/>
                <w:szCs w:val="20"/>
              </w:rPr>
              <w:t>Free and low-cost legal services</w:t>
            </w:r>
            <w:r>
              <w:rPr>
                <w:szCs w:val="20"/>
              </w:rPr>
              <w:t xml:space="preserve">.  Each Part C LA in FFY 2006 received an average of approximately XX complaints.  In FFY 2005, 15 LAs or 27% of States adopted Part B due process procedures for Part C and thus would have had to provide parents with this list of free and </w:t>
            </w:r>
            <w:r>
              <w:rPr>
                <w:szCs w:val="20"/>
              </w:rPr>
              <w:t>low cost</w:t>
            </w:r>
            <w:r>
              <w:rPr>
                <w:szCs w:val="20"/>
              </w:rPr>
              <w:t xml:space="preserve"> services.  The data burden is expected to require an average of 30 minutes per hearing request to inform parents of the availability of low-cost legal services.</w:t>
            </w:r>
          </w:p>
        </w:tc>
        <w:tc>
          <w:tcPr>
            <w:tcW w:w="1800" w:type="dxa"/>
          </w:tcPr>
          <w:p w:rsidR="00A732C8" w:rsidP="003F4115" w14:paraId="4DB94BF9" w14:textId="77777777">
            <w:pPr>
              <w:pStyle w:val="Footer"/>
              <w:tabs>
                <w:tab w:val="clear" w:pos="4320"/>
                <w:tab w:val="clear" w:pos="8640"/>
              </w:tabs>
              <w:spacing w:before="120" w:after="120"/>
              <w:rPr>
                <w:rFonts w:cs="Arial"/>
                <w:szCs w:val="20"/>
              </w:rPr>
            </w:pPr>
            <w:r>
              <w:rPr>
                <w:rFonts w:cs="Arial"/>
                <w:szCs w:val="20"/>
              </w:rPr>
              <w:t>45 State due process complaints x .5 (hrs.)</w:t>
            </w:r>
          </w:p>
        </w:tc>
        <w:tc>
          <w:tcPr>
            <w:tcW w:w="1440" w:type="dxa"/>
          </w:tcPr>
          <w:p w:rsidR="00A732C8" w:rsidP="003F4115" w14:paraId="58A46A6B" w14:textId="77777777">
            <w:pPr>
              <w:pStyle w:val="Footer"/>
              <w:tabs>
                <w:tab w:val="clear" w:pos="4320"/>
                <w:tab w:val="clear" w:pos="8640"/>
              </w:tabs>
              <w:spacing w:before="120" w:after="120"/>
              <w:rPr>
                <w:rFonts w:cs="Arial"/>
                <w:szCs w:val="20"/>
              </w:rPr>
            </w:pPr>
            <w:r>
              <w:rPr>
                <w:rFonts w:cs="Arial"/>
                <w:szCs w:val="20"/>
              </w:rPr>
              <w:t>22.5</w:t>
            </w:r>
          </w:p>
        </w:tc>
        <w:tc>
          <w:tcPr>
            <w:tcW w:w="1260" w:type="dxa"/>
          </w:tcPr>
          <w:p w:rsidR="00A732C8" w:rsidP="003F4115" w14:paraId="36937858" w14:textId="77777777">
            <w:pPr>
              <w:pStyle w:val="Footer"/>
              <w:tabs>
                <w:tab w:val="clear" w:pos="4320"/>
                <w:tab w:val="clear" w:pos="8640"/>
              </w:tabs>
              <w:spacing w:before="120" w:after="120"/>
              <w:rPr>
                <w:rFonts w:cs="Arial"/>
                <w:szCs w:val="20"/>
              </w:rPr>
            </w:pPr>
            <w:r>
              <w:rPr>
                <w:rFonts w:cs="Arial"/>
                <w:szCs w:val="20"/>
              </w:rPr>
              <w:t>22.5 x $22</w:t>
            </w:r>
          </w:p>
        </w:tc>
        <w:tc>
          <w:tcPr>
            <w:tcW w:w="1080" w:type="dxa"/>
          </w:tcPr>
          <w:p w:rsidR="00A732C8" w:rsidP="003F4115" w14:paraId="527C89E8" w14:textId="77777777">
            <w:pPr>
              <w:pStyle w:val="Footer"/>
              <w:tabs>
                <w:tab w:val="clear" w:pos="4320"/>
                <w:tab w:val="clear" w:pos="8640"/>
              </w:tabs>
              <w:spacing w:before="120" w:after="120"/>
              <w:rPr>
                <w:rFonts w:cs="Arial"/>
                <w:szCs w:val="20"/>
              </w:rPr>
            </w:pPr>
            <w:r>
              <w:rPr>
                <w:rFonts w:cs="Arial"/>
                <w:szCs w:val="20"/>
              </w:rPr>
              <w:t>$495</w:t>
            </w:r>
          </w:p>
        </w:tc>
      </w:tr>
      <w:tr w14:paraId="1D5C2A1F" w14:textId="77777777" w:rsidTr="00327BFE">
        <w:tblPrEx>
          <w:tblW w:w="9540" w:type="dxa"/>
          <w:tblInd w:w="-95" w:type="dxa"/>
          <w:tblLayout w:type="fixed"/>
          <w:tblLook w:val="0000"/>
        </w:tblPrEx>
        <w:tc>
          <w:tcPr>
            <w:tcW w:w="3960" w:type="dxa"/>
          </w:tcPr>
          <w:p w:rsidR="00A732C8" w:rsidP="003F4115" w14:paraId="77D87847" w14:textId="77777777">
            <w:pPr>
              <w:spacing w:before="120" w:after="120"/>
              <w:rPr>
                <w:szCs w:val="20"/>
              </w:rPr>
            </w:pPr>
            <w:r>
              <w:rPr>
                <w:i/>
                <w:szCs w:val="20"/>
              </w:rPr>
              <w:t>List of mediators.</w:t>
            </w:r>
            <w:r>
              <w:rPr>
                <w:szCs w:val="20"/>
              </w:rPr>
              <w:t xml:space="preserve">  There are 56 State- level record keepers who must maintain a list of mediators.  It is estimated to take approximately three hours annually for record keepers to update and maintain the lists.  </w:t>
            </w:r>
          </w:p>
        </w:tc>
        <w:tc>
          <w:tcPr>
            <w:tcW w:w="1800" w:type="dxa"/>
          </w:tcPr>
          <w:p w:rsidR="00A732C8" w:rsidP="003F4115" w14:paraId="468B2BF6" w14:textId="77777777">
            <w:pPr>
              <w:pStyle w:val="Footer"/>
              <w:tabs>
                <w:tab w:val="clear" w:pos="4320"/>
                <w:tab w:val="clear" w:pos="8640"/>
              </w:tabs>
              <w:spacing w:before="120" w:after="120"/>
              <w:rPr>
                <w:rFonts w:cs="Arial"/>
                <w:szCs w:val="20"/>
              </w:rPr>
            </w:pPr>
            <w:r>
              <w:rPr>
                <w:rFonts w:cs="Arial"/>
                <w:szCs w:val="20"/>
              </w:rPr>
              <w:t>56 State LA record keepers x 3 (</w:t>
            </w:r>
            <w:r>
              <w:rPr>
                <w:rFonts w:cs="Arial"/>
                <w:szCs w:val="20"/>
              </w:rPr>
              <w:t>hrs</w:t>
            </w:r>
            <w:r>
              <w:rPr>
                <w:rFonts w:cs="Arial"/>
                <w:szCs w:val="20"/>
              </w:rPr>
              <w:t xml:space="preserve">) </w:t>
            </w:r>
          </w:p>
        </w:tc>
        <w:tc>
          <w:tcPr>
            <w:tcW w:w="1440" w:type="dxa"/>
          </w:tcPr>
          <w:p w:rsidR="00A732C8" w:rsidP="003F4115" w14:paraId="6422530F" w14:textId="77777777">
            <w:pPr>
              <w:pStyle w:val="Footer"/>
              <w:tabs>
                <w:tab w:val="clear" w:pos="4320"/>
                <w:tab w:val="clear" w:pos="8640"/>
              </w:tabs>
              <w:spacing w:before="120" w:after="120"/>
              <w:rPr>
                <w:rFonts w:cs="Arial"/>
                <w:szCs w:val="20"/>
              </w:rPr>
            </w:pPr>
            <w:r>
              <w:rPr>
                <w:rFonts w:cs="Arial"/>
                <w:szCs w:val="20"/>
              </w:rPr>
              <w:t>168</w:t>
            </w:r>
          </w:p>
        </w:tc>
        <w:tc>
          <w:tcPr>
            <w:tcW w:w="1260" w:type="dxa"/>
          </w:tcPr>
          <w:p w:rsidR="00A732C8" w:rsidP="003F4115" w14:paraId="13D9465C" w14:textId="77777777">
            <w:pPr>
              <w:pStyle w:val="Footer"/>
              <w:tabs>
                <w:tab w:val="clear" w:pos="4320"/>
                <w:tab w:val="clear" w:pos="8640"/>
              </w:tabs>
              <w:spacing w:before="120" w:after="120"/>
              <w:rPr>
                <w:rFonts w:cs="Arial"/>
                <w:szCs w:val="20"/>
              </w:rPr>
            </w:pPr>
            <w:r>
              <w:rPr>
                <w:rFonts w:cs="Arial"/>
                <w:szCs w:val="20"/>
              </w:rPr>
              <w:t xml:space="preserve">168 x $22 </w:t>
            </w:r>
          </w:p>
        </w:tc>
        <w:tc>
          <w:tcPr>
            <w:tcW w:w="1080" w:type="dxa"/>
          </w:tcPr>
          <w:p w:rsidR="00A732C8" w:rsidP="003F4115" w14:paraId="116CFE15" w14:textId="77777777">
            <w:pPr>
              <w:pStyle w:val="Footer"/>
              <w:tabs>
                <w:tab w:val="clear" w:pos="4320"/>
                <w:tab w:val="clear" w:pos="8640"/>
              </w:tabs>
              <w:spacing w:before="120" w:after="120"/>
              <w:rPr>
                <w:rFonts w:cs="Arial"/>
                <w:szCs w:val="20"/>
              </w:rPr>
            </w:pPr>
            <w:r>
              <w:rPr>
                <w:rFonts w:cs="Arial"/>
                <w:szCs w:val="20"/>
              </w:rPr>
              <w:t>$3,696</w:t>
            </w:r>
          </w:p>
        </w:tc>
      </w:tr>
      <w:tr w14:paraId="2B4FC2A1" w14:textId="77777777" w:rsidTr="00327BFE">
        <w:tblPrEx>
          <w:tblW w:w="9540" w:type="dxa"/>
          <w:tblInd w:w="-95" w:type="dxa"/>
          <w:tblLayout w:type="fixed"/>
          <w:tblLook w:val="0000"/>
        </w:tblPrEx>
        <w:tc>
          <w:tcPr>
            <w:tcW w:w="3960" w:type="dxa"/>
          </w:tcPr>
          <w:p w:rsidR="00A732C8" w:rsidP="003F4115" w14:paraId="73C8AD77" w14:textId="77777777">
            <w:pPr>
              <w:spacing w:before="120" w:after="120"/>
              <w:rPr>
                <w:i/>
                <w:szCs w:val="20"/>
              </w:rPr>
            </w:pPr>
            <w:r>
              <w:rPr>
                <w:i/>
                <w:szCs w:val="20"/>
              </w:rPr>
              <w:t xml:space="preserve">List of hearing officers. </w:t>
            </w:r>
            <w:r>
              <w:rPr>
                <w:iCs/>
                <w:szCs w:val="20"/>
              </w:rPr>
              <w:t xml:space="preserve">Approximately 15 </w:t>
            </w:r>
            <w:r>
              <w:rPr>
                <w:szCs w:val="20"/>
              </w:rPr>
              <w:t>States have adopted Part B due process procedures for Part C.  The LAs in these States must maintain a list of individuals who serve as hearing officers, along with the qualifications of each of the individuals.  It is estimated to take approximately three hours annually for record keepers to update and maintain the lists.</w:t>
            </w:r>
          </w:p>
        </w:tc>
        <w:tc>
          <w:tcPr>
            <w:tcW w:w="1800" w:type="dxa"/>
          </w:tcPr>
          <w:p w:rsidR="00A732C8" w:rsidP="003F4115" w14:paraId="74B3B5FF" w14:textId="77777777">
            <w:pPr>
              <w:spacing w:before="120" w:after="120"/>
              <w:rPr>
                <w:rFonts w:cs="Arial"/>
                <w:szCs w:val="20"/>
              </w:rPr>
            </w:pPr>
            <w:r>
              <w:rPr>
                <w:rFonts w:cs="Arial"/>
                <w:szCs w:val="20"/>
              </w:rPr>
              <w:t>15 State LA record keepers x 3 (</w:t>
            </w:r>
            <w:r>
              <w:rPr>
                <w:rFonts w:cs="Arial"/>
                <w:szCs w:val="20"/>
              </w:rPr>
              <w:t>hrs</w:t>
            </w:r>
            <w:r>
              <w:rPr>
                <w:rFonts w:cs="Arial"/>
                <w:szCs w:val="20"/>
              </w:rPr>
              <w:t>)</w:t>
            </w:r>
          </w:p>
        </w:tc>
        <w:tc>
          <w:tcPr>
            <w:tcW w:w="1440" w:type="dxa"/>
          </w:tcPr>
          <w:p w:rsidR="00A732C8" w:rsidP="003F4115" w14:paraId="2D59FCF0" w14:textId="77777777">
            <w:pPr>
              <w:pStyle w:val="Footer"/>
              <w:tabs>
                <w:tab w:val="clear" w:pos="4320"/>
                <w:tab w:val="clear" w:pos="8640"/>
              </w:tabs>
              <w:spacing w:before="120" w:after="120"/>
              <w:rPr>
                <w:rFonts w:cs="Arial"/>
                <w:szCs w:val="20"/>
              </w:rPr>
            </w:pPr>
            <w:r>
              <w:rPr>
                <w:rFonts w:cs="Arial"/>
                <w:szCs w:val="20"/>
              </w:rPr>
              <w:t>45</w:t>
            </w:r>
          </w:p>
        </w:tc>
        <w:tc>
          <w:tcPr>
            <w:tcW w:w="1260" w:type="dxa"/>
          </w:tcPr>
          <w:p w:rsidR="00A732C8" w:rsidP="003F4115" w14:paraId="70493C0E" w14:textId="77777777">
            <w:pPr>
              <w:spacing w:before="120" w:after="120"/>
              <w:rPr>
                <w:rFonts w:cs="Arial"/>
                <w:szCs w:val="20"/>
              </w:rPr>
            </w:pPr>
            <w:r>
              <w:rPr>
                <w:rFonts w:cs="Arial"/>
                <w:szCs w:val="20"/>
              </w:rPr>
              <w:t>45 x $22</w:t>
            </w:r>
          </w:p>
        </w:tc>
        <w:tc>
          <w:tcPr>
            <w:tcW w:w="1080" w:type="dxa"/>
          </w:tcPr>
          <w:p w:rsidR="00A732C8" w:rsidP="003F4115" w14:paraId="4491E01E" w14:textId="77777777">
            <w:pPr>
              <w:spacing w:before="120" w:after="120"/>
              <w:rPr>
                <w:rFonts w:cs="Arial"/>
                <w:szCs w:val="20"/>
              </w:rPr>
            </w:pPr>
            <w:r>
              <w:rPr>
                <w:rFonts w:cs="Arial"/>
                <w:szCs w:val="20"/>
              </w:rPr>
              <w:t>$990</w:t>
            </w:r>
          </w:p>
        </w:tc>
      </w:tr>
      <w:tr w14:paraId="3999B717" w14:textId="77777777" w:rsidTr="00327BFE">
        <w:tblPrEx>
          <w:tblW w:w="9540" w:type="dxa"/>
          <w:tblInd w:w="-95" w:type="dxa"/>
          <w:tblLayout w:type="fixed"/>
          <w:tblLook w:val="0000"/>
        </w:tblPrEx>
        <w:tc>
          <w:tcPr>
            <w:tcW w:w="3960" w:type="dxa"/>
          </w:tcPr>
          <w:p w:rsidR="00A732C8" w:rsidP="003F4115" w14:paraId="2DEA6B43" w14:textId="77777777">
            <w:pPr>
              <w:spacing w:before="120" w:after="120"/>
              <w:rPr>
                <w:szCs w:val="20"/>
              </w:rPr>
            </w:pPr>
            <w:r>
              <w:rPr>
                <w:i/>
                <w:szCs w:val="20"/>
              </w:rPr>
              <w:t>State complaint procedures</w:t>
            </w:r>
            <w:r>
              <w:rPr>
                <w:szCs w:val="20"/>
              </w:rPr>
              <w:t>.  Each of the 56 State LAs process, on average, 3 complaints annually.  It takes an average of about 24 hours for a State LA to issue a written decision to a complaint.</w:t>
            </w:r>
          </w:p>
        </w:tc>
        <w:tc>
          <w:tcPr>
            <w:tcW w:w="1800" w:type="dxa"/>
          </w:tcPr>
          <w:p w:rsidR="00A732C8" w:rsidP="003F4115" w14:paraId="1521BBD7" w14:textId="77777777">
            <w:pPr>
              <w:spacing w:before="120" w:after="120"/>
              <w:rPr>
                <w:rFonts w:cs="Arial"/>
                <w:szCs w:val="20"/>
              </w:rPr>
            </w:pPr>
            <w:r>
              <w:rPr>
                <w:rFonts w:cs="Arial"/>
                <w:szCs w:val="20"/>
              </w:rPr>
              <w:t>56 LA respondents x 3 complaints = 168 x 24 hrs.</w:t>
            </w:r>
          </w:p>
        </w:tc>
        <w:tc>
          <w:tcPr>
            <w:tcW w:w="1440" w:type="dxa"/>
          </w:tcPr>
          <w:p w:rsidR="00A732C8" w:rsidP="003F4115" w14:paraId="4A2FDA0E" w14:textId="77777777">
            <w:pPr>
              <w:pStyle w:val="Footer"/>
              <w:tabs>
                <w:tab w:val="clear" w:pos="4320"/>
                <w:tab w:val="clear" w:pos="8640"/>
              </w:tabs>
              <w:spacing w:before="120" w:after="120"/>
              <w:rPr>
                <w:rFonts w:cs="Arial"/>
                <w:szCs w:val="20"/>
              </w:rPr>
            </w:pPr>
            <w:r>
              <w:rPr>
                <w:rFonts w:cs="Arial"/>
                <w:szCs w:val="20"/>
              </w:rPr>
              <w:t>4032</w:t>
            </w:r>
          </w:p>
        </w:tc>
        <w:tc>
          <w:tcPr>
            <w:tcW w:w="1260" w:type="dxa"/>
          </w:tcPr>
          <w:p w:rsidR="00A732C8" w:rsidP="003F4115" w14:paraId="28CD38B5" w14:textId="77777777">
            <w:pPr>
              <w:spacing w:before="120" w:after="120"/>
              <w:rPr>
                <w:rFonts w:cs="Arial"/>
                <w:szCs w:val="20"/>
              </w:rPr>
            </w:pPr>
            <w:r>
              <w:rPr>
                <w:rFonts w:cs="Arial"/>
                <w:szCs w:val="20"/>
              </w:rPr>
              <w:t xml:space="preserve">4032 x $22 </w:t>
            </w:r>
          </w:p>
        </w:tc>
        <w:tc>
          <w:tcPr>
            <w:tcW w:w="1080" w:type="dxa"/>
          </w:tcPr>
          <w:p w:rsidR="00A732C8" w:rsidP="003F4115" w14:paraId="640547A0" w14:textId="77777777">
            <w:pPr>
              <w:spacing w:before="120" w:after="120"/>
              <w:rPr>
                <w:rFonts w:cs="Arial"/>
                <w:szCs w:val="20"/>
              </w:rPr>
            </w:pPr>
            <w:r>
              <w:rPr>
                <w:rFonts w:cs="Arial"/>
                <w:szCs w:val="20"/>
              </w:rPr>
              <w:t>$88,704</w:t>
            </w:r>
          </w:p>
        </w:tc>
      </w:tr>
      <w:tr w14:paraId="5768F01A" w14:textId="77777777" w:rsidTr="00327BFE">
        <w:tblPrEx>
          <w:tblW w:w="9540" w:type="dxa"/>
          <w:tblInd w:w="-95" w:type="dxa"/>
          <w:tblLayout w:type="fixed"/>
          <w:tblLook w:val="0000"/>
        </w:tblPrEx>
        <w:tc>
          <w:tcPr>
            <w:tcW w:w="3960" w:type="dxa"/>
          </w:tcPr>
          <w:p w:rsidR="00A732C8" w:rsidP="003F4115" w14:paraId="5911D1C2" w14:textId="77777777">
            <w:pPr>
              <w:spacing w:after="120"/>
              <w:rPr>
                <w:b/>
                <w:szCs w:val="20"/>
              </w:rPr>
            </w:pPr>
            <w:r>
              <w:rPr>
                <w:b/>
                <w:szCs w:val="20"/>
              </w:rPr>
              <w:t>TOTAL BURDEN</w:t>
            </w:r>
          </w:p>
        </w:tc>
        <w:tc>
          <w:tcPr>
            <w:tcW w:w="1800" w:type="dxa"/>
          </w:tcPr>
          <w:p w:rsidR="00A732C8" w:rsidP="003F4115" w14:paraId="1BA8E89A" w14:textId="77777777">
            <w:pPr>
              <w:spacing w:after="120"/>
              <w:rPr>
                <w:rFonts w:cs="Arial"/>
                <w:b/>
                <w:bCs/>
                <w:szCs w:val="20"/>
              </w:rPr>
            </w:pPr>
          </w:p>
        </w:tc>
        <w:tc>
          <w:tcPr>
            <w:tcW w:w="1440" w:type="dxa"/>
          </w:tcPr>
          <w:p w:rsidR="00A732C8" w:rsidP="003F4115" w14:paraId="39F02FB7" w14:textId="77777777">
            <w:pPr>
              <w:spacing w:after="120"/>
              <w:rPr>
                <w:rFonts w:cs="Arial"/>
                <w:b/>
                <w:bCs/>
                <w:szCs w:val="20"/>
              </w:rPr>
            </w:pPr>
            <w:r>
              <w:rPr>
                <w:rFonts w:cs="Arial"/>
                <w:b/>
                <w:bCs/>
                <w:szCs w:val="20"/>
              </w:rPr>
              <w:t>4,267.5</w:t>
            </w:r>
          </w:p>
        </w:tc>
        <w:tc>
          <w:tcPr>
            <w:tcW w:w="1260" w:type="dxa"/>
          </w:tcPr>
          <w:p w:rsidR="00A732C8" w:rsidP="003F4115" w14:paraId="4E635C2B" w14:textId="77777777">
            <w:pPr>
              <w:spacing w:after="120"/>
              <w:rPr>
                <w:rFonts w:cs="Arial"/>
                <w:b/>
                <w:bCs/>
                <w:szCs w:val="20"/>
              </w:rPr>
            </w:pPr>
          </w:p>
        </w:tc>
        <w:tc>
          <w:tcPr>
            <w:tcW w:w="1080" w:type="dxa"/>
          </w:tcPr>
          <w:p w:rsidR="00A732C8" w:rsidP="003F4115" w14:paraId="54D3AB8C" w14:textId="77777777">
            <w:pPr>
              <w:spacing w:after="120"/>
              <w:rPr>
                <w:rFonts w:cs="Arial"/>
                <w:b/>
                <w:bCs/>
                <w:szCs w:val="20"/>
              </w:rPr>
            </w:pPr>
            <w:r>
              <w:rPr>
                <w:rFonts w:cs="Arial"/>
                <w:b/>
                <w:bCs/>
                <w:szCs w:val="20"/>
              </w:rPr>
              <w:t>$93,885</w:t>
            </w:r>
          </w:p>
        </w:tc>
      </w:tr>
    </w:tbl>
    <w:p w:rsidR="00BF1E5F" w14:paraId="69E679E4"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10F9" w14:paraId="131CD704" w14:textId="22DCFF65">
    <w:pPr>
      <w:pStyle w:val="Header"/>
    </w:pPr>
    <w:r>
      <w:t>1820-068</w:t>
    </w:r>
    <w:r w:rsidR="00FC464E">
      <w:t xml:space="preserve">2: </w:t>
    </w:r>
    <w:r w:rsidR="004A0029">
      <w:t>State and EIS Record Keeping and Reporting Requi</w:t>
    </w:r>
    <w:r w:rsidR="00FA515C">
      <w:t>rements</w:t>
    </w:r>
    <w:r w:rsidR="00FB65D9">
      <w:t xml:space="preserve"> Under Part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89"/>
    <w:rsid w:val="00045167"/>
    <w:rsid w:val="00140641"/>
    <w:rsid w:val="00327BFE"/>
    <w:rsid w:val="003530CE"/>
    <w:rsid w:val="00396D9D"/>
    <w:rsid w:val="003F4115"/>
    <w:rsid w:val="004438F5"/>
    <w:rsid w:val="00481531"/>
    <w:rsid w:val="004A0029"/>
    <w:rsid w:val="0051481C"/>
    <w:rsid w:val="00520FBE"/>
    <w:rsid w:val="005C5989"/>
    <w:rsid w:val="0075044B"/>
    <w:rsid w:val="008B32EE"/>
    <w:rsid w:val="00A610F9"/>
    <w:rsid w:val="00A732C8"/>
    <w:rsid w:val="00AF2EA5"/>
    <w:rsid w:val="00BF1E5F"/>
    <w:rsid w:val="00C3190A"/>
    <w:rsid w:val="00DB6375"/>
    <w:rsid w:val="00E02816"/>
    <w:rsid w:val="00F00E9C"/>
    <w:rsid w:val="00FA515C"/>
    <w:rsid w:val="00FB65D9"/>
    <w:rsid w:val="00FC46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5F23C"/>
  <w15:chartTrackingRefBased/>
  <w15:docId w15:val="{B1B3F96C-2201-475A-BB6B-6B5BE96F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32C8"/>
    <w:pPr>
      <w:tabs>
        <w:tab w:val="center" w:pos="4320"/>
        <w:tab w:val="right" w:pos="8640"/>
      </w:tabs>
    </w:pPr>
  </w:style>
  <w:style w:type="character" w:customStyle="1" w:styleId="FooterChar">
    <w:name w:val="Footer Char"/>
    <w:basedOn w:val="DefaultParagraphFont"/>
    <w:link w:val="Footer"/>
    <w:rsid w:val="00A732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10F9"/>
    <w:pPr>
      <w:tabs>
        <w:tab w:val="center" w:pos="4680"/>
        <w:tab w:val="right" w:pos="9360"/>
      </w:tabs>
    </w:pPr>
  </w:style>
  <w:style w:type="character" w:customStyle="1" w:styleId="HeaderChar">
    <w:name w:val="Header Char"/>
    <w:basedOn w:val="DefaultParagraphFont"/>
    <w:link w:val="Header"/>
    <w:uiPriority w:val="99"/>
    <w:rsid w:val="00A610F9"/>
    <w:rPr>
      <w:rFonts w:ascii="Times New Roman" w:eastAsia="Times New Roman" w:hAnsi="Times New Roman" w:cs="Times New Roman"/>
      <w:sz w:val="24"/>
      <w:szCs w:val="24"/>
    </w:rPr>
  </w:style>
  <w:style w:type="paragraph" w:styleId="Title">
    <w:name w:val="Title"/>
    <w:basedOn w:val="Normal"/>
    <w:link w:val="TitleChar"/>
    <w:qFormat/>
    <w:rsid w:val="00F00E9C"/>
    <w:pPr>
      <w:jc w:val="center"/>
    </w:pPr>
    <w:rPr>
      <w:szCs w:val="20"/>
    </w:rPr>
  </w:style>
  <w:style w:type="character" w:customStyle="1" w:styleId="TitleChar">
    <w:name w:val="Title Char"/>
    <w:basedOn w:val="DefaultParagraphFont"/>
    <w:link w:val="Title"/>
    <w:rsid w:val="00F00E9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438F5"/>
    <w:rPr>
      <w:color w:val="0563C1" w:themeColor="hyperlink"/>
      <w:u w:val="single"/>
    </w:rPr>
  </w:style>
  <w:style w:type="character" w:styleId="UnresolvedMention">
    <w:name w:val="Unresolved Mention"/>
    <w:basedOn w:val="DefaultParagraphFont"/>
    <w:uiPriority w:val="99"/>
    <w:semiHidden/>
    <w:unhideWhenUsed/>
    <w:rsid w:val="0044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iana.yu@ed.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23999d-55bb-4b1f-885e-83712e5c49df">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E7717F94A9B47B67BC10AE3D60E79" ma:contentTypeVersion="16" ma:contentTypeDescription="Create a new document." ma:contentTypeScope="" ma:versionID="dd9409057c46a1f615be1391d20b99ba">
  <xsd:schema xmlns:xsd="http://www.w3.org/2001/XMLSchema" xmlns:xs="http://www.w3.org/2001/XMLSchema" xmlns:p="http://schemas.microsoft.com/office/2006/metadata/properties" xmlns:ns2="dd23999d-55bb-4b1f-885e-83712e5c49df" xmlns:ns3="ffcb171c-5eb6-4b7e-bff7-850b4441ed9e" xmlns:ns4="2a2db8c4-56ab-4882-a5d0-0fe8165c6658" targetNamespace="http://schemas.microsoft.com/office/2006/metadata/properties" ma:root="true" ma:fieldsID="75a6688f528bb4a09f4b539791b6d154" ns2:_="" ns3:_="" ns4:_="">
    <xsd:import namespace="dd23999d-55bb-4b1f-885e-83712e5c49df"/>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999d-55bb-4b1f-885e-83712e5c4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d407d4-f511-45e5-b994-35b7527a2573}"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2B9C0-146E-46EB-B808-793AD4669C1A}">
  <ds:schemaRefs>
    <ds:schemaRef ds:uri="http://schemas.microsoft.com/sharepoint/v3/contenttype/forms"/>
  </ds:schemaRefs>
</ds:datastoreItem>
</file>

<file path=customXml/itemProps2.xml><?xml version="1.0" encoding="utf-8"?>
<ds:datastoreItem xmlns:ds="http://schemas.openxmlformats.org/officeDocument/2006/customXml" ds:itemID="{A511145F-D8BB-4543-A9E2-3135E3F5531D}">
  <ds:schemaRefs>
    <ds:schemaRef ds:uri="http://schemas.microsoft.com/office/2006/metadata/properties"/>
    <ds:schemaRef ds:uri="http://schemas.microsoft.com/office/infopath/2007/PartnerControls"/>
    <ds:schemaRef ds:uri="dd23999d-55bb-4b1f-885e-83712e5c49df"/>
    <ds:schemaRef ds:uri="2a2db8c4-56ab-4882-a5d0-0fe8165c6658"/>
  </ds:schemaRefs>
</ds:datastoreItem>
</file>

<file path=customXml/itemProps3.xml><?xml version="1.0" encoding="utf-8"?>
<ds:datastoreItem xmlns:ds="http://schemas.openxmlformats.org/officeDocument/2006/customXml" ds:itemID="{C8200DDA-F9BC-4C25-AB73-2A2BAF895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999d-55bb-4b1f-885e-83712e5c49d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Walawender, Rebecca</dc:creator>
  <cp:lastModifiedBy>Mullan, Kate</cp:lastModifiedBy>
  <cp:revision>2</cp:revision>
  <dcterms:created xsi:type="dcterms:W3CDTF">2023-09-11T12:39:00Z</dcterms:created>
  <dcterms:modified xsi:type="dcterms:W3CDTF">2023-09-11T12:39:00Z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0x010100A36E7717F94A9B47B67BC10AE3D60E79</vt:lpwstr>
  </property>
</Properties>
</file>