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4.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6B08" w:rsidRPr="0087051E" w:rsidP="0087051E" w14:paraId="2F6286F6" w14:textId="39F0E2A1">
      <w:pPr>
        <w:pStyle w:val="Title"/>
      </w:pPr>
      <w:r>
        <w:t xml:space="preserve">Supporting </w:t>
      </w:r>
      <w:r>
        <w:t>Statement</w:t>
      </w:r>
      <w:r>
        <w:t xml:space="preserve"> A</w:t>
      </w:r>
    </w:p>
    <w:p w:rsidR="00AA021F" w14:paraId="0A71120D" w14:textId="77777777">
      <w:r>
        <w:br w:type="page"/>
      </w:r>
    </w:p>
    <w:sdt>
      <w:sdtPr>
        <w:rPr>
          <w:rFonts w:ascii="Times New Roman" w:hAnsi="Times New Roman" w:eastAsiaTheme="minorHAnsi" w:cstheme="minorBidi"/>
          <w:color w:val="auto"/>
          <w:sz w:val="22"/>
          <w:szCs w:val="22"/>
        </w:rPr>
        <w:id w:val="1605017080"/>
        <w:docPartObj>
          <w:docPartGallery w:val="Table of Contents"/>
          <w:docPartUnique/>
        </w:docPartObj>
      </w:sdtPr>
      <w:sdtContent>
        <w:p w:rsidR="004648B6" w14:paraId="01762A92" w14:textId="68A5B6CA">
          <w:pPr>
            <w:pStyle w:val="TOCHeading"/>
          </w:pPr>
          <w:r>
            <w:t>Table of Contents</w:t>
          </w:r>
        </w:p>
        <w:p w:rsidR="0014726F" w14:paraId="2DBDF74A" w14:textId="155C0447">
          <w:pPr>
            <w:pStyle w:val="TOC1"/>
            <w:tabs>
              <w:tab w:val="right" w:leader="dot" w:pos="9350"/>
            </w:tabs>
            <w:rPr>
              <w:rFonts w:asciiTheme="minorHAnsi" w:eastAsiaTheme="minorEastAsia" w:hAnsiTheme="minorHAnsi"/>
              <w:noProof/>
            </w:rPr>
          </w:pPr>
          <w:r>
            <w:fldChar w:fldCharType="begin"/>
          </w:r>
          <w:r>
            <w:instrText>TOC \o "1-3" \h \z \u</w:instrText>
          </w:r>
          <w:r>
            <w:fldChar w:fldCharType="separate"/>
          </w:r>
          <w:hyperlink w:anchor="_Toc116659881" w:history="1">
            <w:r w:rsidRPr="00FD6A28">
              <w:rPr>
                <w:rStyle w:val="Hyperlink"/>
                <w:noProof/>
              </w:rPr>
              <w:t>Justification</w:t>
            </w:r>
            <w:r>
              <w:rPr>
                <w:noProof/>
                <w:webHidden/>
              </w:rPr>
              <w:tab/>
            </w:r>
            <w:r>
              <w:rPr>
                <w:noProof/>
                <w:webHidden/>
              </w:rPr>
              <w:fldChar w:fldCharType="begin"/>
            </w:r>
            <w:r>
              <w:rPr>
                <w:noProof/>
                <w:webHidden/>
              </w:rPr>
              <w:instrText xml:space="preserve"> PAGEREF _Toc116659881 \h </w:instrText>
            </w:r>
            <w:r>
              <w:rPr>
                <w:noProof/>
                <w:webHidden/>
              </w:rPr>
              <w:fldChar w:fldCharType="separate"/>
            </w:r>
            <w:r>
              <w:rPr>
                <w:noProof/>
                <w:webHidden/>
              </w:rPr>
              <w:t>3</w:t>
            </w:r>
            <w:r>
              <w:rPr>
                <w:noProof/>
                <w:webHidden/>
              </w:rPr>
              <w:fldChar w:fldCharType="end"/>
            </w:r>
          </w:hyperlink>
        </w:p>
        <w:p w:rsidR="0014726F" w14:paraId="6BC48B0D" w14:textId="438FE85E">
          <w:pPr>
            <w:pStyle w:val="TOC2"/>
            <w:tabs>
              <w:tab w:val="left" w:pos="660"/>
              <w:tab w:val="right" w:leader="dot" w:pos="9350"/>
            </w:tabs>
            <w:rPr>
              <w:rFonts w:asciiTheme="minorHAnsi" w:eastAsiaTheme="minorEastAsia" w:hAnsiTheme="minorHAnsi"/>
              <w:noProof/>
            </w:rPr>
          </w:pPr>
          <w:hyperlink w:anchor="_Toc116659882" w:history="1">
            <w:r w:rsidRPr="00FD6A28">
              <w:rPr>
                <w:rStyle w:val="Hyperlink"/>
                <w:noProof/>
              </w:rPr>
              <w:t>1.</w:t>
            </w:r>
            <w:r>
              <w:rPr>
                <w:rFonts w:asciiTheme="minorHAnsi" w:eastAsiaTheme="minorEastAsia" w:hAnsiTheme="minorHAnsi"/>
                <w:noProof/>
              </w:rPr>
              <w:tab/>
            </w:r>
            <w:r w:rsidRPr="00FD6A28">
              <w:rPr>
                <w:rStyle w:val="Hyperlink"/>
                <w:noProof/>
              </w:rPr>
              <w:t>Circumstances Necessitating Collection of Information</w:t>
            </w:r>
            <w:r>
              <w:rPr>
                <w:noProof/>
                <w:webHidden/>
              </w:rPr>
              <w:tab/>
            </w:r>
            <w:r>
              <w:rPr>
                <w:noProof/>
                <w:webHidden/>
              </w:rPr>
              <w:fldChar w:fldCharType="begin"/>
            </w:r>
            <w:r>
              <w:rPr>
                <w:noProof/>
                <w:webHidden/>
              </w:rPr>
              <w:instrText xml:space="preserve"> PAGEREF _Toc116659882 \h </w:instrText>
            </w:r>
            <w:r>
              <w:rPr>
                <w:noProof/>
                <w:webHidden/>
              </w:rPr>
              <w:fldChar w:fldCharType="separate"/>
            </w:r>
            <w:r>
              <w:rPr>
                <w:noProof/>
                <w:webHidden/>
              </w:rPr>
              <w:t>3</w:t>
            </w:r>
            <w:r>
              <w:rPr>
                <w:noProof/>
                <w:webHidden/>
              </w:rPr>
              <w:fldChar w:fldCharType="end"/>
            </w:r>
          </w:hyperlink>
        </w:p>
        <w:p w:rsidR="0014726F" w14:paraId="6E176243" w14:textId="738F3A10">
          <w:pPr>
            <w:pStyle w:val="TOC2"/>
            <w:tabs>
              <w:tab w:val="right" w:leader="dot" w:pos="9350"/>
            </w:tabs>
            <w:rPr>
              <w:rFonts w:asciiTheme="minorHAnsi" w:eastAsiaTheme="minorEastAsia" w:hAnsiTheme="minorHAnsi"/>
              <w:noProof/>
            </w:rPr>
          </w:pPr>
          <w:hyperlink w:anchor="_Toc116659883" w:history="1">
            <w:r w:rsidRPr="00FD6A28">
              <w:rPr>
                <w:rStyle w:val="Hyperlink"/>
                <w:noProof/>
              </w:rPr>
              <w:t>Statement of Need</w:t>
            </w:r>
            <w:r>
              <w:rPr>
                <w:noProof/>
                <w:webHidden/>
              </w:rPr>
              <w:tab/>
            </w:r>
            <w:r>
              <w:rPr>
                <w:noProof/>
                <w:webHidden/>
              </w:rPr>
              <w:fldChar w:fldCharType="begin"/>
            </w:r>
            <w:r>
              <w:rPr>
                <w:noProof/>
                <w:webHidden/>
              </w:rPr>
              <w:instrText xml:space="preserve"> PAGEREF _Toc116659883 \h </w:instrText>
            </w:r>
            <w:r>
              <w:rPr>
                <w:noProof/>
                <w:webHidden/>
              </w:rPr>
              <w:fldChar w:fldCharType="separate"/>
            </w:r>
            <w:r>
              <w:rPr>
                <w:noProof/>
                <w:webHidden/>
              </w:rPr>
              <w:t>3</w:t>
            </w:r>
            <w:r>
              <w:rPr>
                <w:noProof/>
                <w:webHidden/>
              </w:rPr>
              <w:fldChar w:fldCharType="end"/>
            </w:r>
          </w:hyperlink>
        </w:p>
        <w:p w:rsidR="0014726F" w14:paraId="12219DF4" w14:textId="6771DEC9">
          <w:pPr>
            <w:pStyle w:val="TOC2"/>
            <w:tabs>
              <w:tab w:val="right" w:leader="dot" w:pos="9350"/>
            </w:tabs>
            <w:rPr>
              <w:rFonts w:asciiTheme="minorHAnsi" w:eastAsiaTheme="minorEastAsia" w:hAnsiTheme="minorHAnsi"/>
              <w:noProof/>
            </w:rPr>
          </w:pPr>
          <w:hyperlink w:anchor="_Toc116659884" w:history="1">
            <w:r w:rsidRPr="00FD6A28">
              <w:rPr>
                <w:rStyle w:val="Hyperlink"/>
                <w:noProof/>
              </w:rPr>
              <w:t>Overview of Study Design</w:t>
            </w:r>
            <w:r>
              <w:rPr>
                <w:noProof/>
                <w:webHidden/>
              </w:rPr>
              <w:tab/>
            </w:r>
            <w:r>
              <w:rPr>
                <w:noProof/>
                <w:webHidden/>
              </w:rPr>
              <w:fldChar w:fldCharType="begin"/>
            </w:r>
            <w:r>
              <w:rPr>
                <w:noProof/>
                <w:webHidden/>
              </w:rPr>
              <w:instrText xml:space="preserve"> PAGEREF _Toc116659884 \h </w:instrText>
            </w:r>
            <w:r>
              <w:rPr>
                <w:noProof/>
                <w:webHidden/>
              </w:rPr>
              <w:fldChar w:fldCharType="separate"/>
            </w:r>
            <w:r>
              <w:rPr>
                <w:noProof/>
                <w:webHidden/>
              </w:rPr>
              <w:t>5</w:t>
            </w:r>
            <w:r>
              <w:rPr>
                <w:noProof/>
                <w:webHidden/>
              </w:rPr>
              <w:fldChar w:fldCharType="end"/>
            </w:r>
          </w:hyperlink>
        </w:p>
        <w:p w:rsidR="0014726F" w14:paraId="2EB545A0" w14:textId="6F69F23B">
          <w:pPr>
            <w:pStyle w:val="TOC2"/>
            <w:tabs>
              <w:tab w:val="right" w:leader="dot" w:pos="9350"/>
            </w:tabs>
            <w:rPr>
              <w:rFonts w:asciiTheme="minorHAnsi" w:eastAsiaTheme="minorEastAsia" w:hAnsiTheme="minorHAnsi"/>
              <w:noProof/>
            </w:rPr>
          </w:pPr>
          <w:hyperlink w:anchor="_Toc116659885" w:history="1">
            <w:r w:rsidRPr="00FD6A28">
              <w:rPr>
                <w:rStyle w:val="Hyperlink"/>
                <w:noProof/>
              </w:rPr>
              <w:t>Overview of Data Collection</w:t>
            </w:r>
            <w:r>
              <w:rPr>
                <w:noProof/>
                <w:webHidden/>
              </w:rPr>
              <w:tab/>
            </w:r>
            <w:r>
              <w:rPr>
                <w:noProof/>
                <w:webHidden/>
              </w:rPr>
              <w:fldChar w:fldCharType="begin"/>
            </w:r>
            <w:r>
              <w:rPr>
                <w:noProof/>
                <w:webHidden/>
              </w:rPr>
              <w:instrText xml:space="preserve"> PAGEREF _Toc116659885 \h </w:instrText>
            </w:r>
            <w:r>
              <w:rPr>
                <w:noProof/>
                <w:webHidden/>
              </w:rPr>
              <w:fldChar w:fldCharType="separate"/>
            </w:r>
            <w:r>
              <w:rPr>
                <w:noProof/>
                <w:webHidden/>
              </w:rPr>
              <w:t>8</w:t>
            </w:r>
            <w:r>
              <w:rPr>
                <w:noProof/>
                <w:webHidden/>
              </w:rPr>
              <w:fldChar w:fldCharType="end"/>
            </w:r>
          </w:hyperlink>
        </w:p>
        <w:p w:rsidR="0014726F" w14:paraId="7B3CD680" w14:textId="2C216783">
          <w:pPr>
            <w:pStyle w:val="TOC2"/>
            <w:tabs>
              <w:tab w:val="left" w:pos="660"/>
              <w:tab w:val="right" w:leader="dot" w:pos="9350"/>
            </w:tabs>
            <w:rPr>
              <w:rFonts w:asciiTheme="minorHAnsi" w:eastAsiaTheme="minorEastAsia" w:hAnsiTheme="minorHAnsi"/>
              <w:noProof/>
            </w:rPr>
          </w:pPr>
          <w:hyperlink w:anchor="_Toc116659886" w:history="1">
            <w:r w:rsidRPr="00FD6A28">
              <w:rPr>
                <w:rStyle w:val="Hyperlink"/>
                <w:noProof/>
              </w:rPr>
              <w:t>2.</w:t>
            </w:r>
            <w:r>
              <w:rPr>
                <w:rFonts w:asciiTheme="minorHAnsi" w:eastAsiaTheme="minorEastAsia" w:hAnsiTheme="minorHAnsi"/>
                <w:noProof/>
              </w:rPr>
              <w:tab/>
            </w:r>
            <w:r w:rsidRPr="00FD6A28">
              <w:rPr>
                <w:rStyle w:val="Hyperlink"/>
                <w:noProof/>
              </w:rPr>
              <w:t>How, by Whom, and for What Purpose Information Is to Be Used</w:t>
            </w:r>
            <w:r>
              <w:rPr>
                <w:noProof/>
                <w:webHidden/>
              </w:rPr>
              <w:tab/>
            </w:r>
            <w:r>
              <w:rPr>
                <w:noProof/>
                <w:webHidden/>
              </w:rPr>
              <w:fldChar w:fldCharType="begin"/>
            </w:r>
            <w:r>
              <w:rPr>
                <w:noProof/>
                <w:webHidden/>
              </w:rPr>
              <w:instrText xml:space="preserve"> PAGEREF _Toc116659886 \h </w:instrText>
            </w:r>
            <w:r>
              <w:rPr>
                <w:noProof/>
                <w:webHidden/>
              </w:rPr>
              <w:fldChar w:fldCharType="separate"/>
            </w:r>
            <w:r>
              <w:rPr>
                <w:noProof/>
                <w:webHidden/>
              </w:rPr>
              <w:t>9</w:t>
            </w:r>
            <w:r>
              <w:rPr>
                <w:noProof/>
                <w:webHidden/>
              </w:rPr>
              <w:fldChar w:fldCharType="end"/>
            </w:r>
          </w:hyperlink>
        </w:p>
        <w:p w:rsidR="0014726F" w14:paraId="67FDE25C" w14:textId="60DAAC8B">
          <w:pPr>
            <w:pStyle w:val="TOC2"/>
            <w:tabs>
              <w:tab w:val="left" w:pos="660"/>
              <w:tab w:val="right" w:leader="dot" w:pos="9350"/>
            </w:tabs>
            <w:rPr>
              <w:rFonts w:asciiTheme="minorHAnsi" w:eastAsiaTheme="minorEastAsia" w:hAnsiTheme="minorHAnsi"/>
              <w:noProof/>
            </w:rPr>
          </w:pPr>
          <w:hyperlink w:anchor="_Toc116659887" w:history="1">
            <w:r w:rsidRPr="00FD6A28">
              <w:rPr>
                <w:rStyle w:val="Hyperlink"/>
                <w:noProof/>
              </w:rPr>
              <w:t>3.</w:t>
            </w:r>
            <w:r>
              <w:rPr>
                <w:rFonts w:asciiTheme="minorHAnsi" w:eastAsiaTheme="minorEastAsia" w:hAnsiTheme="minorHAnsi"/>
                <w:noProof/>
              </w:rPr>
              <w:tab/>
            </w:r>
            <w:r w:rsidRPr="00FD6A28">
              <w:rPr>
                <w:rStyle w:val="Hyperlink"/>
                <w:noProof/>
              </w:rPr>
              <w:t>Use of Automated, Electronic, Mechanical, or Other Technological Collection Techniques</w:t>
            </w:r>
            <w:r>
              <w:rPr>
                <w:noProof/>
                <w:webHidden/>
              </w:rPr>
              <w:tab/>
            </w:r>
            <w:r>
              <w:rPr>
                <w:noProof/>
                <w:webHidden/>
              </w:rPr>
              <w:fldChar w:fldCharType="begin"/>
            </w:r>
            <w:r>
              <w:rPr>
                <w:noProof/>
                <w:webHidden/>
              </w:rPr>
              <w:instrText xml:space="preserve"> PAGEREF _Toc116659887 \h </w:instrText>
            </w:r>
            <w:r>
              <w:rPr>
                <w:noProof/>
                <w:webHidden/>
              </w:rPr>
              <w:fldChar w:fldCharType="separate"/>
            </w:r>
            <w:r>
              <w:rPr>
                <w:noProof/>
                <w:webHidden/>
              </w:rPr>
              <w:t>9</w:t>
            </w:r>
            <w:r>
              <w:rPr>
                <w:noProof/>
                <w:webHidden/>
              </w:rPr>
              <w:fldChar w:fldCharType="end"/>
            </w:r>
          </w:hyperlink>
        </w:p>
        <w:p w:rsidR="0014726F" w14:paraId="11E1D8FD" w14:textId="37F0FF43">
          <w:pPr>
            <w:pStyle w:val="TOC2"/>
            <w:tabs>
              <w:tab w:val="left" w:pos="660"/>
              <w:tab w:val="right" w:leader="dot" w:pos="9350"/>
            </w:tabs>
            <w:rPr>
              <w:rFonts w:asciiTheme="minorHAnsi" w:eastAsiaTheme="minorEastAsia" w:hAnsiTheme="minorHAnsi"/>
              <w:noProof/>
            </w:rPr>
          </w:pPr>
          <w:hyperlink w:anchor="_Toc116659888" w:history="1">
            <w:r w:rsidRPr="00FD6A28">
              <w:rPr>
                <w:rStyle w:val="Hyperlink"/>
                <w:noProof/>
              </w:rPr>
              <w:t>4.</w:t>
            </w:r>
            <w:r>
              <w:rPr>
                <w:rFonts w:asciiTheme="minorHAnsi" w:eastAsiaTheme="minorEastAsia" w:hAnsiTheme="minorHAnsi"/>
                <w:noProof/>
              </w:rPr>
              <w:tab/>
            </w:r>
            <w:r w:rsidRPr="00FD6A28">
              <w:rPr>
                <w:rStyle w:val="Hyperlink"/>
                <w:noProof/>
              </w:rPr>
              <w:t>Efforts to Avoid Duplication of Effort</w:t>
            </w:r>
            <w:r>
              <w:rPr>
                <w:noProof/>
                <w:webHidden/>
              </w:rPr>
              <w:tab/>
            </w:r>
            <w:r>
              <w:rPr>
                <w:noProof/>
                <w:webHidden/>
              </w:rPr>
              <w:fldChar w:fldCharType="begin"/>
            </w:r>
            <w:r>
              <w:rPr>
                <w:noProof/>
                <w:webHidden/>
              </w:rPr>
              <w:instrText xml:space="preserve"> PAGEREF _Toc116659888 \h </w:instrText>
            </w:r>
            <w:r>
              <w:rPr>
                <w:noProof/>
                <w:webHidden/>
              </w:rPr>
              <w:fldChar w:fldCharType="separate"/>
            </w:r>
            <w:r>
              <w:rPr>
                <w:noProof/>
                <w:webHidden/>
              </w:rPr>
              <w:t>10</w:t>
            </w:r>
            <w:r>
              <w:rPr>
                <w:noProof/>
                <w:webHidden/>
              </w:rPr>
              <w:fldChar w:fldCharType="end"/>
            </w:r>
          </w:hyperlink>
        </w:p>
        <w:p w:rsidR="0014726F" w14:paraId="204E152A" w14:textId="7AEA87DC">
          <w:pPr>
            <w:pStyle w:val="TOC2"/>
            <w:tabs>
              <w:tab w:val="left" w:pos="660"/>
              <w:tab w:val="right" w:leader="dot" w:pos="9350"/>
            </w:tabs>
            <w:rPr>
              <w:rFonts w:asciiTheme="minorHAnsi" w:eastAsiaTheme="minorEastAsia" w:hAnsiTheme="minorHAnsi"/>
              <w:noProof/>
            </w:rPr>
          </w:pPr>
          <w:hyperlink w:anchor="_Toc116659889" w:history="1">
            <w:r w:rsidRPr="00FD6A28">
              <w:rPr>
                <w:rStyle w:val="Hyperlink"/>
                <w:noProof/>
              </w:rPr>
              <w:t>5.</w:t>
            </w:r>
            <w:r>
              <w:rPr>
                <w:rFonts w:asciiTheme="minorHAnsi" w:eastAsiaTheme="minorEastAsia" w:hAnsiTheme="minorHAnsi"/>
                <w:noProof/>
              </w:rPr>
              <w:tab/>
            </w:r>
            <w:r w:rsidRPr="00FD6A28">
              <w:rPr>
                <w:rStyle w:val="Hyperlink"/>
                <w:noProof/>
              </w:rPr>
              <w:t>Sensitivity to Burden on Small Entities</w:t>
            </w:r>
            <w:r>
              <w:rPr>
                <w:noProof/>
                <w:webHidden/>
              </w:rPr>
              <w:tab/>
            </w:r>
            <w:r>
              <w:rPr>
                <w:noProof/>
                <w:webHidden/>
              </w:rPr>
              <w:fldChar w:fldCharType="begin"/>
            </w:r>
            <w:r>
              <w:rPr>
                <w:noProof/>
                <w:webHidden/>
              </w:rPr>
              <w:instrText xml:space="preserve"> PAGEREF _Toc116659889 \h </w:instrText>
            </w:r>
            <w:r>
              <w:rPr>
                <w:noProof/>
                <w:webHidden/>
              </w:rPr>
              <w:fldChar w:fldCharType="separate"/>
            </w:r>
            <w:r>
              <w:rPr>
                <w:noProof/>
                <w:webHidden/>
              </w:rPr>
              <w:t>10</w:t>
            </w:r>
            <w:r>
              <w:rPr>
                <w:noProof/>
                <w:webHidden/>
              </w:rPr>
              <w:fldChar w:fldCharType="end"/>
            </w:r>
          </w:hyperlink>
        </w:p>
        <w:p w:rsidR="0014726F" w14:paraId="6E8EA906" w14:textId="259783E0">
          <w:pPr>
            <w:pStyle w:val="TOC2"/>
            <w:tabs>
              <w:tab w:val="left" w:pos="660"/>
              <w:tab w:val="right" w:leader="dot" w:pos="9350"/>
            </w:tabs>
            <w:rPr>
              <w:rFonts w:asciiTheme="minorHAnsi" w:eastAsiaTheme="minorEastAsia" w:hAnsiTheme="minorHAnsi"/>
              <w:noProof/>
            </w:rPr>
          </w:pPr>
          <w:hyperlink w:anchor="_Toc116659890" w:history="1">
            <w:r w:rsidRPr="00FD6A28">
              <w:rPr>
                <w:rStyle w:val="Hyperlink"/>
                <w:noProof/>
              </w:rPr>
              <w:t>6.</w:t>
            </w:r>
            <w:r>
              <w:rPr>
                <w:rFonts w:asciiTheme="minorHAnsi" w:eastAsiaTheme="minorEastAsia" w:hAnsiTheme="minorHAnsi"/>
                <w:noProof/>
              </w:rPr>
              <w:tab/>
            </w:r>
            <w:r w:rsidRPr="00FD6A28">
              <w:rPr>
                <w:rStyle w:val="Hyperlink"/>
                <w:noProof/>
              </w:rPr>
              <w:t>Consequences to Federal Program or Policy Activities if the Collection Is Not Conducted or Is Conducted Less Frequently Than Proposed</w:t>
            </w:r>
            <w:r>
              <w:rPr>
                <w:noProof/>
                <w:webHidden/>
              </w:rPr>
              <w:tab/>
            </w:r>
            <w:r>
              <w:rPr>
                <w:noProof/>
                <w:webHidden/>
              </w:rPr>
              <w:fldChar w:fldCharType="begin"/>
            </w:r>
            <w:r>
              <w:rPr>
                <w:noProof/>
                <w:webHidden/>
              </w:rPr>
              <w:instrText xml:space="preserve"> PAGEREF _Toc116659890 \h </w:instrText>
            </w:r>
            <w:r>
              <w:rPr>
                <w:noProof/>
                <w:webHidden/>
              </w:rPr>
              <w:fldChar w:fldCharType="separate"/>
            </w:r>
            <w:r>
              <w:rPr>
                <w:noProof/>
                <w:webHidden/>
              </w:rPr>
              <w:t>10</w:t>
            </w:r>
            <w:r>
              <w:rPr>
                <w:noProof/>
                <w:webHidden/>
              </w:rPr>
              <w:fldChar w:fldCharType="end"/>
            </w:r>
          </w:hyperlink>
        </w:p>
        <w:p w:rsidR="0014726F" w14:paraId="71F730EE" w14:textId="111D727E">
          <w:pPr>
            <w:pStyle w:val="TOC2"/>
            <w:tabs>
              <w:tab w:val="left" w:pos="660"/>
              <w:tab w:val="right" w:leader="dot" w:pos="9350"/>
            </w:tabs>
            <w:rPr>
              <w:rFonts w:asciiTheme="minorHAnsi" w:eastAsiaTheme="minorEastAsia" w:hAnsiTheme="minorHAnsi"/>
              <w:noProof/>
            </w:rPr>
          </w:pPr>
          <w:hyperlink w:anchor="_Toc116659891" w:history="1">
            <w:r w:rsidRPr="00FD6A28">
              <w:rPr>
                <w:rStyle w:val="Hyperlink"/>
                <w:noProof/>
              </w:rPr>
              <w:t>7.</w:t>
            </w:r>
            <w:r>
              <w:rPr>
                <w:rFonts w:asciiTheme="minorHAnsi" w:eastAsiaTheme="minorEastAsia" w:hAnsiTheme="minorHAnsi"/>
                <w:noProof/>
              </w:rPr>
              <w:tab/>
            </w:r>
            <w:r w:rsidRPr="00FD6A28">
              <w:rPr>
                <w:rStyle w:val="Hyperlink"/>
                <w:noProof/>
              </w:rPr>
              <w:t>Special Circumstances</w:t>
            </w:r>
            <w:r>
              <w:rPr>
                <w:noProof/>
                <w:webHidden/>
              </w:rPr>
              <w:tab/>
            </w:r>
            <w:r>
              <w:rPr>
                <w:noProof/>
                <w:webHidden/>
              </w:rPr>
              <w:fldChar w:fldCharType="begin"/>
            </w:r>
            <w:r>
              <w:rPr>
                <w:noProof/>
                <w:webHidden/>
              </w:rPr>
              <w:instrText xml:space="preserve"> PAGEREF _Toc116659891 \h </w:instrText>
            </w:r>
            <w:r>
              <w:rPr>
                <w:noProof/>
                <w:webHidden/>
              </w:rPr>
              <w:fldChar w:fldCharType="separate"/>
            </w:r>
            <w:r>
              <w:rPr>
                <w:noProof/>
                <w:webHidden/>
              </w:rPr>
              <w:t>11</w:t>
            </w:r>
            <w:r>
              <w:rPr>
                <w:noProof/>
                <w:webHidden/>
              </w:rPr>
              <w:fldChar w:fldCharType="end"/>
            </w:r>
          </w:hyperlink>
        </w:p>
        <w:p w:rsidR="0014726F" w14:paraId="331D0E14" w14:textId="362471F3">
          <w:pPr>
            <w:pStyle w:val="TOC2"/>
            <w:tabs>
              <w:tab w:val="left" w:pos="660"/>
              <w:tab w:val="right" w:leader="dot" w:pos="9350"/>
            </w:tabs>
            <w:rPr>
              <w:rFonts w:asciiTheme="minorHAnsi" w:eastAsiaTheme="minorEastAsia" w:hAnsiTheme="minorHAnsi"/>
              <w:noProof/>
            </w:rPr>
          </w:pPr>
          <w:hyperlink w:anchor="_Toc116659892" w:history="1">
            <w:r w:rsidRPr="00FD6A28">
              <w:rPr>
                <w:rStyle w:val="Hyperlink"/>
                <w:noProof/>
              </w:rPr>
              <w:t>8.</w:t>
            </w:r>
            <w:r>
              <w:rPr>
                <w:rFonts w:asciiTheme="minorHAnsi" w:eastAsiaTheme="minorEastAsia" w:hAnsiTheme="minorHAnsi"/>
                <w:noProof/>
              </w:rPr>
              <w:tab/>
            </w:r>
            <w:r w:rsidRPr="00FD6A28">
              <w:rPr>
                <w:rStyle w:val="Hyperlink"/>
                <w:noProof/>
              </w:rPr>
              <w:t>Federal Register Announcement and Consultation</w:t>
            </w:r>
            <w:r>
              <w:rPr>
                <w:noProof/>
                <w:webHidden/>
              </w:rPr>
              <w:tab/>
            </w:r>
            <w:r>
              <w:rPr>
                <w:noProof/>
                <w:webHidden/>
              </w:rPr>
              <w:fldChar w:fldCharType="begin"/>
            </w:r>
            <w:r>
              <w:rPr>
                <w:noProof/>
                <w:webHidden/>
              </w:rPr>
              <w:instrText xml:space="preserve"> PAGEREF _Toc116659892 \h </w:instrText>
            </w:r>
            <w:r>
              <w:rPr>
                <w:noProof/>
                <w:webHidden/>
              </w:rPr>
              <w:fldChar w:fldCharType="separate"/>
            </w:r>
            <w:r>
              <w:rPr>
                <w:noProof/>
                <w:webHidden/>
              </w:rPr>
              <w:t>11</w:t>
            </w:r>
            <w:r>
              <w:rPr>
                <w:noProof/>
                <w:webHidden/>
              </w:rPr>
              <w:fldChar w:fldCharType="end"/>
            </w:r>
          </w:hyperlink>
        </w:p>
        <w:p w:rsidR="0014726F" w14:paraId="7CB1D33A" w14:textId="6F320DED">
          <w:pPr>
            <w:pStyle w:val="TOC2"/>
            <w:tabs>
              <w:tab w:val="left" w:pos="660"/>
              <w:tab w:val="right" w:leader="dot" w:pos="9350"/>
            </w:tabs>
            <w:rPr>
              <w:rFonts w:asciiTheme="minorHAnsi" w:eastAsiaTheme="minorEastAsia" w:hAnsiTheme="minorHAnsi"/>
              <w:noProof/>
            </w:rPr>
          </w:pPr>
          <w:hyperlink w:anchor="_Toc116659893" w:history="1">
            <w:r w:rsidRPr="00FD6A28">
              <w:rPr>
                <w:rStyle w:val="Hyperlink"/>
                <w:noProof/>
              </w:rPr>
              <w:t>9.</w:t>
            </w:r>
            <w:r>
              <w:rPr>
                <w:rFonts w:asciiTheme="minorHAnsi" w:eastAsiaTheme="minorEastAsia" w:hAnsiTheme="minorHAnsi"/>
                <w:noProof/>
              </w:rPr>
              <w:tab/>
            </w:r>
            <w:r w:rsidRPr="00FD6A28">
              <w:rPr>
                <w:rStyle w:val="Hyperlink"/>
                <w:noProof/>
              </w:rPr>
              <w:t>Payment or Gift to Respondents</w:t>
            </w:r>
            <w:r>
              <w:rPr>
                <w:noProof/>
                <w:webHidden/>
              </w:rPr>
              <w:tab/>
            </w:r>
            <w:r>
              <w:rPr>
                <w:noProof/>
                <w:webHidden/>
              </w:rPr>
              <w:fldChar w:fldCharType="begin"/>
            </w:r>
            <w:r>
              <w:rPr>
                <w:noProof/>
                <w:webHidden/>
              </w:rPr>
              <w:instrText xml:space="preserve"> PAGEREF _Toc116659893 \h </w:instrText>
            </w:r>
            <w:r>
              <w:rPr>
                <w:noProof/>
                <w:webHidden/>
              </w:rPr>
              <w:fldChar w:fldCharType="separate"/>
            </w:r>
            <w:r>
              <w:rPr>
                <w:noProof/>
                <w:webHidden/>
              </w:rPr>
              <w:t>11</w:t>
            </w:r>
            <w:r>
              <w:rPr>
                <w:noProof/>
                <w:webHidden/>
              </w:rPr>
              <w:fldChar w:fldCharType="end"/>
            </w:r>
          </w:hyperlink>
        </w:p>
        <w:p w:rsidR="0014726F" w14:paraId="4D016097" w14:textId="1A802125">
          <w:pPr>
            <w:pStyle w:val="TOC2"/>
            <w:tabs>
              <w:tab w:val="left" w:pos="880"/>
              <w:tab w:val="right" w:leader="dot" w:pos="9350"/>
            </w:tabs>
            <w:rPr>
              <w:rFonts w:asciiTheme="minorHAnsi" w:eastAsiaTheme="minorEastAsia" w:hAnsiTheme="minorHAnsi"/>
              <w:noProof/>
            </w:rPr>
          </w:pPr>
          <w:hyperlink w:anchor="_Toc116659894" w:history="1">
            <w:r w:rsidRPr="00FD6A28">
              <w:rPr>
                <w:rStyle w:val="Hyperlink"/>
                <w:noProof/>
              </w:rPr>
              <w:t>10.</w:t>
            </w:r>
            <w:r>
              <w:rPr>
                <w:rFonts w:asciiTheme="minorHAnsi" w:eastAsiaTheme="minorEastAsia" w:hAnsiTheme="minorHAnsi"/>
                <w:noProof/>
              </w:rPr>
              <w:tab/>
            </w:r>
            <w:r w:rsidRPr="00FD6A28">
              <w:rPr>
                <w:rStyle w:val="Hyperlink"/>
                <w:noProof/>
              </w:rPr>
              <w:t>Data Confidentiality</w:t>
            </w:r>
            <w:r>
              <w:rPr>
                <w:noProof/>
                <w:webHidden/>
              </w:rPr>
              <w:tab/>
            </w:r>
            <w:r>
              <w:rPr>
                <w:noProof/>
                <w:webHidden/>
              </w:rPr>
              <w:fldChar w:fldCharType="begin"/>
            </w:r>
            <w:r>
              <w:rPr>
                <w:noProof/>
                <w:webHidden/>
              </w:rPr>
              <w:instrText xml:space="preserve"> PAGEREF _Toc116659894 \h </w:instrText>
            </w:r>
            <w:r>
              <w:rPr>
                <w:noProof/>
                <w:webHidden/>
              </w:rPr>
              <w:fldChar w:fldCharType="separate"/>
            </w:r>
            <w:r>
              <w:rPr>
                <w:noProof/>
                <w:webHidden/>
              </w:rPr>
              <w:t>12</w:t>
            </w:r>
            <w:r>
              <w:rPr>
                <w:noProof/>
                <w:webHidden/>
              </w:rPr>
              <w:fldChar w:fldCharType="end"/>
            </w:r>
          </w:hyperlink>
        </w:p>
        <w:p w:rsidR="0014726F" w14:paraId="48E358E5" w14:textId="27BE9B2B">
          <w:pPr>
            <w:pStyle w:val="TOC2"/>
            <w:tabs>
              <w:tab w:val="left" w:pos="880"/>
              <w:tab w:val="right" w:leader="dot" w:pos="9350"/>
            </w:tabs>
            <w:rPr>
              <w:rFonts w:asciiTheme="minorHAnsi" w:eastAsiaTheme="minorEastAsia" w:hAnsiTheme="minorHAnsi"/>
              <w:noProof/>
            </w:rPr>
          </w:pPr>
          <w:hyperlink w:anchor="_Toc116659895" w:history="1">
            <w:r w:rsidRPr="00FD6A28">
              <w:rPr>
                <w:rStyle w:val="Hyperlink"/>
                <w:noProof/>
              </w:rPr>
              <w:t>11.</w:t>
            </w:r>
            <w:r>
              <w:rPr>
                <w:rFonts w:asciiTheme="minorHAnsi" w:eastAsiaTheme="minorEastAsia" w:hAnsiTheme="minorHAnsi"/>
                <w:noProof/>
              </w:rPr>
              <w:tab/>
            </w:r>
            <w:r w:rsidRPr="00FD6A28">
              <w:rPr>
                <w:rStyle w:val="Hyperlink"/>
                <w:noProof/>
              </w:rPr>
              <w:t>Additional Justification for Sensitive Questions</w:t>
            </w:r>
            <w:r>
              <w:rPr>
                <w:noProof/>
                <w:webHidden/>
              </w:rPr>
              <w:tab/>
            </w:r>
            <w:r>
              <w:rPr>
                <w:noProof/>
                <w:webHidden/>
              </w:rPr>
              <w:fldChar w:fldCharType="begin"/>
            </w:r>
            <w:r>
              <w:rPr>
                <w:noProof/>
                <w:webHidden/>
              </w:rPr>
              <w:instrText xml:space="preserve"> PAGEREF _Toc116659895 \h </w:instrText>
            </w:r>
            <w:r>
              <w:rPr>
                <w:noProof/>
                <w:webHidden/>
              </w:rPr>
              <w:fldChar w:fldCharType="separate"/>
            </w:r>
            <w:r>
              <w:rPr>
                <w:noProof/>
                <w:webHidden/>
              </w:rPr>
              <w:t>13</w:t>
            </w:r>
            <w:r>
              <w:rPr>
                <w:noProof/>
                <w:webHidden/>
              </w:rPr>
              <w:fldChar w:fldCharType="end"/>
            </w:r>
          </w:hyperlink>
        </w:p>
        <w:p w:rsidR="0014726F" w14:paraId="54D63370" w14:textId="753CB1AE">
          <w:pPr>
            <w:pStyle w:val="TOC2"/>
            <w:tabs>
              <w:tab w:val="left" w:pos="880"/>
              <w:tab w:val="right" w:leader="dot" w:pos="9350"/>
            </w:tabs>
            <w:rPr>
              <w:rFonts w:asciiTheme="minorHAnsi" w:eastAsiaTheme="minorEastAsia" w:hAnsiTheme="minorHAnsi"/>
              <w:noProof/>
            </w:rPr>
          </w:pPr>
          <w:hyperlink w:anchor="_Toc116659896" w:history="1">
            <w:r w:rsidRPr="00FD6A28">
              <w:rPr>
                <w:rStyle w:val="Hyperlink"/>
                <w:noProof/>
              </w:rPr>
              <w:t>12.</w:t>
            </w:r>
            <w:r>
              <w:rPr>
                <w:rFonts w:asciiTheme="minorHAnsi" w:eastAsiaTheme="minorEastAsia" w:hAnsiTheme="minorHAnsi"/>
                <w:noProof/>
              </w:rPr>
              <w:tab/>
            </w:r>
            <w:r w:rsidRPr="00FD6A28">
              <w:rPr>
                <w:rStyle w:val="Hyperlink"/>
                <w:noProof/>
              </w:rPr>
              <w:t>Estimates of Hour Burden</w:t>
            </w:r>
            <w:r>
              <w:rPr>
                <w:noProof/>
                <w:webHidden/>
              </w:rPr>
              <w:tab/>
            </w:r>
            <w:r>
              <w:rPr>
                <w:noProof/>
                <w:webHidden/>
              </w:rPr>
              <w:fldChar w:fldCharType="begin"/>
            </w:r>
            <w:r>
              <w:rPr>
                <w:noProof/>
                <w:webHidden/>
              </w:rPr>
              <w:instrText xml:space="preserve"> PAGEREF _Toc116659896 \h </w:instrText>
            </w:r>
            <w:r>
              <w:rPr>
                <w:noProof/>
                <w:webHidden/>
              </w:rPr>
              <w:fldChar w:fldCharType="separate"/>
            </w:r>
            <w:r>
              <w:rPr>
                <w:noProof/>
                <w:webHidden/>
              </w:rPr>
              <w:t>13</w:t>
            </w:r>
            <w:r>
              <w:rPr>
                <w:noProof/>
                <w:webHidden/>
              </w:rPr>
              <w:fldChar w:fldCharType="end"/>
            </w:r>
          </w:hyperlink>
        </w:p>
        <w:p w:rsidR="0014726F" w14:paraId="38803F42" w14:textId="376F00FB">
          <w:pPr>
            <w:pStyle w:val="TOC2"/>
            <w:tabs>
              <w:tab w:val="left" w:pos="880"/>
              <w:tab w:val="right" w:leader="dot" w:pos="9350"/>
            </w:tabs>
            <w:rPr>
              <w:rFonts w:asciiTheme="minorHAnsi" w:eastAsiaTheme="minorEastAsia" w:hAnsiTheme="minorHAnsi"/>
              <w:noProof/>
            </w:rPr>
          </w:pPr>
          <w:hyperlink w:anchor="_Toc116659897" w:history="1">
            <w:r w:rsidRPr="00FD6A28">
              <w:rPr>
                <w:rStyle w:val="Hyperlink"/>
                <w:noProof/>
              </w:rPr>
              <w:t>13.</w:t>
            </w:r>
            <w:r>
              <w:rPr>
                <w:rFonts w:asciiTheme="minorHAnsi" w:eastAsiaTheme="minorEastAsia" w:hAnsiTheme="minorHAnsi"/>
                <w:noProof/>
              </w:rPr>
              <w:tab/>
            </w:r>
            <w:r w:rsidRPr="00FD6A28">
              <w:rPr>
                <w:rStyle w:val="Hyperlink"/>
                <w:noProof/>
              </w:rPr>
              <w:t>Estimate of Total Cost Burden to Respondents or Record-Keepers</w:t>
            </w:r>
            <w:r>
              <w:rPr>
                <w:noProof/>
                <w:webHidden/>
              </w:rPr>
              <w:tab/>
            </w:r>
            <w:r>
              <w:rPr>
                <w:noProof/>
                <w:webHidden/>
              </w:rPr>
              <w:fldChar w:fldCharType="begin"/>
            </w:r>
            <w:r>
              <w:rPr>
                <w:noProof/>
                <w:webHidden/>
              </w:rPr>
              <w:instrText xml:space="preserve"> PAGEREF _Toc116659897 \h </w:instrText>
            </w:r>
            <w:r>
              <w:rPr>
                <w:noProof/>
                <w:webHidden/>
              </w:rPr>
              <w:fldChar w:fldCharType="separate"/>
            </w:r>
            <w:r>
              <w:rPr>
                <w:noProof/>
                <w:webHidden/>
              </w:rPr>
              <w:t>15</w:t>
            </w:r>
            <w:r>
              <w:rPr>
                <w:noProof/>
                <w:webHidden/>
              </w:rPr>
              <w:fldChar w:fldCharType="end"/>
            </w:r>
          </w:hyperlink>
        </w:p>
        <w:p w:rsidR="0014726F" w14:paraId="2B078C36" w14:textId="21D91639">
          <w:pPr>
            <w:pStyle w:val="TOC2"/>
            <w:tabs>
              <w:tab w:val="left" w:pos="880"/>
              <w:tab w:val="right" w:leader="dot" w:pos="9350"/>
            </w:tabs>
            <w:rPr>
              <w:rFonts w:asciiTheme="minorHAnsi" w:eastAsiaTheme="minorEastAsia" w:hAnsiTheme="minorHAnsi"/>
              <w:noProof/>
            </w:rPr>
          </w:pPr>
          <w:hyperlink w:anchor="_Toc116659898" w:history="1">
            <w:r w:rsidRPr="00FD6A28">
              <w:rPr>
                <w:rStyle w:val="Hyperlink"/>
                <w:noProof/>
              </w:rPr>
              <w:t>14.</w:t>
            </w:r>
            <w:r>
              <w:rPr>
                <w:rFonts w:asciiTheme="minorHAnsi" w:eastAsiaTheme="minorEastAsia" w:hAnsiTheme="minorHAnsi"/>
                <w:noProof/>
              </w:rPr>
              <w:tab/>
            </w:r>
            <w:r w:rsidRPr="00FD6A28">
              <w:rPr>
                <w:rStyle w:val="Hyperlink"/>
                <w:noProof/>
              </w:rPr>
              <w:t>Estimates of Annualized Cost to the Federal Government</w:t>
            </w:r>
            <w:r>
              <w:rPr>
                <w:noProof/>
                <w:webHidden/>
              </w:rPr>
              <w:tab/>
            </w:r>
            <w:r>
              <w:rPr>
                <w:noProof/>
                <w:webHidden/>
              </w:rPr>
              <w:fldChar w:fldCharType="begin"/>
            </w:r>
            <w:r>
              <w:rPr>
                <w:noProof/>
                <w:webHidden/>
              </w:rPr>
              <w:instrText xml:space="preserve"> PAGEREF _Toc116659898 \h </w:instrText>
            </w:r>
            <w:r>
              <w:rPr>
                <w:noProof/>
                <w:webHidden/>
              </w:rPr>
              <w:fldChar w:fldCharType="separate"/>
            </w:r>
            <w:r>
              <w:rPr>
                <w:noProof/>
                <w:webHidden/>
              </w:rPr>
              <w:t>16</w:t>
            </w:r>
            <w:r>
              <w:rPr>
                <w:noProof/>
                <w:webHidden/>
              </w:rPr>
              <w:fldChar w:fldCharType="end"/>
            </w:r>
          </w:hyperlink>
        </w:p>
        <w:p w:rsidR="0014726F" w14:paraId="5B9AC729" w14:textId="1742CDB7">
          <w:pPr>
            <w:pStyle w:val="TOC2"/>
            <w:tabs>
              <w:tab w:val="left" w:pos="880"/>
              <w:tab w:val="right" w:leader="dot" w:pos="9350"/>
            </w:tabs>
            <w:rPr>
              <w:rFonts w:asciiTheme="minorHAnsi" w:eastAsiaTheme="minorEastAsia" w:hAnsiTheme="minorHAnsi"/>
              <w:noProof/>
            </w:rPr>
          </w:pPr>
          <w:hyperlink w:anchor="_Toc116659899" w:history="1">
            <w:r w:rsidRPr="00FD6A28">
              <w:rPr>
                <w:rStyle w:val="Hyperlink"/>
                <w:noProof/>
              </w:rPr>
              <w:t>15.</w:t>
            </w:r>
            <w:r>
              <w:rPr>
                <w:rFonts w:asciiTheme="minorHAnsi" w:eastAsiaTheme="minorEastAsia" w:hAnsiTheme="minorHAnsi"/>
                <w:noProof/>
              </w:rPr>
              <w:tab/>
            </w:r>
            <w:r w:rsidRPr="00FD6A28">
              <w:rPr>
                <w:rStyle w:val="Hyperlink"/>
                <w:noProof/>
              </w:rPr>
              <w:t>Reasons for Program Changes or Adjustments</w:t>
            </w:r>
            <w:r>
              <w:rPr>
                <w:noProof/>
                <w:webHidden/>
              </w:rPr>
              <w:tab/>
            </w:r>
            <w:r>
              <w:rPr>
                <w:noProof/>
                <w:webHidden/>
              </w:rPr>
              <w:fldChar w:fldCharType="begin"/>
            </w:r>
            <w:r>
              <w:rPr>
                <w:noProof/>
                <w:webHidden/>
              </w:rPr>
              <w:instrText xml:space="preserve"> PAGEREF _Toc116659899 \h </w:instrText>
            </w:r>
            <w:r>
              <w:rPr>
                <w:noProof/>
                <w:webHidden/>
              </w:rPr>
              <w:fldChar w:fldCharType="separate"/>
            </w:r>
            <w:r>
              <w:rPr>
                <w:noProof/>
                <w:webHidden/>
              </w:rPr>
              <w:t>16</w:t>
            </w:r>
            <w:r>
              <w:rPr>
                <w:noProof/>
                <w:webHidden/>
              </w:rPr>
              <w:fldChar w:fldCharType="end"/>
            </w:r>
          </w:hyperlink>
        </w:p>
        <w:p w:rsidR="0014726F" w14:paraId="5BD75E0A" w14:textId="67941BAE">
          <w:pPr>
            <w:pStyle w:val="TOC2"/>
            <w:tabs>
              <w:tab w:val="left" w:pos="880"/>
              <w:tab w:val="right" w:leader="dot" w:pos="9350"/>
            </w:tabs>
            <w:rPr>
              <w:rFonts w:asciiTheme="minorHAnsi" w:eastAsiaTheme="minorEastAsia" w:hAnsiTheme="minorHAnsi"/>
              <w:noProof/>
            </w:rPr>
          </w:pPr>
          <w:hyperlink w:anchor="_Toc116659900" w:history="1">
            <w:r w:rsidRPr="00FD6A28">
              <w:rPr>
                <w:rStyle w:val="Hyperlink"/>
                <w:noProof/>
              </w:rPr>
              <w:t>16.</w:t>
            </w:r>
            <w:r>
              <w:rPr>
                <w:rFonts w:asciiTheme="minorHAnsi" w:eastAsiaTheme="minorEastAsia" w:hAnsiTheme="minorHAnsi"/>
                <w:noProof/>
              </w:rPr>
              <w:tab/>
            </w:r>
            <w:r w:rsidRPr="00FD6A28">
              <w:rPr>
                <w:rStyle w:val="Hyperlink"/>
                <w:noProof/>
              </w:rPr>
              <w:t>Plan for Tabulation and Publication and Schedule for Project</w:t>
            </w:r>
            <w:r>
              <w:rPr>
                <w:noProof/>
                <w:webHidden/>
              </w:rPr>
              <w:tab/>
            </w:r>
            <w:r>
              <w:rPr>
                <w:noProof/>
                <w:webHidden/>
              </w:rPr>
              <w:fldChar w:fldCharType="begin"/>
            </w:r>
            <w:r>
              <w:rPr>
                <w:noProof/>
                <w:webHidden/>
              </w:rPr>
              <w:instrText xml:space="preserve"> PAGEREF _Toc116659900 \h </w:instrText>
            </w:r>
            <w:r>
              <w:rPr>
                <w:noProof/>
                <w:webHidden/>
              </w:rPr>
              <w:fldChar w:fldCharType="separate"/>
            </w:r>
            <w:r>
              <w:rPr>
                <w:noProof/>
                <w:webHidden/>
              </w:rPr>
              <w:t>16</w:t>
            </w:r>
            <w:r>
              <w:rPr>
                <w:noProof/>
                <w:webHidden/>
              </w:rPr>
              <w:fldChar w:fldCharType="end"/>
            </w:r>
          </w:hyperlink>
        </w:p>
        <w:p w:rsidR="0014726F" w14:paraId="703F7FEB" w14:textId="46EE8734">
          <w:pPr>
            <w:pStyle w:val="TOC2"/>
            <w:tabs>
              <w:tab w:val="left" w:pos="880"/>
              <w:tab w:val="right" w:leader="dot" w:pos="9350"/>
            </w:tabs>
            <w:rPr>
              <w:rFonts w:asciiTheme="minorHAnsi" w:eastAsiaTheme="minorEastAsia" w:hAnsiTheme="minorHAnsi"/>
              <w:noProof/>
            </w:rPr>
          </w:pPr>
          <w:hyperlink w:anchor="_Toc116659901" w:history="1">
            <w:r w:rsidRPr="00FD6A28">
              <w:rPr>
                <w:rStyle w:val="Hyperlink"/>
                <w:noProof/>
              </w:rPr>
              <w:t>17.</w:t>
            </w:r>
            <w:r>
              <w:rPr>
                <w:rFonts w:asciiTheme="minorHAnsi" w:eastAsiaTheme="minorEastAsia" w:hAnsiTheme="minorHAnsi"/>
                <w:noProof/>
              </w:rPr>
              <w:tab/>
            </w:r>
            <w:r w:rsidRPr="00FD6A28">
              <w:rPr>
                <w:rStyle w:val="Hyperlink"/>
                <w:noProof/>
              </w:rPr>
              <w:t>Approval Not to Display the Expiration Date for OMB Approval</w:t>
            </w:r>
            <w:r>
              <w:rPr>
                <w:noProof/>
                <w:webHidden/>
              </w:rPr>
              <w:tab/>
            </w:r>
            <w:r>
              <w:rPr>
                <w:noProof/>
                <w:webHidden/>
              </w:rPr>
              <w:fldChar w:fldCharType="begin"/>
            </w:r>
            <w:r>
              <w:rPr>
                <w:noProof/>
                <w:webHidden/>
              </w:rPr>
              <w:instrText xml:space="preserve"> PAGEREF _Toc116659901 \h </w:instrText>
            </w:r>
            <w:r>
              <w:rPr>
                <w:noProof/>
                <w:webHidden/>
              </w:rPr>
              <w:fldChar w:fldCharType="separate"/>
            </w:r>
            <w:r>
              <w:rPr>
                <w:noProof/>
                <w:webHidden/>
              </w:rPr>
              <w:t>17</w:t>
            </w:r>
            <w:r>
              <w:rPr>
                <w:noProof/>
                <w:webHidden/>
              </w:rPr>
              <w:fldChar w:fldCharType="end"/>
            </w:r>
          </w:hyperlink>
        </w:p>
        <w:p w:rsidR="0014726F" w14:paraId="4F1B55DA" w14:textId="0EA8EE70">
          <w:pPr>
            <w:pStyle w:val="TOC2"/>
            <w:tabs>
              <w:tab w:val="left" w:pos="880"/>
              <w:tab w:val="right" w:leader="dot" w:pos="9350"/>
            </w:tabs>
            <w:rPr>
              <w:rFonts w:asciiTheme="minorHAnsi" w:eastAsiaTheme="minorEastAsia" w:hAnsiTheme="minorHAnsi"/>
              <w:noProof/>
            </w:rPr>
          </w:pPr>
          <w:hyperlink w:anchor="_Toc116659902" w:history="1">
            <w:r w:rsidRPr="00FD6A28">
              <w:rPr>
                <w:rStyle w:val="Hyperlink"/>
                <w:noProof/>
              </w:rPr>
              <w:t>18.</w:t>
            </w:r>
            <w:r>
              <w:rPr>
                <w:rFonts w:asciiTheme="minorHAnsi" w:eastAsiaTheme="minorEastAsia" w:hAnsiTheme="minorHAnsi"/>
                <w:noProof/>
              </w:rPr>
              <w:tab/>
            </w:r>
            <w:r w:rsidRPr="00FD6A28">
              <w:rPr>
                <w:rStyle w:val="Hyperlink"/>
                <w:noProof/>
              </w:rPr>
              <w:t>Exception to the Certification Statement</w:t>
            </w:r>
            <w:r>
              <w:rPr>
                <w:noProof/>
                <w:webHidden/>
              </w:rPr>
              <w:tab/>
            </w:r>
            <w:r>
              <w:rPr>
                <w:noProof/>
                <w:webHidden/>
              </w:rPr>
              <w:fldChar w:fldCharType="begin"/>
            </w:r>
            <w:r>
              <w:rPr>
                <w:noProof/>
                <w:webHidden/>
              </w:rPr>
              <w:instrText xml:space="preserve"> PAGEREF _Toc116659902 \h </w:instrText>
            </w:r>
            <w:r>
              <w:rPr>
                <w:noProof/>
                <w:webHidden/>
              </w:rPr>
              <w:fldChar w:fldCharType="separate"/>
            </w:r>
            <w:r>
              <w:rPr>
                <w:noProof/>
                <w:webHidden/>
              </w:rPr>
              <w:t>17</w:t>
            </w:r>
            <w:r>
              <w:rPr>
                <w:noProof/>
                <w:webHidden/>
              </w:rPr>
              <w:fldChar w:fldCharType="end"/>
            </w:r>
          </w:hyperlink>
        </w:p>
        <w:p w:rsidR="0014726F" w14:paraId="66B97338" w14:textId="1BEB3CA5">
          <w:pPr>
            <w:pStyle w:val="TOC2"/>
            <w:tabs>
              <w:tab w:val="right" w:leader="dot" w:pos="9350"/>
            </w:tabs>
            <w:rPr>
              <w:rFonts w:asciiTheme="minorHAnsi" w:eastAsiaTheme="minorEastAsia" w:hAnsiTheme="minorHAnsi"/>
              <w:noProof/>
            </w:rPr>
          </w:pPr>
          <w:hyperlink w:anchor="_Toc116659903" w:history="1">
            <w:r w:rsidRPr="00FD6A28">
              <w:rPr>
                <w:rStyle w:val="Hyperlink"/>
                <w:noProof/>
              </w:rPr>
              <w:t>References</w:t>
            </w:r>
            <w:r>
              <w:rPr>
                <w:noProof/>
                <w:webHidden/>
              </w:rPr>
              <w:tab/>
            </w:r>
            <w:r>
              <w:rPr>
                <w:noProof/>
                <w:webHidden/>
              </w:rPr>
              <w:fldChar w:fldCharType="begin"/>
            </w:r>
            <w:r>
              <w:rPr>
                <w:noProof/>
                <w:webHidden/>
              </w:rPr>
              <w:instrText xml:space="preserve"> PAGEREF _Toc116659903 \h </w:instrText>
            </w:r>
            <w:r>
              <w:rPr>
                <w:noProof/>
                <w:webHidden/>
              </w:rPr>
              <w:fldChar w:fldCharType="separate"/>
            </w:r>
            <w:r>
              <w:rPr>
                <w:noProof/>
                <w:webHidden/>
              </w:rPr>
              <w:t>17</w:t>
            </w:r>
            <w:r>
              <w:rPr>
                <w:noProof/>
                <w:webHidden/>
              </w:rPr>
              <w:fldChar w:fldCharType="end"/>
            </w:r>
          </w:hyperlink>
        </w:p>
        <w:p w:rsidR="004648B6" w:rsidP="0D77AB94" w14:paraId="73F5055D" w14:textId="7386222D">
          <w:pPr>
            <w:pStyle w:val="TOC2"/>
            <w:tabs>
              <w:tab w:val="right" w:leader="dot" w:pos="9360"/>
            </w:tabs>
            <w:rPr>
              <w:rStyle w:val="Hyperlink"/>
              <w:noProof/>
            </w:rPr>
          </w:pPr>
          <w:r>
            <w:fldChar w:fldCharType="end"/>
          </w:r>
        </w:p>
      </w:sdtContent>
    </w:sdt>
    <w:p w:rsidR="004648B6" w14:paraId="2D4BC4E8" w14:textId="16C6EE03"/>
    <w:p w:rsidR="50AB57AF" w:rsidP="50AB57AF" w14:paraId="176DE6EF" w14:textId="52364234"/>
    <w:p w:rsidR="004648B6" w14:paraId="189EC06E" w14:textId="77777777">
      <w:pPr>
        <w:rPr>
          <w:rFonts w:cs="Times New Roman"/>
          <w:b/>
          <w:bCs/>
          <w:color w:val="1F497D"/>
          <w:sz w:val="28"/>
          <w:szCs w:val="28"/>
        </w:rPr>
      </w:pPr>
      <w:r>
        <w:br w:type="page"/>
      </w:r>
    </w:p>
    <w:p w:rsidR="00DE7F68" w:rsidP="00DE7F68" w14:paraId="44B32F61" w14:textId="0846A118">
      <w:pPr>
        <w:pStyle w:val="Heading1"/>
      </w:pPr>
      <w:bookmarkStart w:id="0" w:name="_Toc116659881"/>
      <w:r>
        <w:t>Justification</w:t>
      </w:r>
      <w:bookmarkEnd w:id="0"/>
    </w:p>
    <w:p w:rsidR="00ED051D" w:rsidRPr="00ED051D" w:rsidP="00ED051D" w14:paraId="29AAB27E" w14:textId="6D9A0CC5">
      <w:pPr>
        <w:rPr>
          <w:rFonts w:cs="Times New Roman"/>
        </w:rPr>
      </w:pPr>
      <w:r w:rsidRPr="00ED051D">
        <w:rPr>
          <w:rFonts w:cs="Times New Roman"/>
        </w:rPr>
        <w:t xml:space="preserve">The U.S. Department of Education (ED) requests OMB clearance for data collection related to the Regional Educational Laboratory (REL) program. ED, in consultation with REL Northeast and the Islands </w:t>
      </w:r>
      <w:r w:rsidRPr="00ED051D" w:rsidR="4AC8F270">
        <w:rPr>
          <w:rFonts w:cs="Times New Roman"/>
        </w:rPr>
        <w:t>(REL-NEI)</w:t>
      </w:r>
      <w:r w:rsidRPr="00ED051D">
        <w:rPr>
          <w:rFonts w:cs="Times New Roman"/>
        </w:rPr>
        <w:t xml:space="preserve"> under contract </w:t>
      </w:r>
      <w:r w:rsidRPr="0D5E8ECA" w:rsidR="143B9923">
        <w:rPr>
          <w:rFonts w:cs="Times New Roman"/>
        </w:rPr>
        <w:t>91990022C0013</w:t>
      </w:r>
      <w:r w:rsidRPr="00ED051D">
        <w:rPr>
          <w:rFonts w:cs="Times New Roman"/>
        </w:rPr>
        <w:t xml:space="preserve"> has planned a study of the efficacy of a professional development program for seventh grade math teachers in the state of Connecticut. This program is referred to as the “Visual Access to Mathematics Professional Development” or VAM-PD. OMB approval is being requested for REL</w:t>
      </w:r>
      <w:r w:rsidRPr="00ED051D" w:rsidR="06C5DB1F">
        <w:rPr>
          <w:rFonts w:cs="Times New Roman"/>
        </w:rPr>
        <w:t>-</w:t>
      </w:r>
      <w:r w:rsidRPr="00ED051D">
        <w:rPr>
          <w:rFonts w:cs="Times New Roman"/>
        </w:rPr>
        <w:t>NEI’s data collection for this project, including pre and post measures of student skills and attitudes, and teacher knowledge, beliefs, and feedback regarding instructional practice. </w:t>
      </w:r>
    </w:p>
    <w:p w:rsidR="00ED051D" w:rsidRPr="00ED051D" w:rsidP="00ED051D" w14:paraId="67F87998" w14:textId="0F4361B7">
      <w:pPr>
        <w:rPr>
          <w:rFonts w:cs="Times New Roman"/>
        </w:rPr>
      </w:pPr>
      <w:r w:rsidRPr="00ED051D">
        <w:rPr>
          <w:rFonts w:cs="Times New Roman"/>
        </w:rPr>
        <w:t xml:space="preserve">The study will also draw upon administrative data that the Connecticut State Department of Education (CSDE) collects, including student </w:t>
      </w:r>
      <w:r w:rsidR="00F32E12">
        <w:rPr>
          <w:rFonts w:cs="Times New Roman"/>
        </w:rPr>
        <w:t xml:space="preserve">and teacher </w:t>
      </w:r>
      <w:r w:rsidRPr="00ED051D">
        <w:rPr>
          <w:rFonts w:cs="Times New Roman"/>
        </w:rPr>
        <w:t>characteristics</w:t>
      </w:r>
      <w:r w:rsidR="002516BE">
        <w:rPr>
          <w:rFonts w:cs="Times New Roman"/>
        </w:rPr>
        <w:t>.</w:t>
      </w:r>
      <w:r w:rsidRPr="00ED051D">
        <w:rPr>
          <w:rFonts w:cs="Times New Roman"/>
        </w:rPr>
        <w:t xml:space="preserve"> </w:t>
      </w:r>
      <w:r w:rsidR="001D2110">
        <w:rPr>
          <w:rFonts w:cs="Times New Roman"/>
        </w:rPr>
        <w:t xml:space="preserve">Student characteristics include </w:t>
      </w:r>
      <w:r w:rsidR="00994E0B">
        <w:rPr>
          <w:rStyle w:val="normaltextrun"/>
          <w:color w:val="000000"/>
          <w:shd w:val="clear" w:color="auto" w:fill="FFFFFF"/>
        </w:rPr>
        <w:t xml:space="preserve">gender, race, ethnicity, MLL status, special education status, free and/or reduced lunch status, and performance on grade </w:t>
      </w:r>
      <w:r w:rsidR="00994E0B">
        <w:rPr>
          <w:rStyle w:val="normaltextrun"/>
          <w:color w:val="000000"/>
          <w:shd w:val="clear" w:color="auto" w:fill="FFFFFF"/>
        </w:rPr>
        <w:t>6  and</w:t>
      </w:r>
      <w:r w:rsidR="00994E0B">
        <w:rPr>
          <w:rStyle w:val="normaltextrun"/>
          <w:color w:val="000000"/>
          <w:shd w:val="clear" w:color="auto" w:fill="FFFFFF"/>
        </w:rPr>
        <w:t xml:space="preserve"> grade 7 state standardized assessments of math, and teacher characteristics include licensure information and years of experience. </w:t>
      </w:r>
      <w:r w:rsidRPr="00ED051D">
        <w:rPr>
          <w:rFonts w:cs="Times New Roman"/>
        </w:rPr>
        <w:t>OMB approval is not being sought for this administrative data since these are collected by the state and not REL-NEI. </w:t>
      </w:r>
      <w:r w:rsidRPr="003346C0" w:rsidR="003346C0">
        <w:rPr>
          <w:rFonts w:cs="Times New Roman"/>
        </w:rPr>
        <w:t xml:space="preserve">There is a data sharing agreement being negotiated with CSDE now and we fully anticipate CSDE entering into an agreement to share this data. The data sharing agreement outlines the specific variables CSDE will share with REL NEI and the process both parties will use for transferring and obtaining this data. A copy of this agreement can be provided once it is </w:t>
      </w:r>
      <w:r w:rsidRPr="003346C0" w:rsidR="003346C0">
        <w:rPr>
          <w:rFonts w:cs="Times New Roman"/>
        </w:rPr>
        <w:t>finalized</w:t>
      </w:r>
    </w:p>
    <w:p w:rsidR="00ED051D" w:rsidRPr="00ED051D" w:rsidP="00ED051D" w14:paraId="1FED1A1A" w14:textId="77777777"/>
    <w:p w:rsidR="00912F37" w:rsidP="00912F37" w14:paraId="653AE292" w14:textId="4C11F533">
      <w:pPr>
        <w:pStyle w:val="Heading2"/>
        <w:numPr>
          <w:ilvl w:val="0"/>
          <w:numId w:val="15"/>
        </w:numPr>
      </w:pPr>
      <w:bookmarkStart w:id="1" w:name="_Toc116659882"/>
      <w:r>
        <w:t>Circumstances Necessitating Collection of Information</w:t>
      </w:r>
      <w:bookmarkEnd w:id="1"/>
    </w:p>
    <w:p w:rsidR="00AB6D46" w:rsidP="00AB6D46" w14:paraId="3BE806B7" w14:textId="77777777"/>
    <w:p w:rsidR="00ED051D" w:rsidRPr="00ED051D" w:rsidP="00ED051D" w14:paraId="6F4677A4" w14:textId="35537BD0">
      <w:pPr>
        <w:rPr>
          <w:rFonts w:cs="Times New Roman"/>
        </w:rPr>
      </w:pPr>
      <w:r w:rsidRPr="00ED051D">
        <w:rPr>
          <w:rFonts w:cs="Times New Roman"/>
        </w:rPr>
        <w:t>This data collection is authorized by the Educational Sciences Reform Act (ESRA) of 2002 (see Appendix A). Part D, Section 174(f)(2) of ESRA states that as part of their central mission and primary function, each regional educational laboratory “shall support applied research by . . . developing and widely disseminating, including through Internet-based means, scientifically valid research, information, reports, and publications that are usable for improving academic achievement, closing achievement gaps, and encouraging and sustaining school improvement, to—schools, districts, institutions of higher education, educators (including early childhood educators and librarians), parents, policymakers, and other constituencies, as appropriate, within the region in which the regional educational laboratory is located.”</w:t>
      </w:r>
    </w:p>
    <w:p w:rsidR="00AB6D46" w:rsidRPr="00AB6D46" w:rsidP="00AB6D46" w14:paraId="06C697BE" w14:textId="77777777">
      <w:pPr>
        <w:ind w:left="360"/>
      </w:pPr>
    </w:p>
    <w:p w:rsidR="0018584E" w:rsidP="0018584E" w14:paraId="40BDC83D" w14:textId="7249A700">
      <w:pPr>
        <w:pStyle w:val="Heading2"/>
        <w:ind w:left="360"/>
      </w:pPr>
      <w:bookmarkStart w:id="2" w:name="_Toc116659883"/>
      <w:r>
        <w:t>Statement of Need</w:t>
      </w:r>
      <w:bookmarkEnd w:id="2"/>
    </w:p>
    <w:p w:rsidR="0018584E" w:rsidP="0018584E" w14:paraId="4BB797EA" w14:textId="77777777">
      <w:pPr>
        <w:pStyle w:val="Heading2"/>
        <w:ind w:left="360"/>
      </w:pPr>
    </w:p>
    <w:p w:rsidR="00267F8B" w:rsidRPr="00F358F0" w:rsidP="00ED1BFF" w14:paraId="624CC92E" w14:textId="53E2E899">
      <w:pPr>
        <w:spacing w:line="257" w:lineRule="auto"/>
        <w:ind w:left="360"/>
      </w:pPr>
      <w:r w:rsidRPr="533A7FCB">
        <w:t>Facilitating improved mathematics teaching and learning for multilingual learners (MLLs)</w:t>
      </w:r>
      <w:r>
        <w:rPr>
          <w:vertAlign w:val="superscript"/>
        </w:rPr>
        <w:footnoteReference w:id="3"/>
      </w:r>
      <w:r w:rsidRPr="533A7FCB">
        <w:t xml:space="preserve"> is a </w:t>
      </w:r>
      <w:r w:rsidRPr="533A7FCB">
        <w:t>high-leverage</w:t>
      </w:r>
      <w:r w:rsidRPr="533A7FCB">
        <w:t xml:space="preserve"> need in Connecticut and across the country. Research shows that MLLs have fewer </w:t>
      </w:r>
      <w:r w:rsidRPr="533A7FCB">
        <w:t>opportunities for rich mathematical learning opportunities than other students (for example, Varley Gutiérrez et al., 2011), and creating equitable learning opportunities for MLLs means they must have access to rich mathematical tasks (</w:t>
      </w:r>
      <w:r w:rsidRPr="533A7FCB">
        <w:t>Moschkovich</w:t>
      </w:r>
      <w:r w:rsidRPr="533A7FCB">
        <w:t xml:space="preserve">, 2013). Only 14 percent of MLLs in Connecticut met or exceeded proficiency in math on the 2018/19 state assessments as compared to 51 percent of their non-MLL counterparts (CSDE, 2021), and addressing learning opportunity gaps in mathematics for MLLs has become one of the state’s areas of priority. These challenges reflect the national landscape, with MLLs scoring significantly below non-MLLs on National Assessment of Educational Progress (NAEP) mathematics assessments. For grade 4 and grade 8 students, the difference in NAEP mathematics scale scores between MLLs and non-MLLs has been at least 20 points since 1996, when analyses by English learner (EL) status began; in 2017, the average grade 8 math score was 39 points—the equivalent of four grade levels—lower for MLLs than for non-MLLs (McFarland et al., 2019). These data suggest that business-as-usual instruction is not meeting MLLs’ needs, which in turn may be associated with decreased academic and career success for MLLs (NASEM, 2018). </w:t>
      </w:r>
    </w:p>
    <w:p w:rsidR="00267F8B" w:rsidRPr="00F358F0" w:rsidP="00ED1BFF" w14:paraId="34FFEC18" w14:textId="13D91B3F">
      <w:pPr>
        <w:spacing w:line="257" w:lineRule="auto"/>
        <w:ind w:left="360"/>
      </w:pPr>
      <w:r w:rsidRPr="2CDBAF29">
        <w:t>Given this high-leverage need, the Connecticut State Department of Education (CSDE) aims to close gaps between students who are MLLs and monolingual students in math proficiency and to better prepare the state’s MLLs for high school completion and postsecondary success. During the next five years, REL Northeast &amp; Islands</w:t>
      </w:r>
      <w:r w:rsidR="001A02BE">
        <w:t xml:space="preserve"> (REL NEI)</w:t>
      </w:r>
      <w:r w:rsidRPr="2CDBAF29">
        <w:t xml:space="preserve"> is partnering with CSDE and other stakeholders, through the Connecticut Partnership to Support Multilingual Learner Mathematics Outcomes, to work toward the long-term outcomes of increasing educators’ knowledge of instructional practices for MLLs in mathematics and increasing middle grade MLLs’ achievement in mathematics. </w:t>
      </w:r>
    </w:p>
    <w:p w:rsidR="00267F8B" w:rsidRPr="00F358F0" w:rsidP="00ED1BFF" w14:paraId="0222E1E9" w14:textId="0AF6F384">
      <w:pPr>
        <w:spacing w:line="257" w:lineRule="auto"/>
        <w:ind w:left="360"/>
      </w:pPr>
      <w:r w:rsidRPr="2CDBAF29">
        <w:t>In addressing this high-leverage need, the partnership will attend to the high-leverage mathematical content focus of proportional reasoning; this focus was selected with input from partnership members. Proportional reasoning content, first introduced in grade 6, is central to grade 7 mathematics content standards (for example, National Governors Association &amp; Council of Chief State School Officers, 2010); is associated with students’ later mathematics achievement (Empson et al., 2011; Siegler et al., 2012), and is “the most difficult to teach, the most mathematically complex, the most cognitively challenging, the most essential to success in higher mathematics and science” (Lamon, 2007, p. 629). Proportional reasoning is also rich with language, so opportunities abound for teachers to support MLLs’ language use.</w:t>
      </w:r>
    </w:p>
    <w:p w:rsidR="00267F8B" w:rsidP="00ED1BFF" w14:paraId="5A6E1922" w14:textId="612E43E8">
      <w:pPr>
        <w:spacing w:line="257" w:lineRule="auto"/>
        <w:ind w:left="360"/>
      </w:pPr>
      <w:r w:rsidRPr="533A7FCB">
        <w:t xml:space="preserve">Furthermore, a focus on addressing this need through teacher professional learning is important because many teachers have not had access to training and support to develop their understanding of how to implement best practices for MLLs </w:t>
      </w:r>
      <w:r w:rsidRPr="533A7FCB">
        <w:rPr>
          <w:i/>
          <w:iCs/>
        </w:rPr>
        <w:t>in the context</w:t>
      </w:r>
      <w:r w:rsidRPr="533A7FCB">
        <w:t xml:space="preserve"> of content areas. A review of 75 peer-reviewed empirical studies about teaching MLLs in mathematics (de Araujo et al., 2018) identified a lack of research on facilitating teacher learning and the need to strengthen connections between EL-focused teacher learning initiatives and mathematics-focused efforts. Partners at the CSDE and at Connecticut professional organizations who are focused on mathematics teaching and learning and/or on MLLs also have noted that business-as-usual professional learning practice for teachers in Connecticut has lacked an integrated language and mathematics content focus. </w:t>
      </w:r>
      <w:r w:rsidRPr="533A7FCB">
        <w:t>The majority of</w:t>
      </w:r>
      <w:r w:rsidRPr="533A7FCB">
        <w:t xml:space="preserve"> students identified as MLLs in the state of Connecticut are taught mathematics by general education classroom teachers (CSDE, 2020). In response, our study proposes to leverage Visual Access to Mathematics professional development (VAM PD</w:t>
      </w:r>
      <w:r w:rsidRPr="4F6DAF5A">
        <w:t>) (</w:t>
      </w:r>
      <w:r w:rsidRPr="4F6DAF5A">
        <w:t>DePiper</w:t>
      </w:r>
      <w:r w:rsidRPr="4F6DAF5A">
        <w:t xml:space="preserve">, et al., 2021b, Louie et al., 2022, </w:t>
      </w:r>
      <w:r w:rsidRPr="4F6DAF5A">
        <w:t>DePiper</w:t>
      </w:r>
      <w:r w:rsidRPr="4F6DAF5A">
        <w:t xml:space="preserve"> et al., 2019 &amp; </w:t>
      </w:r>
      <w:r w:rsidRPr="4F6DAF5A">
        <w:t>DePiper</w:t>
      </w:r>
      <w:r w:rsidRPr="4F6DAF5A">
        <w:t>, et al., 2021a</w:t>
      </w:r>
      <w:r w:rsidRPr="533A7FCB">
        <w:t xml:space="preserve">) to provide needed resources to general education </w:t>
      </w:r>
      <w:r w:rsidRPr="533A7FCB">
        <w:t xml:space="preserve">teachers with MLLs in their classrooms, as opposed to teachers who provide ESL services or bilingual education (such as push in, pull out). </w:t>
      </w:r>
    </w:p>
    <w:p w:rsidR="00267F8B" w:rsidP="00ED1BFF" w14:paraId="4CC70564" w14:textId="77777777">
      <w:pPr>
        <w:spacing w:line="257" w:lineRule="auto"/>
        <w:ind w:left="360"/>
      </w:pPr>
      <w:r w:rsidRPr="52A97E44">
        <w:t>In line with these needs for MLLs in mathematics instruction, CSDE and other Connecticut partners have indicated a need for resources and professional learning for mathematics teachers in Connecticut related to meeting the needs of MLLs in their classes. An important next step is therefore to identify how professional learning programs that draw on existing research about best practice for MLLs in mathematics can fill this gap in resources for teachers. As part of the REL-NEI partnership with Connecticut, we propose an applied research study that will evaluate the impacts of the existing evidence-based VAM PD program for teachers and their students in Connecticut.</w:t>
      </w:r>
    </w:p>
    <w:p w:rsidR="00492D1D" w:rsidRPr="00492D1D" w:rsidP="00492D1D" w14:paraId="3E6B0CBD" w14:textId="77777777"/>
    <w:p w:rsidR="0018584E" w:rsidP="0018584E" w14:paraId="5D4BB7FC" w14:textId="0E98927B">
      <w:pPr>
        <w:pStyle w:val="Heading2"/>
        <w:ind w:left="360"/>
      </w:pPr>
      <w:bookmarkStart w:id="3" w:name="_Toc116659884"/>
      <w:r>
        <w:t>Overview of Study Design</w:t>
      </w:r>
      <w:bookmarkEnd w:id="3"/>
    </w:p>
    <w:p w:rsidR="0018584E" w:rsidP="0018584E" w14:paraId="3CDE1F6E" w14:textId="77777777">
      <w:pPr>
        <w:pStyle w:val="Heading2"/>
        <w:ind w:left="360"/>
      </w:pPr>
    </w:p>
    <w:p w:rsidR="00ED1BFF" w:rsidP="00ED1BFF" w14:paraId="23066B9D" w14:textId="2C795822">
      <w:pPr>
        <w:ind w:left="360"/>
      </w:pPr>
      <w:r>
        <w:t xml:space="preserve">The purpose of the study is to evaluate the </w:t>
      </w:r>
      <w:r w:rsidR="00F05744">
        <w:t>efficacy</w:t>
      </w:r>
      <w:r>
        <w:t xml:space="preserve"> of the Visual Access to Mathematics Professional Development (VAM PD) program on </w:t>
      </w:r>
      <w:r w:rsidR="007845CA">
        <w:t xml:space="preserve">teacher and student outcomes. </w:t>
      </w:r>
      <w:r w:rsidR="00F05744">
        <w:t>The efficacy study is based on the following logic model:</w:t>
      </w:r>
    </w:p>
    <w:p w:rsidR="00F05744" w:rsidP="00ED1BFF" w14:paraId="40A9CF2B" w14:textId="4D7D7086">
      <w:pPr>
        <w:ind w:left="360"/>
      </w:pPr>
      <w:r>
        <w:rPr>
          <w:noProof/>
        </w:rPr>
        <w:drawing>
          <wp:inline distT="0" distB="0" distL="0" distR="0">
            <wp:extent cx="6231467" cy="3505200"/>
            <wp:effectExtent l="0" t="0" r="0" b="0"/>
            <wp:docPr id="23" name="Picture 3"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4817" cy="3512710"/>
                    </a:xfrm>
                    <a:prstGeom prst="rect">
                      <a:avLst/>
                    </a:prstGeom>
                  </pic:spPr>
                </pic:pic>
              </a:graphicData>
            </a:graphic>
          </wp:inline>
        </w:drawing>
      </w:r>
    </w:p>
    <w:p w:rsidR="00C97C9D" w:rsidP="00C97C9D" w14:paraId="66505058" w14:textId="77777777">
      <w:pPr>
        <w:spacing w:line="257" w:lineRule="auto"/>
      </w:pPr>
      <w:bookmarkStart w:id="4" w:name="_Hlk108425856"/>
      <w:r>
        <w:t xml:space="preserve">The study will address the following research questions related to the impact of the program, with questions 1, 1a, and 2 designated as confirmatory: </w:t>
      </w:r>
    </w:p>
    <w:p w:rsidR="00C97C9D" w:rsidRPr="005303DA" w:rsidP="00C97C9D" w14:paraId="32273528" w14:textId="77777777">
      <w:pPr>
        <w:pStyle w:val="RebidBodyText"/>
        <w:numPr>
          <w:ilvl w:val="0"/>
          <w:numId w:val="22"/>
        </w:numPr>
        <w:spacing w:line="257" w:lineRule="auto"/>
        <w:rPr>
          <w:rFonts w:ascii="Times New Roman" w:eastAsia="Times New Roman" w:hAnsi="Times New Roman" w:cs="Times New Roman"/>
          <w:sz w:val="22"/>
          <w:szCs w:val="22"/>
        </w:rPr>
      </w:pPr>
      <w:r w:rsidRPr="005303DA">
        <w:rPr>
          <w:rFonts w:ascii="Times New Roman" w:eastAsia="Times New Roman" w:hAnsi="Times New Roman" w:cs="Times New Roman"/>
          <w:b/>
          <w:bCs/>
          <w:sz w:val="22"/>
          <w:szCs w:val="22"/>
        </w:rPr>
        <w:t>RQ1)</w:t>
      </w:r>
      <w:r w:rsidRPr="005303DA">
        <w:rPr>
          <w:rFonts w:ascii="Times New Roman" w:eastAsia="Times New Roman" w:hAnsi="Times New Roman" w:cs="Times New Roman"/>
          <w:sz w:val="22"/>
          <w:szCs w:val="22"/>
        </w:rPr>
        <w:t xml:space="preserve"> What is the impact of VAM PD on students’ proportional reasoning ability, facility in using visual representations (VRs) to solve proportional reasoning problems, and mathematics attitudes? </w:t>
      </w:r>
    </w:p>
    <w:p w:rsidR="00C97C9D" w:rsidRPr="005303DA" w:rsidP="00C97C9D" w14:paraId="252F1CAB" w14:textId="77777777">
      <w:pPr>
        <w:pStyle w:val="RebidBodyText"/>
        <w:numPr>
          <w:ilvl w:val="1"/>
          <w:numId w:val="22"/>
        </w:numPr>
        <w:spacing w:line="257" w:lineRule="auto"/>
        <w:rPr>
          <w:rFonts w:ascii="Times New Roman" w:eastAsia="Times New Roman" w:hAnsi="Times New Roman" w:cs="Times New Roman"/>
          <w:sz w:val="22"/>
          <w:szCs w:val="22"/>
        </w:rPr>
      </w:pPr>
      <w:r w:rsidRPr="087947EE">
        <w:rPr>
          <w:rFonts w:ascii="Times New Roman" w:eastAsia="Times New Roman" w:hAnsi="Times New Roman" w:cs="Times New Roman"/>
          <w:b/>
          <w:bCs/>
          <w:sz w:val="22"/>
          <w:szCs w:val="22"/>
        </w:rPr>
        <w:t>RQ1a)</w:t>
      </w:r>
      <w:r w:rsidRPr="087947EE">
        <w:rPr>
          <w:rFonts w:ascii="Times New Roman" w:eastAsia="Times New Roman" w:hAnsi="Times New Roman" w:cs="Times New Roman"/>
          <w:sz w:val="22"/>
          <w:szCs w:val="22"/>
        </w:rPr>
        <w:t xml:space="preserve"> To what extent does VAM PD’s effectiveness differ for multilingual learners (MLLs) vs. non-MLLs?</w:t>
      </w:r>
    </w:p>
    <w:p w:rsidR="00C97C9D" w:rsidRPr="005303DA" w:rsidP="00C97C9D" w14:paraId="1B6B9D7F" w14:textId="77777777">
      <w:pPr>
        <w:pStyle w:val="RebidBodyText"/>
        <w:numPr>
          <w:ilvl w:val="0"/>
          <w:numId w:val="22"/>
        </w:numPr>
        <w:spacing w:line="257" w:lineRule="auto"/>
        <w:rPr>
          <w:rFonts w:ascii="Times New Roman" w:eastAsia="Times New Roman" w:hAnsi="Times New Roman" w:cs="Times New Roman"/>
          <w:sz w:val="22"/>
          <w:szCs w:val="22"/>
        </w:rPr>
      </w:pPr>
      <w:r w:rsidRPr="005303DA">
        <w:rPr>
          <w:rFonts w:ascii="Times New Roman" w:eastAsia="Times New Roman" w:hAnsi="Times New Roman" w:cs="Times New Roman"/>
          <w:b/>
          <w:bCs/>
          <w:sz w:val="22"/>
          <w:szCs w:val="22"/>
        </w:rPr>
        <w:t>RQ2)</w:t>
      </w:r>
      <w:r w:rsidRPr="005303DA">
        <w:rPr>
          <w:rFonts w:ascii="Times New Roman" w:eastAsia="Times New Roman" w:hAnsi="Times New Roman" w:cs="Times New Roman"/>
          <w:sz w:val="22"/>
          <w:szCs w:val="22"/>
        </w:rPr>
        <w:t xml:space="preserve"> What is the impact of VAM PD on teachers’ ability to analyze student thinking related to proportional reasoning and </w:t>
      </w:r>
      <w:r>
        <w:rPr>
          <w:rFonts w:ascii="Times New Roman" w:eastAsia="Times New Roman" w:hAnsi="Times New Roman" w:cs="Times New Roman"/>
          <w:sz w:val="22"/>
          <w:szCs w:val="22"/>
        </w:rPr>
        <w:t xml:space="preserve">teachers’ </w:t>
      </w:r>
      <w:r w:rsidRPr="005303DA">
        <w:rPr>
          <w:rFonts w:ascii="Times New Roman" w:eastAsia="Times New Roman" w:hAnsi="Times New Roman" w:cs="Times New Roman"/>
          <w:sz w:val="22"/>
          <w:szCs w:val="22"/>
        </w:rPr>
        <w:t xml:space="preserve">content knowledge </w:t>
      </w:r>
      <w:r>
        <w:rPr>
          <w:rFonts w:ascii="Times New Roman" w:eastAsia="Times New Roman" w:hAnsi="Times New Roman" w:cs="Times New Roman"/>
          <w:sz w:val="22"/>
          <w:szCs w:val="22"/>
        </w:rPr>
        <w:t>of</w:t>
      </w:r>
      <w:r w:rsidRPr="005303DA">
        <w:rPr>
          <w:rFonts w:ascii="Times New Roman" w:eastAsia="Times New Roman" w:hAnsi="Times New Roman" w:cs="Times New Roman"/>
          <w:sz w:val="22"/>
          <w:szCs w:val="22"/>
        </w:rPr>
        <w:t xml:space="preserve"> number/computation, particularly proportional reasoning? </w:t>
      </w:r>
    </w:p>
    <w:p w:rsidR="00C97C9D" w:rsidRPr="005303DA" w:rsidP="00C97C9D" w14:paraId="0A85CEA8" w14:textId="77777777">
      <w:pPr>
        <w:pStyle w:val="RebidBodyText"/>
        <w:numPr>
          <w:ilvl w:val="1"/>
          <w:numId w:val="22"/>
        </w:numPr>
        <w:spacing w:line="257" w:lineRule="auto"/>
        <w:rPr>
          <w:rFonts w:ascii="Times New Roman" w:eastAsia="Times New Roman" w:hAnsi="Times New Roman" w:cs="Times New Roman"/>
          <w:sz w:val="22"/>
          <w:szCs w:val="22"/>
        </w:rPr>
      </w:pPr>
      <w:r w:rsidRPr="005303DA">
        <w:rPr>
          <w:rFonts w:ascii="Times New Roman" w:eastAsia="Times New Roman" w:hAnsi="Times New Roman" w:cs="Times New Roman"/>
          <w:b/>
          <w:bCs/>
          <w:sz w:val="22"/>
          <w:szCs w:val="22"/>
        </w:rPr>
        <w:t xml:space="preserve">RQ2a) </w:t>
      </w:r>
      <w:r w:rsidRPr="005303DA">
        <w:rPr>
          <w:rFonts w:ascii="Times New Roman" w:eastAsia="Times New Roman" w:hAnsi="Times New Roman" w:cs="Times New Roman"/>
          <w:sz w:val="22"/>
          <w:szCs w:val="22"/>
        </w:rPr>
        <w:t xml:space="preserve">To what extent do these teacher outcomes relate to the </w:t>
      </w:r>
      <w:r>
        <w:rPr>
          <w:rFonts w:ascii="Times New Roman" w:eastAsia="Times New Roman" w:hAnsi="Times New Roman" w:cs="Times New Roman"/>
          <w:sz w:val="22"/>
          <w:szCs w:val="22"/>
        </w:rPr>
        <w:t>student</w:t>
      </w:r>
      <w:r w:rsidRPr="005303DA">
        <w:rPr>
          <w:rFonts w:ascii="Times New Roman" w:eastAsia="Times New Roman" w:hAnsi="Times New Roman" w:cs="Times New Roman"/>
          <w:sz w:val="22"/>
          <w:szCs w:val="22"/>
        </w:rPr>
        <w:t xml:space="preserve"> outcomes described under </w:t>
      </w:r>
      <w:r w:rsidRPr="005303DA">
        <w:rPr>
          <w:rFonts w:ascii="Times New Roman" w:eastAsia="Times New Roman" w:hAnsi="Times New Roman" w:cs="Times New Roman"/>
          <w:b/>
          <w:bCs/>
          <w:sz w:val="22"/>
          <w:szCs w:val="22"/>
        </w:rPr>
        <w:t>RQ1</w:t>
      </w:r>
      <w:r w:rsidRPr="005303DA">
        <w:rPr>
          <w:rFonts w:ascii="Times New Roman" w:eastAsia="Times New Roman" w:hAnsi="Times New Roman" w:cs="Times New Roman"/>
          <w:sz w:val="22"/>
          <w:szCs w:val="22"/>
        </w:rPr>
        <w:t xml:space="preserve">? </w:t>
      </w:r>
    </w:p>
    <w:p w:rsidR="00C97C9D" w:rsidP="00C97C9D" w14:paraId="4A55BB61" w14:textId="77777777">
      <w:pPr>
        <w:pStyle w:val="RebidBodyText"/>
        <w:spacing w:line="257" w:lineRule="auto"/>
        <w:ind w:firstLine="0"/>
        <w:rPr>
          <w:rFonts w:ascii="Times New Roman" w:eastAsia="Times New Roman" w:hAnsi="Times New Roman" w:cs="Times New Roman"/>
          <w:b/>
          <w:bCs/>
          <w:sz w:val="22"/>
          <w:szCs w:val="22"/>
        </w:rPr>
      </w:pPr>
    </w:p>
    <w:p w:rsidR="00C97C9D" w:rsidRPr="009E2A4F" w:rsidP="00C97C9D" w14:paraId="5602427E" w14:textId="77777777">
      <w:pPr>
        <w:spacing w:line="257" w:lineRule="auto"/>
      </w:pPr>
      <w:r w:rsidRPr="009E2A4F">
        <w:t xml:space="preserve">A third research question </w:t>
      </w:r>
      <w:r>
        <w:t>pertains to</w:t>
      </w:r>
      <w:r w:rsidRPr="009E2A4F">
        <w:t xml:space="preserve"> program implementation:</w:t>
      </w:r>
      <w:r>
        <w:t xml:space="preserve"> </w:t>
      </w:r>
    </w:p>
    <w:p w:rsidR="00C97C9D" w:rsidRPr="003D17DD" w:rsidP="00C97C9D" w14:paraId="2FBDB5D7" w14:textId="77777777">
      <w:pPr>
        <w:pStyle w:val="RebidBodyText"/>
        <w:numPr>
          <w:ilvl w:val="0"/>
          <w:numId w:val="23"/>
        </w:numPr>
        <w:spacing w:line="257" w:lineRule="auto"/>
        <w:ind w:left="780"/>
        <w:rPr>
          <w:rFonts w:ascii="Times New Roman" w:eastAsia="Times New Roman" w:hAnsi="Times New Roman" w:cs="Times New Roman"/>
          <w:bCs/>
          <w:sz w:val="22"/>
          <w:szCs w:val="22"/>
        </w:rPr>
      </w:pPr>
      <w:r w:rsidRPr="005303DA">
        <w:rPr>
          <w:rFonts w:ascii="Times New Roman" w:eastAsia="Times New Roman" w:hAnsi="Times New Roman" w:cs="Times New Roman"/>
          <w:b/>
          <w:bCs/>
          <w:sz w:val="22"/>
          <w:szCs w:val="22"/>
        </w:rPr>
        <w:t>RQ3)</w:t>
      </w:r>
      <w:r w:rsidRPr="005303DA">
        <w:rPr>
          <w:rFonts w:ascii="Times New Roman" w:eastAsia="Times New Roman" w:hAnsi="Times New Roman" w:cs="Times New Roman"/>
          <w:sz w:val="22"/>
          <w:szCs w:val="22"/>
        </w:rPr>
        <w:t xml:space="preserve"> To what extent is VAM PD implemented with fidelity, in terms of the provision of the PD and teacher participation in the PD? </w:t>
      </w:r>
    </w:p>
    <w:bookmarkEnd w:id="4"/>
    <w:p w:rsidR="00742840" w:rsidP="00C5554B" w14:paraId="1C0C1050" w14:textId="77777777"/>
    <w:p w:rsidR="00C5554B" w:rsidP="00C5554B" w14:paraId="791EF873" w14:textId="641A3642">
      <w:pPr>
        <w:spacing w:line="257" w:lineRule="auto"/>
      </w:pPr>
      <w:r>
        <w:t xml:space="preserve">The study will randomly assign schools </w:t>
      </w:r>
      <w:r w:rsidR="002914F6">
        <w:t xml:space="preserve">to </w:t>
      </w:r>
      <w:r w:rsidR="00EF6734">
        <w:t xml:space="preserve">either participate in the VAM PD </w:t>
      </w:r>
      <w:r w:rsidR="005C16DE">
        <w:t>for 7</w:t>
      </w:r>
      <w:r w:rsidRPr="005C16DE" w:rsidR="005C16DE">
        <w:rPr>
          <w:vertAlign w:val="superscript"/>
        </w:rPr>
        <w:t>th</w:t>
      </w:r>
      <w:r w:rsidR="005C16DE">
        <w:t xml:space="preserve"> grade math teachers </w:t>
      </w:r>
      <w:r w:rsidR="00EF6734">
        <w:t>(treatment group) or</w:t>
      </w:r>
      <w:r w:rsidR="005C16DE">
        <w:t xml:space="preserve"> implement business as usual professional development for 7</w:t>
      </w:r>
      <w:r w:rsidRPr="005C16DE" w:rsidR="005C16DE">
        <w:rPr>
          <w:vertAlign w:val="superscript"/>
        </w:rPr>
        <w:t>th</w:t>
      </w:r>
      <w:r w:rsidR="005C16DE">
        <w:t xml:space="preserve"> grade math teachers (control group). </w:t>
      </w:r>
    </w:p>
    <w:p w:rsidR="00612A1C" w:rsidRPr="00382026" w:rsidP="00612A1C" w14:paraId="5121002B" w14:textId="77777777">
      <w:pPr>
        <w:spacing w:line="257" w:lineRule="auto"/>
      </w:pPr>
      <w:r w:rsidRPr="52A97E44">
        <w:t xml:space="preserve">VAM PD is an 8-month online and face-to-face professional learning experience designed to support middle grades mathematics teachers who have both multilingual learners and monolingual students in their classes. The PD starts with a 3-day face-to-face Summer Institute and continues during the school year with a combination of synchronous and asynchronous online activities and face-to-face workshops (figure 1). </w:t>
      </w:r>
    </w:p>
    <w:p w:rsidR="00C83BFB" w:rsidP="00C83BFB" w14:paraId="0A60872D" w14:textId="77777777">
      <w:pPr>
        <w:keepNext/>
        <w:spacing w:after="60" w:line="257" w:lineRule="auto"/>
        <w:rPr>
          <w:rFonts w:eastAsia="Calibri"/>
        </w:rPr>
      </w:pPr>
      <w:r w:rsidRPr="2CDBAF29">
        <w:rPr>
          <w:rFonts w:eastAsia="Calibri"/>
        </w:rPr>
        <w:t>Figure 1. VAM PD Structure</w:t>
      </w:r>
      <w:r>
        <w:rPr>
          <w:rFonts w:eastAsia="Calibri"/>
        </w:rPr>
        <w:t>, Goals, and Sessions</w:t>
      </w:r>
    </w:p>
    <w:p w:rsidR="00C83BFB" w:rsidP="00C83BFB" w14:paraId="342E8BF6" w14:textId="77777777">
      <w:pPr>
        <w:keepNext/>
        <w:spacing w:after="60" w:line="257" w:lineRule="auto"/>
        <w:rPr>
          <w:rFonts w:asciiTheme="minorHAnsi" w:eastAsiaTheme="minorEastAsia" w:hAnsiTheme="minorHAnsi"/>
        </w:rPr>
      </w:pPr>
    </w:p>
    <w:p w:rsidR="00C83BFB" w:rsidP="00C83BFB" w14:paraId="78BC2232" w14:textId="77777777">
      <w:pPr>
        <w:spacing w:before="120" w:line="257" w:lineRule="auto"/>
        <w:ind w:left="360"/>
      </w:pPr>
      <w:r>
        <w:rPr>
          <w:noProof/>
        </w:rPr>
        <w:drawing>
          <wp:inline distT="0" distB="0" distL="0" distR="0">
            <wp:extent cx="4572000" cy="523875"/>
            <wp:effectExtent l="0" t="0" r="0" b="0"/>
            <wp:docPr id="685240877" name="Picture 594122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40877" name="Picture 594122265"/>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72000" cy="523875"/>
                    </a:xfrm>
                    <a:prstGeom prst="rect">
                      <a:avLst/>
                    </a:prstGeom>
                  </pic:spPr>
                </pic:pic>
              </a:graphicData>
            </a:graphic>
          </wp:inline>
        </w:drawing>
      </w:r>
    </w:p>
    <w:p w:rsidR="00C83BFB" w:rsidP="00C83BFB" w14:paraId="6478E374" w14:textId="77777777">
      <w:pPr>
        <w:spacing w:before="120" w:line="257" w:lineRule="auto"/>
        <w:ind w:left="360"/>
      </w:pPr>
    </w:p>
    <w:tbl>
      <w:tblPr>
        <w:tblStyle w:val="TableGrid"/>
        <w:tblW w:w="0" w:type="auto"/>
        <w:tblInd w:w="360" w:type="dxa"/>
        <w:tblLook w:val="04A0"/>
      </w:tblPr>
      <w:tblGrid>
        <w:gridCol w:w="1891"/>
        <w:gridCol w:w="2761"/>
        <w:gridCol w:w="4112"/>
      </w:tblGrid>
      <w:tr w14:paraId="754DEC5D" w14:textId="77777777" w:rsidTr="00757A00">
        <w:tblPrEx>
          <w:tblW w:w="0" w:type="auto"/>
          <w:tblInd w:w="360" w:type="dxa"/>
          <w:tblLook w:val="04A0"/>
        </w:tblPrEx>
        <w:tc>
          <w:tcPr>
            <w:tcW w:w="8764" w:type="dxa"/>
            <w:gridSpan w:val="3"/>
            <w:shd w:val="clear" w:color="auto" w:fill="BFBFBF" w:themeFill="background1" w:themeFillShade="BF"/>
          </w:tcPr>
          <w:p w:rsidR="00C83BFB" w:rsidP="00757A00" w14:paraId="0CBACCC2" w14:textId="77777777">
            <w:pPr>
              <w:spacing w:line="257" w:lineRule="auto"/>
              <w:rPr>
                <w:b/>
                <w:bCs/>
              </w:rPr>
            </w:pPr>
            <w:r>
              <w:rPr>
                <w:b/>
                <w:bCs/>
              </w:rPr>
              <w:t>Goals</w:t>
            </w:r>
          </w:p>
        </w:tc>
      </w:tr>
      <w:tr w14:paraId="083D9389" w14:textId="77777777" w:rsidTr="00757A00">
        <w:tblPrEx>
          <w:tblW w:w="0" w:type="auto"/>
          <w:tblInd w:w="360" w:type="dxa"/>
          <w:tblLook w:val="04A0"/>
        </w:tblPrEx>
        <w:tc>
          <w:tcPr>
            <w:tcW w:w="8764" w:type="dxa"/>
            <w:gridSpan w:val="3"/>
          </w:tcPr>
          <w:p w:rsidR="00C83BFB" w:rsidP="00757A00" w14:paraId="4971AD56" w14:textId="77777777">
            <w:pPr>
              <w:spacing w:line="257" w:lineRule="auto"/>
              <w:rPr>
                <w:b/>
                <w:bCs/>
              </w:rPr>
            </w:pPr>
            <w:r w:rsidRPr="52A97E44">
              <w:rPr>
                <w:b/>
                <w:bCs/>
              </w:rPr>
              <w:t>Teachers will increase their:</w:t>
            </w:r>
          </w:p>
          <w:p w:rsidR="00C83BFB" w:rsidRPr="00E42CFB" w:rsidP="00C83BFB" w14:paraId="29139855" w14:textId="77777777">
            <w:pPr>
              <w:pStyle w:val="ListParagraph"/>
              <w:numPr>
                <w:ilvl w:val="0"/>
                <w:numId w:val="24"/>
              </w:numPr>
              <w:spacing w:line="257" w:lineRule="auto"/>
              <w:rPr>
                <w:sz w:val="20"/>
                <w:szCs w:val="20"/>
              </w:rPr>
            </w:pPr>
            <w:r w:rsidRPr="52A97E44">
              <w:rPr>
                <w:sz w:val="20"/>
                <w:szCs w:val="20"/>
              </w:rPr>
              <w:t>Knowledge of how to create and use visual representations for mathematical problem solving in ratio and proportion content.</w:t>
            </w:r>
          </w:p>
          <w:p w:rsidR="00C83BFB" w:rsidRPr="00E42CFB" w:rsidP="00C83BFB" w14:paraId="6FC7B16B" w14:textId="77777777">
            <w:pPr>
              <w:pStyle w:val="ListParagraph"/>
              <w:numPr>
                <w:ilvl w:val="0"/>
                <w:numId w:val="24"/>
              </w:numPr>
              <w:spacing w:line="257" w:lineRule="auto"/>
              <w:rPr>
                <w:sz w:val="20"/>
                <w:szCs w:val="20"/>
              </w:rPr>
            </w:pPr>
            <w:r w:rsidRPr="52A97E44">
              <w:rPr>
                <w:sz w:val="20"/>
                <w:szCs w:val="20"/>
              </w:rPr>
              <w:t>Ability to analyze visual representations to understand the mathematical thinking of students who are MLLs. This includes increasing their ability to identify, describe, and interpret evidence of student thinking.</w:t>
            </w:r>
          </w:p>
          <w:p w:rsidR="00C83BFB" w:rsidP="00C83BFB" w14:paraId="5AEE4D15" w14:textId="77777777">
            <w:pPr>
              <w:pStyle w:val="ListParagraph"/>
              <w:numPr>
                <w:ilvl w:val="0"/>
                <w:numId w:val="24"/>
              </w:numPr>
              <w:spacing w:line="257" w:lineRule="auto"/>
              <w:rPr>
                <w:sz w:val="20"/>
                <w:szCs w:val="20"/>
              </w:rPr>
            </w:pPr>
            <w:r w:rsidRPr="52A97E44">
              <w:rPr>
                <w:sz w:val="20"/>
                <w:szCs w:val="20"/>
              </w:rPr>
              <w:t>Ability to plan lessons that integrate support for MLLs’ use of visual representations in ratio and proportion problem solving and for their mathematical communication.</w:t>
            </w:r>
          </w:p>
          <w:p w:rsidR="00C83BFB" w:rsidRPr="004A0360" w:rsidP="00C83BFB" w14:paraId="030FF82C" w14:textId="77777777">
            <w:pPr>
              <w:pStyle w:val="ListParagraph"/>
              <w:numPr>
                <w:ilvl w:val="0"/>
                <w:numId w:val="24"/>
              </w:numPr>
              <w:spacing w:line="257" w:lineRule="auto"/>
            </w:pPr>
            <w:r w:rsidRPr="52A97E44">
              <w:rPr>
                <w:sz w:val="20"/>
                <w:szCs w:val="20"/>
              </w:rPr>
              <w:t>Mathematical knowledge to support teaching of ratio and proportion content integrated with Standards for Mathematical Practice.</w:t>
            </w:r>
          </w:p>
          <w:p w:rsidR="00C83BFB" w:rsidRPr="004F0C92" w:rsidP="00757A00" w14:paraId="16B065C9" w14:textId="77777777">
            <w:pPr>
              <w:pStyle w:val="ListParagraph"/>
              <w:spacing w:line="257" w:lineRule="auto"/>
              <w:ind w:left="360"/>
            </w:pPr>
          </w:p>
        </w:tc>
      </w:tr>
      <w:tr w14:paraId="3159B932" w14:textId="77777777" w:rsidTr="00757A00">
        <w:tblPrEx>
          <w:tblW w:w="0" w:type="auto"/>
          <w:tblInd w:w="360" w:type="dxa"/>
          <w:tblLook w:val="04A0"/>
        </w:tblPrEx>
        <w:tc>
          <w:tcPr>
            <w:tcW w:w="1891" w:type="dxa"/>
            <w:shd w:val="clear" w:color="auto" w:fill="BFBFBF" w:themeFill="background1" w:themeFillShade="BF"/>
            <w:vAlign w:val="bottom"/>
          </w:tcPr>
          <w:p w:rsidR="00C83BFB" w:rsidP="00757A00" w14:paraId="3D51AC23" w14:textId="77777777">
            <w:pPr>
              <w:spacing w:line="257" w:lineRule="auto"/>
              <w:jc w:val="center"/>
              <w:rPr>
                <w:b/>
                <w:bCs/>
              </w:rPr>
            </w:pPr>
            <w:r>
              <w:rPr>
                <w:b/>
                <w:bCs/>
              </w:rPr>
              <w:t xml:space="preserve">VAM PD </w:t>
            </w:r>
          </w:p>
          <w:p w:rsidR="00C83BFB" w:rsidRPr="0069508D" w:rsidP="00757A00" w14:paraId="01458B7E" w14:textId="77777777">
            <w:pPr>
              <w:spacing w:line="257" w:lineRule="auto"/>
              <w:jc w:val="center"/>
              <w:rPr>
                <w:b/>
                <w:bCs/>
              </w:rPr>
            </w:pPr>
            <w:r w:rsidRPr="0069508D">
              <w:rPr>
                <w:b/>
                <w:bCs/>
              </w:rPr>
              <w:t>Session</w:t>
            </w:r>
          </w:p>
        </w:tc>
        <w:tc>
          <w:tcPr>
            <w:tcW w:w="2761" w:type="dxa"/>
            <w:shd w:val="clear" w:color="auto" w:fill="BFBFBF" w:themeFill="background1" w:themeFillShade="BF"/>
            <w:vAlign w:val="bottom"/>
          </w:tcPr>
          <w:p w:rsidR="00C83BFB" w:rsidRPr="0069508D" w:rsidP="00757A00" w14:paraId="64050CE8" w14:textId="77777777">
            <w:pPr>
              <w:spacing w:line="257" w:lineRule="auto"/>
              <w:jc w:val="center"/>
              <w:rPr>
                <w:b/>
                <w:bCs/>
              </w:rPr>
            </w:pPr>
            <w:r w:rsidRPr="0069508D">
              <w:rPr>
                <w:b/>
                <w:bCs/>
              </w:rPr>
              <w:t>Mathematical and Visual Representation Focus</w:t>
            </w:r>
          </w:p>
        </w:tc>
        <w:tc>
          <w:tcPr>
            <w:tcW w:w="4112" w:type="dxa"/>
            <w:shd w:val="clear" w:color="auto" w:fill="BFBFBF" w:themeFill="background1" w:themeFillShade="BF"/>
            <w:vAlign w:val="bottom"/>
          </w:tcPr>
          <w:p w:rsidR="00C83BFB" w:rsidP="00757A00" w14:paraId="30CCF999" w14:textId="77777777">
            <w:pPr>
              <w:spacing w:line="257" w:lineRule="auto"/>
              <w:jc w:val="center"/>
              <w:rPr>
                <w:b/>
                <w:bCs/>
              </w:rPr>
            </w:pPr>
            <w:r w:rsidRPr="0069508D">
              <w:rPr>
                <w:b/>
                <w:bCs/>
              </w:rPr>
              <w:t xml:space="preserve">Other </w:t>
            </w:r>
          </w:p>
          <w:p w:rsidR="00C83BFB" w:rsidRPr="0069508D" w:rsidP="00757A00" w14:paraId="4290354E" w14:textId="77777777">
            <w:pPr>
              <w:spacing w:line="257" w:lineRule="auto"/>
              <w:jc w:val="center"/>
              <w:rPr>
                <w:b/>
                <w:bCs/>
              </w:rPr>
            </w:pPr>
            <w:r w:rsidRPr="0069508D">
              <w:rPr>
                <w:b/>
                <w:bCs/>
              </w:rPr>
              <w:t>Core Activities</w:t>
            </w:r>
          </w:p>
        </w:tc>
      </w:tr>
      <w:tr w14:paraId="08B860E1" w14:textId="77777777" w:rsidTr="00757A00">
        <w:tblPrEx>
          <w:tblW w:w="0" w:type="auto"/>
          <w:tblInd w:w="360" w:type="dxa"/>
          <w:tblLook w:val="04A0"/>
        </w:tblPrEx>
        <w:tc>
          <w:tcPr>
            <w:tcW w:w="1891" w:type="dxa"/>
          </w:tcPr>
          <w:p w:rsidR="00C83BFB" w:rsidP="00757A00" w14:paraId="5A226E0E" w14:textId="77777777">
            <w:pPr>
              <w:spacing w:line="257" w:lineRule="auto"/>
            </w:pPr>
            <w:r>
              <w:t>Summer Kickoff Institute</w:t>
            </w:r>
          </w:p>
        </w:tc>
        <w:tc>
          <w:tcPr>
            <w:tcW w:w="2761" w:type="dxa"/>
          </w:tcPr>
          <w:p w:rsidR="00C83BFB" w:rsidP="00757A00" w14:paraId="75E50672" w14:textId="77777777">
            <w:pPr>
              <w:spacing w:line="257" w:lineRule="auto"/>
            </w:pPr>
            <w:r>
              <w:t>Introduction to Visual Representations; Fraction Magnitude and Number Lines; Fraction Operations and Visual Representations (VRs); Rates and Ratios and Double Number Lines</w:t>
            </w:r>
          </w:p>
        </w:tc>
        <w:tc>
          <w:tcPr>
            <w:tcW w:w="4112" w:type="dxa"/>
          </w:tcPr>
          <w:p w:rsidR="00C83BFB" w:rsidP="00757A00" w14:paraId="6E352AD0" w14:textId="77777777">
            <w:pPr>
              <w:spacing w:line="257" w:lineRule="auto"/>
            </w:pPr>
            <w:r>
              <w:t>Building mathematical learning community; orientation to VAM PD assets-based perspective on developing student strengths; modeling of language strategies integrated with mathematics; understanding and use of VRs including tape diagrams, number lines, and double number lines; analyses of MLL student work; structured lesson and curriculum planning to integrate strategies to support MLLs</w:t>
            </w:r>
          </w:p>
        </w:tc>
      </w:tr>
      <w:tr w14:paraId="7CCB6485" w14:textId="77777777" w:rsidTr="00757A00">
        <w:tblPrEx>
          <w:tblW w:w="0" w:type="auto"/>
          <w:tblInd w:w="360" w:type="dxa"/>
          <w:tblLook w:val="04A0"/>
        </w:tblPrEx>
        <w:tc>
          <w:tcPr>
            <w:tcW w:w="1891" w:type="dxa"/>
          </w:tcPr>
          <w:p w:rsidR="00C83BFB" w:rsidP="00757A00" w14:paraId="24696032" w14:textId="77777777">
            <w:pPr>
              <w:spacing w:line="257" w:lineRule="auto"/>
            </w:pPr>
            <w:r>
              <w:t>Online Session 1</w:t>
            </w:r>
          </w:p>
        </w:tc>
        <w:tc>
          <w:tcPr>
            <w:tcW w:w="2761" w:type="dxa"/>
          </w:tcPr>
          <w:p w:rsidR="00C83BFB" w:rsidP="00757A00" w14:paraId="799C2A70" w14:textId="77777777">
            <w:pPr>
              <w:spacing w:line="257" w:lineRule="auto"/>
            </w:pPr>
            <w:r>
              <w:t>Mixing Paints Ratio Tasks and Double Number Lines</w:t>
            </w:r>
          </w:p>
        </w:tc>
        <w:tc>
          <w:tcPr>
            <w:tcW w:w="4112" w:type="dxa"/>
          </w:tcPr>
          <w:p w:rsidR="00C83BFB" w:rsidP="00757A00" w14:paraId="77150771" w14:textId="77777777">
            <w:pPr>
              <w:spacing w:line="257" w:lineRule="auto"/>
            </w:pPr>
            <w:r>
              <w:t>Selecting focus MLL students; analyzing MLL student work; noticing mathematical thinking and communication; exploring language access strategies; planning and classroom implementation of strategies</w:t>
            </w:r>
          </w:p>
        </w:tc>
      </w:tr>
      <w:tr w14:paraId="50A205D9" w14:textId="77777777" w:rsidTr="00757A00">
        <w:tblPrEx>
          <w:tblW w:w="0" w:type="auto"/>
          <w:tblInd w:w="360" w:type="dxa"/>
          <w:tblLook w:val="04A0"/>
        </w:tblPrEx>
        <w:tc>
          <w:tcPr>
            <w:tcW w:w="1891" w:type="dxa"/>
          </w:tcPr>
          <w:p w:rsidR="00C83BFB" w:rsidP="00757A00" w14:paraId="21DC46DE" w14:textId="77777777">
            <w:pPr>
              <w:spacing w:line="257" w:lineRule="auto"/>
            </w:pPr>
            <w:r>
              <w:t>Online Session 2</w:t>
            </w:r>
          </w:p>
        </w:tc>
        <w:tc>
          <w:tcPr>
            <w:tcW w:w="2761" w:type="dxa"/>
          </w:tcPr>
          <w:p w:rsidR="00C83BFB" w:rsidP="00757A00" w14:paraId="1A977291" w14:textId="77777777">
            <w:pPr>
              <w:spacing w:line="257" w:lineRule="auto"/>
            </w:pPr>
            <w:r>
              <w:t>Percentages and Partial Diagrams</w:t>
            </w:r>
          </w:p>
        </w:tc>
        <w:tc>
          <w:tcPr>
            <w:tcW w:w="4112" w:type="dxa"/>
          </w:tcPr>
          <w:p w:rsidR="00C83BFB" w:rsidP="00757A00" w14:paraId="3F12D5D4" w14:textId="77777777">
            <w:pPr>
              <w:spacing w:line="257" w:lineRule="auto"/>
            </w:pPr>
            <w:r>
              <w:t>Exploring partial diagrams and matching activities as scaffolds for access and classroom discussion; planning and classroom implementation of strategies</w:t>
            </w:r>
          </w:p>
        </w:tc>
      </w:tr>
      <w:tr w14:paraId="25AD7AE2" w14:textId="77777777" w:rsidTr="00757A00">
        <w:tblPrEx>
          <w:tblW w:w="0" w:type="auto"/>
          <w:tblInd w:w="360" w:type="dxa"/>
          <w:tblLook w:val="04A0"/>
        </w:tblPrEx>
        <w:tc>
          <w:tcPr>
            <w:tcW w:w="1891" w:type="dxa"/>
          </w:tcPr>
          <w:p w:rsidR="00C83BFB" w:rsidP="00757A00" w14:paraId="72C73BE2" w14:textId="77777777">
            <w:pPr>
              <w:spacing w:line="257" w:lineRule="auto"/>
            </w:pPr>
            <w:r>
              <w:t>Online Session 3</w:t>
            </w:r>
          </w:p>
        </w:tc>
        <w:tc>
          <w:tcPr>
            <w:tcW w:w="2761" w:type="dxa"/>
          </w:tcPr>
          <w:p w:rsidR="00C83BFB" w:rsidP="00757A00" w14:paraId="60513613" w14:textId="77777777">
            <w:pPr>
              <w:spacing w:line="257" w:lineRule="auto"/>
            </w:pPr>
            <w:r>
              <w:t>Percent Change and Visual Representations</w:t>
            </w:r>
          </w:p>
        </w:tc>
        <w:tc>
          <w:tcPr>
            <w:tcW w:w="4112" w:type="dxa"/>
          </w:tcPr>
          <w:p w:rsidR="00C83BFB" w:rsidP="00757A00" w14:paraId="2694632D" w14:textId="77777777">
            <w:pPr>
              <w:spacing w:line="257" w:lineRule="auto"/>
            </w:pPr>
            <w:r>
              <w:t>Learning about co-constructed word banks and use of differentiated questions; planning and classroom implementation of strategies</w:t>
            </w:r>
          </w:p>
        </w:tc>
      </w:tr>
      <w:tr w14:paraId="315E87E4" w14:textId="77777777" w:rsidTr="00757A00">
        <w:tblPrEx>
          <w:tblW w:w="0" w:type="auto"/>
          <w:tblInd w:w="360" w:type="dxa"/>
          <w:tblLook w:val="04A0"/>
        </w:tblPrEx>
        <w:tc>
          <w:tcPr>
            <w:tcW w:w="1891" w:type="dxa"/>
          </w:tcPr>
          <w:p w:rsidR="00C83BFB" w:rsidP="00757A00" w14:paraId="0B4FF929" w14:textId="77777777">
            <w:pPr>
              <w:spacing w:line="257" w:lineRule="auto"/>
            </w:pPr>
            <w:r>
              <w:t>Online Session 4</w:t>
            </w:r>
          </w:p>
        </w:tc>
        <w:tc>
          <w:tcPr>
            <w:tcW w:w="2761" w:type="dxa"/>
          </w:tcPr>
          <w:p w:rsidR="00C83BFB" w:rsidP="00757A00" w14:paraId="16165132" w14:textId="77777777">
            <w:pPr>
              <w:spacing w:line="257" w:lineRule="auto"/>
            </w:pPr>
            <w:r>
              <w:t>Double Number Lines and Coordinate Graphs</w:t>
            </w:r>
          </w:p>
        </w:tc>
        <w:tc>
          <w:tcPr>
            <w:tcW w:w="4112" w:type="dxa"/>
          </w:tcPr>
          <w:p w:rsidR="00C83BFB" w:rsidP="00757A00" w14:paraId="7135A096" w14:textId="77777777">
            <w:pPr>
              <w:spacing w:line="257" w:lineRule="auto"/>
            </w:pPr>
            <w:r>
              <w:t xml:space="preserve">Analyses of MLL student work; planning and classroom implementation of strategies </w:t>
            </w:r>
          </w:p>
        </w:tc>
      </w:tr>
      <w:tr w14:paraId="5E5B0E66" w14:textId="77777777" w:rsidTr="00757A00">
        <w:tblPrEx>
          <w:tblW w:w="0" w:type="auto"/>
          <w:tblInd w:w="360" w:type="dxa"/>
          <w:tblLook w:val="04A0"/>
        </w:tblPrEx>
        <w:tc>
          <w:tcPr>
            <w:tcW w:w="1891" w:type="dxa"/>
          </w:tcPr>
          <w:p w:rsidR="00C83BFB" w:rsidP="00757A00" w14:paraId="128FF0CD" w14:textId="77777777">
            <w:pPr>
              <w:spacing w:line="257" w:lineRule="auto"/>
            </w:pPr>
            <w:r>
              <w:t>Midyear Workshop</w:t>
            </w:r>
          </w:p>
        </w:tc>
        <w:tc>
          <w:tcPr>
            <w:tcW w:w="2761" w:type="dxa"/>
          </w:tcPr>
          <w:p w:rsidR="00C83BFB" w:rsidP="00757A00" w14:paraId="37159A13" w14:textId="77777777">
            <w:pPr>
              <w:spacing w:line="257" w:lineRule="auto"/>
            </w:pPr>
            <w:r>
              <w:t>Connecting Visual Representations to Symbolic Approaches</w:t>
            </w:r>
          </w:p>
        </w:tc>
        <w:tc>
          <w:tcPr>
            <w:tcW w:w="4112" w:type="dxa"/>
          </w:tcPr>
          <w:p w:rsidR="00C83BFB" w:rsidP="00757A00" w14:paraId="52C4AE2E" w14:textId="77777777">
            <w:pPr>
              <w:spacing w:line="257" w:lineRule="auto"/>
            </w:pPr>
            <w:r>
              <w:t>Analyzing MLL student work; learning about strategies for clarifying vocabulary</w:t>
            </w:r>
          </w:p>
        </w:tc>
      </w:tr>
      <w:tr w14:paraId="19CE1244" w14:textId="77777777" w:rsidTr="00757A00">
        <w:tblPrEx>
          <w:tblW w:w="0" w:type="auto"/>
          <w:tblInd w:w="360" w:type="dxa"/>
          <w:tblLook w:val="04A0"/>
        </w:tblPrEx>
        <w:trPr>
          <w:trHeight w:val="739"/>
        </w:trPr>
        <w:tc>
          <w:tcPr>
            <w:tcW w:w="1891" w:type="dxa"/>
          </w:tcPr>
          <w:p w:rsidR="00C83BFB" w:rsidP="00757A00" w14:paraId="66444A46" w14:textId="77777777">
            <w:pPr>
              <w:spacing w:line="257" w:lineRule="auto"/>
            </w:pPr>
            <w:r>
              <w:t>Online Sessions 5 and 6</w:t>
            </w:r>
          </w:p>
        </w:tc>
        <w:tc>
          <w:tcPr>
            <w:tcW w:w="2761" w:type="dxa"/>
          </w:tcPr>
          <w:p w:rsidR="00C83BFB" w:rsidP="00757A00" w14:paraId="64E25CDC" w14:textId="77777777">
            <w:pPr>
              <w:spacing w:line="257" w:lineRule="auto"/>
            </w:pPr>
            <w:r>
              <w:t>Rates and Proportions and</w:t>
            </w:r>
          </w:p>
          <w:p w:rsidR="00C83BFB" w:rsidP="00757A00" w14:paraId="5B11404F" w14:textId="77777777">
            <w:pPr>
              <w:spacing w:line="257" w:lineRule="auto"/>
            </w:pPr>
            <w:r>
              <w:t>Summarizing and Reflecting on Learning</w:t>
            </w:r>
          </w:p>
        </w:tc>
        <w:tc>
          <w:tcPr>
            <w:tcW w:w="4112" w:type="dxa"/>
          </w:tcPr>
          <w:p w:rsidR="00C83BFB" w:rsidP="00757A00" w14:paraId="3FDCEF1D" w14:textId="77777777">
            <w:pPr>
              <w:spacing w:line="257" w:lineRule="auto"/>
            </w:pPr>
            <w:r>
              <w:t>Discussion of sorting tasks as scaffolds for learning and communication; Final lesson project to bring together learning across the PD; Reflection on learning</w:t>
            </w:r>
          </w:p>
        </w:tc>
      </w:tr>
    </w:tbl>
    <w:p w:rsidR="00C83BFB" w:rsidP="00ED238B" w14:paraId="119F6F4E" w14:textId="77777777">
      <w:pPr>
        <w:spacing w:line="257" w:lineRule="auto"/>
        <w:ind w:left="360"/>
      </w:pPr>
    </w:p>
    <w:p w:rsidR="00612A1C" w:rsidRPr="00382026" w:rsidP="00ED238B" w14:paraId="7A105978" w14:textId="77777777">
      <w:pPr>
        <w:spacing w:line="257" w:lineRule="auto"/>
        <w:ind w:left="360"/>
      </w:pPr>
    </w:p>
    <w:p w:rsidR="00612A1C" w:rsidP="00ED238B" w14:paraId="5CCF4426" w14:textId="4FB67B76">
      <w:pPr>
        <w:spacing w:line="257" w:lineRule="auto"/>
        <w:ind w:left="360"/>
      </w:pPr>
      <w:r w:rsidRPr="00D40406">
        <w:t xml:space="preserve">The PD content for teachers incorporates research about use of VRs (for example, Woodward et al., 2012) and about integration of language support into mathematics for MLLs (for example, Baker et al., 2014). </w:t>
      </w:r>
      <w:r>
        <w:t>This prior research informs</w:t>
      </w:r>
      <w:r w:rsidRPr="00D40406">
        <w:t xml:space="preserve"> </w:t>
      </w:r>
      <w:r>
        <w:t xml:space="preserve">VAM </w:t>
      </w:r>
      <w:r w:rsidRPr="00D40406">
        <w:t xml:space="preserve">PD </w:t>
      </w:r>
      <w:r>
        <w:t>content on</w:t>
      </w:r>
      <w:r w:rsidRPr="00D40406">
        <w:t xml:space="preserve"> ratio and proportional reasoning</w:t>
      </w:r>
      <w:r>
        <w:t xml:space="preserve">, </w:t>
      </w:r>
      <w:r>
        <w:t xml:space="preserve">recognizing that </w:t>
      </w:r>
      <w:r w:rsidRPr="00D40406">
        <w:t>proportionality has been called the “cornerstone of higher mathematics and the capstone of elementary concepts” (Lesh, Post, &amp; Behr, 1988, p. 98).</w:t>
      </w:r>
      <w:r w:rsidRPr="533A7FCB">
        <w:t xml:space="preserve"> The design of VAM PD builds on evidence-based teacher PD strategies by focusing heavily on content, engaging in active and job-embedded learning, supporting teacher collaboration, modeling effective practice, providing coaching and expert support, and offering ongoing opportunities for feedback and reflection (Darling-Hammond et al., 2017; Lynch et al., 2019; Loucks-Horsley et al., 2010).</w:t>
      </w:r>
      <w:r w:rsidRPr="533A7FCB">
        <w:rPr>
          <w:rFonts w:eastAsia="Calibri"/>
        </w:rPr>
        <w:t xml:space="preserve"> </w:t>
      </w:r>
      <w:r w:rsidRPr="533A7FCB">
        <w:t xml:space="preserve">By using evidence-based practices related to mathematics instruction and instruction for MLLs and related to professional learning for teachers, the VAM PD is hypothesized to have impacts for teachers and their students that will address the high-leverage need. </w:t>
      </w:r>
    </w:p>
    <w:p w:rsidR="000051CC" w:rsidRPr="000051CC" w:rsidP="0D77AB94" w14:paraId="02A64961" w14:textId="42A70BFF">
      <w:pPr>
        <w:spacing w:line="257" w:lineRule="auto"/>
        <w:ind w:left="360"/>
      </w:pPr>
      <w:r>
        <w:t xml:space="preserve">The project will include </w:t>
      </w:r>
      <w:r w:rsidR="003D41A4">
        <w:t xml:space="preserve">two analyses: 1) an </w:t>
      </w:r>
      <w:r w:rsidRPr="00C872A4" w:rsidR="003D41A4">
        <w:rPr>
          <w:i/>
          <w:iCs/>
        </w:rPr>
        <w:t>impact</w:t>
      </w:r>
      <w:r w:rsidR="003D41A4">
        <w:t xml:space="preserve"> analysis with confirmatory impact questions focused on </w:t>
      </w:r>
      <w:r w:rsidR="00E6612F">
        <w:t>student learning outcomes, and confirmatory and exploratory impact questions focused on teacher outcomes</w:t>
      </w:r>
      <w:r w:rsidR="00575792">
        <w:t xml:space="preserve">, and 2) an </w:t>
      </w:r>
      <w:r w:rsidRPr="00C872A4" w:rsidR="00575792">
        <w:rPr>
          <w:i/>
          <w:iCs/>
        </w:rPr>
        <w:t>implementation</w:t>
      </w:r>
      <w:r w:rsidR="00575792">
        <w:t xml:space="preserve"> analysis, designed to document the </w:t>
      </w:r>
      <w:r w:rsidR="00C872A4">
        <w:t xml:space="preserve">implementation of the </w:t>
      </w:r>
      <w:r w:rsidR="00575792">
        <w:t>VAM PD intervention</w:t>
      </w:r>
      <w:r w:rsidR="00C872A4">
        <w:t xml:space="preserve"> to teachers in the treatment condition. </w:t>
      </w:r>
      <w:r w:rsidRPr="00F62BAB" w:rsidR="00F62BAB">
        <w:t>The implementation analysis will provide useful information needed to interpret the findings regarding the impact of the program.</w:t>
      </w:r>
    </w:p>
    <w:p w:rsidR="0018584E" w:rsidP="0018584E" w14:paraId="3068937B" w14:textId="0E382651">
      <w:pPr>
        <w:pStyle w:val="Heading2"/>
        <w:ind w:left="360"/>
      </w:pPr>
      <w:bookmarkStart w:id="5" w:name="_Toc116659885"/>
      <w:r>
        <w:t>Overview of Data Collection</w:t>
      </w:r>
      <w:bookmarkEnd w:id="5"/>
    </w:p>
    <w:p w:rsidR="009C55A5" w:rsidP="00ED238B" w14:paraId="7EA8745B" w14:textId="77777777">
      <w:pPr>
        <w:ind w:left="360"/>
      </w:pPr>
    </w:p>
    <w:p w:rsidR="00ED238B" w:rsidP="00ED238B" w14:paraId="5C13EA0F" w14:textId="025C674E">
      <w:pPr>
        <w:ind w:left="360"/>
      </w:pPr>
      <w:r>
        <w:t xml:space="preserve">The impact analysis </w:t>
      </w:r>
      <w:r w:rsidR="00080223">
        <w:t xml:space="preserve">on student learning outcomes </w:t>
      </w:r>
      <w:r>
        <w:t xml:space="preserve">will </w:t>
      </w:r>
      <w:r w:rsidR="00B15336">
        <w:t xml:space="preserve">use student </w:t>
      </w:r>
      <w:r w:rsidR="003035F8">
        <w:t>performance</w:t>
      </w:r>
      <w:r w:rsidR="00B15336">
        <w:t xml:space="preserve"> on four measures </w:t>
      </w:r>
      <w:r w:rsidR="00665374">
        <w:t>related to math</w:t>
      </w:r>
      <w:r w:rsidR="00B3541A">
        <w:t>, all of which have been previously psychometrically validated</w:t>
      </w:r>
      <w:r w:rsidR="00665374">
        <w:t xml:space="preserve">. Student measures will be administered in the fall and the spring </w:t>
      </w:r>
      <w:r w:rsidR="00013995">
        <w:t xml:space="preserve">of the 2023-24 school year and will provide a pre- and post- source of data with which to compare the </w:t>
      </w:r>
      <w:r w:rsidR="00B2398D">
        <w:t xml:space="preserve">performance of </w:t>
      </w:r>
      <w:r w:rsidR="00013995">
        <w:t xml:space="preserve">students served by teachers in the treatment group with </w:t>
      </w:r>
      <w:r w:rsidR="00F65A57">
        <w:t xml:space="preserve">performance of students served by teachers in the treatment group. </w:t>
      </w:r>
      <w:r w:rsidR="007D5534">
        <w:t xml:space="preserve">Data collection for this study </w:t>
      </w:r>
      <w:r w:rsidR="00994E0B">
        <w:t xml:space="preserve">is not regularly recurring data collection and </w:t>
      </w:r>
      <w:r w:rsidR="007D5534">
        <w:t>at this time</w:t>
      </w:r>
      <w:r w:rsidR="007D5534">
        <w:t xml:space="preserve"> </w:t>
      </w:r>
      <w:r w:rsidR="00994E0B">
        <w:t>there are no plans for a follow-up study.</w:t>
      </w:r>
    </w:p>
    <w:p w:rsidR="003035F8" w:rsidP="003035F8" w14:paraId="5A065B2E" w14:textId="12CF22A8">
      <w:pPr>
        <w:ind w:left="360"/>
      </w:pPr>
      <w:r>
        <w:t>Similarly, the impact analysis on teacher outcomes will use teacher performance on three measures related to mathematical understanding and instruction</w:t>
      </w:r>
      <w:r w:rsidR="00655149">
        <w:t>, all of which have been previously psychometrically validated</w:t>
      </w:r>
      <w:r>
        <w:t xml:space="preserve">. Teacher measures will be administered in the </w:t>
      </w:r>
      <w:r w:rsidR="00B2398D">
        <w:t xml:space="preserve">summer of 2023 (prior to VAM PD sessions) </w:t>
      </w:r>
      <w:r>
        <w:t xml:space="preserve">and the spring of </w:t>
      </w:r>
      <w:r w:rsidR="00B2398D">
        <w:t>2024</w:t>
      </w:r>
      <w:r>
        <w:t xml:space="preserve"> and will provide a pre- and post- source of data with which to compare performance of teachers in the treatment group with </w:t>
      </w:r>
      <w:r w:rsidR="00B2398D">
        <w:t xml:space="preserve">the </w:t>
      </w:r>
      <w:r>
        <w:t xml:space="preserve">performance of teachers in the treatment group. </w:t>
      </w:r>
    </w:p>
    <w:p w:rsidR="002C6ED4" w:rsidP="005B2817" w14:paraId="44238678" w14:textId="22D04A63">
      <w:pPr>
        <w:ind w:left="360"/>
      </w:pPr>
      <w:r>
        <w:t xml:space="preserve">The implementation analysis </w:t>
      </w:r>
      <w:r w:rsidR="00C06BE9">
        <w:t xml:space="preserve">will use extant data records from VAM PD implementation to </w:t>
      </w:r>
      <w:r w:rsidR="00D46104">
        <w:t xml:space="preserve">document the number of hours of VAM PD attended, as well as the number of VAM PD assignments completed by each teacher </w:t>
      </w:r>
      <w:r w:rsidR="00016D44">
        <w:t>participant in the treatment group</w:t>
      </w:r>
      <w:r w:rsidR="00D46104">
        <w:t xml:space="preserve">. In addition, all teacher </w:t>
      </w:r>
      <w:r w:rsidR="00016D44">
        <w:t>participants</w:t>
      </w:r>
      <w:r w:rsidR="00D46104">
        <w:t xml:space="preserve"> (</w:t>
      </w:r>
      <w:r w:rsidR="00D46104">
        <w:t>e.g.</w:t>
      </w:r>
      <w:r w:rsidR="00D46104">
        <w:t xml:space="preserve"> treatment and control groups) will complete </w:t>
      </w:r>
      <w:r w:rsidRPr="2CDBAF29">
        <w:t xml:space="preserve">questions about </w:t>
      </w:r>
      <w:r w:rsidRPr="4AB80BF7">
        <w:t xml:space="preserve">the curriculum that they used, </w:t>
      </w:r>
      <w:r w:rsidRPr="2CDBAF29">
        <w:t xml:space="preserve">their 2023/24 mathematics PD experiences </w:t>
      </w:r>
      <w:r w:rsidR="005B2817">
        <w:t xml:space="preserve">and </w:t>
      </w:r>
      <w:r w:rsidRPr="2CDBAF29">
        <w:t>their use of key classroom practices from VAM PD. This descriptive information about classroom context will provide information about service contrast that may be helpful in explaining results related to impacts on students who were taught by participating teachers.</w:t>
      </w:r>
    </w:p>
    <w:p w:rsidR="007C4D30" w:rsidP="005B2817" w14:paraId="3C379C9D" w14:textId="49E00341">
      <w:pPr>
        <w:ind w:left="360"/>
      </w:pPr>
      <w:r>
        <w:t xml:space="preserve">REL NEI will administer </w:t>
      </w:r>
      <w:r w:rsidR="00114A79">
        <w:t>all teacher measures electronically to all participating teacher (</w:t>
      </w:r>
      <w:r w:rsidR="00114A79">
        <w:t>e.g.</w:t>
      </w:r>
      <w:r w:rsidR="00114A79">
        <w:t xml:space="preserve"> treatment and control groups)</w:t>
      </w:r>
      <w:r w:rsidR="00623BBF">
        <w:t xml:space="preserve"> in the summer of 2023 prior to the first VAM PD session</w:t>
      </w:r>
      <w:r w:rsidR="00A646E7">
        <w:t xml:space="preserve">, and again in the spring </w:t>
      </w:r>
      <w:r w:rsidR="00A646E7">
        <w:t xml:space="preserve">of 2024 following the final VAM PD session. </w:t>
      </w:r>
      <w:r w:rsidR="0020105F">
        <w:t xml:space="preserve">A copy of all teacher measures is included in attachment A. </w:t>
      </w:r>
    </w:p>
    <w:p w:rsidR="0020105F" w:rsidP="005B2817" w14:paraId="6FDBA705" w14:textId="3F26A737">
      <w:pPr>
        <w:ind w:left="360"/>
      </w:pPr>
      <w:r>
        <w:t>REL NEI will administer three student measures electronically to all students served by participating teachers (</w:t>
      </w:r>
      <w:r>
        <w:t>e.g.</w:t>
      </w:r>
      <w:r>
        <w:t xml:space="preserve"> treatment and control groups)</w:t>
      </w:r>
      <w:r w:rsidR="00526C6A">
        <w:t xml:space="preserve"> in the fall of 2024 before any proportional reasoning content has been introduced, and again in the spring of 2023 following the final VAM PD session. </w:t>
      </w:r>
      <w:r w:rsidR="000510BB">
        <w:t xml:space="preserve">In addition to completing three measures electronically, students will also complete one measure on paper. A copy of all student measures is included in attachment A. </w:t>
      </w:r>
    </w:p>
    <w:p w:rsidR="005C1119" w:rsidP="005B2817" w14:paraId="540A873F" w14:textId="77777777">
      <w:pPr>
        <w:ind w:left="360"/>
        <w:rPr>
          <w:b/>
          <w:bCs/>
        </w:rPr>
      </w:pPr>
    </w:p>
    <w:p w:rsidR="005C1119" w:rsidP="005B2817" w14:paraId="3FB329A2" w14:textId="77777777">
      <w:pPr>
        <w:ind w:left="360"/>
        <w:rPr>
          <w:b/>
          <w:bCs/>
        </w:rPr>
      </w:pPr>
    </w:p>
    <w:p w:rsidR="006A6158" w:rsidRPr="00804CCE" w:rsidP="005B2817" w14:paraId="5F744898" w14:textId="32F36D41">
      <w:pPr>
        <w:ind w:left="360"/>
        <w:rPr>
          <w:b/>
          <w:bCs/>
        </w:rPr>
      </w:pPr>
      <w:r w:rsidRPr="00804CCE">
        <w:rPr>
          <w:b/>
          <w:bCs/>
        </w:rPr>
        <w:t>Table 1. Timeline for Data Collection</w:t>
      </w:r>
    </w:p>
    <w:tbl>
      <w:tblPr>
        <w:tblStyle w:val="TableGrid"/>
        <w:tblW w:w="0" w:type="auto"/>
        <w:tblInd w:w="1525" w:type="dxa"/>
        <w:tblLook w:val="04A0"/>
      </w:tblPr>
      <w:tblGrid>
        <w:gridCol w:w="2880"/>
        <w:gridCol w:w="3780"/>
      </w:tblGrid>
      <w:tr w14:paraId="698A9472" w14:textId="77777777" w:rsidTr="006E664F">
        <w:tblPrEx>
          <w:tblW w:w="0" w:type="auto"/>
          <w:tblInd w:w="1525" w:type="dxa"/>
          <w:tblLook w:val="04A0"/>
        </w:tblPrEx>
        <w:tc>
          <w:tcPr>
            <w:tcW w:w="2880" w:type="dxa"/>
            <w:shd w:val="clear" w:color="auto" w:fill="0A2C6F" w:themeFill="accent2" w:themeFillTint="E6"/>
          </w:tcPr>
          <w:p w:rsidR="00804CCE" w:rsidP="005B2817" w14:paraId="3AC8F8F6" w14:textId="71E4F96D">
            <w:r>
              <w:t>Timeframe</w:t>
            </w:r>
          </w:p>
        </w:tc>
        <w:tc>
          <w:tcPr>
            <w:tcW w:w="3780" w:type="dxa"/>
            <w:shd w:val="clear" w:color="auto" w:fill="0A2C6F" w:themeFill="accent2" w:themeFillTint="E6"/>
          </w:tcPr>
          <w:p w:rsidR="00804CCE" w:rsidP="005B2817" w14:paraId="4B03BD86" w14:textId="761DE623">
            <w:r>
              <w:t>Data Collection</w:t>
            </w:r>
          </w:p>
        </w:tc>
      </w:tr>
      <w:tr w14:paraId="43A840E2" w14:textId="77777777" w:rsidTr="006E664F">
        <w:tblPrEx>
          <w:tblW w:w="0" w:type="auto"/>
          <w:tblInd w:w="1525" w:type="dxa"/>
          <w:tblLook w:val="04A0"/>
        </w:tblPrEx>
        <w:tc>
          <w:tcPr>
            <w:tcW w:w="2880" w:type="dxa"/>
          </w:tcPr>
          <w:p w:rsidR="00804CCE" w:rsidP="005B2817" w14:paraId="046DC04B" w14:textId="1727A3DF">
            <w:r>
              <w:t>Summer 2023</w:t>
            </w:r>
          </w:p>
        </w:tc>
        <w:tc>
          <w:tcPr>
            <w:tcW w:w="3780" w:type="dxa"/>
          </w:tcPr>
          <w:p w:rsidR="00804CCE" w:rsidP="005B2817" w14:paraId="0176BFC9" w14:textId="18E0AA00">
            <w:r>
              <w:t>Administer teacher measures (pre-)</w:t>
            </w:r>
          </w:p>
        </w:tc>
      </w:tr>
      <w:tr w14:paraId="14F5EA1E" w14:textId="77777777" w:rsidTr="006E664F">
        <w:tblPrEx>
          <w:tblW w:w="0" w:type="auto"/>
          <w:tblInd w:w="1525" w:type="dxa"/>
          <w:tblLook w:val="04A0"/>
        </w:tblPrEx>
        <w:tc>
          <w:tcPr>
            <w:tcW w:w="2880" w:type="dxa"/>
          </w:tcPr>
          <w:p w:rsidR="00804CCE" w:rsidP="005B2817" w14:paraId="28CE0727" w14:textId="475434A5">
            <w:r>
              <w:t>Fall 2023</w:t>
            </w:r>
          </w:p>
        </w:tc>
        <w:tc>
          <w:tcPr>
            <w:tcW w:w="3780" w:type="dxa"/>
          </w:tcPr>
          <w:p w:rsidR="00804CCE" w:rsidP="005B2817" w14:paraId="02F53B70" w14:textId="405C25F9">
            <w:r>
              <w:t>Administer student measures (pre-)</w:t>
            </w:r>
          </w:p>
        </w:tc>
      </w:tr>
      <w:tr w14:paraId="7F97B8E0" w14:textId="77777777" w:rsidTr="006E664F">
        <w:tblPrEx>
          <w:tblW w:w="0" w:type="auto"/>
          <w:tblInd w:w="1525" w:type="dxa"/>
          <w:tblLook w:val="04A0"/>
        </w:tblPrEx>
        <w:tc>
          <w:tcPr>
            <w:tcW w:w="2880" w:type="dxa"/>
          </w:tcPr>
          <w:p w:rsidR="00804CCE" w:rsidP="005B2817" w14:paraId="39233DBE" w14:textId="47A80C60">
            <w:r>
              <w:t>Spring 2024</w:t>
            </w:r>
          </w:p>
        </w:tc>
        <w:tc>
          <w:tcPr>
            <w:tcW w:w="3780" w:type="dxa"/>
          </w:tcPr>
          <w:p w:rsidR="00804CCE" w:rsidP="005B2817" w14:paraId="18047F63" w14:textId="67370541">
            <w:r>
              <w:t>Administer teacher measures (post-) and student measures (post-)</w:t>
            </w:r>
          </w:p>
        </w:tc>
      </w:tr>
    </w:tbl>
    <w:p w:rsidR="006A6158" w:rsidP="005B2817" w14:paraId="2A4AE2B4" w14:textId="77777777">
      <w:pPr>
        <w:ind w:left="360"/>
      </w:pPr>
    </w:p>
    <w:p w:rsidR="0033675B" w:rsidRPr="009C55A5" w:rsidP="0033675B" w14:paraId="739F553A" w14:textId="0C1FD957">
      <w:pPr>
        <w:ind w:left="360"/>
      </w:pPr>
      <w:r>
        <w:t xml:space="preserve">The data collection </w:t>
      </w:r>
      <w:r w:rsidR="00804CCE">
        <w:t>timeline</w:t>
      </w:r>
      <w:r>
        <w:t xml:space="preserve"> described </w:t>
      </w:r>
      <w:r w:rsidR="00804CCE">
        <w:t>in Table 1</w:t>
      </w:r>
      <w:r>
        <w:t xml:space="preserve"> assumes that OMB approval will be received prior to these data collection periods. If OMB approval is not received, no data collections will occur.</w:t>
      </w:r>
    </w:p>
    <w:p w:rsidR="003035F8" w:rsidP="00ED238B" w14:paraId="742C7384" w14:textId="1082B543">
      <w:pPr>
        <w:ind w:left="360"/>
      </w:pPr>
      <w:r>
        <w:t>In addition to the data collection described here, additional student- and teacher- level data will be provided by the CSDE</w:t>
      </w:r>
      <w:r w:rsidR="00F67ADA">
        <w:t xml:space="preserve"> to support the impact analyses and interpretation. This data will include </w:t>
      </w:r>
      <w:r w:rsidRPr="2CDBAF29" w:rsidR="00955FE7">
        <w:t>teacher characteristics (</w:t>
      </w:r>
      <w:r w:rsidR="00955FE7">
        <w:t>e.g. license/credential information</w:t>
      </w:r>
      <w:r w:rsidRPr="2CDBAF29" w:rsidR="00955FE7">
        <w:t>) and student-level demographic data (for example, gender, race, ethnicity, MLL status, special education status, free and/or reduced lunch status</w:t>
      </w:r>
      <w:r w:rsidR="00955FE7">
        <w:t xml:space="preserve">, and performance on grade </w:t>
      </w:r>
      <w:r w:rsidR="00955FE7">
        <w:t>6  and</w:t>
      </w:r>
      <w:r w:rsidR="00955FE7">
        <w:t xml:space="preserve"> grade 7 state standardized assessments of math</w:t>
      </w:r>
      <w:r w:rsidRPr="2CDBAF29" w:rsidR="00955FE7">
        <w:t xml:space="preserve">). </w:t>
      </w:r>
      <w:r w:rsidR="00A807EA">
        <w:t>The collection of this administrative data from CSDE does not require OMB clearance.</w:t>
      </w:r>
    </w:p>
    <w:p w:rsidR="00912F37" w:rsidP="00912F37" w14:paraId="21C1011B" w14:textId="49835738">
      <w:pPr>
        <w:pStyle w:val="Heading2"/>
        <w:numPr>
          <w:ilvl w:val="0"/>
          <w:numId w:val="15"/>
        </w:numPr>
      </w:pPr>
      <w:bookmarkStart w:id="6" w:name="_Toc116659886"/>
      <w:r>
        <w:t>How, by Whom, and for What Purpose Information Is to Be Used</w:t>
      </w:r>
      <w:bookmarkEnd w:id="6"/>
    </w:p>
    <w:p w:rsidR="00262913" w:rsidP="009C55A5" w14:paraId="2A238688" w14:textId="77777777"/>
    <w:p w:rsidR="009C6E3B" w:rsidRPr="001C1D45" w:rsidP="009C6E3B" w14:paraId="06771F44" w14:textId="30EF8385">
      <w:pPr>
        <w:rPr>
          <w:i/>
          <w:iCs/>
        </w:rPr>
      </w:pPr>
      <w:r w:rsidRPr="2CDBAF29">
        <w:t xml:space="preserve">The results of this study will </w:t>
      </w:r>
      <w:r w:rsidR="00EC0DE2">
        <w:t>be used by</w:t>
      </w:r>
      <w:r w:rsidRPr="2CDBAF29">
        <w:t xml:space="preserve"> state and district decision-makers </w:t>
      </w:r>
      <w:r w:rsidR="00EC0DE2">
        <w:t xml:space="preserve">to inform decisions regarding the types of professional development opportunities to provide to improve teaching and learning for </w:t>
      </w:r>
      <w:r w:rsidR="00E122DF">
        <w:t xml:space="preserve">all students including </w:t>
      </w:r>
      <w:r w:rsidR="00EC0DE2">
        <w:t xml:space="preserve">MLLs. </w:t>
      </w:r>
      <w:r w:rsidR="004A4C1A">
        <w:t xml:space="preserve">The study will result in a report intended for </w:t>
      </w:r>
      <w:r w:rsidR="000227AC">
        <w:t>district</w:t>
      </w:r>
      <w:r w:rsidR="004A4C1A">
        <w:t xml:space="preserve"> and state leaders who are responsible for</w:t>
      </w:r>
      <w:r w:rsidR="00D764FC">
        <w:t xml:space="preserve"> </w:t>
      </w:r>
      <w:r w:rsidR="000227AC">
        <w:t xml:space="preserve">supporting high </w:t>
      </w:r>
      <w:r w:rsidR="00E122DF">
        <w:t>quality</w:t>
      </w:r>
      <w:r w:rsidR="000227AC">
        <w:t xml:space="preserve"> teaching and learning</w:t>
      </w:r>
      <w:r w:rsidR="00E122DF">
        <w:t xml:space="preserve"> for all students, including MLLs. </w:t>
      </w:r>
      <w:r w:rsidR="008B4FC7">
        <w:t xml:space="preserve">Researchers will also </w:t>
      </w:r>
      <w:r w:rsidR="00E37E50">
        <w:t xml:space="preserve">facilitate discussions </w:t>
      </w:r>
      <w:r w:rsidR="001B7056">
        <w:t xml:space="preserve">of the results with state and district leaders, and present findings at a practitioner focused conference. </w:t>
      </w:r>
    </w:p>
    <w:p w:rsidR="00912F37" w:rsidP="00545AC6" w14:paraId="32ACE27D" w14:textId="1B08E1CE">
      <w:pPr>
        <w:pStyle w:val="Heading2"/>
        <w:numPr>
          <w:ilvl w:val="0"/>
          <w:numId w:val="15"/>
        </w:numPr>
      </w:pPr>
      <w:bookmarkStart w:id="7" w:name="_Toc116659887"/>
      <w:r>
        <w:t>Use of Automated, Electronic, Mechanical, or Other Technological Collection Techniques</w:t>
      </w:r>
      <w:bookmarkEnd w:id="7"/>
    </w:p>
    <w:p w:rsidR="009C55A5" w:rsidP="009C55A5" w14:paraId="19BF0BE7" w14:textId="77777777"/>
    <w:p w:rsidR="009E0EC9" w:rsidP="009C55A5" w14:paraId="30166D6A" w14:textId="06FC8709">
      <w:r>
        <w:t xml:space="preserve">The data collection plan reflects sensitivity to issues of efficiency, accuracy, and respondent burden. To address the study’s </w:t>
      </w:r>
      <w:r w:rsidR="743844B2">
        <w:t>research questions</w:t>
      </w:r>
      <w:r>
        <w:t>, the contractor will collect data using electronic data collection tools when possible. The electronic tools include the following:</w:t>
      </w:r>
    </w:p>
    <w:p w:rsidR="35AD1793" w:rsidP="7EE5783F" w14:paraId="2C239FA5" w14:textId="7CE0211E">
      <w:pPr>
        <w:pStyle w:val="ListParagraph"/>
        <w:numPr>
          <w:ilvl w:val="0"/>
          <w:numId w:val="16"/>
        </w:numPr>
        <w:rPr>
          <w:color w:val="000000" w:themeColor="text1"/>
        </w:rPr>
      </w:pPr>
      <w:r w:rsidRPr="7EE5783F">
        <w:rPr>
          <w:rFonts w:eastAsia="Times New Roman" w:cs="Times New Roman"/>
          <w:sz w:val="24"/>
          <w:szCs w:val="24"/>
        </w:rPr>
        <w:t>An electronic data collection tool (</w:t>
      </w:r>
      <w:r w:rsidRPr="7EE5783F">
        <w:rPr>
          <w:rFonts w:eastAsia="Times New Roman" w:cs="Times New Roman"/>
          <w:sz w:val="24"/>
          <w:szCs w:val="24"/>
        </w:rPr>
        <w:t>e.g.</w:t>
      </w:r>
      <w:r w:rsidRPr="7EE5783F">
        <w:rPr>
          <w:rFonts w:eastAsia="Times New Roman" w:cs="Times New Roman"/>
          <w:sz w:val="24"/>
          <w:szCs w:val="24"/>
        </w:rPr>
        <w:t xml:space="preserve"> </w:t>
      </w:r>
      <w:r w:rsidRPr="7EE5783F">
        <w:rPr>
          <w:rFonts w:eastAsia="Times New Roman" w:cs="Times New Roman"/>
          <w:sz w:val="24"/>
          <w:szCs w:val="24"/>
        </w:rPr>
        <w:t>Alchemer</w:t>
      </w:r>
      <w:r w:rsidRPr="7EE5783F">
        <w:rPr>
          <w:rFonts w:eastAsia="Times New Roman" w:cs="Times New Roman"/>
          <w:sz w:val="24"/>
          <w:szCs w:val="24"/>
        </w:rPr>
        <w:t>) that allows for the secure collection of informed consent from teacher participants.</w:t>
      </w:r>
    </w:p>
    <w:p w:rsidR="05906F27" w:rsidP="7EE5783F" w14:paraId="00F472E2" w14:textId="69224D9D">
      <w:pPr>
        <w:pStyle w:val="ListParagraph"/>
        <w:numPr>
          <w:ilvl w:val="0"/>
          <w:numId w:val="16"/>
        </w:numPr>
        <w:rPr>
          <w:rFonts w:asciiTheme="minorHAnsi" w:eastAsiaTheme="minorEastAsia" w:hAnsiTheme="minorHAnsi"/>
          <w:color w:val="000000" w:themeColor="text1"/>
        </w:rPr>
      </w:pPr>
      <w:r w:rsidRPr="7EE5783F">
        <w:rPr>
          <w:rFonts w:eastAsia="Times New Roman" w:cs="Times New Roman"/>
          <w:sz w:val="24"/>
          <w:szCs w:val="24"/>
        </w:rPr>
        <w:t>A secure electronic file transfer protocol site that allows CSDE, schools, and teachers to transfer administrative records to ED’s contractor in an efficient and secure way</w:t>
      </w:r>
      <w:r w:rsidRPr="7EE5783F" w:rsidR="0BF7058B">
        <w:rPr>
          <w:rFonts w:eastAsia="Times New Roman" w:cs="Times New Roman"/>
          <w:sz w:val="24"/>
          <w:szCs w:val="24"/>
        </w:rPr>
        <w:t>.</w:t>
      </w:r>
    </w:p>
    <w:p w:rsidR="0BF7058B" w:rsidP="1D56A7B1" w14:paraId="4F83F003" w14:textId="0FC97569">
      <w:pPr>
        <w:pStyle w:val="ListParagraph"/>
        <w:numPr>
          <w:ilvl w:val="0"/>
          <w:numId w:val="16"/>
        </w:numPr>
        <w:rPr>
          <w:rFonts w:asciiTheme="minorHAnsi" w:eastAsiaTheme="minorEastAsia" w:hAnsiTheme="minorHAnsi"/>
          <w:color w:val="000000" w:themeColor="text1"/>
        </w:rPr>
      </w:pPr>
      <w:r w:rsidRPr="1D56A7B1">
        <w:rPr>
          <w:rFonts w:eastAsia="Times New Roman" w:cs="Times New Roman"/>
          <w:sz w:val="24"/>
          <w:szCs w:val="24"/>
        </w:rPr>
        <w:t>Online data collection tools</w:t>
      </w:r>
      <w:r w:rsidRPr="1D56A7B1" w:rsidR="336371CA">
        <w:rPr>
          <w:rFonts w:eastAsia="Times New Roman" w:cs="Times New Roman"/>
          <w:sz w:val="24"/>
          <w:szCs w:val="24"/>
        </w:rPr>
        <w:t xml:space="preserve"> (</w:t>
      </w:r>
      <w:r w:rsidRPr="1D56A7B1" w:rsidR="336371CA">
        <w:rPr>
          <w:rFonts w:eastAsia="Times New Roman" w:cs="Times New Roman"/>
          <w:sz w:val="24"/>
          <w:szCs w:val="24"/>
        </w:rPr>
        <w:t>e.g.</w:t>
      </w:r>
      <w:r w:rsidRPr="1D56A7B1" w:rsidR="336371CA">
        <w:rPr>
          <w:rFonts w:eastAsia="Times New Roman" w:cs="Times New Roman"/>
          <w:sz w:val="24"/>
          <w:szCs w:val="24"/>
        </w:rPr>
        <w:t xml:space="preserve"> </w:t>
      </w:r>
      <w:r w:rsidRPr="1D56A7B1" w:rsidR="336371CA">
        <w:rPr>
          <w:rFonts w:eastAsia="Times New Roman" w:cs="Times New Roman"/>
          <w:sz w:val="24"/>
          <w:szCs w:val="24"/>
        </w:rPr>
        <w:t>Alchemer</w:t>
      </w:r>
      <w:r w:rsidRPr="1D56A7B1" w:rsidR="336371CA">
        <w:rPr>
          <w:rFonts w:eastAsia="Times New Roman" w:cs="Times New Roman"/>
          <w:sz w:val="24"/>
          <w:szCs w:val="24"/>
        </w:rPr>
        <w:t>)</w:t>
      </w:r>
      <w:r w:rsidRPr="1D56A7B1">
        <w:rPr>
          <w:rFonts w:eastAsia="Times New Roman" w:cs="Times New Roman"/>
          <w:sz w:val="24"/>
          <w:szCs w:val="24"/>
        </w:rPr>
        <w:t xml:space="preserve"> that allow for the secure collection of teacher and student measures</w:t>
      </w:r>
      <w:r w:rsidRPr="1D56A7B1" w:rsidR="40F08FB9">
        <w:rPr>
          <w:rFonts w:eastAsia="Times New Roman" w:cs="Times New Roman"/>
          <w:sz w:val="24"/>
          <w:szCs w:val="24"/>
        </w:rPr>
        <w:t>, giving participants th</w:t>
      </w:r>
      <w:r w:rsidRPr="1D56A7B1" w:rsidR="71B00E87">
        <w:rPr>
          <w:rFonts w:eastAsia="Times New Roman" w:cs="Times New Roman"/>
          <w:sz w:val="24"/>
          <w:szCs w:val="24"/>
        </w:rPr>
        <w:t xml:space="preserve">e opportunity to </w:t>
      </w:r>
      <w:r w:rsidRPr="1D56A7B1" w:rsidR="058B23CB">
        <w:rPr>
          <w:rFonts w:eastAsia="Times New Roman" w:cs="Times New Roman"/>
          <w:sz w:val="24"/>
          <w:szCs w:val="24"/>
        </w:rPr>
        <w:t>respond directly and eliminating</w:t>
      </w:r>
      <w:r w:rsidRPr="1D56A7B1" w:rsidR="71B00E87">
        <w:rPr>
          <w:rFonts w:eastAsia="Times New Roman" w:cs="Times New Roman"/>
          <w:sz w:val="24"/>
          <w:szCs w:val="24"/>
        </w:rPr>
        <w:t xml:space="preserve"> the need for third-party data entry.</w:t>
      </w:r>
      <w:r w:rsidR="00D50E52">
        <w:rPr>
          <w:rFonts w:eastAsia="Times New Roman" w:cs="Times New Roman"/>
          <w:sz w:val="24"/>
          <w:szCs w:val="24"/>
        </w:rPr>
        <w:t xml:space="preserve"> </w:t>
      </w:r>
      <w:r w:rsidR="00D50E52">
        <w:t>All tools used by participants will be confirmed by IES as being 508 compliant before they are used.</w:t>
      </w:r>
    </w:p>
    <w:p w:rsidR="71B00E87" w:rsidP="1D56A7B1" w14:paraId="20CCA44B" w14:textId="67033C44">
      <w:pPr>
        <w:pStyle w:val="ListParagraph"/>
        <w:numPr>
          <w:ilvl w:val="0"/>
          <w:numId w:val="16"/>
        </w:numPr>
        <w:rPr>
          <w:rFonts w:asciiTheme="minorHAnsi" w:eastAsiaTheme="minorEastAsia" w:hAnsiTheme="minorHAnsi"/>
          <w:color w:val="000000" w:themeColor="text1"/>
        </w:rPr>
      </w:pPr>
      <w:r w:rsidRPr="1D56A7B1">
        <w:t xml:space="preserve">E-mail systems maintained by schools/districts and the contractor that allow for </w:t>
      </w:r>
      <w:r w:rsidR="0044459C">
        <w:t xml:space="preserve">sharing unique links </w:t>
      </w:r>
      <w:r w:rsidR="00DE2A75">
        <w:t>to electronic data collection forms for teachers and students.</w:t>
      </w:r>
    </w:p>
    <w:p w:rsidR="61845264" w:rsidP="7EE5783F" w14:paraId="0E3488C0" w14:textId="24F103E9">
      <w:pPr>
        <w:pStyle w:val="ListParagraph"/>
        <w:numPr>
          <w:ilvl w:val="0"/>
          <w:numId w:val="16"/>
        </w:numPr>
        <w:rPr>
          <w:rFonts w:asciiTheme="minorHAnsi" w:eastAsiaTheme="minorEastAsia" w:hAnsiTheme="minorHAnsi"/>
          <w:sz w:val="24"/>
          <w:szCs w:val="24"/>
        </w:rPr>
      </w:pPr>
      <w:r w:rsidRPr="7EE5783F">
        <w:rPr>
          <w:rFonts w:eastAsia="Calibri"/>
          <w:sz w:val="24"/>
          <w:szCs w:val="24"/>
        </w:rPr>
        <w:t xml:space="preserve">Mailed copies of </w:t>
      </w:r>
      <w:r w:rsidRPr="7EE5783F" w:rsidR="3AE06ABC">
        <w:rPr>
          <w:rFonts w:eastAsia="Calibri"/>
          <w:sz w:val="24"/>
          <w:szCs w:val="24"/>
        </w:rPr>
        <w:t>all</w:t>
      </w:r>
      <w:r w:rsidRPr="7EE5783F">
        <w:rPr>
          <w:rFonts w:eastAsia="Calibri"/>
          <w:sz w:val="24"/>
          <w:szCs w:val="24"/>
        </w:rPr>
        <w:t xml:space="preserve"> materials </w:t>
      </w:r>
      <w:r w:rsidRPr="7EE5783F" w:rsidR="797C2D80">
        <w:rPr>
          <w:rFonts w:eastAsia="Calibri"/>
          <w:sz w:val="24"/>
          <w:szCs w:val="24"/>
        </w:rPr>
        <w:t xml:space="preserve">needed </w:t>
      </w:r>
      <w:r w:rsidRPr="7EE5783F">
        <w:rPr>
          <w:rFonts w:eastAsia="Calibri"/>
          <w:sz w:val="24"/>
          <w:szCs w:val="24"/>
        </w:rPr>
        <w:t xml:space="preserve">for </w:t>
      </w:r>
      <w:r w:rsidRPr="7EE5783F" w:rsidR="07A1BEBE">
        <w:rPr>
          <w:rFonts w:eastAsia="Calibri"/>
          <w:sz w:val="24"/>
          <w:szCs w:val="24"/>
        </w:rPr>
        <w:t>student assessments, with return shipping</w:t>
      </w:r>
      <w:r w:rsidRPr="7EE5783F" w:rsidR="48CC451F">
        <w:rPr>
          <w:rFonts w:eastAsia="Calibri"/>
          <w:sz w:val="24"/>
          <w:szCs w:val="24"/>
        </w:rPr>
        <w:t xml:space="preserve"> provided</w:t>
      </w:r>
      <w:r w:rsidRPr="7EE5783F" w:rsidR="07A1BEBE">
        <w:rPr>
          <w:rFonts w:eastAsia="Calibri"/>
          <w:sz w:val="24"/>
          <w:szCs w:val="24"/>
        </w:rPr>
        <w:t xml:space="preserve">. </w:t>
      </w:r>
    </w:p>
    <w:p w:rsidR="2A45965C" w:rsidP="7EE5783F" w14:paraId="73BB8025" w14:textId="127BCBE6">
      <w:pPr>
        <w:pStyle w:val="ListParagraph"/>
        <w:numPr>
          <w:ilvl w:val="0"/>
          <w:numId w:val="16"/>
        </w:numPr>
        <w:rPr>
          <w:color w:val="000000" w:themeColor="text1"/>
        </w:rPr>
      </w:pPr>
      <w:r w:rsidRPr="7EE5783F">
        <w:rPr>
          <w:rFonts w:eastAsia="Calibri"/>
          <w:sz w:val="24"/>
          <w:szCs w:val="24"/>
        </w:rPr>
        <w:t xml:space="preserve">An electronic </w:t>
      </w:r>
      <w:r w:rsidRPr="7EE5783F" w:rsidR="75B18764">
        <w:rPr>
          <w:rFonts w:eastAsia="Calibri"/>
          <w:sz w:val="24"/>
          <w:szCs w:val="24"/>
        </w:rPr>
        <w:t>data collection tool (</w:t>
      </w:r>
      <w:r w:rsidRPr="7EE5783F" w:rsidR="75B18764">
        <w:rPr>
          <w:rFonts w:eastAsia="Calibri"/>
          <w:sz w:val="24"/>
          <w:szCs w:val="24"/>
        </w:rPr>
        <w:t>e.g.</w:t>
      </w:r>
      <w:r w:rsidRPr="7EE5783F" w:rsidR="75B18764">
        <w:rPr>
          <w:rFonts w:eastAsia="Calibri"/>
          <w:sz w:val="24"/>
          <w:szCs w:val="24"/>
        </w:rPr>
        <w:t xml:space="preserve"> TeKnoclips.org) that allow</w:t>
      </w:r>
      <w:r w:rsidRPr="7EE5783F" w:rsidR="313B8499">
        <w:rPr>
          <w:rFonts w:eastAsia="Calibri"/>
          <w:sz w:val="24"/>
          <w:szCs w:val="24"/>
        </w:rPr>
        <w:t>s</w:t>
      </w:r>
      <w:r w:rsidRPr="7EE5783F" w:rsidR="75B18764">
        <w:rPr>
          <w:rFonts w:eastAsia="Calibri"/>
          <w:sz w:val="24"/>
          <w:szCs w:val="24"/>
        </w:rPr>
        <w:t xml:space="preserve"> for the collection of teacher survey responses to the Classroom Video Analysis assessment. </w:t>
      </w:r>
    </w:p>
    <w:p w:rsidR="00AA126E" w:rsidRPr="009C55A5" w:rsidP="7EE5783F" w14:paraId="6ABF0D7B" w14:textId="77777777">
      <w:pPr>
        <w:rPr>
          <w:rFonts w:eastAsia="Calibri"/>
        </w:rPr>
      </w:pPr>
    </w:p>
    <w:p w:rsidR="00545AC6" w:rsidP="00545AC6" w14:paraId="1B7D2168" w14:textId="5C5BBB96">
      <w:pPr>
        <w:pStyle w:val="Heading2"/>
        <w:numPr>
          <w:ilvl w:val="0"/>
          <w:numId w:val="15"/>
        </w:numPr>
      </w:pPr>
      <w:bookmarkStart w:id="8" w:name="_Toc116659888"/>
      <w:r>
        <w:t>Efforts to Avoid Duplication of Effort</w:t>
      </w:r>
      <w:bookmarkEnd w:id="8"/>
    </w:p>
    <w:p w:rsidR="009C55A5" w:rsidP="009C55A5" w14:paraId="7BA43F81" w14:textId="77777777"/>
    <w:p w:rsidR="00C44513" w:rsidRPr="009C55A5" w:rsidP="009C55A5" w14:paraId="715159C4" w14:textId="5AE4A122">
      <w:r>
        <w:t xml:space="preserve">To the extent possible, this project relies on extant administrative data that is available on students, teachers, and schools. </w:t>
      </w:r>
      <w:r w:rsidR="00DA24F7">
        <w:t>For</w:t>
      </w:r>
      <w:r w:rsidR="0015208C">
        <w:t xml:space="preserve"> example, student demographic characteristics, teacher preparation</w:t>
      </w:r>
      <w:r w:rsidR="25957D71">
        <w:t>,</w:t>
      </w:r>
      <w:r w:rsidR="0015208C">
        <w:t xml:space="preserve"> and school characteristics will be provided by the </w:t>
      </w:r>
      <w:r w:rsidR="005F75EC">
        <w:t xml:space="preserve">state </w:t>
      </w:r>
      <w:r w:rsidR="005F75EC">
        <w:t>in order to</w:t>
      </w:r>
      <w:r w:rsidR="005F75EC">
        <w:t xml:space="preserve"> minimize burden on </w:t>
      </w:r>
      <w:r w:rsidR="00113EB9">
        <w:t xml:space="preserve">individual participants. However, </w:t>
      </w:r>
      <w:r w:rsidR="00113EB9">
        <w:t>in order to</w:t>
      </w:r>
      <w:r w:rsidR="00113EB9">
        <w:t xml:space="preserve"> rigorously </w:t>
      </w:r>
      <w:r w:rsidR="004B6C41">
        <w:t>understand the impact of VAM PD on teacher and student outcomes, additional data collection will be necessary</w:t>
      </w:r>
      <w:r w:rsidR="00D92D30">
        <w:t xml:space="preserve">, including surveys that are completed by treatment and control group teachers, </w:t>
      </w:r>
      <w:r w:rsidR="00C96E54">
        <w:t>as well as measures of student</w:t>
      </w:r>
      <w:r w:rsidR="00E5350B">
        <w:t xml:space="preserve"> learning. Schools do not currently collect such implementation data on the program, and this type of information is not available fr</w:t>
      </w:r>
      <w:r w:rsidR="38162BDE">
        <w:t>o</w:t>
      </w:r>
      <w:r w:rsidR="00E5350B">
        <w:t xml:space="preserve">m any other data source. </w:t>
      </w:r>
      <w:r w:rsidR="00C96E54">
        <w:t xml:space="preserve"> </w:t>
      </w:r>
    </w:p>
    <w:p w:rsidR="00545AC6" w:rsidP="00545AC6" w14:paraId="7BEB5277" w14:textId="6F9C14E1">
      <w:pPr>
        <w:pStyle w:val="Heading2"/>
        <w:numPr>
          <w:ilvl w:val="0"/>
          <w:numId w:val="15"/>
        </w:numPr>
      </w:pPr>
      <w:bookmarkStart w:id="9" w:name="_Toc116659889"/>
      <w:r>
        <w:t>Sensitivity to Burden on Small Entities</w:t>
      </w:r>
      <w:bookmarkEnd w:id="9"/>
    </w:p>
    <w:p w:rsidR="009C55A5" w:rsidP="009C55A5" w14:paraId="1649FF84" w14:textId="77777777"/>
    <w:p w:rsidR="00E5350B" w:rsidRPr="009C55A5" w:rsidP="009C55A5" w14:paraId="5F5EA4A2" w14:textId="6A37F313">
      <w:r>
        <w:t xml:space="preserve">This data collection has been designed with the understanding that </w:t>
      </w:r>
      <w:r w:rsidR="6BC9E053">
        <w:t>some</w:t>
      </w:r>
      <w:r>
        <w:t xml:space="preserve"> of </w:t>
      </w:r>
      <w:r w:rsidR="001F190E">
        <w:t xml:space="preserve">the </w:t>
      </w:r>
      <w:r>
        <w:t xml:space="preserve">schools participating in this study will be </w:t>
      </w:r>
      <w:r w:rsidR="001F190E">
        <w:t xml:space="preserve">small, possibly serving only grades 6-8 in one building, with </w:t>
      </w:r>
      <w:r w:rsidR="0056271A">
        <w:t>4</w:t>
      </w:r>
      <w:r w:rsidR="001F190E">
        <w:t>0 or fewer</w:t>
      </w:r>
      <w:r w:rsidR="0056271A">
        <w:t xml:space="preserve"> students per grade. </w:t>
      </w:r>
      <w:r w:rsidR="00E07C09">
        <w:t>To be sensitive to the</w:t>
      </w:r>
      <w:r w:rsidR="00126A10">
        <w:t xml:space="preserve"> capacity of small entities, we have worked with the state to ensure data collection is efficient and reasonable. Our state partners have agreed to provide demographic data that is already available, </w:t>
      </w:r>
      <w:r w:rsidR="00AC1B33">
        <w:t>in order to</w:t>
      </w:r>
      <w:r w:rsidR="00AC1B33">
        <w:t xml:space="preserve"> take this reporting burden off small schools. Similarly, </w:t>
      </w:r>
      <w:r w:rsidR="38F45E8A">
        <w:t xml:space="preserve">six </w:t>
      </w:r>
      <w:r w:rsidR="005A15C5">
        <w:t xml:space="preserve">of the </w:t>
      </w:r>
      <w:r w:rsidR="013259C1">
        <w:t xml:space="preserve">eight </w:t>
      </w:r>
      <w:r w:rsidR="005A15C5">
        <w:t xml:space="preserve">information </w:t>
      </w:r>
      <w:r w:rsidR="0AA3C745">
        <w:t xml:space="preserve">collections requiring OMB clearance will be electronic to reduce the length of time it takes respondents to comply. The requested data represents the absolute minimum amount of information required to meet the study objectives. </w:t>
      </w:r>
    </w:p>
    <w:p w:rsidR="00D36E41" w:rsidP="00D36E41" w14:paraId="2F6D0349" w14:textId="1101F066">
      <w:pPr>
        <w:pStyle w:val="Heading2"/>
        <w:numPr>
          <w:ilvl w:val="0"/>
          <w:numId w:val="15"/>
        </w:numPr>
      </w:pPr>
      <w:bookmarkStart w:id="10" w:name="_Toc116659890"/>
      <w:r>
        <w:t>Consequences to Federal Program or Policy Activities if the Collection Is Not Conducted or Is Conducted Less Frequently Than Proposed</w:t>
      </w:r>
      <w:bookmarkEnd w:id="10"/>
    </w:p>
    <w:p w:rsidR="009C55A5" w:rsidRPr="009C55A5" w:rsidP="009C55A5" w14:paraId="2993DEA1" w14:textId="77777777"/>
    <w:p w:rsidR="6C9E3660" w:rsidP="18AC26EE" w14:paraId="5D90CE79" w14:textId="7DDAE933">
      <w:pPr>
        <w:rPr>
          <w:rFonts w:eastAsia="Calibri"/>
        </w:rPr>
      </w:pPr>
      <w:r w:rsidRPr="1D56A7B1">
        <w:rPr>
          <w:rFonts w:eastAsia="Calibri"/>
        </w:rPr>
        <w:t>The Education Science Reform Act of 2002</w:t>
      </w:r>
      <w:r w:rsidRPr="1D56A7B1" w:rsidR="761F1991">
        <w:rPr>
          <w:rFonts w:eastAsia="Calibri"/>
        </w:rPr>
        <w:t>,</w:t>
      </w:r>
      <w:r w:rsidRPr="1D56A7B1">
        <w:rPr>
          <w:rFonts w:eastAsia="Calibri"/>
        </w:rPr>
        <w:t xml:space="preserve"> </w:t>
      </w:r>
      <w:r w:rsidRPr="1D56A7B1" w:rsidR="1C57C1AE">
        <w:rPr>
          <w:rFonts w:eastAsia="Calibri"/>
        </w:rPr>
        <w:t xml:space="preserve">Part D, Section 174 </w:t>
      </w:r>
      <w:r w:rsidRPr="1D56A7B1">
        <w:rPr>
          <w:rFonts w:eastAsia="Calibri"/>
        </w:rPr>
        <w:t xml:space="preserve">states that the central mission and primary function of the RELs includes supporting applied research and providing technical assistance to state and local education agencies within their region </w:t>
      </w:r>
      <w:r w:rsidRPr="1D56A7B1" w:rsidR="54683C73">
        <w:rPr>
          <w:rFonts w:eastAsia="Calibri"/>
        </w:rPr>
        <w:t>(20 U.S.C. 9564</w:t>
      </w:r>
      <w:r w:rsidRPr="1D56A7B1">
        <w:rPr>
          <w:rFonts w:eastAsia="Calibri"/>
        </w:rPr>
        <w:t>). Failure to approve the data collections related to the evaluation of VAM PD will jeopardize this attempt to study this intervention and thereby prevent the REL</w:t>
      </w:r>
      <w:r w:rsidRPr="1D56A7B1" w:rsidR="10CC7A56">
        <w:rPr>
          <w:rFonts w:eastAsia="Calibri"/>
        </w:rPr>
        <w:t>-NEI</w:t>
      </w:r>
      <w:r w:rsidRPr="1D56A7B1">
        <w:rPr>
          <w:rFonts w:eastAsia="Calibri"/>
        </w:rPr>
        <w:t xml:space="preserve"> contractor from fulfilling its mission.</w:t>
      </w:r>
    </w:p>
    <w:p w:rsidR="6C9E3660" w:rsidP="1D56A7B1" w14:paraId="03A5372C" w14:textId="70EA3A92">
      <w:pPr>
        <w:rPr>
          <w:rFonts w:eastAsia="Calibri"/>
          <w:color w:val="000000" w:themeColor="text1"/>
        </w:rPr>
      </w:pPr>
      <w:r w:rsidRPr="1D56A7B1">
        <w:rPr>
          <w:rFonts w:eastAsia="Calibri"/>
        </w:rPr>
        <w:t>This project also has the potential to inform researchers, practitioners, and policymakers more broadly.</w:t>
      </w:r>
      <w:r w:rsidRPr="1D56A7B1">
        <w:rPr>
          <w:rFonts w:eastAsia="Calibri"/>
          <w:color w:val="FF0000"/>
        </w:rPr>
        <w:t xml:space="preserve"> </w:t>
      </w:r>
      <w:r w:rsidRPr="1D56A7B1" w:rsidR="1CBDAC85">
        <w:rPr>
          <w:rFonts w:eastAsia="Times New Roman" w:cs="Times New Roman"/>
          <w:color w:val="000000" w:themeColor="text1"/>
        </w:rPr>
        <w:t>The Visual Access to Mathematics PD intervention not only incorporates the evidence about effective interventions for students and teachers described above but also has demonstrated important impacts on teacher outcomes through the use of rigorous designs (</w:t>
      </w:r>
      <w:r w:rsidRPr="1D56A7B1" w:rsidR="1CBDAC85">
        <w:rPr>
          <w:rFonts w:eastAsia="Times New Roman" w:cs="Times New Roman"/>
          <w:color w:val="000000" w:themeColor="text1"/>
        </w:rPr>
        <w:t>DePiper</w:t>
      </w:r>
      <w:r w:rsidRPr="1D56A7B1" w:rsidR="1CBDAC85">
        <w:rPr>
          <w:rFonts w:eastAsia="Times New Roman" w:cs="Times New Roman"/>
          <w:color w:val="000000" w:themeColor="text1"/>
        </w:rPr>
        <w:t xml:space="preserve"> et al., 2021a, </w:t>
      </w:r>
      <w:r w:rsidRPr="1D56A7B1" w:rsidR="1CBDAC85">
        <w:rPr>
          <w:rFonts w:eastAsia="Times New Roman" w:cs="Times New Roman"/>
          <w:color w:val="000000" w:themeColor="text1"/>
        </w:rPr>
        <w:t>DePiper</w:t>
      </w:r>
      <w:r w:rsidRPr="1D56A7B1" w:rsidR="1CBDAC85">
        <w:rPr>
          <w:rFonts w:eastAsia="Times New Roman" w:cs="Times New Roman"/>
          <w:color w:val="000000" w:themeColor="text1"/>
        </w:rPr>
        <w:t xml:space="preserve"> et al., 2021b, Louie et al., 2022) and therefore provides a good context for deepening the level of understanding concerning the impact of PD on student, and especially </w:t>
      </w:r>
      <w:r w:rsidRPr="1D56A7B1" w:rsidR="1E588617">
        <w:rPr>
          <w:rFonts w:eastAsia="Times New Roman" w:cs="Times New Roman"/>
          <w:color w:val="000000" w:themeColor="text1"/>
        </w:rPr>
        <w:t>multilingual learner (MLL)</w:t>
      </w:r>
      <w:r w:rsidRPr="1D56A7B1" w:rsidR="1CBDAC85">
        <w:rPr>
          <w:rFonts w:eastAsia="Times New Roman" w:cs="Times New Roman"/>
          <w:color w:val="000000" w:themeColor="text1"/>
        </w:rPr>
        <w:t xml:space="preserve"> student, outcomes in mathematics. The proposed efficacy study will add to the current knowledge by clarifying both student and teacher impacts in efforts to address MLLs’ needs in Connecticut. Connecticut partners from CSDE and various professional organizations </w:t>
      </w:r>
      <w:r w:rsidRPr="0D77AB94" w:rsidR="00B30E33">
        <w:rPr>
          <w:rFonts w:eastAsia="Times New Roman" w:cs="Times New Roman"/>
          <w:color w:val="000000" w:themeColor="text1"/>
        </w:rPr>
        <w:t>are</w:t>
      </w:r>
      <w:r w:rsidR="00B30E33">
        <w:rPr>
          <w:rFonts w:eastAsia="Times New Roman" w:cs="Times New Roman"/>
          <w:color w:val="000000" w:themeColor="text1"/>
        </w:rPr>
        <w:t xml:space="preserve"> interested in understanding how VAM PD</w:t>
      </w:r>
      <w:r w:rsidRPr="1D56A7B1" w:rsidR="1CBDAC85">
        <w:rPr>
          <w:rFonts w:eastAsia="Times New Roman" w:cs="Times New Roman"/>
          <w:color w:val="000000" w:themeColor="text1"/>
        </w:rPr>
        <w:t xml:space="preserve"> addresses</w:t>
      </w:r>
      <w:r w:rsidR="00B30E33">
        <w:rPr>
          <w:rFonts w:eastAsia="Times New Roman" w:cs="Times New Roman"/>
          <w:color w:val="000000" w:themeColor="text1"/>
        </w:rPr>
        <w:t xml:space="preserve"> content-area teacher’ needs for professional learning </w:t>
      </w:r>
      <w:r w:rsidR="00DB01B6">
        <w:rPr>
          <w:rFonts w:eastAsia="Times New Roman" w:cs="Times New Roman"/>
          <w:color w:val="000000" w:themeColor="text1"/>
        </w:rPr>
        <w:t>related to</w:t>
      </w:r>
      <w:r w:rsidRPr="1D56A7B1" w:rsidR="1CBDAC85">
        <w:rPr>
          <w:rFonts w:eastAsia="Times New Roman" w:cs="Times New Roman"/>
          <w:color w:val="000000" w:themeColor="text1"/>
        </w:rPr>
        <w:t xml:space="preserve"> </w:t>
      </w:r>
      <w:r w:rsidR="00DB01B6">
        <w:rPr>
          <w:rFonts w:eastAsia="Times New Roman" w:cs="Times New Roman"/>
          <w:color w:val="000000" w:themeColor="text1"/>
        </w:rPr>
        <w:t xml:space="preserve">teaching </w:t>
      </w:r>
      <w:r w:rsidRPr="1D56A7B1" w:rsidR="1CBDAC85">
        <w:rPr>
          <w:rFonts w:eastAsia="Times New Roman" w:cs="Times New Roman"/>
          <w:color w:val="000000" w:themeColor="text1"/>
        </w:rPr>
        <w:t xml:space="preserve">MLLs’ </w:t>
      </w:r>
      <w:r w:rsidRPr="0D77AB94" w:rsidR="1CBDAC85">
        <w:rPr>
          <w:rFonts w:eastAsia="Times New Roman" w:cs="Times New Roman"/>
          <w:color w:val="000000" w:themeColor="text1"/>
        </w:rPr>
        <w:t>at the middle grades</w:t>
      </w:r>
      <w:r w:rsidRPr="0D77AB94" w:rsidR="074215E7">
        <w:rPr>
          <w:rFonts w:eastAsia="Times New Roman" w:cs="Times New Roman"/>
          <w:color w:val="000000" w:themeColor="text1"/>
        </w:rPr>
        <w:t>.</w:t>
      </w:r>
      <w:r w:rsidRPr="1D56A7B1" w:rsidR="074215E7">
        <w:rPr>
          <w:rFonts w:eastAsia="Times New Roman" w:cs="Times New Roman"/>
          <w:color w:val="000000" w:themeColor="text1"/>
        </w:rPr>
        <w:t xml:space="preserve"> T</w:t>
      </w:r>
      <w:r w:rsidRPr="1D56A7B1" w:rsidR="1CBDAC85">
        <w:rPr>
          <w:rFonts w:eastAsia="Times New Roman" w:cs="Times New Roman"/>
          <w:color w:val="000000" w:themeColor="text1"/>
        </w:rPr>
        <w:t xml:space="preserve">his study will provide an evidence base for </w:t>
      </w:r>
      <w:r w:rsidRPr="1D56A7B1" w:rsidR="36581632">
        <w:rPr>
          <w:rFonts w:eastAsia="Times New Roman" w:cs="Times New Roman"/>
          <w:color w:val="000000" w:themeColor="text1"/>
        </w:rPr>
        <w:t>their</w:t>
      </w:r>
      <w:r w:rsidRPr="1D56A7B1" w:rsidR="1CBDAC85">
        <w:rPr>
          <w:rFonts w:eastAsia="Times New Roman" w:cs="Times New Roman"/>
          <w:color w:val="000000" w:themeColor="text1"/>
        </w:rPr>
        <w:t xml:space="preserve"> decisions</w:t>
      </w:r>
      <w:r w:rsidRPr="1D56A7B1" w:rsidR="1B66A9FD">
        <w:rPr>
          <w:rFonts w:eastAsia="Times New Roman" w:cs="Times New Roman"/>
          <w:color w:val="000000" w:themeColor="text1"/>
        </w:rPr>
        <w:t>, and those of educational leaders elsewhere,</w:t>
      </w:r>
      <w:r w:rsidRPr="1D56A7B1" w:rsidR="1CBDAC85">
        <w:rPr>
          <w:rFonts w:eastAsia="Times New Roman" w:cs="Times New Roman"/>
          <w:color w:val="000000" w:themeColor="text1"/>
        </w:rPr>
        <w:t xml:space="preserve"> about use of a PD program that incorporates evidence-based practices for MLLs in </w:t>
      </w:r>
      <w:r w:rsidRPr="1D56A7B1" w:rsidR="2EC5025C">
        <w:rPr>
          <w:rFonts w:eastAsia="Times New Roman" w:cs="Times New Roman"/>
          <w:color w:val="000000" w:themeColor="text1"/>
        </w:rPr>
        <w:t xml:space="preserve">middle grade </w:t>
      </w:r>
      <w:r w:rsidRPr="1D56A7B1" w:rsidR="1CBDAC85">
        <w:rPr>
          <w:rFonts w:eastAsia="Times New Roman" w:cs="Times New Roman"/>
          <w:color w:val="000000" w:themeColor="text1"/>
        </w:rPr>
        <w:t xml:space="preserve">mathematics. Without this study, practitioners and policy makers will have less information on which to base decisions about professional development opportunities to support </w:t>
      </w:r>
      <w:r w:rsidRPr="1D56A7B1" w:rsidR="131CAE62">
        <w:rPr>
          <w:rFonts w:eastAsia="Times New Roman" w:cs="Times New Roman"/>
          <w:color w:val="000000" w:themeColor="text1"/>
        </w:rPr>
        <w:t>MLLs in mathematics.</w:t>
      </w:r>
    </w:p>
    <w:p w:rsidR="7EE5783F" w:rsidP="7EE5783F" w14:paraId="2941194B" w14:textId="37B88345">
      <w:pPr>
        <w:rPr>
          <w:rFonts w:eastAsia="Calibri"/>
        </w:rPr>
      </w:pPr>
    </w:p>
    <w:p w:rsidR="00D36E41" w:rsidP="00DC36CE" w14:paraId="746EEED1" w14:textId="0DFA4EDC">
      <w:pPr>
        <w:pStyle w:val="Heading2"/>
        <w:numPr>
          <w:ilvl w:val="0"/>
          <w:numId w:val="15"/>
        </w:numPr>
      </w:pPr>
      <w:bookmarkStart w:id="11" w:name="_Toc116659891"/>
      <w:r>
        <w:t>Special Circumstances</w:t>
      </w:r>
      <w:bookmarkEnd w:id="11"/>
    </w:p>
    <w:p w:rsidR="7EE5783F" w14:paraId="524D5B82" w14:textId="6D05A455"/>
    <w:p w:rsidR="009C55A5" w:rsidRPr="009C55A5" w:rsidP="009C55A5" w14:paraId="61932283" w14:textId="2AF18BC0">
      <w:r>
        <w:t>This request for OMB clearance does not include any of the stipulated special circumstances and thereby fully complies with regulations.</w:t>
      </w:r>
    </w:p>
    <w:p w:rsidR="00DC36CE" w:rsidP="00DC36CE" w14:paraId="3A4F0AED" w14:textId="7EDE9E02">
      <w:pPr>
        <w:pStyle w:val="Heading2"/>
        <w:numPr>
          <w:ilvl w:val="0"/>
          <w:numId w:val="15"/>
        </w:numPr>
        <w:rPr>
          <w:color w:val="auto"/>
        </w:rPr>
      </w:pPr>
      <w:bookmarkStart w:id="12" w:name="_Toc116659892"/>
      <w:r w:rsidRPr="0D5E8ECA">
        <w:rPr>
          <w:color w:val="auto"/>
        </w:rPr>
        <w:t>Federal Register Announcement and Consultation</w:t>
      </w:r>
      <w:bookmarkEnd w:id="12"/>
    </w:p>
    <w:p w:rsidR="009C55A5" w:rsidRPr="009C55A5" w:rsidP="1ED58F26" w14:paraId="75ED6F09" w14:textId="741FE6F9">
      <w:pPr>
        <w:pStyle w:val="ListParagraph"/>
        <w:numPr>
          <w:ilvl w:val="0"/>
          <w:numId w:val="20"/>
        </w:numPr>
        <w:rPr>
          <w:rFonts w:asciiTheme="minorHAnsi" w:eastAsiaTheme="minorEastAsia" w:hAnsiTheme="minorHAnsi"/>
          <w:b/>
          <w:bCs/>
        </w:rPr>
      </w:pPr>
      <w:r w:rsidRPr="1ED58F26">
        <w:rPr>
          <w:rFonts w:eastAsia="Times New Roman" w:cs="Times New Roman"/>
          <w:b/>
          <w:bCs/>
        </w:rPr>
        <w:t>Federal Register Announcement</w:t>
      </w:r>
    </w:p>
    <w:p w:rsidR="009C55A5" w:rsidRPr="009C55A5" w:rsidP="1D56A7B1" w14:paraId="56520825" w14:textId="23A1EF53">
      <w:pPr>
        <w:rPr>
          <w:rFonts w:eastAsia="Times New Roman" w:cs="Times New Roman"/>
          <w:sz w:val="24"/>
          <w:szCs w:val="24"/>
        </w:rPr>
      </w:pPr>
      <w:r w:rsidRPr="0D5E8ECA">
        <w:rPr>
          <w:rFonts w:eastAsia="Times New Roman" w:cs="Times New Roman"/>
          <w:sz w:val="24"/>
          <w:szCs w:val="24"/>
        </w:rPr>
        <w:t>A 60-day notice was published in the Federal Register</w:t>
      </w:r>
      <w:r w:rsidRPr="0D5E8ECA" w:rsidR="35D2226A">
        <w:rPr>
          <w:rFonts w:eastAsia="Times New Roman" w:cs="Times New Roman"/>
          <w:sz w:val="24"/>
          <w:szCs w:val="24"/>
        </w:rPr>
        <w:t xml:space="preserve"> </w:t>
      </w:r>
      <w:r w:rsidRPr="0D5E8ECA" w:rsidR="35D2226A">
        <w:rPr>
          <w:rFonts w:eastAsia="Times New Roman" w:cs="Times New Roman"/>
          <w:b/>
          <w:sz w:val="24"/>
          <w:szCs w:val="24"/>
        </w:rPr>
        <w:t xml:space="preserve">(Vol. </w:t>
      </w:r>
      <w:r w:rsidR="00CA6D9E">
        <w:rPr>
          <w:rFonts w:eastAsia="Times New Roman" w:cs="Times New Roman"/>
          <w:b/>
          <w:sz w:val="24"/>
          <w:szCs w:val="24"/>
        </w:rPr>
        <w:t>88</w:t>
      </w:r>
      <w:r w:rsidRPr="0D5E8ECA" w:rsidR="00CA6D9E">
        <w:rPr>
          <w:rFonts w:eastAsia="Times New Roman" w:cs="Times New Roman"/>
          <w:b/>
          <w:sz w:val="24"/>
          <w:szCs w:val="24"/>
        </w:rPr>
        <w:t xml:space="preserve"> </w:t>
      </w:r>
      <w:r w:rsidRPr="0D5E8ECA" w:rsidR="35D2226A">
        <w:rPr>
          <w:rFonts w:eastAsia="Times New Roman" w:cs="Times New Roman"/>
          <w:b/>
          <w:sz w:val="24"/>
          <w:szCs w:val="24"/>
        </w:rPr>
        <w:t xml:space="preserve">FR </w:t>
      </w:r>
      <w:r w:rsidR="00B31BD7">
        <w:rPr>
          <w:rFonts w:eastAsia="Times New Roman" w:cs="Times New Roman"/>
          <w:b/>
          <w:sz w:val="24"/>
          <w:szCs w:val="24"/>
        </w:rPr>
        <w:t>3397</w:t>
      </w:r>
      <w:r w:rsidR="003620D2">
        <w:rPr>
          <w:rFonts w:eastAsia="Times New Roman" w:cs="Times New Roman"/>
          <w:b/>
          <w:sz w:val="24"/>
          <w:szCs w:val="24"/>
        </w:rPr>
        <w:t xml:space="preserve">, </w:t>
      </w:r>
      <w:r w:rsidR="00B31BD7">
        <w:rPr>
          <w:rFonts w:eastAsia="Times New Roman" w:cs="Times New Roman"/>
          <w:b/>
          <w:sz w:val="24"/>
          <w:szCs w:val="24"/>
        </w:rPr>
        <w:t>January 19, 2023</w:t>
      </w:r>
      <w:r w:rsidRPr="0D5E8ECA" w:rsidR="35D2226A">
        <w:rPr>
          <w:rFonts w:eastAsia="Times New Roman" w:cs="Times New Roman"/>
          <w:b/>
          <w:sz w:val="24"/>
          <w:szCs w:val="24"/>
        </w:rPr>
        <w:t>)</w:t>
      </w:r>
      <w:r w:rsidRPr="0D5E8ECA">
        <w:rPr>
          <w:rFonts w:eastAsia="Times New Roman" w:cs="Times New Roman"/>
          <w:sz w:val="24"/>
          <w:szCs w:val="24"/>
        </w:rPr>
        <w:t xml:space="preserve">, providing an opportunity for public comments. </w:t>
      </w:r>
      <w:r w:rsidR="00A91999">
        <w:rPr>
          <w:rFonts w:eastAsia="Times New Roman" w:cs="Times New Roman"/>
          <w:sz w:val="24"/>
          <w:szCs w:val="24"/>
        </w:rPr>
        <w:t>One non-substantive comment was</w:t>
      </w:r>
      <w:r w:rsidRPr="0D5E8ECA">
        <w:rPr>
          <w:rFonts w:eastAsia="Times New Roman" w:cs="Times New Roman"/>
          <w:sz w:val="24"/>
          <w:szCs w:val="24"/>
        </w:rPr>
        <w:t xml:space="preserve"> received. A 30-day notice </w:t>
      </w:r>
      <w:r w:rsidR="00C17C10">
        <w:rPr>
          <w:rFonts w:eastAsia="Times New Roman" w:cs="Times New Roman"/>
          <w:sz w:val="24"/>
          <w:szCs w:val="24"/>
        </w:rPr>
        <w:t>was</w:t>
      </w:r>
      <w:r w:rsidRPr="0D5E8ECA" w:rsidR="00C17C10">
        <w:rPr>
          <w:rFonts w:eastAsia="Times New Roman" w:cs="Times New Roman"/>
          <w:sz w:val="24"/>
          <w:szCs w:val="24"/>
        </w:rPr>
        <w:t xml:space="preserve"> </w:t>
      </w:r>
      <w:r w:rsidRPr="0D5E8ECA">
        <w:rPr>
          <w:rFonts w:eastAsia="Times New Roman" w:cs="Times New Roman"/>
          <w:sz w:val="24"/>
          <w:szCs w:val="24"/>
        </w:rPr>
        <w:t>published</w:t>
      </w:r>
      <w:r w:rsidR="00C17C10">
        <w:rPr>
          <w:rFonts w:eastAsia="Times New Roman" w:cs="Times New Roman"/>
          <w:sz w:val="24"/>
          <w:szCs w:val="24"/>
        </w:rPr>
        <w:t xml:space="preserve"> (Vol. 88 FR </w:t>
      </w:r>
      <w:r w:rsidR="00907CE6">
        <w:rPr>
          <w:rFonts w:eastAsia="Times New Roman" w:cs="Times New Roman"/>
          <w:sz w:val="24"/>
          <w:szCs w:val="24"/>
        </w:rPr>
        <w:t>18303</w:t>
      </w:r>
      <w:r w:rsidR="00C17C10">
        <w:rPr>
          <w:rFonts w:eastAsia="Times New Roman" w:cs="Times New Roman"/>
          <w:sz w:val="24"/>
          <w:szCs w:val="24"/>
        </w:rPr>
        <w:t>, March 28, 2023)</w:t>
      </w:r>
      <w:r w:rsidRPr="0D5E8ECA">
        <w:rPr>
          <w:rFonts w:eastAsia="Times New Roman" w:cs="Times New Roman"/>
          <w:sz w:val="24"/>
          <w:szCs w:val="24"/>
        </w:rPr>
        <w:t xml:space="preserve"> to further solicit comments</w:t>
      </w:r>
      <w:r w:rsidR="00C17C10">
        <w:rPr>
          <w:rFonts w:eastAsia="Times New Roman" w:cs="Times New Roman"/>
          <w:sz w:val="24"/>
          <w:szCs w:val="24"/>
        </w:rPr>
        <w:t xml:space="preserve">, </w:t>
      </w:r>
      <w:r w:rsidR="00A91999">
        <w:rPr>
          <w:rFonts w:eastAsia="Times New Roman" w:cs="Times New Roman"/>
          <w:sz w:val="24"/>
          <w:szCs w:val="24"/>
        </w:rPr>
        <w:t>with none</w:t>
      </w:r>
      <w:r w:rsidR="00C17C10">
        <w:rPr>
          <w:rFonts w:eastAsia="Times New Roman" w:cs="Times New Roman"/>
          <w:sz w:val="24"/>
          <w:szCs w:val="24"/>
        </w:rPr>
        <w:t xml:space="preserve"> received</w:t>
      </w:r>
      <w:r w:rsidRPr="0D5E8ECA">
        <w:rPr>
          <w:rFonts w:eastAsia="Times New Roman" w:cs="Times New Roman"/>
          <w:sz w:val="24"/>
          <w:szCs w:val="24"/>
        </w:rPr>
        <w:t>. ED will respond to both public and OMB questions, if any, and summarize the responses under 8a.</w:t>
      </w:r>
    </w:p>
    <w:p w:rsidR="009C55A5" w:rsidRPr="009C55A5" w:rsidP="7EE5783F" w14:paraId="5E6CB7E0" w14:textId="3B584D58">
      <w:pPr>
        <w:pStyle w:val="ListParagraph"/>
        <w:numPr>
          <w:ilvl w:val="0"/>
          <w:numId w:val="20"/>
        </w:numPr>
        <w:rPr>
          <w:rFonts w:asciiTheme="minorHAnsi" w:eastAsiaTheme="minorEastAsia" w:hAnsiTheme="minorHAnsi"/>
          <w:b/>
        </w:rPr>
      </w:pPr>
      <w:r w:rsidRPr="0D5E8ECA">
        <w:rPr>
          <w:rFonts w:eastAsia="Times New Roman" w:cs="Times New Roman"/>
          <w:b/>
        </w:rPr>
        <w:t>Consultations Outside the Agency</w:t>
      </w:r>
    </w:p>
    <w:p w:rsidR="009C55A5" w:rsidRPr="009C55A5" w:rsidP="7EE5783F" w14:paraId="0EC467A3" w14:textId="1507D5DE">
      <w:pPr>
        <w:tabs>
          <w:tab w:val="left" w:pos="360"/>
          <w:tab w:val="left" w:pos="720"/>
        </w:tabs>
        <w:rPr>
          <w:rFonts w:eastAsia="Times New Roman" w:cs="Times New Roman"/>
          <w:sz w:val="24"/>
          <w:szCs w:val="24"/>
        </w:rPr>
      </w:pPr>
      <w:r w:rsidRPr="18AC26EE">
        <w:rPr>
          <w:rFonts w:eastAsia="Times New Roman" w:cs="Times New Roman"/>
          <w:sz w:val="24"/>
          <w:szCs w:val="24"/>
        </w:rPr>
        <w:t>ED and/or the REL</w:t>
      </w:r>
      <w:r w:rsidRPr="18AC26EE" w:rsidR="4688D763">
        <w:rPr>
          <w:rFonts w:eastAsia="Times New Roman" w:cs="Times New Roman"/>
          <w:sz w:val="24"/>
          <w:szCs w:val="24"/>
        </w:rPr>
        <w:t>-</w:t>
      </w:r>
      <w:r w:rsidRPr="18AC26EE" w:rsidR="13A0E084">
        <w:rPr>
          <w:rFonts w:eastAsia="Times New Roman" w:cs="Times New Roman"/>
          <w:sz w:val="24"/>
          <w:szCs w:val="24"/>
        </w:rPr>
        <w:t xml:space="preserve">NEI </w:t>
      </w:r>
      <w:r w:rsidRPr="18AC26EE">
        <w:rPr>
          <w:rFonts w:eastAsia="Times New Roman" w:cs="Times New Roman"/>
          <w:sz w:val="24"/>
          <w:szCs w:val="24"/>
        </w:rPr>
        <w:t>contractor have consulted with the following groups on the availability of data, the soundness of the evaluation design for addressing evaluation questions, and the clarity of measures:</w:t>
      </w:r>
    </w:p>
    <w:p w:rsidR="009C55A5" w:rsidRPr="009C55A5" w:rsidP="1E962B74" w14:paraId="2D0A020B" w14:textId="009EFB23">
      <w:pPr>
        <w:pStyle w:val="ListParagraph"/>
        <w:numPr>
          <w:ilvl w:val="0"/>
          <w:numId w:val="19"/>
        </w:numPr>
        <w:rPr>
          <w:rFonts w:asciiTheme="minorHAnsi" w:eastAsiaTheme="minorEastAsia" w:hAnsiTheme="minorHAnsi"/>
          <w:color w:val="000000" w:themeColor="text1"/>
        </w:rPr>
      </w:pPr>
      <w:r w:rsidRPr="1E962B74">
        <w:rPr>
          <w:rFonts w:eastAsia="Times New Roman" w:cs="Times New Roman"/>
        </w:rPr>
        <w:t>Subject Matter Experts (SMEs)</w:t>
      </w:r>
      <w:r w:rsidRPr="1E962B74" w:rsidR="00495819">
        <w:rPr>
          <w:rFonts w:eastAsia="Times New Roman" w:cs="Times New Roman"/>
        </w:rPr>
        <w:t xml:space="preserve"> in research methodology and REL</w:t>
      </w:r>
      <w:r w:rsidRPr="1E962B74" w:rsidR="485D51CA">
        <w:rPr>
          <w:rFonts w:eastAsia="Times New Roman" w:cs="Times New Roman"/>
        </w:rPr>
        <w:t>-</w:t>
      </w:r>
      <w:r w:rsidRPr="1E962B74" w:rsidR="3EF7B308">
        <w:rPr>
          <w:rFonts w:eastAsia="Times New Roman" w:cs="Times New Roman"/>
        </w:rPr>
        <w:t xml:space="preserve">NEI’s </w:t>
      </w:r>
      <w:r w:rsidRPr="1E962B74" w:rsidR="00495819">
        <w:rPr>
          <w:rFonts w:eastAsia="Times New Roman" w:cs="Times New Roman"/>
        </w:rPr>
        <w:t xml:space="preserve">core areas of emphasis, which was assembled by the REL </w:t>
      </w:r>
      <w:r w:rsidRPr="1E962B74" w:rsidR="4879C6D6">
        <w:rPr>
          <w:rFonts w:eastAsia="Times New Roman" w:cs="Times New Roman"/>
        </w:rPr>
        <w:t xml:space="preserve">NEI </w:t>
      </w:r>
      <w:r w:rsidRPr="1E962B74" w:rsidR="00495819">
        <w:rPr>
          <w:rFonts w:eastAsia="Times New Roman" w:cs="Times New Roman"/>
        </w:rPr>
        <w:t xml:space="preserve">contractor. The </w:t>
      </w:r>
      <w:r w:rsidRPr="1E962B74" w:rsidR="39B3D069">
        <w:rPr>
          <w:rFonts w:eastAsia="Times New Roman" w:cs="Times New Roman"/>
        </w:rPr>
        <w:t xml:space="preserve">SME reviewed the proposal for this </w:t>
      </w:r>
      <w:r w:rsidRPr="1E962B74" w:rsidR="39B3D069">
        <w:rPr>
          <w:rFonts w:eastAsia="Times New Roman" w:cs="Times New Roman"/>
        </w:rPr>
        <w:t xml:space="preserve">research study, and provided feedback, recommendations, and suggestions. The REL NEI was required to provide a summary of feedback received </w:t>
      </w:r>
      <w:r w:rsidRPr="1E962B74" w:rsidR="19064302">
        <w:rPr>
          <w:rFonts w:eastAsia="Times New Roman" w:cs="Times New Roman"/>
        </w:rPr>
        <w:t xml:space="preserve">and responses to SME feedback. </w:t>
      </w:r>
    </w:p>
    <w:p w:rsidR="009C55A5" w:rsidRPr="009D7942" w:rsidP="7EE5783F" w14:paraId="57B90823" w14:textId="44D86EE7">
      <w:pPr>
        <w:pStyle w:val="ListParagraph"/>
        <w:numPr>
          <w:ilvl w:val="0"/>
          <w:numId w:val="19"/>
        </w:numPr>
        <w:rPr>
          <w:rFonts w:asciiTheme="minorHAnsi" w:eastAsiaTheme="minorEastAsia" w:hAnsiTheme="minorHAnsi"/>
          <w:color w:val="000000" w:themeColor="text1"/>
        </w:rPr>
      </w:pPr>
      <w:r w:rsidRPr="7EE5783F">
        <w:rPr>
          <w:rFonts w:eastAsia="Times New Roman" w:cs="Times New Roman"/>
        </w:rPr>
        <w:t>An external</w:t>
      </w:r>
      <w:r w:rsidR="003E769A">
        <w:rPr>
          <w:rFonts w:eastAsia="Times New Roman" w:cs="Times New Roman"/>
        </w:rPr>
        <w:t xml:space="preserve"> peer</w:t>
      </w:r>
      <w:r w:rsidRPr="7EE5783F">
        <w:rPr>
          <w:rFonts w:eastAsia="Times New Roman" w:cs="Times New Roman"/>
        </w:rPr>
        <w:t xml:space="preserve"> review contractor to examine whether it is reasonable to expect that the intervention is capable of producing impacts, the analytic approach for </w:t>
      </w:r>
      <w:r w:rsidRPr="7EE5783F" w:rsidR="1D82B342">
        <w:rPr>
          <w:rFonts w:eastAsia="Times New Roman" w:cs="Times New Roman"/>
        </w:rPr>
        <w:t>examining teacher and student level outcomes</w:t>
      </w:r>
      <w:r w:rsidRPr="7EE5783F">
        <w:rPr>
          <w:rFonts w:eastAsia="Times New Roman" w:cs="Times New Roman"/>
        </w:rPr>
        <w:t xml:space="preserve">, and the degree to which findings address the RQs and conclusions are supported by the data. The project plans were approved by an external review contractor, which is part of the REL program, in </w:t>
      </w:r>
      <w:r w:rsidRPr="0D5E8ECA" w:rsidR="4E6D5D4C">
        <w:rPr>
          <w:rFonts w:eastAsia="Times New Roman" w:cs="Times New Roman"/>
        </w:rPr>
        <w:t>October of 2022</w:t>
      </w:r>
      <w:r w:rsidRPr="7EE5783F">
        <w:rPr>
          <w:rFonts w:eastAsia="Times New Roman" w:cs="Times New Roman"/>
        </w:rPr>
        <w:t>.</w:t>
      </w:r>
    </w:p>
    <w:p w:rsidR="00D50E52" w:rsidRPr="009D7942" w:rsidP="7EE5783F" w14:paraId="5C34D861" w14:textId="664500EB">
      <w:pPr>
        <w:pStyle w:val="ListParagraph"/>
        <w:numPr>
          <w:ilvl w:val="0"/>
          <w:numId w:val="19"/>
        </w:numPr>
        <w:rPr>
          <w:rFonts w:eastAsiaTheme="minorEastAsia" w:cs="Times New Roman"/>
          <w:color w:val="000000" w:themeColor="text1"/>
        </w:rPr>
      </w:pPr>
      <w:r w:rsidRPr="009D7942">
        <w:rPr>
          <w:rFonts w:eastAsiaTheme="minorEastAsia" w:cs="Times New Roman"/>
          <w:color w:val="000000" w:themeColor="text1"/>
        </w:rPr>
        <w:t>The data collection instruments and procedures in this project have all been reviewed and determined exempt by the American Institutes for Research (AIR) Institutional Review Board</w:t>
      </w:r>
      <w:r w:rsidRPr="1446C04F">
        <w:rPr>
          <w:rFonts w:eastAsiaTheme="minorEastAsia" w:cs="Times New Roman"/>
          <w:color w:val="000000" w:themeColor="text1"/>
        </w:rPr>
        <w:t xml:space="preserve"> (IRB)</w:t>
      </w:r>
      <w:r w:rsidRPr="1446C04F" w:rsidR="00E77AE7">
        <w:rPr>
          <w:rFonts w:eastAsiaTheme="minorEastAsia" w:cs="Times New Roman"/>
          <w:color w:val="000000" w:themeColor="text1"/>
        </w:rPr>
        <w:t>.</w:t>
      </w:r>
    </w:p>
    <w:p w:rsidR="009C55A5" w:rsidRPr="009C55A5" w:rsidP="009C55A5" w14:paraId="654CB1CB" w14:textId="33402CB9">
      <w:pPr>
        <w:rPr>
          <w:rFonts w:eastAsia="Calibri"/>
        </w:rPr>
      </w:pPr>
    </w:p>
    <w:p w:rsidR="00814458" w:rsidP="00814458" w14:paraId="42751DEE" w14:textId="643D59E1">
      <w:pPr>
        <w:pStyle w:val="Heading2"/>
        <w:numPr>
          <w:ilvl w:val="0"/>
          <w:numId w:val="15"/>
        </w:numPr>
      </w:pPr>
      <w:bookmarkStart w:id="13" w:name="_Toc116659893"/>
      <w:r>
        <w:t xml:space="preserve">Payment </w:t>
      </w:r>
      <w:r w:rsidR="00CB35FA">
        <w:t>or Gift to Respondents</w:t>
      </w:r>
      <w:bookmarkEnd w:id="13"/>
    </w:p>
    <w:p w:rsidR="009C55A5" w:rsidRPr="009C55A5" w:rsidP="7EE5783F" w14:paraId="3524013F" w14:textId="36C31F18">
      <w:pPr>
        <w:spacing w:line="257" w:lineRule="auto"/>
        <w:rPr>
          <w:rFonts w:eastAsia="Times New Roman" w:cs="Times New Roman"/>
          <w:color w:val="000000" w:themeColor="text1"/>
        </w:rPr>
      </w:pPr>
    </w:p>
    <w:p w:rsidR="009C55A5" w:rsidRPr="009C55A5" w:rsidP="1E962B74" w14:paraId="582B35B9" w14:textId="60744B2D">
      <w:pPr>
        <w:spacing w:line="257" w:lineRule="auto"/>
        <w:rPr>
          <w:rFonts w:eastAsia="Times New Roman" w:cs="Times New Roman"/>
          <w:color w:val="000000" w:themeColor="text1"/>
        </w:rPr>
      </w:pPr>
      <w:r w:rsidRPr="2B4A547D">
        <w:rPr>
          <w:rFonts w:eastAsia="Times New Roman" w:cs="Times New Roman"/>
          <w:color w:val="000000" w:themeColor="text1"/>
        </w:rPr>
        <w:t>To motivate teachers to participate, we will provide $1</w:t>
      </w:r>
      <w:r w:rsidRPr="2B4A547D" w:rsidR="6B2EF102">
        <w:rPr>
          <w:rFonts w:eastAsia="Times New Roman" w:cs="Times New Roman"/>
          <w:color w:val="000000" w:themeColor="text1"/>
        </w:rPr>
        <w:t>0</w:t>
      </w:r>
      <w:r w:rsidRPr="2B4A547D">
        <w:rPr>
          <w:rFonts w:eastAsia="Times New Roman" w:cs="Times New Roman"/>
          <w:color w:val="000000" w:themeColor="text1"/>
        </w:rPr>
        <w:t>0 to each teacher upon their completion of the fall 2023 data collection activities and $2</w:t>
      </w:r>
      <w:r w:rsidRPr="2B4A547D" w:rsidR="6B2EF102">
        <w:rPr>
          <w:rFonts w:eastAsia="Times New Roman" w:cs="Times New Roman"/>
          <w:color w:val="000000" w:themeColor="text1"/>
        </w:rPr>
        <w:t>25</w:t>
      </w:r>
      <w:r w:rsidRPr="2B4A547D">
        <w:rPr>
          <w:rFonts w:eastAsia="Times New Roman" w:cs="Times New Roman"/>
          <w:color w:val="000000" w:themeColor="text1"/>
        </w:rPr>
        <w:t xml:space="preserve"> upon their completion of the spring 2024 data collection activities, for a total of $</w:t>
      </w:r>
      <w:r w:rsidRPr="2B4A547D" w:rsidR="6B2EF102">
        <w:rPr>
          <w:rFonts w:eastAsia="Times New Roman" w:cs="Times New Roman"/>
          <w:color w:val="000000" w:themeColor="text1"/>
        </w:rPr>
        <w:t>325</w:t>
      </w:r>
      <w:r w:rsidRPr="2B4A547D">
        <w:rPr>
          <w:rFonts w:eastAsia="Times New Roman" w:cs="Times New Roman"/>
          <w:color w:val="000000" w:themeColor="text1"/>
        </w:rPr>
        <w:t xml:space="preserve"> per teacher. We will also inform them that data collection activities are anticipated to require no more than 4.5 hours outside of </w:t>
      </w:r>
      <w:r w:rsidRPr="2B4A547D" w:rsidR="67C330D3">
        <w:rPr>
          <w:rFonts w:eastAsia="Times New Roman" w:cs="Times New Roman"/>
          <w:color w:val="000000" w:themeColor="text1"/>
        </w:rPr>
        <w:t>regular contract hours</w:t>
      </w:r>
      <w:r w:rsidRPr="2B4A547D">
        <w:rPr>
          <w:rFonts w:eastAsia="Times New Roman" w:cs="Times New Roman"/>
          <w:color w:val="000000" w:themeColor="text1"/>
        </w:rPr>
        <w:t xml:space="preserve">. </w:t>
      </w:r>
      <w:r w:rsidRPr="2B4A547D" w:rsidR="405E0EB1">
        <w:rPr>
          <w:rFonts w:eastAsia="Times New Roman" w:cs="Times New Roman"/>
          <w:color w:val="000000" w:themeColor="text1"/>
        </w:rPr>
        <w:t>As illustrated in the burden table, we</w:t>
      </w:r>
      <w:r w:rsidRPr="2B4A547D">
        <w:rPr>
          <w:rFonts w:eastAsia="Times New Roman" w:cs="Times New Roman"/>
          <w:color w:val="000000" w:themeColor="text1"/>
        </w:rPr>
        <w:t xml:space="preserve"> estimate that teachers will spend no more than </w:t>
      </w:r>
      <w:r w:rsidRPr="2B4A547D" w:rsidR="4B277F3E">
        <w:rPr>
          <w:rFonts w:eastAsia="Times New Roman" w:cs="Times New Roman"/>
          <w:color w:val="000000" w:themeColor="text1"/>
        </w:rPr>
        <w:t xml:space="preserve">one </w:t>
      </w:r>
      <w:r w:rsidRPr="2B4A547D">
        <w:rPr>
          <w:rFonts w:eastAsia="Times New Roman" w:cs="Times New Roman"/>
          <w:color w:val="000000" w:themeColor="text1"/>
        </w:rPr>
        <w:t xml:space="preserve">hour and </w:t>
      </w:r>
      <w:r w:rsidRPr="2B4A547D" w:rsidR="7B2B557D">
        <w:rPr>
          <w:rFonts w:eastAsia="Times New Roman" w:cs="Times New Roman"/>
          <w:color w:val="000000" w:themeColor="text1"/>
        </w:rPr>
        <w:t>forty five</w:t>
      </w:r>
      <w:r w:rsidRPr="2B4A547D">
        <w:rPr>
          <w:rFonts w:eastAsia="Times New Roman" w:cs="Times New Roman"/>
          <w:color w:val="000000" w:themeColor="text1"/>
        </w:rPr>
        <w:t xml:space="preserve"> minutes completing the three teacher measures at each time period (e.g., pre and post), for a total of </w:t>
      </w:r>
      <w:r w:rsidRPr="2B4A547D" w:rsidR="0DFC4664">
        <w:rPr>
          <w:rFonts w:eastAsia="Times New Roman" w:cs="Times New Roman"/>
          <w:color w:val="000000" w:themeColor="text1"/>
        </w:rPr>
        <w:t>3.5</w:t>
      </w:r>
      <w:r w:rsidRPr="2B4A547D">
        <w:rPr>
          <w:rFonts w:eastAsia="Times New Roman" w:cs="Times New Roman"/>
          <w:color w:val="000000" w:themeColor="text1"/>
        </w:rPr>
        <w:t xml:space="preserve"> hours. In addition, we have estimated that teachers will spend no more than 1 hour total to support the administration of the student assessments. These incentives will be offered to all teachers in the study, regardless of whether they are in the intervention or the comparison group. </w:t>
      </w:r>
      <w:r w:rsidRPr="2B4A547D" w:rsidR="6AEC67F2">
        <w:rPr>
          <w:rFonts w:eastAsia="Times New Roman" w:cs="Times New Roman"/>
          <w:color w:val="000000" w:themeColor="text1"/>
        </w:rPr>
        <w:t xml:space="preserve">The monetary amount was determined by calculating </w:t>
      </w:r>
      <w:r w:rsidRPr="2B4A547D" w:rsidR="04F65B02">
        <w:rPr>
          <w:rFonts w:eastAsia="Times New Roman" w:cs="Times New Roman"/>
          <w:color w:val="000000" w:themeColor="text1"/>
        </w:rPr>
        <w:t>an hourly wage based on B</w:t>
      </w:r>
      <w:r w:rsidRPr="2B4A547D" w:rsidR="14D7401E">
        <w:rPr>
          <w:rFonts w:eastAsia="Times New Roman" w:cs="Times New Roman"/>
          <w:color w:val="000000" w:themeColor="text1"/>
        </w:rPr>
        <w:t>ureau of Labor Statistics data</w:t>
      </w:r>
      <w:r w:rsidRPr="2B4A547D" w:rsidR="0E98B061">
        <w:rPr>
          <w:rFonts w:eastAsia="Times New Roman" w:cs="Times New Roman"/>
          <w:color w:val="000000" w:themeColor="text1"/>
        </w:rPr>
        <w:t xml:space="preserve"> </w:t>
      </w:r>
      <w:r w:rsidRPr="2B4A547D" w:rsidR="04F65B02">
        <w:rPr>
          <w:rFonts w:eastAsia="Times New Roman" w:cs="Times New Roman"/>
          <w:color w:val="000000" w:themeColor="text1"/>
        </w:rPr>
        <w:t xml:space="preserve">regarding secondary teacher salaries in Connecticut. </w:t>
      </w:r>
      <w:r w:rsidRPr="2B4A547D" w:rsidR="67FCC194">
        <w:rPr>
          <w:rFonts w:eastAsia="Times New Roman" w:cs="Times New Roman"/>
          <w:color w:val="000000" w:themeColor="text1"/>
        </w:rPr>
        <w:t xml:space="preserve">In light of the fact that CSDE has </w:t>
      </w:r>
      <w:r w:rsidRPr="2B4A547D" w:rsidR="161539C4">
        <w:rPr>
          <w:rFonts w:eastAsia="Times New Roman" w:cs="Times New Roman"/>
          <w:color w:val="000000" w:themeColor="text1"/>
        </w:rPr>
        <w:t>identified a statewide shortage of mathematics teachers for grades 4 through 12</w:t>
      </w:r>
      <w:r w:rsidRPr="2B4A547D" w:rsidR="2C5C234A">
        <w:rPr>
          <w:rFonts w:eastAsia="Times New Roman" w:cs="Times New Roman"/>
          <w:color w:val="000000" w:themeColor="text1"/>
        </w:rPr>
        <w:t xml:space="preserve"> (Russell-Tucker, </w:t>
      </w:r>
      <w:r w:rsidRPr="2B4A547D" w:rsidR="171B24E4">
        <w:rPr>
          <w:rFonts w:eastAsia="Times New Roman" w:cs="Times New Roman"/>
          <w:color w:val="000000" w:themeColor="text1"/>
        </w:rPr>
        <w:t>2021)</w:t>
      </w:r>
      <w:r w:rsidRPr="2B4A547D" w:rsidR="161539C4">
        <w:rPr>
          <w:rFonts w:eastAsia="Times New Roman" w:cs="Times New Roman"/>
          <w:color w:val="000000" w:themeColor="text1"/>
        </w:rPr>
        <w:t xml:space="preserve">, </w:t>
      </w:r>
      <w:r w:rsidRPr="2B4A547D" w:rsidR="6D51F566">
        <w:rPr>
          <w:rFonts w:eastAsia="Times New Roman" w:cs="Times New Roman"/>
          <w:color w:val="000000" w:themeColor="text1"/>
        </w:rPr>
        <w:t>we</w:t>
      </w:r>
      <w:r w:rsidRPr="2B4A547D" w:rsidR="04F65B02">
        <w:rPr>
          <w:rFonts w:eastAsia="Times New Roman" w:cs="Times New Roman"/>
          <w:color w:val="000000" w:themeColor="text1"/>
        </w:rPr>
        <w:t xml:space="preserve"> elected to base our incentives on the 90</w:t>
      </w:r>
      <w:r w:rsidRPr="2B4A547D" w:rsidR="04F65B02">
        <w:rPr>
          <w:rFonts w:eastAsia="Times New Roman" w:cs="Times New Roman"/>
          <w:color w:val="000000" w:themeColor="text1"/>
          <w:vertAlign w:val="superscript"/>
        </w:rPr>
        <w:t>th</w:t>
      </w:r>
      <w:r w:rsidRPr="2B4A547D" w:rsidR="04F65B02">
        <w:rPr>
          <w:rFonts w:eastAsia="Times New Roman" w:cs="Times New Roman"/>
          <w:color w:val="000000" w:themeColor="text1"/>
        </w:rPr>
        <w:t xml:space="preserve"> percentile </w:t>
      </w:r>
      <w:r w:rsidRPr="2B4A547D" w:rsidR="0DEC49A9">
        <w:rPr>
          <w:rFonts w:eastAsia="Times New Roman" w:cs="Times New Roman"/>
          <w:color w:val="000000" w:themeColor="text1"/>
        </w:rPr>
        <w:t xml:space="preserve">secondary teacher salary ($103,740), which amounts to a $72.04 hourly wage assuming 180 8-hr </w:t>
      </w:r>
      <w:r w:rsidRPr="2B4A547D" w:rsidR="6EFC8902">
        <w:rPr>
          <w:rFonts w:eastAsia="Times New Roman" w:cs="Times New Roman"/>
          <w:color w:val="000000" w:themeColor="text1"/>
        </w:rPr>
        <w:t>workdays.</w:t>
      </w:r>
      <w:r w:rsidRPr="2B4A547D" w:rsidR="6EFC8902">
        <w:rPr>
          <w:rFonts w:eastAsia="Times New Roman" w:cs="Times New Roman"/>
          <w:color w:val="000000" w:themeColor="text1"/>
        </w:rPr>
        <w:t xml:space="preserve"> </w:t>
      </w:r>
      <w:r w:rsidRPr="2B4A547D" w:rsidR="303D5933">
        <w:rPr>
          <w:rFonts w:eastAsia="Times New Roman" w:cs="Times New Roman"/>
          <w:color w:val="000000" w:themeColor="text1"/>
        </w:rPr>
        <w:t xml:space="preserve">In addition, teachers in the intervention condition will spend approximately 7 hours outside of regular contact hours preparing for classroom implementation of instructional activities associated with their VAM PD participation; this time will also be compensated at </w:t>
      </w:r>
      <w:r w:rsidRPr="2B4A547D" w:rsidR="303D5933">
        <w:rPr>
          <w:rFonts w:eastAsia="Times New Roman" w:cs="Times New Roman"/>
          <w:color w:val="000000" w:themeColor="text1"/>
        </w:rPr>
        <w:t>the same hourly wage</w:t>
      </w:r>
      <w:r w:rsidRPr="2B4A547D" w:rsidR="303D5933">
        <w:rPr>
          <w:rFonts w:eastAsia="Times New Roman" w:cs="Times New Roman"/>
          <w:color w:val="000000" w:themeColor="text1"/>
        </w:rPr>
        <w:t xml:space="preserve">. The same compensation will be provided to teachers in the comparison condition in the subsequent school </w:t>
      </w:r>
      <w:r w:rsidRPr="2B4A547D" w:rsidR="303D5933">
        <w:rPr>
          <w:rFonts w:eastAsia="Times New Roman" w:cs="Times New Roman"/>
          <w:color w:val="000000" w:themeColor="text1"/>
        </w:rPr>
        <w:t>year, when</w:t>
      </w:r>
      <w:r w:rsidRPr="2B4A547D" w:rsidR="303D5933">
        <w:rPr>
          <w:rFonts w:eastAsia="Times New Roman" w:cs="Times New Roman"/>
          <w:color w:val="000000" w:themeColor="text1"/>
        </w:rPr>
        <w:t xml:space="preserve"> the intervention is provided to those teachers after the conclusion of the study described here.</w:t>
      </w:r>
    </w:p>
    <w:p w:rsidR="009C55A5" w:rsidRPr="009C55A5" w:rsidP="009C55A5" w14:paraId="1D2E33F8" w14:textId="55E8BDA0">
      <w:pPr>
        <w:rPr>
          <w:rFonts w:eastAsia="Calibri"/>
        </w:rPr>
      </w:pPr>
    </w:p>
    <w:p w:rsidR="009C55A5" w:rsidRPr="009C55A5" w:rsidP="7EE5783F" w14:paraId="75E99BF9" w14:textId="73F5B4A7">
      <w:pPr>
        <w:pStyle w:val="Heading2"/>
        <w:numPr>
          <w:ilvl w:val="0"/>
          <w:numId w:val="15"/>
        </w:numPr>
      </w:pPr>
      <w:bookmarkStart w:id="14" w:name="_Toc116659894"/>
      <w:r>
        <w:t>Data Confidentiality</w:t>
      </w:r>
      <w:bookmarkEnd w:id="14"/>
    </w:p>
    <w:p w:rsidR="7B128F04" w:rsidP="18AC26EE" w14:paraId="5536889E" w14:textId="6093C392">
      <w:pPr>
        <w:spacing w:before="240"/>
        <w:rPr>
          <w:rFonts w:eastAsia="Calibri"/>
        </w:rPr>
      </w:pPr>
      <w:r w:rsidRPr="18AC26EE">
        <w:rPr>
          <w:rFonts w:eastAsia="Calibri"/>
        </w:rPr>
        <w:t>ED’s contractor for REL</w:t>
      </w:r>
      <w:r w:rsidRPr="18AC26EE" w:rsidR="4E035A2F">
        <w:rPr>
          <w:rFonts w:eastAsia="Calibri"/>
        </w:rPr>
        <w:t xml:space="preserve">-NEI </w:t>
      </w:r>
      <w:r w:rsidRPr="18AC26EE">
        <w:rPr>
          <w:rFonts w:eastAsia="Calibri"/>
        </w:rPr>
        <w:t>will follow the policies and procedures required by ESRA of 2002, Title I, Part E, Section 183. This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rsidR="7B128F04" w:rsidP="18AC26EE" w14:paraId="0E1CB730" w14:textId="458FD6EF">
      <w:pPr>
        <w:rPr>
          <w:rFonts w:eastAsia="Calibri"/>
        </w:rPr>
      </w:pPr>
      <w:r w:rsidRPr="18AC26EE">
        <w:rPr>
          <w:rFonts w:eastAsia="Calibri"/>
        </w:rPr>
        <w:t>In addition, for student information, ESRA states:</w:t>
      </w:r>
    </w:p>
    <w:p w:rsidR="7B128F04" w:rsidP="18AC26EE" w14:paraId="25BF06F5" w14:textId="59E60D4C">
      <w:pPr>
        <w:rPr>
          <w:rFonts w:eastAsia="Calibri"/>
        </w:rPr>
      </w:pPr>
      <w:r w:rsidRPr="18AC26EE">
        <w:rPr>
          <w:rFonts w:eastAsia="Calibri"/>
        </w:rPr>
        <w:t>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rsidR="7B128F04" w:rsidP="18AC26EE" w14:paraId="593F6335" w14:textId="79D94DF7">
      <w:pPr>
        <w:rPr>
          <w:rFonts w:eastAsia="Calibri"/>
        </w:rPr>
      </w:pPr>
      <w:r w:rsidRPr="18AC26EE">
        <w:rPr>
          <w:rFonts w:eastAsia="Calibri"/>
        </w:rPr>
        <w:t>Subsection (c) of section 183 requires the Director of IES to “develop and enforce standards designed to protect the confidentiality of persons in the collection, reporting, and publication of data.”</w:t>
      </w:r>
    </w:p>
    <w:p w:rsidR="7B128F04" w:rsidP="18AC26EE" w14:paraId="4D900798" w14:textId="4E446175">
      <w:pPr>
        <w:rPr>
          <w:rFonts w:eastAsia="Calibri"/>
        </w:rPr>
      </w:pPr>
      <w:r w:rsidRPr="1ED58F26">
        <w:rPr>
          <w:rFonts w:eastAsia="Calibri"/>
        </w:rPr>
        <w:t xml:space="preserve">Subsection (d) of section 183 prohibits disclosure of individually identifiable information as well as making the publishing or communicating of individually identifiable information by employees or staff a felony. All documents, consent forms, instruments, notification letters, </w:t>
      </w:r>
      <w:r w:rsidRPr="1ED58F26" w:rsidR="30EF4249">
        <w:rPr>
          <w:rFonts w:eastAsia="Calibri"/>
        </w:rPr>
        <w:t xml:space="preserve">and </w:t>
      </w:r>
      <w:r w:rsidRPr="1ED58F26">
        <w:rPr>
          <w:rFonts w:eastAsia="Calibri"/>
        </w:rPr>
        <w:t>email reminders</w:t>
      </w:r>
      <w:r w:rsidRPr="1ED58F26" w:rsidR="72212A47">
        <w:rPr>
          <w:rFonts w:eastAsia="Calibri"/>
        </w:rPr>
        <w:t xml:space="preserve"> </w:t>
      </w:r>
      <w:r w:rsidRPr="1ED58F26">
        <w:rPr>
          <w:rFonts w:eastAsia="Calibri"/>
        </w:rPr>
        <w:t>will provide the following language to inform research participants of the penalties to researchers for disclosing individually identifiable information.</w:t>
      </w:r>
    </w:p>
    <w:p w:rsidR="7B128F04" w:rsidP="18AC26EE" w14:paraId="30DE190E" w14:textId="0BA31799">
      <w:pPr>
        <w:rPr>
          <w:rFonts w:eastAsia="Calibri"/>
        </w:rPr>
      </w:pPr>
      <w:r w:rsidRPr="1ED58F26">
        <w:rPr>
          <w:rFonts w:eastAsia="Calibri"/>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rsidR="7B128F04" w:rsidP="18AC26EE" w14:paraId="20DF055C" w14:textId="5FD7CA14">
      <w:pPr>
        <w:rPr>
          <w:rFonts w:eastAsia="Calibri"/>
        </w:rPr>
      </w:pPr>
      <w:r w:rsidRPr="18AC26EE">
        <w:rPr>
          <w:rFonts w:eastAsia="Calibri"/>
        </w:rPr>
        <w:t>The contractor for REL</w:t>
      </w:r>
      <w:r w:rsidRPr="18AC26EE" w:rsidR="04542CF0">
        <w:rPr>
          <w:rFonts w:eastAsia="Calibri"/>
        </w:rPr>
        <w:t xml:space="preserve">-NEI </w:t>
      </w:r>
      <w:r w:rsidRPr="18AC26EE">
        <w:rPr>
          <w:rFonts w:eastAsia="Calibri"/>
        </w:rPr>
        <w:t xml:space="preserve">will protect the confidentiality of all information collected for the study and will use it for research purposes only. To protect confidential data, only the contractor’s data management staff, investigators, and research staff will have access to the data files on a “need-to-know” basis. Any identifiable variables, raw data, or derived variables will be stored in encrypted files on a secure data management site. Access to this site will be limited to staff assigned to the project. Any data obtained for this study will be used only for statistical and descriptive analyses. All identifiers will be destroyed as soon as they are no longer required. Study reports will not identify the name of any specific analysis unit (e.g., students, school staff members, or schools). In no case will information be reported when the total number for a quantity represents fewer than four cases. Moreover, any data that permit identity disclosure, when used in combination with other known data, will not be published or made available in restricted-use files. </w:t>
      </w:r>
    </w:p>
    <w:p w:rsidR="7B128F04" w:rsidP="18AC26EE" w14:paraId="6AC28F9C" w14:textId="17861FDF">
      <w:pPr>
        <w:rPr>
          <w:rFonts w:eastAsia="Calibri"/>
        </w:rPr>
      </w:pPr>
      <w:r w:rsidRPr="1D56A7B1">
        <w:rPr>
          <w:rFonts w:eastAsia="Calibri"/>
        </w:rPr>
        <w:t>All members of the study team have obtained their certification on the protection of human subjects in research, and REL</w:t>
      </w:r>
      <w:r w:rsidRPr="1D56A7B1" w:rsidR="38A0B52F">
        <w:rPr>
          <w:rFonts w:eastAsia="Calibri"/>
        </w:rPr>
        <w:t xml:space="preserve">-NEI </w:t>
      </w:r>
      <w:r w:rsidRPr="1D56A7B1">
        <w:rPr>
          <w:rFonts w:eastAsia="Calibri"/>
        </w:rPr>
        <w:t xml:space="preserve">staff members </w:t>
      </w:r>
      <w:r w:rsidRPr="0D77AB94" w:rsidR="5D30C01F">
        <w:rPr>
          <w:rFonts w:eastAsia="Calibri"/>
        </w:rPr>
        <w:t>will</w:t>
      </w:r>
      <w:r w:rsidRPr="1D56A7B1" w:rsidR="5D30C01F">
        <w:rPr>
          <w:rFonts w:eastAsia="Calibri"/>
        </w:rPr>
        <w:t xml:space="preserve"> also have</w:t>
      </w:r>
      <w:r w:rsidRPr="1D56A7B1">
        <w:rPr>
          <w:rFonts w:eastAsia="Calibri"/>
        </w:rPr>
        <w:t xml:space="preserve"> federal security clearances</w:t>
      </w:r>
      <w:r w:rsidRPr="0D5E8ECA">
        <w:rPr>
          <w:rFonts w:eastAsia="Calibri"/>
        </w:rPr>
        <w:t>.</w:t>
      </w:r>
      <w:r w:rsidRPr="1D56A7B1">
        <w:rPr>
          <w:rFonts w:eastAsia="Calibri"/>
        </w:rPr>
        <w:t xml:space="preserve"> The REL study 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The project team will track new staff and staff who have left the study and ensure that additional signatures will be </w:t>
      </w:r>
      <w:r w:rsidRPr="1D56A7B1">
        <w:rPr>
          <w:rFonts w:eastAsia="Calibri"/>
        </w:rPr>
        <w:t>obtained</w:t>
      </w:r>
      <w:r w:rsidRPr="1D56A7B1">
        <w:rPr>
          <w:rFonts w:eastAsia="Calibri"/>
        </w:rPr>
        <w:t xml:space="preserve"> or clearances will be revoked. </w:t>
      </w:r>
    </w:p>
    <w:p w:rsidR="7B128F04" w:rsidP="18AC26EE" w14:paraId="29223E08" w14:textId="58724E72">
      <w:pPr>
        <w:rPr>
          <w:rFonts w:eastAsia="Calibri"/>
        </w:rPr>
      </w:pPr>
      <w:r w:rsidRPr="18AC26EE">
        <w:rPr>
          <w:rFonts w:eastAsia="Calibri"/>
        </w:rPr>
        <w:t>Teacher participants and student guardians will</w:t>
      </w:r>
      <w:r w:rsidRPr="18AC26EE">
        <w:rPr>
          <w:rFonts w:eastAsia="Calibri"/>
        </w:rPr>
        <w:t xml:space="preserve"> be informed that project staff are committed to keeping data confidential, and that participation in the data collection activities is voluntary. The instructions for</w:t>
      </w:r>
      <w:r w:rsidRPr="18AC26EE" w:rsidR="08F6B8BB">
        <w:rPr>
          <w:rFonts w:eastAsia="Calibri"/>
        </w:rPr>
        <w:t xml:space="preserve"> all</w:t>
      </w:r>
      <w:r w:rsidRPr="18AC26EE">
        <w:rPr>
          <w:rFonts w:eastAsia="Calibri"/>
        </w:rPr>
        <w:t xml:space="preserve"> online surveys will reiterate these points.</w:t>
      </w:r>
    </w:p>
    <w:p w:rsidR="00CB35FA" w:rsidP="00CB35FA" w14:paraId="63C2C39D" w14:textId="49635751">
      <w:pPr>
        <w:pStyle w:val="Heading2"/>
        <w:numPr>
          <w:ilvl w:val="0"/>
          <w:numId w:val="15"/>
        </w:numPr>
      </w:pPr>
      <w:bookmarkStart w:id="15" w:name="_Toc116659895"/>
      <w:r>
        <w:t>Additional Justification for Sensitive Questions</w:t>
      </w:r>
      <w:bookmarkEnd w:id="15"/>
    </w:p>
    <w:p w:rsidR="00353679" w:rsidP="7EE5783F" w14:paraId="05CB0A04" w14:textId="33309D2B">
      <w:pPr>
        <w:spacing w:before="240"/>
      </w:pPr>
      <w:r>
        <w:t>No questions of a highly sensitive nature appear in any instrument. In addition, participants will be informed that their responses are voluntary, and they may decline to answer any question.</w:t>
      </w:r>
    </w:p>
    <w:p w:rsidR="009C55A5" w:rsidRPr="009C55A5" w:rsidP="009C55A5" w14:paraId="25914349" w14:textId="77777777"/>
    <w:p w:rsidR="00DF19DA" w:rsidP="00DF19DA" w14:paraId="07D0BBEE" w14:textId="3BE75DFC">
      <w:pPr>
        <w:pStyle w:val="Heading2"/>
        <w:numPr>
          <w:ilvl w:val="0"/>
          <w:numId w:val="15"/>
        </w:numPr>
      </w:pPr>
      <w:bookmarkStart w:id="16" w:name="_Toc116659896"/>
      <w:r>
        <w:t>Estimates of Hour Burden</w:t>
      </w:r>
      <w:bookmarkEnd w:id="16"/>
    </w:p>
    <w:p w:rsidR="009C55A5" w:rsidRPr="009C55A5" w:rsidP="4CC34AA2" w14:paraId="3193A66D" w14:textId="6A5132FD">
      <w:r>
        <w:t>The annualized number of responses is</w:t>
      </w:r>
      <w:r w:rsidR="6890EFA7">
        <w:t xml:space="preserve"> 36,784</w:t>
      </w:r>
      <w:r>
        <w:t xml:space="preserve">. Annualized </w:t>
      </w:r>
      <w:r w:rsidR="00CD446B">
        <w:t xml:space="preserve">reporting </w:t>
      </w:r>
      <w:r>
        <w:t>burden associated with this data collection is 1</w:t>
      </w:r>
      <w:r w:rsidR="4A89614F">
        <w:t>1,</w:t>
      </w:r>
      <w:r w:rsidR="7671C5A4">
        <w:t>280.96</w:t>
      </w:r>
      <w:r>
        <w:t xml:space="preserve"> hours. This burden estimate includes the time required for completing consent forms</w:t>
      </w:r>
      <w:r w:rsidR="76E0A736">
        <w:t xml:space="preserve"> and completing all student and teacher level measures</w:t>
      </w:r>
      <w:r w:rsidR="00CD446B">
        <w:t xml:space="preserve"> (e.g., reporting)</w:t>
      </w:r>
      <w:r>
        <w:t>.</w:t>
      </w:r>
      <w:r w:rsidR="00CD446B">
        <w:t xml:space="preserve"> This request </w:t>
      </w:r>
      <w:r w:rsidR="00900C30">
        <w:t>does not involve any burden related to record keeping or third</w:t>
      </w:r>
      <w:r w:rsidR="72ADD02E">
        <w:t>-</w:t>
      </w:r>
      <w:r w:rsidR="00900C30">
        <w:t>party disclosure.</w:t>
      </w:r>
      <w:r>
        <w:t xml:space="preserve"> For each data collection, the burden was estimated based on the contractor’s performance of similar collections and confirmed through pilot testing with former educators. To be conservative, the </w:t>
      </w:r>
      <w:r w:rsidR="00CD446B">
        <w:t xml:space="preserve">reporting </w:t>
      </w:r>
      <w:r>
        <w:t>burden estimates assume response rates of 100 percent</w:t>
      </w:r>
      <w:r w:rsidR="7DD23346">
        <w:t>.</w:t>
      </w:r>
    </w:p>
    <w:p w:rsidR="005C1119" w:rsidP="0D0B90D2" w14:paraId="5BCF97E6" w14:textId="77777777">
      <w:pPr>
        <w:jc w:val="center"/>
        <w:rPr>
          <w:b/>
          <w:bCs/>
        </w:rPr>
      </w:pPr>
    </w:p>
    <w:p w:rsidR="005C1119" w:rsidP="0D0B90D2" w14:paraId="0770FAD3" w14:textId="77777777">
      <w:pPr>
        <w:jc w:val="center"/>
        <w:rPr>
          <w:b/>
          <w:bCs/>
        </w:rPr>
      </w:pPr>
    </w:p>
    <w:p w:rsidR="12A232E4" w:rsidP="0D0B90D2" w14:paraId="4EBC0685" w14:textId="46034B6A">
      <w:pPr>
        <w:jc w:val="center"/>
        <w:rPr>
          <w:b/>
          <w:bCs/>
        </w:rPr>
      </w:pPr>
      <w:r w:rsidRPr="0D0B90D2">
        <w:rPr>
          <w:b/>
          <w:bCs/>
        </w:rPr>
        <w:t>Table 2. Hour Burden Estimates</w:t>
      </w:r>
    </w:p>
    <w:tbl>
      <w:tblPr>
        <w:tblStyle w:val="TableGrid"/>
        <w:tblW w:w="0" w:type="auto"/>
        <w:tblLayout w:type="fixed"/>
        <w:tblLook w:val="04A0"/>
      </w:tblPr>
      <w:tblGrid>
        <w:gridCol w:w="2295"/>
        <w:gridCol w:w="1365"/>
        <w:gridCol w:w="1485"/>
        <w:gridCol w:w="1455"/>
        <w:gridCol w:w="1380"/>
        <w:gridCol w:w="1320"/>
      </w:tblGrid>
      <w:tr w14:paraId="69AE92DE" w14:textId="77777777" w:rsidTr="4CC34AA2">
        <w:tblPrEx>
          <w:tblW w:w="0" w:type="auto"/>
          <w:tblLayout w:type="fixed"/>
          <w:tblLook w:val="04A0"/>
        </w:tblPrEx>
        <w:tc>
          <w:tcPr>
            <w:tcW w:w="9300" w:type="dxa"/>
            <w:gridSpan w:val="6"/>
            <w:shd w:val="clear" w:color="auto" w:fill="D9D9D9" w:themeFill="background1" w:themeFillShade="D9"/>
          </w:tcPr>
          <w:p w:rsidR="14287EAA" w:rsidP="14287EAA" w14:paraId="731BEDA2" w14:textId="6C123080">
            <w:pPr>
              <w:spacing w:line="259" w:lineRule="auto"/>
              <w:rPr>
                <w:rFonts w:eastAsia="Times New Roman" w:cs="Times New Roman"/>
                <w:color w:val="000000" w:themeColor="text1"/>
              </w:rPr>
            </w:pPr>
            <w:r w:rsidRPr="14287EAA">
              <w:rPr>
                <w:rFonts w:eastAsia="Times New Roman" w:cs="Times New Roman"/>
                <w:b/>
                <w:bCs/>
                <w:color w:val="000000" w:themeColor="text1"/>
              </w:rPr>
              <w:t>CONSENT FORMS</w:t>
            </w:r>
          </w:p>
          <w:p w:rsidR="14287EAA" w:rsidP="14287EAA" w14:paraId="1709064A" w14:textId="69269C32">
            <w:pPr>
              <w:spacing w:line="259" w:lineRule="auto"/>
              <w:rPr>
                <w:rFonts w:eastAsia="Times New Roman" w:cs="Times New Roman"/>
                <w:color w:val="000000" w:themeColor="text1"/>
                <w:sz w:val="20"/>
                <w:szCs w:val="20"/>
              </w:rPr>
            </w:pPr>
            <w:r w:rsidRPr="14287EAA">
              <w:rPr>
                <w:rFonts w:eastAsia="Times New Roman" w:cs="Times New Roman"/>
                <w:color w:val="000000" w:themeColor="text1"/>
                <w:sz w:val="20"/>
                <w:szCs w:val="20"/>
              </w:rPr>
              <w:t xml:space="preserve">All teachers participating in the study will receive consent forms to participate in the study. </w:t>
            </w:r>
          </w:p>
          <w:p w:rsidR="14287EAA" w:rsidP="14287EAA" w14:paraId="18FFC281" w14:textId="3668BF06">
            <w:pPr>
              <w:spacing w:line="259" w:lineRule="auto"/>
              <w:rPr>
                <w:rFonts w:eastAsia="Times New Roman" w:cs="Times New Roman"/>
                <w:color w:val="000000" w:themeColor="text1"/>
                <w:sz w:val="20"/>
                <w:szCs w:val="20"/>
              </w:rPr>
            </w:pPr>
            <w:r w:rsidRPr="14287EAA">
              <w:rPr>
                <w:rFonts w:eastAsia="Times New Roman" w:cs="Times New Roman"/>
                <w:color w:val="000000" w:themeColor="text1"/>
                <w:sz w:val="20"/>
                <w:szCs w:val="20"/>
              </w:rPr>
              <w:t>Parents or guardians for all students in each participating teachers’ 7</w:t>
            </w:r>
            <w:r w:rsidRPr="14287EAA">
              <w:rPr>
                <w:rFonts w:eastAsia="Times New Roman" w:cs="Times New Roman"/>
                <w:color w:val="000000" w:themeColor="text1"/>
                <w:sz w:val="20"/>
                <w:szCs w:val="20"/>
                <w:vertAlign w:val="superscript"/>
              </w:rPr>
              <w:t>th</w:t>
            </w:r>
            <w:r w:rsidRPr="14287EAA">
              <w:rPr>
                <w:rFonts w:eastAsia="Times New Roman" w:cs="Times New Roman"/>
                <w:color w:val="000000" w:themeColor="text1"/>
                <w:sz w:val="20"/>
                <w:szCs w:val="20"/>
              </w:rPr>
              <w:t xml:space="preserve"> grade math class will receive an information sheet describing the study and asking them to return the form if they do not want their child(ren) to participate in the student data collection activities. The burden calculation assumes 40 students per teacher (for a total of 4000 students).</w:t>
            </w:r>
          </w:p>
          <w:p w:rsidR="14287EAA" w:rsidP="14287EAA" w14:paraId="677D669B" w14:textId="3D8E68EA">
            <w:pPr>
              <w:spacing w:line="259" w:lineRule="auto"/>
              <w:rPr>
                <w:rFonts w:eastAsia="Times New Roman" w:cs="Times New Roman"/>
                <w:color w:val="000000" w:themeColor="text1"/>
                <w:sz w:val="20"/>
                <w:szCs w:val="20"/>
              </w:rPr>
            </w:pPr>
            <w:r w:rsidRPr="14287EAA">
              <w:rPr>
                <w:rFonts w:eastAsia="Times New Roman" w:cs="Times New Roman"/>
                <w:i/>
                <w:iCs/>
                <w:color w:val="000000" w:themeColor="text1"/>
                <w:sz w:val="20"/>
                <w:szCs w:val="20"/>
              </w:rPr>
              <w:t>For the purpose of</w:t>
            </w:r>
            <w:r w:rsidRPr="14287EAA">
              <w:rPr>
                <w:rFonts w:eastAsia="Times New Roman" w:cs="Times New Roman"/>
                <w:i/>
                <w:iCs/>
                <w:color w:val="000000" w:themeColor="text1"/>
                <w:sz w:val="20"/>
                <w:szCs w:val="20"/>
              </w:rPr>
              <w:t xml:space="preserve"> calculating burden, the initial consent form burden requires an estimate of 5 minutes of time per respondent.</w:t>
            </w:r>
          </w:p>
        </w:tc>
      </w:tr>
      <w:tr w14:paraId="017471FE" w14:textId="77777777" w:rsidTr="4CC34AA2">
        <w:tblPrEx>
          <w:tblW w:w="0" w:type="auto"/>
          <w:tblLayout w:type="fixed"/>
          <w:tblLook w:val="04A0"/>
        </w:tblPrEx>
        <w:tc>
          <w:tcPr>
            <w:tcW w:w="2295" w:type="dxa"/>
          </w:tcPr>
          <w:p w:rsidR="009304DA" w:rsidRPr="00B35206" w:rsidP="00B35206" w14:paraId="6FD9B62C" w14:textId="7D0FFFE2">
            <w:pPr>
              <w:rPr>
                <w:rFonts w:eastAsia="Times New Roman" w:cs="Times New Roman"/>
                <w:b/>
                <w:bCs/>
                <w:color w:val="000000" w:themeColor="text1"/>
              </w:rPr>
            </w:pPr>
            <w:r w:rsidRPr="00B35206">
              <w:rPr>
                <w:rFonts w:eastAsia="Times New Roman" w:cs="Times New Roman"/>
                <w:b/>
                <w:bCs/>
                <w:color w:val="000000" w:themeColor="text1"/>
              </w:rPr>
              <w:t>Instrument</w:t>
            </w:r>
          </w:p>
        </w:tc>
        <w:tc>
          <w:tcPr>
            <w:tcW w:w="1365" w:type="dxa"/>
          </w:tcPr>
          <w:p w:rsidR="009304DA" w:rsidRPr="00CB1553" w:rsidP="009304DA" w14:paraId="0E2E9A04" w14:textId="69D8716B">
            <w:pPr>
              <w:rPr>
                <w:rFonts w:eastAsia="Times New Roman" w:cs="Times New Roman"/>
                <w:b/>
                <w:bCs/>
                <w:color w:val="000000" w:themeColor="text1"/>
              </w:rPr>
            </w:pPr>
            <w:r w:rsidRPr="00B35206">
              <w:rPr>
                <w:rFonts w:eastAsia="Times New Roman" w:cs="Times New Roman"/>
                <w:b/>
                <w:bCs/>
                <w:color w:val="000000" w:themeColor="text1"/>
              </w:rPr>
              <w:t>Person Incurring Burden</w:t>
            </w:r>
          </w:p>
        </w:tc>
        <w:tc>
          <w:tcPr>
            <w:tcW w:w="1485" w:type="dxa"/>
          </w:tcPr>
          <w:p w:rsidR="009304DA" w:rsidRPr="00CB1553" w:rsidP="009304DA" w14:paraId="2CD751D0" w14:textId="2F83FA80">
            <w:pPr>
              <w:rPr>
                <w:rFonts w:eastAsia="Times New Roman" w:cs="Times New Roman"/>
                <w:b/>
                <w:bCs/>
                <w:color w:val="000000" w:themeColor="text1"/>
              </w:rPr>
            </w:pPr>
            <w:r w:rsidRPr="00B35206">
              <w:rPr>
                <w:rFonts w:eastAsia="Times New Roman" w:cs="Times New Roman"/>
                <w:b/>
                <w:bCs/>
                <w:color w:val="000000" w:themeColor="text1"/>
              </w:rPr>
              <w:t>Number of Respondents</w:t>
            </w:r>
          </w:p>
        </w:tc>
        <w:tc>
          <w:tcPr>
            <w:tcW w:w="1455" w:type="dxa"/>
          </w:tcPr>
          <w:p w:rsidR="009304DA" w:rsidRPr="00CB1553" w:rsidP="009304DA" w14:paraId="5B6A618B" w14:textId="752DD82A">
            <w:pPr>
              <w:rPr>
                <w:rFonts w:eastAsia="Times New Roman" w:cs="Times New Roman"/>
                <w:b/>
                <w:bCs/>
                <w:color w:val="000000" w:themeColor="text1"/>
              </w:rPr>
            </w:pPr>
            <w:r w:rsidRPr="00B35206">
              <w:rPr>
                <w:rFonts w:eastAsia="Times New Roman" w:cs="Times New Roman"/>
                <w:b/>
                <w:bCs/>
                <w:color w:val="000000" w:themeColor="text1"/>
              </w:rPr>
              <w:t>Responses per Respondent</w:t>
            </w:r>
          </w:p>
        </w:tc>
        <w:tc>
          <w:tcPr>
            <w:tcW w:w="1380" w:type="dxa"/>
          </w:tcPr>
          <w:p w:rsidR="009304DA" w:rsidRPr="00CB1553" w:rsidP="009304DA" w14:paraId="1B2CE831" w14:textId="7ACAB106">
            <w:pPr>
              <w:rPr>
                <w:rFonts w:eastAsia="Times New Roman" w:cs="Times New Roman"/>
                <w:b/>
                <w:bCs/>
                <w:color w:val="000000" w:themeColor="text1"/>
              </w:rPr>
            </w:pPr>
            <w:r w:rsidRPr="00B35206">
              <w:rPr>
                <w:rFonts w:eastAsia="Times New Roman" w:cs="Times New Roman"/>
                <w:b/>
                <w:bCs/>
                <w:color w:val="000000" w:themeColor="text1"/>
              </w:rPr>
              <w:t>Hours per Response</w:t>
            </w:r>
          </w:p>
        </w:tc>
        <w:tc>
          <w:tcPr>
            <w:tcW w:w="1320" w:type="dxa"/>
          </w:tcPr>
          <w:p w:rsidR="009304DA" w:rsidRPr="00CB1553" w:rsidP="009304DA" w14:paraId="24D45959" w14:textId="4CF6376D">
            <w:pPr>
              <w:rPr>
                <w:rFonts w:eastAsia="Times New Roman" w:cs="Times New Roman"/>
                <w:b/>
                <w:bCs/>
                <w:color w:val="000000" w:themeColor="text1"/>
              </w:rPr>
            </w:pPr>
            <w:r w:rsidRPr="00B35206">
              <w:rPr>
                <w:rFonts w:eastAsia="Times New Roman" w:cs="Times New Roman"/>
                <w:b/>
                <w:bCs/>
                <w:color w:val="000000" w:themeColor="text1"/>
              </w:rPr>
              <w:t>Total Burden (Hours)</w:t>
            </w:r>
          </w:p>
        </w:tc>
      </w:tr>
      <w:tr w14:paraId="1BA63302" w14:textId="77777777" w:rsidTr="4CC34AA2">
        <w:tblPrEx>
          <w:tblW w:w="0" w:type="auto"/>
          <w:tblLayout w:type="fixed"/>
          <w:tblLook w:val="04A0"/>
        </w:tblPrEx>
        <w:tc>
          <w:tcPr>
            <w:tcW w:w="2295" w:type="dxa"/>
          </w:tcPr>
          <w:p w:rsidR="009304DA" w:rsidRPr="00B35206" w:rsidP="009304DA" w14:paraId="0154A89B" w14:textId="73F4DBF5">
            <w:pPr>
              <w:pStyle w:val="ListParagraph"/>
              <w:numPr>
                <w:ilvl w:val="0"/>
                <w:numId w:val="17"/>
              </w:numPr>
              <w:spacing w:line="259" w:lineRule="auto"/>
              <w:ind w:left="330"/>
              <w:rPr>
                <w:rFonts w:asciiTheme="minorHAnsi" w:eastAsiaTheme="minorEastAsia" w:hAnsiTheme="minorHAnsi"/>
                <w:color w:val="000000" w:themeColor="text1"/>
              </w:rPr>
            </w:pPr>
            <w:r w:rsidRPr="00B35206">
              <w:rPr>
                <w:rFonts w:eastAsia="Times New Roman" w:cs="Times New Roman"/>
                <w:color w:val="000000" w:themeColor="text1"/>
              </w:rPr>
              <w:t>Teacher Consent Forms</w:t>
            </w:r>
          </w:p>
        </w:tc>
        <w:tc>
          <w:tcPr>
            <w:tcW w:w="1365" w:type="dxa"/>
          </w:tcPr>
          <w:p w:rsidR="009304DA" w:rsidRPr="00CB1553" w:rsidP="009304DA" w14:paraId="36FCDA1A" w14:textId="570024F9">
            <w:pPr>
              <w:spacing w:line="259" w:lineRule="auto"/>
              <w:rPr>
                <w:rFonts w:eastAsia="Times New Roman" w:cs="Times New Roman"/>
                <w:color w:val="000000" w:themeColor="text1"/>
              </w:rPr>
            </w:pPr>
            <w:r w:rsidRPr="00B35206">
              <w:rPr>
                <w:rFonts w:eastAsia="Times New Roman" w:cs="Times New Roman"/>
                <w:color w:val="000000" w:themeColor="text1"/>
              </w:rPr>
              <w:t>Teachers</w:t>
            </w:r>
          </w:p>
        </w:tc>
        <w:tc>
          <w:tcPr>
            <w:tcW w:w="1485" w:type="dxa"/>
          </w:tcPr>
          <w:p w:rsidR="009304DA" w:rsidRPr="00CB1553" w:rsidP="009304DA" w14:paraId="31742EA7" w14:textId="23A82D1C">
            <w:pPr>
              <w:spacing w:line="259" w:lineRule="auto"/>
              <w:rPr>
                <w:rFonts w:eastAsia="Times New Roman" w:cs="Times New Roman"/>
                <w:color w:val="000000" w:themeColor="text1"/>
              </w:rPr>
            </w:pPr>
            <w:r>
              <w:rPr>
                <w:rFonts w:eastAsia="Times New Roman" w:cs="Times New Roman"/>
                <w:color w:val="000000" w:themeColor="text1"/>
              </w:rPr>
              <w:t>112</w:t>
            </w:r>
          </w:p>
        </w:tc>
        <w:tc>
          <w:tcPr>
            <w:tcW w:w="1455" w:type="dxa"/>
          </w:tcPr>
          <w:p w:rsidR="009304DA" w:rsidRPr="00CB1553" w:rsidP="009304DA" w14:paraId="6038F7CC" w14:textId="0AD2DDB7">
            <w:pPr>
              <w:spacing w:line="259" w:lineRule="auto"/>
              <w:rPr>
                <w:rFonts w:eastAsia="Times New Roman" w:cs="Times New Roman"/>
                <w:color w:val="000000" w:themeColor="text1"/>
              </w:rPr>
            </w:pPr>
            <w:r w:rsidRPr="00B35206">
              <w:rPr>
                <w:rFonts w:eastAsia="Times New Roman" w:cs="Times New Roman"/>
                <w:color w:val="000000" w:themeColor="text1"/>
              </w:rPr>
              <w:t>1</w:t>
            </w:r>
          </w:p>
        </w:tc>
        <w:tc>
          <w:tcPr>
            <w:tcW w:w="1380" w:type="dxa"/>
          </w:tcPr>
          <w:p w:rsidR="009304DA" w:rsidRPr="00CB1553" w:rsidP="009304DA" w14:paraId="1A13378F" w14:textId="2795753D">
            <w:pPr>
              <w:spacing w:line="259" w:lineRule="auto"/>
              <w:rPr>
                <w:rFonts w:eastAsia="Times New Roman" w:cs="Times New Roman"/>
                <w:color w:val="000000" w:themeColor="text1"/>
              </w:rPr>
            </w:pPr>
            <w:r w:rsidRPr="00B35206">
              <w:rPr>
                <w:rFonts w:eastAsia="Times New Roman" w:cs="Times New Roman"/>
                <w:color w:val="000000" w:themeColor="text1"/>
              </w:rPr>
              <w:t>0.08</w:t>
            </w:r>
          </w:p>
        </w:tc>
        <w:tc>
          <w:tcPr>
            <w:tcW w:w="1320" w:type="dxa"/>
          </w:tcPr>
          <w:p w:rsidR="009304DA" w:rsidRPr="00CB1553" w:rsidP="009304DA" w14:paraId="23D518AC" w14:textId="2ED7DBA4">
            <w:pPr>
              <w:spacing w:line="259" w:lineRule="auto"/>
              <w:rPr>
                <w:rFonts w:eastAsia="Times New Roman" w:cs="Times New Roman"/>
                <w:color w:val="000000" w:themeColor="text1"/>
              </w:rPr>
            </w:pPr>
            <w:r w:rsidRPr="00B35206">
              <w:rPr>
                <w:rFonts w:eastAsia="Times New Roman" w:cs="Times New Roman"/>
                <w:color w:val="000000" w:themeColor="text1"/>
              </w:rPr>
              <w:t>8</w:t>
            </w:r>
            <w:r w:rsidR="00F859E3">
              <w:rPr>
                <w:rFonts w:eastAsia="Times New Roman" w:cs="Times New Roman"/>
                <w:color w:val="000000" w:themeColor="text1"/>
              </w:rPr>
              <w:t>.96</w:t>
            </w:r>
          </w:p>
        </w:tc>
      </w:tr>
      <w:tr w14:paraId="2C1792BC" w14:textId="77777777" w:rsidTr="4CC34AA2">
        <w:tblPrEx>
          <w:tblW w:w="0" w:type="auto"/>
          <w:tblLayout w:type="fixed"/>
          <w:tblLook w:val="04A0"/>
        </w:tblPrEx>
        <w:tc>
          <w:tcPr>
            <w:tcW w:w="2295" w:type="dxa"/>
          </w:tcPr>
          <w:p w:rsidR="009304DA" w:rsidRPr="00B35206" w:rsidP="009304DA" w14:paraId="4DFB332A" w14:textId="43906D75">
            <w:pPr>
              <w:pStyle w:val="ListParagraph"/>
              <w:numPr>
                <w:ilvl w:val="0"/>
                <w:numId w:val="17"/>
              </w:numPr>
              <w:spacing w:line="259" w:lineRule="auto"/>
              <w:ind w:left="330"/>
              <w:rPr>
                <w:rFonts w:asciiTheme="minorHAnsi" w:eastAsiaTheme="minorEastAsia" w:hAnsiTheme="minorHAnsi"/>
                <w:color w:val="000000" w:themeColor="text1"/>
              </w:rPr>
            </w:pPr>
            <w:r w:rsidRPr="00B35206">
              <w:rPr>
                <w:rFonts w:eastAsia="Times New Roman" w:cs="Times New Roman"/>
                <w:color w:val="000000" w:themeColor="text1"/>
              </w:rPr>
              <w:t>Parent Information Letter</w:t>
            </w:r>
          </w:p>
        </w:tc>
        <w:tc>
          <w:tcPr>
            <w:tcW w:w="1365" w:type="dxa"/>
          </w:tcPr>
          <w:p w:rsidR="009304DA" w:rsidRPr="00CB1553" w:rsidP="009304DA" w14:paraId="4E07F03D" w14:textId="377C1501">
            <w:pPr>
              <w:spacing w:line="259" w:lineRule="auto"/>
              <w:rPr>
                <w:rFonts w:eastAsia="Times New Roman" w:cs="Times New Roman"/>
                <w:color w:val="000000" w:themeColor="text1"/>
              </w:rPr>
            </w:pPr>
            <w:r w:rsidRPr="00B35206">
              <w:rPr>
                <w:rFonts w:eastAsia="Times New Roman" w:cs="Times New Roman"/>
                <w:color w:val="000000" w:themeColor="text1"/>
              </w:rPr>
              <w:t>Parents</w:t>
            </w:r>
          </w:p>
        </w:tc>
        <w:tc>
          <w:tcPr>
            <w:tcW w:w="1485" w:type="dxa"/>
          </w:tcPr>
          <w:p w:rsidR="009304DA" w:rsidRPr="00CB1553" w:rsidP="009304DA" w14:paraId="1D7C1932" w14:textId="7603264E">
            <w:pPr>
              <w:spacing w:line="259" w:lineRule="auto"/>
              <w:rPr>
                <w:rFonts w:eastAsia="Times New Roman" w:cs="Times New Roman"/>
                <w:color w:val="000000" w:themeColor="text1"/>
              </w:rPr>
            </w:pPr>
            <w:r w:rsidRPr="00B35206">
              <w:rPr>
                <w:rFonts w:eastAsia="Times New Roman" w:cs="Times New Roman"/>
                <w:color w:val="000000" w:themeColor="text1"/>
              </w:rPr>
              <w:t>4000</w:t>
            </w:r>
          </w:p>
        </w:tc>
        <w:tc>
          <w:tcPr>
            <w:tcW w:w="1455" w:type="dxa"/>
          </w:tcPr>
          <w:p w:rsidR="009304DA" w:rsidRPr="00CB1553" w:rsidP="009304DA" w14:paraId="0BD14C31" w14:textId="2540D087">
            <w:pPr>
              <w:spacing w:line="259" w:lineRule="auto"/>
              <w:rPr>
                <w:rFonts w:eastAsia="Times New Roman" w:cs="Times New Roman"/>
                <w:color w:val="000000" w:themeColor="text1"/>
              </w:rPr>
            </w:pPr>
            <w:r w:rsidRPr="00B35206">
              <w:rPr>
                <w:rFonts w:eastAsia="Times New Roman" w:cs="Times New Roman"/>
                <w:color w:val="000000" w:themeColor="text1"/>
              </w:rPr>
              <w:t>1</w:t>
            </w:r>
          </w:p>
        </w:tc>
        <w:tc>
          <w:tcPr>
            <w:tcW w:w="1380" w:type="dxa"/>
          </w:tcPr>
          <w:p w:rsidR="009304DA" w:rsidRPr="00CB1553" w:rsidP="009304DA" w14:paraId="772240FE" w14:textId="5BC19B20">
            <w:pPr>
              <w:spacing w:line="259" w:lineRule="auto"/>
              <w:rPr>
                <w:rFonts w:eastAsia="Times New Roman" w:cs="Times New Roman"/>
                <w:color w:val="000000" w:themeColor="text1"/>
              </w:rPr>
            </w:pPr>
            <w:r w:rsidRPr="00B35206">
              <w:rPr>
                <w:rFonts w:eastAsia="Times New Roman" w:cs="Times New Roman"/>
                <w:color w:val="000000" w:themeColor="text1"/>
              </w:rPr>
              <w:t>0.08</w:t>
            </w:r>
          </w:p>
        </w:tc>
        <w:tc>
          <w:tcPr>
            <w:tcW w:w="1320" w:type="dxa"/>
          </w:tcPr>
          <w:p w:rsidR="009304DA" w:rsidRPr="00CB1553" w:rsidP="009304DA" w14:paraId="73D7F1EB" w14:textId="39B09D81">
            <w:pPr>
              <w:spacing w:line="259" w:lineRule="auto"/>
              <w:rPr>
                <w:rFonts w:eastAsia="Times New Roman" w:cs="Times New Roman"/>
                <w:color w:val="000000" w:themeColor="text1"/>
              </w:rPr>
            </w:pPr>
            <w:r w:rsidRPr="00B35206">
              <w:rPr>
                <w:rFonts w:eastAsia="Times New Roman" w:cs="Times New Roman"/>
                <w:color w:val="000000" w:themeColor="text1"/>
              </w:rPr>
              <w:t>320</w:t>
            </w:r>
          </w:p>
        </w:tc>
      </w:tr>
      <w:tr w14:paraId="7F0AFF91" w14:textId="77777777" w:rsidTr="4CC34AA2">
        <w:tblPrEx>
          <w:tblW w:w="0" w:type="auto"/>
          <w:tblLayout w:type="fixed"/>
          <w:tblLook w:val="04A0"/>
        </w:tblPrEx>
        <w:tc>
          <w:tcPr>
            <w:tcW w:w="9300" w:type="dxa"/>
            <w:gridSpan w:val="6"/>
            <w:shd w:val="clear" w:color="auto" w:fill="D9D9D9" w:themeFill="background1" w:themeFillShade="D9"/>
          </w:tcPr>
          <w:p w:rsidR="009304DA" w:rsidP="009304DA" w14:paraId="4AC7CD45" w14:textId="4D8057D3">
            <w:pPr>
              <w:spacing w:line="259" w:lineRule="auto"/>
              <w:rPr>
                <w:rFonts w:eastAsia="Times New Roman" w:cs="Times New Roman"/>
                <w:color w:val="000000" w:themeColor="text1"/>
              </w:rPr>
            </w:pPr>
            <w:r w:rsidRPr="14287EAA">
              <w:rPr>
                <w:rFonts w:eastAsia="Times New Roman" w:cs="Times New Roman"/>
                <w:b/>
                <w:bCs/>
                <w:color w:val="000000" w:themeColor="text1"/>
              </w:rPr>
              <w:t>TEACHER MEASURES</w:t>
            </w:r>
          </w:p>
          <w:p w:rsidR="009304DA" w:rsidP="009304DA" w14:paraId="3394E0BE" w14:textId="0FEC24FC">
            <w:pPr>
              <w:spacing w:line="259" w:lineRule="auto"/>
              <w:rPr>
                <w:rFonts w:eastAsia="Times New Roman" w:cs="Times New Roman"/>
                <w:color w:val="000000" w:themeColor="text1"/>
                <w:sz w:val="20"/>
                <w:szCs w:val="20"/>
              </w:rPr>
            </w:pPr>
            <w:r w:rsidRPr="14287EAA">
              <w:rPr>
                <w:rFonts w:eastAsia="Times New Roman" w:cs="Times New Roman"/>
                <w:color w:val="000000" w:themeColor="text1"/>
                <w:sz w:val="20"/>
                <w:szCs w:val="20"/>
              </w:rPr>
              <w:t xml:space="preserve">All teachers participating in the study will be asked to complete three measures in the summer of 2023 and again in the spring of 2024. Two of these measures (Diagnostic Teachers Assessments in Mathematics and Science, Number/Computation Form (DTAMS), and the Classroom Video Analysis (CVA) will be identical at each timepoint. The third measure will include slightly different items at each time point, and as such as been listed twice in the rows below. </w:t>
            </w:r>
          </w:p>
          <w:p w:rsidR="009304DA" w:rsidP="009304DA" w14:paraId="48CE0A8B" w14:textId="650C1B05">
            <w:pPr>
              <w:spacing w:line="259" w:lineRule="auto"/>
              <w:rPr>
                <w:rFonts w:eastAsia="Times New Roman" w:cs="Times New Roman"/>
                <w:color w:val="000000" w:themeColor="text1"/>
                <w:sz w:val="20"/>
                <w:szCs w:val="20"/>
              </w:rPr>
            </w:pPr>
            <w:r w:rsidRPr="14287EAA">
              <w:rPr>
                <w:rFonts w:eastAsia="Times New Roman" w:cs="Times New Roman"/>
                <w:i/>
                <w:iCs/>
                <w:color w:val="000000" w:themeColor="text1"/>
                <w:sz w:val="20"/>
                <w:szCs w:val="20"/>
              </w:rPr>
              <w:t>The DTAMS is estimated to take no longer than 1 hour to complete at each time point.</w:t>
            </w:r>
          </w:p>
          <w:p w:rsidR="009304DA" w:rsidP="009304DA" w14:paraId="4E9A39EC" w14:textId="435E1FA1">
            <w:pPr>
              <w:spacing w:line="259" w:lineRule="auto"/>
              <w:rPr>
                <w:rFonts w:eastAsia="Times New Roman" w:cs="Times New Roman"/>
                <w:color w:val="000000" w:themeColor="text1"/>
                <w:sz w:val="20"/>
                <w:szCs w:val="20"/>
              </w:rPr>
            </w:pPr>
            <w:r w:rsidRPr="14287EAA">
              <w:rPr>
                <w:rFonts w:eastAsia="Times New Roman" w:cs="Times New Roman"/>
                <w:i/>
                <w:iCs/>
                <w:color w:val="000000" w:themeColor="text1"/>
                <w:sz w:val="20"/>
                <w:szCs w:val="20"/>
              </w:rPr>
              <w:t>The CVA is estimated to take no longer than 30 minutes to complete at each time point.</w:t>
            </w:r>
          </w:p>
          <w:p w:rsidR="009304DA" w:rsidP="009304DA" w14:paraId="2E447914" w14:textId="7DDFB69F">
            <w:pPr>
              <w:spacing w:line="259" w:lineRule="auto"/>
              <w:rPr>
                <w:rFonts w:eastAsia="Times New Roman" w:cs="Times New Roman"/>
                <w:color w:val="000000" w:themeColor="text1"/>
              </w:rPr>
            </w:pPr>
            <w:r w:rsidRPr="14287EAA">
              <w:rPr>
                <w:rFonts w:eastAsia="Times New Roman" w:cs="Times New Roman"/>
                <w:i/>
                <w:iCs/>
                <w:color w:val="000000" w:themeColor="text1"/>
                <w:sz w:val="20"/>
                <w:szCs w:val="20"/>
              </w:rPr>
              <w:t>Each survey (</w:t>
            </w:r>
            <w:r w:rsidRPr="14287EAA">
              <w:rPr>
                <w:rFonts w:eastAsia="Times New Roman" w:cs="Times New Roman"/>
                <w:i/>
                <w:iCs/>
                <w:color w:val="000000" w:themeColor="text1"/>
                <w:sz w:val="20"/>
                <w:szCs w:val="20"/>
              </w:rPr>
              <w:t>e.g.</w:t>
            </w:r>
            <w:r w:rsidRPr="14287EAA">
              <w:rPr>
                <w:rFonts w:eastAsia="Times New Roman" w:cs="Times New Roman"/>
                <w:i/>
                <w:iCs/>
                <w:color w:val="000000" w:themeColor="text1"/>
                <w:sz w:val="20"/>
                <w:szCs w:val="20"/>
              </w:rPr>
              <w:t xml:space="preserve"> pre and post) is estimated to take no longer than 15 minutes to complete.</w:t>
            </w:r>
            <w:r w:rsidRPr="14287EAA">
              <w:rPr>
                <w:rFonts w:eastAsia="Times New Roman" w:cs="Times New Roman"/>
                <w:color w:val="000000" w:themeColor="text1"/>
              </w:rPr>
              <w:t xml:space="preserve"> </w:t>
            </w:r>
          </w:p>
        </w:tc>
      </w:tr>
      <w:tr w14:paraId="13D6DAE7" w14:textId="77777777" w:rsidTr="4CC34AA2">
        <w:tblPrEx>
          <w:tblW w:w="0" w:type="auto"/>
          <w:tblLayout w:type="fixed"/>
          <w:tblLook w:val="04A0"/>
        </w:tblPrEx>
        <w:tc>
          <w:tcPr>
            <w:tcW w:w="2295" w:type="dxa"/>
          </w:tcPr>
          <w:p w:rsidR="009304DA" w:rsidRPr="00B35206" w:rsidP="00B35206" w14:paraId="65F44720" w14:textId="6B97F61D">
            <w:pPr>
              <w:rPr>
                <w:rFonts w:eastAsia="Times New Roman" w:cs="Times New Roman"/>
                <w:b/>
                <w:bCs/>
                <w:color w:val="000000" w:themeColor="text1"/>
              </w:rPr>
            </w:pPr>
            <w:r w:rsidRPr="00B35206">
              <w:rPr>
                <w:rFonts w:eastAsia="Times New Roman" w:cs="Times New Roman"/>
                <w:b/>
                <w:bCs/>
                <w:color w:val="000000" w:themeColor="text1"/>
              </w:rPr>
              <w:t>Instrument</w:t>
            </w:r>
          </w:p>
        </w:tc>
        <w:tc>
          <w:tcPr>
            <w:tcW w:w="1365" w:type="dxa"/>
          </w:tcPr>
          <w:p w:rsidR="009304DA" w:rsidRPr="00CB1553" w:rsidP="009304DA" w14:paraId="67597A34" w14:textId="3FC9B4DD">
            <w:pPr>
              <w:rPr>
                <w:rFonts w:eastAsia="Times New Roman" w:cs="Times New Roman"/>
                <w:b/>
                <w:bCs/>
                <w:color w:val="000000" w:themeColor="text1"/>
              </w:rPr>
            </w:pPr>
            <w:r w:rsidRPr="007E0F6C">
              <w:rPr>
                <w:rFonts w:eastAsia="Times New Roman" w:cs="Times New Roman"/>
                <w:b/>
                <w:bCs/>
                <w:color w:val="000000" w:themeColor="text1"/>
              </w:rPr>
              <w:t>Person Incurring Burden</w:t>
            </w:r>
          </w:p>
        </w:tc>
        <w:tc>
          <w:tcPr>
            <w:tcW w:w="1485" w:type="dxa"/>
          </w:tcPr>
          <w:p w:rsidR="009304DA" w:rsidRPr="00CB1553" w:rsidP="009304DA" w14:paraId="6EB20616" w14:textId="382C65B7">
            <w:pPr>
              <w:rPr>
                <w:rFonts w:eastAsia="Times New Roman" w:cs="Times New Roman"/>
                <w:b/>
                <w:bCs/>
                <w:color w:val="000000" w:themeColor="text1"/>
              </w:rPr>
            </w:pPr>
            <w:r w:rsidRPr="00B35206">
              <w:rPr>
                <w:rFonts w:eastAsia="Times New Roman" w:cs="Times New Roman"/>
                <w:b/>
                <w:bCs/>
                <w:color w:val="000000" w:themeColor="text1"/>
              </w:rPr>
              <w:t>Number of Respondents</w:t>
            </w:r>
          </w:p>
        </w:tc>
        <w:tc>
          <w:tcPr>
            <w:tcW w:w="1455" w:type="dxa"/>
          </w:tcPr>
          <w:p w:rsidR="009304DA" w:rsidRPr="00CB1553" w:rsidP="009304DA" w14:paraId="3EA07B18" w14:textId="1A46F8BF">
            <w:pPr>
              <w:rPr>
                <w:rFonts w:eastAsia="Times New Roman" w:cs="Times New Roman"/>
                <w:b/>
                <w:bCs/>
                <w:color w:val="000000" w:themeColor="text1"/>
              </w:rPr>
            </w:pPr>
            <w:r w:rsidRPr="00B35206">
              <w:rPr>
                <w:rFonts w:eastAsia="Times New Roman" w:cs="Times New Roman"/>
                <w:b/>
                <w:bCs/>
                <w:color w:val="000000" w:themeColor="text1"/>
              </w:rPr>
              <w:t>Responses per Respondent</w:t>
            </w:r>
          </w:p>
        </w:tc>
        <w:tc>
          <w:tcPr>
            <w:tcW w:w="1380" w:type="dxa"/>
          </w:tcPr>
          <w:p w:rsidR="009304DA" w:rsidRPr="00CB1553" w:rsidP="009304DA" w14:paraId="2D9F205C" w14:textId="2FC17401">
            <w:pPr>
              <w:rPr>
                <w:rFonts w:eastAsia="Times New Roman" w:cs="Times New Roman"/>
                <w:b/>
                <w:bCs/>
                <w:color w:val="000000" w:themeColor="text1"/>
              </w:rPr>
            </w:pPr>
            <w:r w:rsidRPr="007E0F6C">
              <w:rPr>
                <w:rFonts w:eastAsia="Times New Roman" w:cs="Times New Roman"/>
                <w:b/>
                <w:bCs/>
                <w:color w:val="000000" w:themeColor="text1"/>
              </w:rPr>
              <w:t>Hours per Response</w:t>
            </w:r>
          </w:p>
        </w:tc>
        <w:tc>
          <w:tcPr>
            <w:tcW w:w="1320" w:type="dxa"/>
          </w:tcPr>
          <w:p w:rsidR="009304DA" w:rsidRPr="00CB1553" w:rsidP="009304DA" w14:paraId="4CA93EB1" w14:textId="2B8C222E">
            <w:pPr>
              <w:rPr>
                <w:rFonts w:eastAsia="Times New Roman" w:cs="Times New Roman"/>
                <w:b/>
                <w:bCs/>
                <w:color w:val="000000" w:themeColor="text1"/>
              </w:rPr>
            </w:pPr>
            <w:r w:rsidRPr="00B35206">
              <w:rPr>
                <w:rFonts w:eastAsia="Times New Roman" w:cs="Times New Roman"/>
                <w:b/>
                <w:bCs/>
                <w:color w:val="000000" w:themeColor="text1"/>
              </w:rPr>
              <w:t>Total Burden (Hours)</w:t>
            </w:r>
          </w:p>
        </w:tc>
      </w:tr>
      <w:tr w14:paraId="3E157BDA" w14:textId="77777777" w:rsidTr="4CC34AA2">
        <w:tblPrEx>
          <w:tblW w:w="0" w:type="auto"/>
          <w:tblLayout w:type="fixed"/>
          <w:tblLook w:val="04A0"/>
        </w:tblPrEx>
        <w:tc>
          <w:tcPr>
            <w:tcW w:w="2295" w:type="dxa"/>
          </w:tcPr>
          <w:p w:rsidR="009304DA" w:rsidRPr="00B35206" w:rsidP="009304DA" w14:paraId="4209FFD3" w14:textId="33B80DB9">
            <w:pPr>
              <w:pStyle w:val="ListParagraph"/>
              <w:numPr>
                <w:ilvl w:val="0"/>
                <w:numId w:val="17"/>
              </w:numPr>
              <w:spacing w:line="259" w:lineRule="auto"/>
              <w:ind w:left="330"/>
              <w:rPr>
                <w:rFonts w:asciiTheme="minorHAnsi" w:eastAsiaTheme="minorEastAsia" w:hAnsiTheme="minorHAnsi"/>
                <w:color w:val="000000" w:themeColor="text1"/>
              </w:rPr>
            </w:pPr>
            <w:r w:rsidRPr="00B35206">
              <w:rPr>
                <w:rFonts w:eastAsia="Times New Roman" w:cs="Times New Roman"/>
                <w:color w:val="000000" w:themeColor="text1"/>
              </w:rPr>
              <w:t xml:space="preserve">Diagnostic Teachers Assessments in Mathematics and Science (DTAMS, Number/ Computation Form) </w:t>
            </w:r>
          </w:p>
        </w:tc>
        <w:tc>
          <w:tcPr>
            <w:tcW w:w="1365" w:type="dxa"/>
          </w:tcPr>
          <w:p w:rsidR="009304DA" w:rsidRPr="00CB1553" w:rsidP="009304DA" w14:paraId="32F73AE3" w14:textId="1FAC4027">
            <w:pPr>
              <w:spacing w:line="259" w:lineRule="auto"/>
              <w:rPr>
                <w:rFonts w:eastAsia="Times New Roman" w:cs="Times New Roman"/>
                <w:color w:val="000000" w:themeColor="text1"/>
              </w:rPr>
            </w:pPr>
            <w:r w:rsidRPr="00B35206">
              <w:rPr>
                <w:rFonts w:eastAsia="Times New Roman" w:cs="Times New Roman"/>
                <w:color w:val="000000" w:themeColor="text1"/>
              </w:rPr>
              <w:t>Teachers</w:t>
            </w:r>
          </w:p>
        </w:tc>
        <w:tc>
          <w:tcPr>
            <w:tcW w:w="1485" w:type="dxa"/>
          </w:tcPr>
          <w:p w:rsidR="009304DA" w:rsidRPr="00CB1553" w:rsidP="009304DA" w14:paraId="5E8B353E" w14:textId="4D1CFD15">
            <w:pPr>
              <w:spacing w:line="259" w:lineRule="auto"/>
              <w:rPr>
                <w:rFonts w:eastAsia="Times New Roman" w:cs="Times New Roman"/>
                <w:color w:val="000000" w:themeColor="text1"/>
              </w:rPr>
            </w:pPr>
            <w:r w:rsidRPr="0D77AB94">
              <w:rPr>
                <w:rFonts w:eastAsia="Times New Roman" w:cs="Times New Roman"/>
                <w:color w:val="000000" w:themeColor="text1"/>
              </w:rPr>
              <w:t>1</w:t>
            </w:r>
            <w:r w:rsidRPr="0D77AB94" w:rsidR="0F202FA8">
              <w:rPr>
                <w:rFonts w:eastAsia="Times New Roman" w:cs="Times New Roman"/>
                <w:color w:val="000000" w:themeColor="text1"/>
              </w:rPr>
              <w:t>12</w:t>
            </w:r>
          </w:p>
        </w:tc>
        <w:tc>
          <w:tcPr>
            <w:tcW w:w="1455" w:type="dxa"/>
          </w:tcPr>
          <w:p w:rsidR="009304DA" w:rsidRPr="00CB1553" w:rsidP="009304DA" w14:paraId="0E6969F4" w14:textId="690828CC">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7C4AE9BA" w14:textId="0EBAA6F3">
            <w:pPr>
              <w:spacing w:line="259" w:lineRule="auto"/>
              <w:rPr>
                <w:rFonts w:eastAsia="Times New Roman" w:cs="Times New Roman"/>
                <w:color w:val="000000" w:themeColor="text1"/>
              </w:rPr>
            </w:pPr>
            <w:r w:rsidRPr="00B35206">
              <w:rPr>
                <w:rFonts w:eastAsia="Times New Roman" w:cs="Times New Roman"/>
                <w:color w:val="000000" w:themeColor="text1"/>
              </w:rPr>
              <w:t>1.00</w:t>
            </w:r>
          </w:p>
        </w:tc>
        <w:tc>
          <w:tcPr>
            <w:tcW w:w="1320" w:type="dxa"/>
          </w:tcPr>
          <w:p w:rsidR="009304DA" w:rsidRPr="00CB1553" w:rsidP="009304DA" w14:paraId="0E6C47DB" w14:textId="0E0FA834">
            <w:pPr>
              <w:spacing w:line="259" w:lineRule="auto"/>
              <w:rPr>
                <w:rFonts w:eastAsia="Times New Roman" w:cs="Times New Roman"/>
                <w:color w:val="000000" w:themeColor="text1"/>
              </w:rPr>
            </w:pPr>
            <w:r w:rsidRPr="0D77AB94">
              <w:rPr>
                <w:rFonts w:eastAsia="Times New Roman" w:cs="Times New Roman"/>
                <w:color w:val="000000" w:themeColor="text1"/>
              </w:rPr>
              <w:t>224</w:t>
            </w:r>
          </w:p>
        </w:tc>
      </w:tr>
      <w:tr w14:paraId="33EE43E6" w14:textId="77777777" w:rsidTr="4CC34AA2">
        <w:tblPrEx>
          <w:tblW w:w="0" w:type="auto"/>
          <w:tblLayout w:type="fixed"/>
          <w:tblLook w:val="04A0"/>
        </w:tblPrEx>
        <w:tc>
          <w:tcPr>
            <w:tcW w:w="2295" w:type="dxa"/>
          </w:tcPr>
          <w:p w:rsidR="009304DA" w:rsidRPr="00B35206" w:rsidP="009304DA" w14:paraId="0E9A177B" w14:textId="63C37666">
            <w:pPr>
              <w:pStyle w:val="ListParagraph"/>
              <w:numPr>
                <w:ilvl w:val="0"/>
                <w:numId w:val="17"/>
              </w:numPr>
              <w:spacing w:line="259" w:lineRule="auto"/>
              <w:ind w:left="330"/>
              <w:rPr>
                <w:rFonts w:asciiTheme="minorHAnsi" w:eastAsiaTheme="minorEastAsia" w:hAnsiTheme="minorHAnsi"/>
                <w:color w:val="000000" w:themeColor="text1"/>
              </w:rPr>
            </w:pPr>
            <w:r w:rsidRPr="00B35206">
              <w:rPr>
                <w:rFonts w:eastAsia="Times New Roman" w:cs="Times New Roman"/>
                <w:color w:val="000000" w:themeColor="text1"/>
              </w:rPr>
              <w:t xml:space="preserve">Classroom Video Analysis (CVA) assessment </w:t>
            </w:r>
          </w:p>
        </w:tc>
        <w:tc>
          <w:tcPr>
            <w:tcW w:w="1365" w:type="dxa"/>
          </w:tcPr>
          <w:p w:rsidR="009304DA" w:rsidRPr="00CB1553" w:rsidP="009304DA" w14:paraId="7545E90B" w14:textId="52D07B90">
            <w:pPr>
              <w:spacing w:line="259" w:lineRule="auto"/>
              <w:rPr>
                <w:rFonts w:eastAsia="Times New Roman" w:cs="Times New Roman"/>
                <w:color w:val="000000" w:themeColor="text1"/>
              </w:rPr>
            </w:pPr>
            <w:r w:rsidRPr="00B35206">
              <w:rPr>
                <w:rFonts w:eastAsia="Times New Roman" w:cs="Times New Roman"/>
                <w:color w:val="000000" w:themeColor="text1"/>
              </w:rPr>
              <w:t>Teachers</w:t>
            </w:r>
          </w:p>
        </w:tc>
        <w:tc>
          <w:tcPr>
            <w:tcW w:w="1485" w:type="dxa"/>
          </w:tcPr>
          <w:p w:rsidR="009304DA" w:rsidRPr="00CB1553" w:rsidP="009304DA" w14:paraId="75E338CD" w14:textId="3B6822E7">
            <w:pPr>
              <w:spacing w:line="259" w:lineRule="auto"/>
              <w:rPr>
                <w:rFonts w:eastAsia="Times New Roman" w:cs="Times New Roman"/>
                <w:color w:val="000000" w:themeColor="text1"/>
              </w:rPr>
            </w:pPr>
            <w:r w:rsidRPr="0D77AB94">
              <w:rPr>
                <w:rFonts w:eastAsia="Times New Roman" w:cs="Times New Roman"/>
                <w:color w:val="000000" w:themeColor="text1"/>
              </w:rPr>
              <w:t>112</w:t>
            </w:r>
          </w:p>
        </w:tc>
        <w:tc>
          <w:tcPr>
            <w:tcW w:w="1455" w:type="dxa"/>
          </w:tcPr>
          <w:p w:rsidR="009304DA" w:rsidRPr="00CB1553" w:rsidP="009304DA" w14:paraId="3063A274" w14:textId="17CE5B1E">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0286FD28" w14:textId="6C115E57">
            <w:pPr>
              <w:spacing w:line="259" w:lineRule="auto"/>
              <w:rPr>
                <w:rFonts w:eastAsia="Times New Roman" w:cs="Times New Roman"/>
                <w:color w:val="000000" w:themeColor="text1"/>
              </w:rPr>
            </w:pPr>
            <w:r w:rsidRPr="007E0F6C">
              <w:rPr>
                <w:rFonts w:eastAsia="Times New Roman" w:cs="Times New Roman"/>
                <w:color w:val="000000" w:themeColor="text1"/>
              </w:rPr>
              <w:t>0.50</w:t>
            </w:r>
          </w:p>
        </w:tc>
        <w:tc>
          <w:tcPr>
            <w:tcW w:w="1320" w:type="dxa"/>
          </w:tcPr>
          <w:p w:rsidR="009304DA" w:rsidRPr="00CB1553" w:rsidP="009304DA" w14:paraId="2BB08DD4" w14:textId="5D1126DC">
            <w:pPr>
              <w:spacing w:line="259" w:lineRule="auto"/>
              <w:rPr>
                <w:rFonts w:eastAsia="Times New Roman" w:cs="Times New Roman"/>
                <w:color w:val="000000" w:themeColor="text1"/>
              </w:rPr>
            </w:pPr>
            <w:r w:rsidRPr="0D77AB94">
              <w:rPr>
                <w:rFonts w:eastAsia="Times New Roman" w:cs="Times New Roman"/>
                <w:color w:val="000000" w:themeColor="text1"/>
              </w:rPr>
              <w:t>112</w:t>
            </w:r>
          </w:p>
        </w:tc>
      </w:tr>
      <w:tr w14:paraId="22735D5F" w14:textId="77777777" w:rsidTr="4CC34AA2">
        <w:tblPrEx>
          <w:tblW w:w="0" w:type="auto"/>
          <w:tblLayout w:type="fixed"/>
          <w:tblLook w:val="04A0"/>
        </w:tblPrEx>
        <w:tc>
          <w:tcPr>
            <w:tcW w:w="2295" w:type="dxa"/>
          </w:tcPr>
          <w:p w:rsidR="009304DA" w:rsidRPr="007E0F6C" w:rsidP="009304DA" w14:paraId="205C1C9C" w14:textId="5FDA6509">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Teacher Characteristic Survey (pre)</w:t>
            </w:r>
          </w:p>
        </w:tc>
        <w:tc>
          <w:tcPr>
            <w:tcW w:w="1365" w:type="dxa"/>
          </w:tcPr>
          <w:p w:rsidR="009304DA" w:rsidRPr="00CB1553" w:rsidP="009304DA" w14:paraId="09ED8B0F" w14:textId="0C3014EB">
            <w:pPr>
              <w:spacing w:line="259" w:lineRule="auto"/>
              <w:rPr>
                <w:rFonts w:eastAsia="Times New Roman" w:cs="Times New Roman"/>
                <w:color w:val="000000" w:themeColor="text1"/>
              </w:rPr>
            </w:pPr>
            <w:r w:rsidRPr="007E0F6C">
              <w:rPr>
                <w:rFonts w:eastAsia="Times New Roman" w:cs="Times New Roman"/>
                <w:color w:val="000000" w:themeColor="text1"/>
              </w:rPr>
              <w:t>Teachers</w:t>
            </w:r>
          </w:p>
        </w:tc>
        <w:tc>
          <w:tcPr>
            <w:tcW w:w="1485" w:type="dxa"/>
          </w:tcPr>
          <w:p w:rsidR="009304DA" w:rsidRPr="00CB1553" w:rsidP="009304DA" w14:paraId="1B33E821" w14:textId="531849DE">
            <w:pPr>
              <w:spacing w:line="259" w:lineRule="auto"/>
              <w:rPr>
                <w:rFonts w:eastAsia="Times New Roman" w:cs="Times New Roman"/>
                <w:color w:val="000000" w:themeColor="text1"/>
              </w:rPr>
            </w:pPr>
            <w:r w:rsidRPr="0D77AB94">
              <w:rPr>
                <w:rFonts w:eastAsia="Times New Roman" w:cs="Times New Roman"/>
                <w:color w:val="000000" w:themeColor="text1"/>
              </w:rPr>
              <w:t>112</w:t>
            </w:r>
          </w:p>
        </w:tc>
        <w:tc>
          <w:tcPr>
            <w:tcW w:w="1455" w:type="dxa"/>
          </w:tcPr>
          <w:p w:rsidR="009304DA" w:rsidRPr="00CB1553" w:rsidP="009304DA" w14:paraId="51B1B8FA" w14:textId="5FA257C3">
            <w:pPr>
              <w:spacing w:line="259" w:lineRule="auto"/>
              <w:rPr>
                <w:rFonts w:eastAsia="Times New Roman" w:cs="Times New Roman"/>
                <w:color w:val="000000" w:themeColor="text1"/>
              </w:rPr>
            </w:pPr>
            <w:r w:rsidRPr="007E0F6C">
              <w:rPr>
                <w:rFonts w:eastAsia="Times New Roman" w:cs="Times New Roman"/>
                <w:color w:val="000000" w:themeColor="text1"/>
              </w:rPr>
              <w:t>1</w:t>
            </w:r>
          </w:p>
        </w:tc>
        <w:tc>
          <w:tcPr>
            <w:tcW w:w="1380" w:type="dxa"/>
          </w:tcPr>
          <w:p w:rsidR="009304DA" w:rsidRPr="00CB1553" w:rsidP="009304DA" w14:paraId="19B5EB36" w14:textId="0CEEA640">
            <w:pPr>
              <w:spacing w:line="259" w:lineRule="auto"/>
              <w:rPr>
                <w:rFonts w:eastAsia="Times New Roman" w:cs="Times New Roman"/>
                <w:color w:val="000000" w:themeColor="text1"/>
              </w:rPr>
            </w:pPr>
            <w:r w:rsidRPr="007E0F6C">
              <w:rPr>
                <w:rFonts w:eastAsia="Times New Roman" w:cs="Times New Roman"/>
                <w:color w:val="000000" w:themeColor="text1"/>
              </w:rPr>
              <w:t>0.25</w:t>
            </w:r>
          </w:p>
        </w:tc>
        <w:tc>
          <w:tcPr>
            <w:tcW w:w="1320" w:type="dxa"/>
          </w:tcPr>
          <w:p w:rsidR="009304DA" w:rsidRPr="00CB1553" w:rsidP="009304DA" w14:paraId="17402087" w14:textId="09B6CFAD">
            <w:pPr>
              <w:spacing w:line="259" w:lineRule="auto"/>
              <w:rPr>
                <w:rFonts w:eastAsia="Times New Roman" w:cs="Times New Roman"/>
                <w:color w:val="000000" w:themeColor="text1"/>
              </w:rPr>
            </w:pPr>
            <w:r w:rsidRPr="0D77AB94">
              <w:rPr>
                <w:rFonts w:eastAsia="Times New Roman" w:cs="Times New Roman"/>
                <w:color w:val="000000" w:themeColor="text1"/>
              </w:rPr>
              <w:t>28</w:t>
            </w:r>
          </w:p>
        </w:tc>
      </w:tr>
      <w:tr w14:paraId="3928A651" w14:textId="77777777" w:rsidTr="4CC34AA2">
        <w:tblPrEx>
          <w:tblW w:w="0" w:type="auto"/>
          <w:tblLayout w:type="fixed"/>
          <w:tblLook w:val="04A0"/>
        </w:tblPrEx>
        <w:tc>
          <w:tcPr>
            <w:tcW w:w="2295" w:type="dxa"/>
          </w:tcPr>
          <w:p w:rsidR="009304DA" w:rsidRPr="007E0F6C" w:rsidP="009304DA" w14:paraId="2FBC655E" w14:textId="30648C13">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Teacher Characteristic Survey (post)</w:t>
            </w:r>
          </w:p>
        </w:tc>
        <w:tc>
          <w:tcPr>
            <w:tcW w:w="1365" w:type="dxa"/>
          </w:tcPr>
          <w:p w:rsidR="009304DA" w:rsidRPr="00CB1553" w:rsidP="009304DA" w14:paraId="3EC69E4E" w14:textId="61238E49">
            <w:pPr>
              <w:spacing w:line="259" w:lineRule="auto"/>
              <w:rPr>
                <w:rFonts w:eastAsia="Times New Roman" w:cs="Times New Roman"/>
                <w:color w:val="000000" w:themeColor="text1"/>
              </w:rPr>
            </w:pPr>
            <w:r w:rsidRPr="007E0F6C">
              <w:rPr>
                <w:rFonts w:eastAsia="Times New Roman" w:cs="Times New Roman"/>
                <w:color w:val="000000" w:themeColor="text1"/>
              </w:rPr>
              <w:t>Teachers</w:t>
            </w:r>
          </w:p>
        </w:tc>
        <w:tc>
          <w:tcPr>
            <w:tcW w:w="1485" w:type="dxa"/>
          </w:tcPr>
          <w:p w:rsidR="009304DA" w:rsidRPr="00CB1553" w:rsidP="009304DA" w14:paraId="2A13223B" w14:textId="4D23BD36">
            <w:pPr>
              <w:spacing w:line="259" w:lineRule="auto"/>
              <w:rPr>
                <w:rFonts w:eastAsia="Times New Roman" w:cs="Times New Roman"/>
                <w:color w:val="000000" w:themeColor="text1"/>
              </w:rPr>
            </w:pPr>
            <w:r w:rsidRPr="0D77AB94">
              <w:rPr>
                <w:rFonts w:eastAsia="Times New Roman" w:cs="Times New Roman"/>
                <w:color w:val="000000" w:themeColor="text1"/>
              </w:rPr>
              <w:t>112</w:t>
            </w:r>
          </w:p>
        </w:tc>
        <w:tc>
          <w:tcPr>
            <w:tcW w:w="1455" w:type="dxa"/>
          </w:tcPr>
          <w:p w:rsidR="009304DA" w:rsidRPr="00CB1553" w:rsidP="009304DA" w14:paraId="6D1DB5A5" w14:textId="6835BEBB">
            <w:pPr>
              <w:spacing w:line="259" w:lineRule="auto"/>
              <w:rPr>
                <w:rFonts w:eastAsia="Times New Roman" w:cs="Times New Roman"/>
                <w:color w:val="000000" w:themeColor="text1"/>
              </w:rPr>
            </w:pPr>
            <w:r w:rsidRPr="007E0F6C">
              <w:rPr>
                <w:rFonts w:eastAsia="Times New Roman" w:cs="Times New Roman"/>
                <w:color w:val="000000" w:themeColor="text1"/>
              </w:rPr>
              <w:t>1</w:t>
            </w:r>
          </w:p>
        </w:tc>
        <w:tc>
          <w:tcPr>
            <w:tcW w:w="1380" w:type="dxa"/>
          </w:tcPr>
          <w:p w:rsidR="009304DA" w:rsidRPr="00CB1553" w:rsidP="009304DA" w14:paraId="77FB1B5C" w14:textId="25672220">
            <w:pPr>
              <w:spacing w:line="259" w:lineRule="auto"/>
              <w:rPr>
                <w:rFonts w:eastAsia="Times New Roman" w:cs="Times New Roman"/>
                <w:color w:val="000000" w:themeColor="text1"/>
              </w:rPr>
            </w:pPr>
            <w:r w:rsidRPr="007E0F6C">
              <w:rPr>
                <w:rFonts w:eastAsia="Times New Roman" w:cs="Times New Roman"/>
                <w:color w:val="000000" w:themeColor="text1"/>
              </w:rPr>
              <w:t>0.25</w:t>
            </w:r>
          </w:p>
        </w:tc>
        <w:tc>
          <w:tcPr>
            <w:tcW w:w="1320" w:type="dxa"/>
          </w:tcPr>
          <w:p w:rsidR="009304DA" w:rsidRPr="00CB1553" w:rsidP="009304DA" w14:paraId="4DF5C067" w14:textId="1CF078A6">
            <w:pPr>
              <w:spacing w:line="259" w:lineRule="auto"/>
              <w:rPr>
                <w:rFonts w:eastAsia="Times New Roman" w:cs="Times New Roman"/>
                <w:color w:val="000000" w:themeColor="text1"/>
              </w:rPr>
            </w:pPr>
            <w:r w:rsidRPr="0D77AB94">
              <w:rPr>
                <w:rFonts w:eastAsia="Times New Roman" w:cs="Times New Roman"/>
                <w:color w:val="000000" w:themeColor="text1"/>
              </w:rPr>
              <w:t>28</w:t>
            </w:r>
          </w:p>
        </w:tc>
      </w:tr>
      <w:tr w14:paraId="4FF73AA9" w14:textId="77777777" w:rsidTr="4CC34AA2">
        <w:tblPrEx>
          <w:tblW w:w="0" w:type="auto"/>
          <w:tblLayout w:type="fixed"/>
          <w:tblLook w:val="04A0"/>
        </w:tblPrEx>
        <w:tc>
          <w:tcPr>
            <w:tcW w:w="9300" w:type="dxa"/>
            <w:gridSpan w:val="6"/>
            <w:shd w:val="clear" w:color="auto" w:fill="D9D9D9" w:themeFill="background1" w:themeFillShade="D9"/>
          </w:tcPr>
          <w:p w:rsidR="009304DA" w:rsidP="009304DA" w14:paraId="52AC7ED6" w14:textId="05783A86">
            <w:pPr>
              <w:spacing w:line="259" w:lineRule="auto"/>
              <w:rPr>
                <w:rFonts w:eastAsia="Times New Roman" w:cs="Times New Roman"/>
                <w:color w:val="000000" w:themeColor="text1"/>
              </w:rPr>
            </w:pPr>
            <w:r w:rsidRPr="14287EAA">
              <w:rPr>
                <w:rFonts w:eastAsia="Times New Roman" w:cs="Times New Roman"/>
                <w:b/>
                <w:bCs/>
                <w:color w:val="000000" w:themeColor="text1"/>
              </w:rPr>
              <w:t>STUDENT MEASURES</w:t>
            </w:r>
          </w:p>
          <w:p w:rsidR="009304DA" w:rsidP="009304DA" w14:paraId="79338DF7" w14:textId="260C4D07">
            <w:pPr>
              <w:spacing w:line="259" w:lineRule="auto"/>
              <w:rPr>
                <w:rFonts w:eastAsia="Times New Roman" w:cs="Times New Roman"/>
                <w:color w:val="000000" w:themeColor="text1"/>
                <w:sz w:val="20"/>
                <w:szCs w:val="20"/>
              </w:rPr>
            </w:pPr>
            <w:r w:rsidRPr="14287EAA">
              <w:rPr>
                <w:rFonts w:eastAsia="Times New Roman" w:cs="Times New Roman"/>
                <w:color w:val="000000" w:themeColor="text1"/>
                <w:sz w:val="20"/>
                <w:szCs w:val="20"/>
              </w:rPr>
              <w:t>All students in each participating teachers’ 7</w:t>
            </w:r>
            <w:r w:rsidRPr="14287EAA">
              <w:rPr>
                <w:rFonts w:eastAsia="Times New Roman" w:cs="Times New Roman"/>
                <w:color w:val="000000" w:themeColor="text1"/>
                <w:sz w:val="20"/>
                <w:szCs w:val="20"/>
                <w:vertAlign w:val="superscript"/>
              </w:rPr>
              <w:t>th</w:t>
            </w:r>
            <w:r w:rsidRPr="14287EAA">
              <w:rPr>
                <w:rFonts w:eastAsia="Times New Roman" w:cs="Times New Roman"/>
                <w:color w:val="000000" w:themeColor="text1"/>
                <w:sz w:val="20"/>
                <w:szCs w:val="20"/>
              </w:rPr>
              <w:t xml:space="preserve"> grade math class(es) will be asked to complete four measures in the fall of 2023 and again in the spring of 2024.</w:t>
            </w:r>
          </w:p>
          <w:p w:rsidR="009304DA" w:rsidRPr="00D1366C" w:rsidP="009304DA" w14:paraId="6EF1FBD1" w14:textId="4F8B1C49">
            <w:pPr>
              <w:spacing w:line="259" w:lineRule="auto"/>
              <w:rPr>
                <w:rFonts w:eastAsia="Times New Roman" w:cs="Times New Roman"/>
                <w:i/>
                <w:color w:val="000000" w:themeColor="text1"/>
                <w:sz w:val="20"/>
                <w:szCs w:val="20"/>
              </w:rPr>
            </w:pPr>
            <w:r w:rsidRPr="0D77AB94">
              <w:rPr>
                <w:rFonts w:eastAsia="Times New Roman" w:cs="Times New Roman"/>
                <w:i/>
                <w:color w:val="000000" w:themeColor="text1"/>
                <w:sz w:val="20"/>
                <w:szCs w:val="20"/>
              </w:rPr>
              <w:t>The Proportional Problem Solving (PPS) measure is estimated to take no longer than 50 minutes to complete.</w:t>
            </w:r>
          </w:p>
          <w:p w:rsidR="009304DA" w:rsidRPr="00D1366C" w:rsidP="009304DA" w14:paraId="40624680" w14:textId="3A54FA2A">
            <w:pPr>
              <w:spacing w:line="259" w:lineRule="auto"/>
              <w:rPr>
                <w:rFonts w:eastAsia="Times New Roman" w:cs="Times New Roman"/>
                <w:i/>
                <w:color w:val="000000" w:themeColor="text1"/>
                <w:sz w:val="20"/>
                <w:szCs w:val="20"/>
              </w:rPr>
            </w:pPr>
            <w:r w:rsidRPr="0D77AB94">
              <w:rPr>
                <w:rFonts w:eastAsia="Times New Roman" w:cs="Times New Roman"/>
                <w:i/>
                <w:color w:val="000000" w:themeColor="text1"/>
                <w:sz w:val="20"/>
                <w:szCs w:val="20"/>
              </w:rPr>
              <w:t>The Visual Representation (VR) Measure is estimated to take no longer than 15 minutes to complete.</w:t>
            </w:r>
          </w:p>
          <w:p w:rsidR="009304DA" w:rsidRPr="00D1366C" w:rsidP="009304DA" w14:paraId="1806140B" w14:textId="3F26A347">
            <w:pPr>
              <w:spacing w:line="259" w:lineRule="auto"/>
              <w:rPr>
                <w:rFonts w:eastAsia="Times New Roman" w:cs="Times New Roman"/>
                <w:i/>
                <w:color w:val="000000" w:themeColor="text1"/>
                <w:sz w:val="20"/>
                <w:szCs w:val="20"/>
              </w:rPr>
            </w:pPr>
            <w:r w:rsidRPr="0D77AB94">
              <w:rPr>
                <w:rFonts w:eastAsia="Times New Roman" w:cs="Times New Roman"/>
                <w:i/>
                <w:color w:val="000000" w:themeColor="text1"/>
                <w:sz w:val="20"/>
                <w:szCs w:val="20"/>
              </w:rPr>
              <w:t>The</w:t>
            </w:r>
            <w:r w:rsidRPr="0D77AB94">
              <w:rPr>
                <w:rFonts w:eastAsia="Times New Roman" w:cs="Times New Roman"/>
                <w:i/>
                <w:color w:val="000000" w:themeColor="text1"/>
                <w:sz w:val="20"/>
                <w:szCs w:val="20"/>
              </w:rPr>
              <w:t xml:space="preserve"> </w:t>
            </w:r>
            <w:r w:rsidRPr="0D77AB94">
              <w:rPr>
                <w:rFonts w:eastAsia="Times New Roman" w:cs="Times New Roman"/>
                <w:i/>
                <w:color w:val="000000" w:themeColor="text1"/>
                <w:sz w:val="20"/>
                <w:szCs w:val="20"/>
              </w:rPr>
              <w:t>Math Self Concept scale is estimated to take no longer than 7 minutes to complete.</w:t>
            </w:r>
          </w:p>
          <w:p w:rsidR="009304DA" w:rsidP="009304DA" w14:paraId="6C2F1B63" w14:textId="1A3821C7">
            <w:pPr>
              <w:spacing w:line="259" w:lineRule="auto"/>
              <w:rPr>
                <w:rFonts w:eastAsia="Times New Roman" w:cs="Times New Roman"/>
                <w:color w:val="000000" w:themeColor="text1"/>
                <w:sz w:val="20"/>
                <w:szCs w:val="20"/>
              </w:rPr>
            </w:pPr>
            <w:r w:rsidRPr="0D77AB94">
              <w:rPr>
                <w:rFonts w:eastAsia="Times New Roman" w:cs="Times New Roman"/>
                <w:i/>
                <w:color w:val="000000" w:themeColor="text1"/>
                <w:sz w:val="20"/>
                <w:szCs w:val="20"/>
              </w:rPr>
              <w:t>The</w:t>
            </w:r>
            <w:r w:rsidRPr="0D77AB94">
              <w:rPr>
                <w:rFonts w:eastAsia="Times New Roman" w:cs="Times New Roman"/>
                <w:i/>
                <w:color w:val="000000" w:themeColor="text1"/>
                <w:sz w:val="20"/>
                <w:szCs w:val="20"/>
              </w:rPr>
              <w:t xml:space="preserve"> </w:t>
            </w:r>
            <w:r w:rsidRPr="0D77AB94">
              <w:rPr>
                <w:rFonts w:eastAsia="Times New Roman" w:cs="Times New Roman"/>
                <w:i/>
                <w:color w:val="000000" w:themeColor="text1"/>
                <w:sz w:val="20"/>
                <w:szCs w:val="20"/>
              </w:rPr>
              <w:t>Math Anxiety scale is estimated to take no longer than 7 minutes to complete.</w:t>
            </w:r>
          </w:p>
        </w:tc>
      </w:tr>
      <w:tr w14:paraId="6033F453" w14:textId="77777777" w:rsidTr="4CC34AA2">
        <w:tblPrEx>
          <w:tblW w:w="0" w:type="auto"/>
          <w:tblLayout w:type="fixed"/>
          <w:tblLook w:val="04A0"/>
        </w:tblPrEx>
        <w:tc>
          <w:tcPr>
            <w:tcW w:w="2295" w:type="dxa"/>
          </w:tcPr>
          <w:p w:rsidR="009304DA" w:rsidRPr="007E0F6C" w:rsidP="007E0F6C" w14:paraId="62CDB18F" w14:textId="384943F4">
            <w:pPr>
              <w:rPr>
                <w:rFonts w:eastAsia="Times New Roman" w:cs="Times New Roman"/>
                <w:b/>
                <w:bCs/>
                <w:color w:val="000000" w:themeColor="text1"/>
              </w:rPr>
            </w:pPr>
            <w:r w:rsidRPr="007E0F6C">
              <w:rPr>
                <w:rFonts w:eastAsia="Times New Roman" w:cs="Times New Roman"/>
                <w:b/>
                <w:bCs/>
                <w:color w:val="000000" w:themeColor="text1"/>
              </w:rPr>
              <w:t>Instrument</w:t>
            </w:r>
          </w:p>
        </w:tc>
        <w:tc>
          <w:tcPr>
            <w:tcW w:w="1365" w:type="dxa"/>
          </w:tcPr>
          <w:p w:rsidR="009304DA" w:rsidRPr="00CB1553" w:rsidP="009304DA" w14:paraId="08219923" w14:textId="6DC0C30D">
            <w:pPr>
              <w:rPr>
                <w:rFonts w:eastAsia="Times New Roman" w:cs="Times New Roman"/>
                <w:b/>
                <w:bCs/>
                <w:color w:val="000000" w:themeColor="text1"/>
              </w:rPr>
            </w:pPr>
            <w:r w:rsidRPr="007E0F6C">
              <w:rPr>
                <w:rFonts w:eastAsia="Times New Roman" w:cs="Times New Roman"/>
                <w:b/>
                <w:bCs/>
                <w:color w:val="000000" w:themeColor="text1"/>
              </w:rPr>
              <w:t>Person Incurring Burden</w:t>
            </w:r>
          </w:p>
        </w:tc>
        <w:tc>
          <w:tcPr>
            <w:tcW w:w="1485" w:type="dxa"/>
          </w:tcPr>
          <w:p w:rsidR="009304DA" w:rsidRPr="00CB1553" w:rsidP="009304DA" w14:paraId="0BFC938F" w14:textId="1707BAA4">
            <w:pPr>
              <w:rPr>
                <w:rFonts w:eastAsia="Times New Roman" w:cs="Times New Roman"/>
                <w:b/>
                <w:bCs/>
                <w:color w:val="000000" w:themeColor="text1"/>
              </w:rPr>
            </w:pPr>
            <w:r w:rsidRPr="007E0F6C">
              <w:rPr>
                <w:rFonts w:eastAsia="Times New Roman" w:cs="Times New Roman"/>
                <w:b/>
                <w:bCs/>
                <w:color w:val="000000" w:themeColor="text1"/>
              </w:rPr>
              <w:t>Number of Respondents</w:t>
            </w:r>
          </w:p>
        </w:tc>
        <w:tc>
          <w:tcPr>
            <w:tcW w:w="1455" w:type="dxa"/>
          </w:tcPr>
          <w:p w:rsidR="009304DA" w:rsidRPr="00CB1553" w:rsidP="009304DA" w14:paraId="73B57F22" w14:textId="1E8FF53B">
            <w:pPr>
              <w:rPr>
                <w:rFonts w:eastAsia="Times New Roman" w:cs="Times New Roman"/>
                <w:b/>
                <w:bCs/>
                <w:color w:val="000000" w:themeColor="text1"/>
              </w:rPr>
            </w:pPr>
            <w:r w:rsidRPr="007E0F6C">
              <w:rPr>
                <w:rFonts w:eastAsia="Times New Roman" w:cs="Times New Roman"/>
                <w:b/>
                <w:bCs/>
                <w:color w:val="000000" w:themeColor="text1"/>
              </w:rPr>
              <w:t>Responses per Respondent</w:t>
            </w:r>
          </w:p>
        </w:tc>
        <w:tc>
          <w:tcPr>
            <w:tcW w:w="1380" w:type="dxa"/>
          </w:tcPr>
          <w:p w:rsidR="009304DA" w:rsidRPr="00CB1553" w:rsidP="009304DA" w14:paraId="14DB1F4F" w14:textId="13BF8F22">
            <w:pPr>
              <w:rPr>
                <w:rFonts w:eastAsia="Times New Roman" w:cs="Times New Roman"/>
                <w:b/>
                <w:bCs/>
                <w:color w:val="000000" w:themeColor="text1"/>
              </w:rPr>
            </w:pPr>
            <w:r w:rsidRPr="007E0F6C">
              <w:rPr>
                <w:rFonts w:eastAsia="Times New Roman" w:cs="Times New Roman"/>
                <w:b/>
                <w:bCs/>
                <w:color w:val="000000" w:themeColor="text1"/>
              </w:rPr>
              <w:t>Hours per Response</w:t>
            </w:r>
          </w:p>
        </w:tc>
        <w:tc>
          <w:tcPr>
            <w:tcW w:w="1320" w:type="dxa"/>
          </w:tcPr>
          <w:p w:rsidR="009304DA" w:rsidRPr="00CB1553" w:rsidP="009304DA" w14:paraId="354CD92A" w14:textId="36E2D5C2">
            <w:pPr>
              <w:rPr>
                <w:rFonts w:eastAsia="Times New Roman" w:cs="Times New Roman"/>
                <w:b/>
                <w:bCs/>
                <w:color w:val="000000" w:themeColor="text1"/>
              </w:rPr>
            </w:pPr>
            <w:r w:rsidRPr="007E0F6C">
              <w:rPr>
                <w:rFonts w:eastAsia="Times New Roman" w:cs="Times New Roman"/>
                <w:b/>
                <w:bCs/>
                <w:color w:val="000000" w:themeColor="text1"/>
              </w:rPr>
              <w:t>Total Burden (Hours)</w:t>
            </w:r>
          </w:p>
        </w:tc>
      </w:tr>
      <w:tr w14:paraId="0954BE00" w14:textId="77777777" w:rsidTr="4CC34AA2">
        <w:tblPrEx>
          <w:tblW w:w="0" w:type="auto"/>
          <w:tblLayout w:type="fixed"/>
          <w:tblLook w:val="04A0"/>
        </w:tblPrEx>
        <w:tc>
          <w:tcPr>
            <w:tcW w:w="2295" w:type="dxa"/>
          </w:tcPr>
          <w:p w:rsidR="009304DA" w:rsidRPr="007E0F6C" w:rsidP="009304DA" w14:paraId="5C5D6826" w14:textId="03BC0A05">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 xml:space="preserve">Proportional Problem Solving (PPS) </w:t>
            </w:r>
            <w:r w:rsidRPr="0D77AB94" w:rsidR="43B68E49">
              <w:rPr>
                <w:rFonts w:eastAsia="Times New Roman" w:cs="Times New Roman"/>
                <w:color w:val="000000" w:themeColor="text1"/>
              </w:rPr>
              <w:t>measure</w:t>
            </w:r>
          </w:p>
        </w:tc>
        <w:tc>
          <w:tcPr>
            <w:tcW w:w="1365" w:type="dxa"/>
          </w:tcPr>
          <w:p w:rsidR="009304DA" w:rsidRPr="00CB1553" w:rsidP="009304DA" w14:paraId="3E6B282B" w14:textId="05983ECB">
            <w:pPr>
              <w:spacing w:line="259" w:lineRule="auto"/>
              <w:rPr>
                <w:rFonts w:eastAsia="Times New Roman" w:cs="Times New Roman"/>
                <w:color w:val="000000" w:themeColor="text1"/>
              </w:rPr>
            </w:pPr>
            <w:r w:rsidRPr="007E0F6C">
              <w:rPr>
                <w:rFonts w:eastAsia="Times New Roman" w:cs="Times New Roman"/>
                <w:color w:val="000000" w:themeColor="text1"/>
              </w:rPr>
              <w:t>Students</w:t>
            </w:r>
          </w:p>
        </w:tc>
        <w:tc>
          <w:tcPr>
            <w:tcW w:w="1485" w:type="dxa"/>
          </w:tcPr>
          <w:p w:rsidR="009304DA" w:rsidRPr="00CB1553" w:rsidP="009304DA" w14:paraId="09A036B7" w14:textId="42246FE6">
            <w:pPr>
              <w:spacing w:line="259" w:lineRule="auto"/>
              <w:rPr>
                <w:rFonts w:eastAsia="Times New Roman" w:cs="Times New Roman"/>
                <w:color w:val="000000" w:themeColor="text1"/>
              </w:rPr>
            </w:pPr>
            <w:r w:rsidRPr="007E0F6C">
              <w:rPr>
                <w:rFonts w:eastAsia="Times New Roman" w:cs="Times New Roman"/>
                <w:color w:val="000000" w:themeColor="text1"/>
              </w:rPr>
              <w:t>4000</w:t>
            </w:r>
          </w:p>
        </w:tc>
        <w:tc>
          <w:tcPr>
            <w:tcW w:w="1455" w:type="dxa"/>
          </w:tcPr>
          <w:p w:rsidR="009304DA" w:rsidRPr="00CB1553" w:rsidP="009304DA" w14:paraId="288BAE8A" w14:textId="1AF51FC7">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0DD3319F" w14:textId="1048D09A">
            <w:pPr>
              <w:spacing w:line="259" w:lineRule="auto"/>
              <w:rPr>
                <w:rFonts w:eastAsia="Times New Roman" w:cs="Times New Roman"/>
                <w:color w:val="000000" w:themeColor="text1"/>
              </w:rPr>
            </w:pPr>
            <w:r w:rsidRPr="007E0F6C">
              <w:rPr>
                <w:rFonts w:eastAsia="Times New Roman" w:cs="Times New Roman"/>
                <w:color w:val="000000" w:themeColor="text1"/>
              </w:rPr>
              <w:t>0.83</w:t>
            </w:r>
          </w:p>
        </w:tc>
        <w:tc>
          <w:tcPr>
            <w:tcW w:w="1320" w:type="dxa"/>
          </w:tcPr>
          <w:p w:rsidR="009304DA" w:rsidRPr="00CB1553" w:rsidP="009304DA" w14:paraId="1867A004" w14:textId="5D847DA2">
            <w:pPr>
              <w:spacing w:line="259" w:lineRule="auto"/>
              <w:rPr>
                <w:rFonts w:eastAsia="Times New Roman" w:cs="Times New Roman"/>
                <w:color w:val="000000" w:themeColor="text1"/>
              </w:rPr>
            </w:pPr>
            <w:r w:rsidRPr="007E0F6C">
              <w:rPr>
                <w:rFonts w:eastAsia="Times New Roman" w:cs="Times New Roman"/>
                <w:color w:val="000000" w:themeColor="text1"/>
              </w:rPr>
              <w:t>6640</w:t>
            </w:r>
          </w:p>
        </w:tc>
      </w:tr>
      <w:tr w14:paraId="1D6A64B8" w14:textId="77777777" w:rsidTr="4CC34AA2">
        <w:tblPrEx>
          <w:tblW w:w="0" w:type="auto"/>
          <w:tblLayout w:type="fixed"/>
          <w:tblLook w:val="04A0"/>
        </w:tblPrEx>
        <w:tc>
          <w:tcPr>
            <w:tcW w:w="2295" w:type="dxa"/>
          </w:tcPr>
          <w:p w:rsidR="009304DA" w:rsidRPr="007E0F6C" w:rsidP="009304DA" w14:paraId="10E98BAE" w14:textId="548523C6">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VR Measure</w:t>
            </w:r>
          </w:p>
        </w:tc>
        <w:tc>
          <w:tcPr>
            <w:tcW w:w="1365" w:type="dxa"/>
          </w:tcPr>
          <w:p w:rsidR="009304DA" w:rsidRPr="00CB1553" w:rsidP="009304DA" w14:paraId="17BA4DF9" w14:textId="504A312B">
            <w:pPr>
              <w:spacing w:line="259" w:lineRule="auto"/>
              <w:rPr>
                <w:rFonts w:eastAsia="Times New Roman" w:cs="Times New Roman"/>
                <w:color w:val="000000" w:themeColor="text1"/>
              </w:rPr>
            </w:pPr>
            <w:r w:rsidRPr="007E0F6C">
              <w:rPr>
                <w:rFonts w:eastAsia="Times New Roman" w:cs="Times New Roman"/>
                <w:color w:val="000000" w:themeColor="text1"/>
              </w:rPr>
              <w:t>Students</w:t>
            </w:r>
          </w:p>
        </w:tc>
        <w:tc>
          <w:tcPr>
            <w:tcW w:w="1485" w:type="dxa"/>
          </w:tcPr>
          <w:p w:rsidR="009304DA" w:rsidRPr="00CB1553" w:rsidP="009304DA" w14:paraId="00473448" w14:textId="288F544F">
            <w:pPr>
              <w:spacing w:line="259" w:lineRule="auto"/>
              <w:rPr>
                <w:rFonts w:eastAsia="Times New Roman" w:cs="Times New Roman"/>
                <w:color w:val="000000" w:themeColor="text1"/>
              </w:rPr>
            </w:pPr>
            <w:r w:rsidRPr="007E0F6C">
              <w:rPr>
                <w:rFonts w:eastAsia="Times New Roman" w:cs="Times New Roman"/>
                <w:color w:val="000000" w:themeColor="text1"/>
              </w:rPr>
              <w:t>4000</w:t>
            </w:r>
          </w:p>
        </w:tc>
        <w:tc>
          <w:tcPr>
            <w:tcW w:w="1455" w:type="dxa"/>
          </w:tcPr>
          <w:p w:rsidR="009304DA" w:rsidRPr="00CB1553" w:rsidP="009304DA" w14:paraId="1A5F4759" w14:textId="640CE969">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27C17E2D" w14:textId="36999FEC">
            <w:pPr>
              <w:spacing w:line="259" w:lineRule="auto"/>
              <w:rPr>
                <w:rFonts w:eastAsia="Times New Roman" w:cs="Times New Roman"/>
                <w:color w:val="000000" w:themeColor="text1"/>
              </w:rPr>
            </w:pPr>
            <w:r w:rsidRPr="007E0F6C">
              <w:rPr>
                <w:rFonts w:eastAsia="Times New Roman" w:cs="Times New Roman"/>
                <w:color w:val="000000" w:themeColor="text1"/>
              </w:rPr>
              <w:t>0.25</w:t>
            </w:r>
          </w:p>
        </w:tc>
        <w:tc>
          <w:tcPr>
            <w:tcW w:w="1320" w:type="dxa"/>
          </w:tcPr>
          <w:p w:rsidR="009304DA" w:rsidRPr="00CB1553" w:rsidP="009304DA" w14:paraId="759889E2" w14:textId="54CFE768">
            <w:pPr>
              <w:spacing w:line="259" w:lineRule="auto"/>
              <w:rPr>
                <w:rFonts w:eastAsia="Times New Roman" w:cs="Times New Roman"/>
                <w:color w:val="000000" w:themeColor="text1"/>
              </w:rPr>
            </w:pPr>
            <w:r w:rsidRPr="007E0F6C">
              <w:rPr>
                <w:rFonts w:eastAsia="Times New Roman" w:cs="Times New Roman"/>
                <w:color w:val="000000" w:themeColor="text1"/>
              </w:rPr>
              <w:t>2000</w:t>
            </w:r>
          </w:p>
        </w:tc>
      </w:tr>
      <w:tr w14:paraId="0564D123" w14:textId="77777777" w:rsidTr="4CC34AA2">
        <w:tblPrEx>
          <w:tblW w:w="0" w:type="auto"/>
          <w:tblLayout w:type="fixed"/>
          <w:tblLook w:val="04A0"/>
        </w:tblPrEx>
        <w:tc>
          <w:tcPr>
            <w:tcW w:w="2295" w:type="dxa"/>
          </w:tcPr>
          <w:p w:rsidR="009304DA" w:rsidRPr="007E0F6C" w:rsidP="009304DA" w14:paraId="4F0DD495" w14:textId="3A9F0175">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Math Self Concept</w:t>
            </w:r>
          </w:p>
        </w:tc>
        <w:tc>
          <w:tcPr>
            <w:tcW w:w="1365" w:type="dxa"/>
          </w:tcPr>
          <w:p w:rsidR="009304DA" w:rsidRPr="00CB1553" w:rsidP="009304DA" w14:paraId="5EF6EF03" w14:textId="6B860186">
            <w:pPr>
              <w:spacing w:line="259" w:lineRule="auto"/>
              <w:rPr>
                <w:rFonts w:eastAsia="Times New Roman" w:cs="Times New Roman"/>
                <w:color w:val="000000" w:themeColor="text1"/>
              </w:rPr>
            </w:pPr>
            <w:r w:rsidRPr="007E0F6C">
              <w:rPr>
                <w:rFonts w:eastAsia="Times New Roman" w:cs="Times New Roman"/>
                <w:color w:val="000000" w:themeColor="text1"/>
              </w:rPr>
              <w:t>Students</w:t>
            </w:r>
          </w:p>
        </w:tc>
        <w:tc>
          <w:tcPr>
            <w:tcW w:w="1485" w:type="dxa"/>
          </w:tcPr>
          <w:p w:rsidR="009304DA" w:rsidRPr="00CB1553" w:rsidP="009304DA" w14:paraId="6ABB717A" w14:textId="3B2B1BC6">
            <w:pPr>
              <w:spacing w:line="259" w:lineRule="auto"/>
              <w:rPr>
                <w:rFonts w:eastAsia="Times New Roman" w:cs="Times New Roman"/>
                <w:color w:val="000000" w:themeColor="text1"/>
              </w:rPr>
            </w:pPr>
            <w:r w:rsidRPr="007E0F6C">
              <w:rPr>
                <w:rFonts w:eastAsia="Times New Roman" w:cs="Times New Roman"/>
                <w:color w:val="000000" w:themeColor="text1"/>
              </w:rPr>
              <w:t>4000</w:t>
            </w:r>
          </w:p>
        </w:tc>
        <w:tc>
          <w:tcPr>
            <w:tcW w:w="1455" w:type="dxa"/>
          </w:tcPr>
          <w:p w:rsidR="009304DA" w:rsidRPr="00CB1553" w:rsidP="009304DA" w14:paraId="07022B60" w14:textId="339B2EB3">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40827516" w14:textId="6F8F3E4A">
            <w:pPr>
              <w:spacing w:line="259" w:lineRule="auto"/>
              <w:rPr>
                <w:rFonts w:eastAsia="Times New Roman" w:cs="Times New Roman"/>
                <w:color w:val="000000" w:themeColor="text1"/>
              </w:rPr>
            </w:pPr>
            <w:r w:rsidRPr="007E0F6C">
              <w:rPr>
                <w:rFonts w:eastAsia="Times New Roman" w:cs="Times New Roman"/>
                <w:color w:val="000000" w:themeColor="text1"/>
              </w:rPr>
              <w:t>0.12</w:t>
            </w:r>
          </w:p>
        </w:tc>
        <w:tc>
          <w:tcPr>
            <w:tcW w:w="1320" w:type="dxa"/>
          </w:tcPr>
          <w:p w:rsidR="009304DA" w:rsidRPr="00CB1553" w:rsidP="009304DA" w14:paraId="5B5E13E6" w14:textId="20CB5F22">
            <w:pPr>
              <w:spacing w:line="259" w:lineRule="auto"/>
              <w:rPr>
                <w:rFonts w:eastAsia="Times New Roman" w:cs="Times New Roman"/>
                <w:color w:val="000000" w:themeColor="text1"/>
              </w:rPr>
            </w:pPr>
            <w:r w:rsidRPr="007E0F6C">
              <w:rPr>
                <w:rFonts w:eastAsia="Times New Roman" w:cs="Times New Roman"/>
                <w:color w:val="000000" w:themeColor="text1"/>
              </w:rPr>
              <w:t>960</w:t>
            </w:r>
          </w:p>
        </w:tc>
      </w:tr>
      <w:tr w14:paraId="47D705C0" w14:textId="77777777" w:rsidTr="4CC34AA2">
        <w:tblPrEx>
          <w:tblW w:w="0" w:type="auto"/>
          <w:tblLayout w:type="fixed"/>
          <w:tblLook w:val="04A0"/>
        </w:tblPrEx>
        <w:tc>
          <w:tcPr>
            <w:tcW w:w="2295" w:type="dxa"/>
          </w:tcPr>
          <w:p w:rsidR="009304DA" w:rsidRPr="007E0F6C" w:rsidP="009304DA" w14:paraId="738A46D7" w14:textId="6BAE0B1F">
            <w:pPr>
              <w:pStyle w:val="ListParagraph"/>
              <w:numPr>
                <w:ilvl w:val="0"/>
                <w:numId w:val="17"/>
              </w:numPr>
              <w:spacing w:line="259" w:lineRule="auto"/>
              <w:ind w:left="330"/>
              <w:rPr>
                <w:rFonts w:asciiTheme="minorHAnsi" w:eastAsiaTheme="minorEastAsia" w:hAnsiTheme="minorHAnsi"/>
                <w:color w:val="000000" w:themeColor="text1"/>
              </w:rPr>
            </w:pPr>
            <w:r w:rsidRPr="007E0F6C">
              <w:rPr>
                <w:rFonts w:eastAsia="Times New Roman" w:cs="Times New Roman"/>
                <w:color w:val="000000" w:themeColor="text1"/>
              </w:rPr>
              <w:t>Math Anxiety</w:t>
            </w:r>
          </w:p>
        </w:tc>
        <w:tc>
          <w:tcPr>
            <w:tcW w:w="1365" w:type="dxa"/>
          </w:tcPr>
          <w:p w:rsidR="009304DA" w:rsidRPr="00CB1553" w:rsidP="009304DA" w14:paraId="0AC80FEA" w14:textId="2B066FED">
            <w:pPr>
              <w:spacing w:line="259" w:lineRule="auto"/>
              <w:rPr>
                <w:rFonts w:eastAsia="Times New Roman" w:cs="Times New Roman"/>
                <w:color w:val="000000" w:themeColor="text1"/>
              </w:rPr>
            </w:pPr>
            <w:r w:rsidRPr="007E0F6C">
              <w:rPr>
                <w:rFonts w:eastAsia="Times New Roman" w:cs="Times New Roman"/>
                <w:color w:val="000000" w:themeColor="text1"/>
              </w:rPr>
              <w:t>Students</w:t>
            </w:r>
          </w:p>
        </w:tc>
        <w:tc>
          <w:tcPr>
            <w:tcW w:w="1485" w:type="dxa"/>
          </w:tcPr>
          <w:p w:rsidR="009304DA" w:rsidRPr="00CB1553" w:rsidP="009304DA" w14:paraId="5A5F29D2" w14:textId="14592EB3">
            <w:pPr>
              <w:spacing w:line="259" w:lineRule="auto"/>
              <w:rPr>
                <w:rFonts w:eastAsia="Times New Roman" w:cs="Times New Roman"/>
                <w:color w:val="000000" w:themeColor="text1"/>
              </w:rPr>
            </w:pPr>
            <w:r w:rsidRPr="007E0F6C">
              <w:rPr>
                <w:rFonts w:eastAsia="Times New Roman" w:cs="Times New Roman"/>
                <w:color w:val="000000" w:themeColor="text1"/>
              </w:rPr>
              <w:t>4000</w:t>
            </w:r>
          </w:p>
        </w:tc>
        <w:tc>
          <w:tcPr>
            <w:tcW w:w="1455" w:type="dxa"/>
          </w:tcPr>
          <w:p w:rsidR="009304DA" w:rsidRPr="00CB1553" w:rsidP="009304DA" w14:paraId="60D16A30" w14:textId="6B998F12">
            <w:pPr>
              <w:spacing w:line="259" w:lineRule="auto"/>
              <w:rPr>
                <w:rFonts w:eastAsia="Times New Roman" w:cs="Times New Roman"/>
                <w:color w:val="000000" w:themeColor="text1"/>
              </w:rPr>
            </w:pPr>
            <w:r w:rsidRPr="007E0F6C">
              <w:rPr>
                <w:rFonts w:eastAsia="Times New Roman" w:cs="Times New Roman"/>
                <w:color w:val="000000" w:themeColor="text1"/>
              </w:rPr>
              <w:t>2</w:t>
            </w:r>
          </w:p>
        </w:tc>
        <w:tc>
          <w:tcPr>
            <w:tcW w:w="1380" w:type="dxa"/>
          </w:tcPr>
          <w:p w:rsidR="009304DA" w:rsidRPr="00CB1553" w:rsidP="009304DA" w14:paraId="35557DE8" w14:textId="7E61CB9B">
            <w:pPr>
              <w:spacing w:line="259" w:lineRule="auto"/>
              <w:rPr>
                <w:rFonts w:eastAsia="Times New Roman" w:cs="Times New Roman"/>
                <w:color w:val="000000" w:themeColor="text1"/>
              </w:rPr>
            </w:pPr>
            <w:r w:rsidRPr="007E0F6C">
              <w:rPr>
                <w:rFonts w:eastAsia="Times New Roman" w:cs="Times New Roman"/>
                <w:color w:val="000000" w:themeColor="text1"/>
              </w:rPr>
              <w:t>0.12</w:t>
            </w:r>
          </w:p>
        </w:tc>
        <w:tc>
          <w:tcPr>
            <w:tcW w:w="1320" w:type="dxa"/>
          </w:tcPr>
          <w:p w:rsidR="009304DA" w:rsidRPr="00CB1553" w:rsidP="009304DA" w14:paraId="6600051A" w14:textId="6403B3AA">
            <w:pPr>
              <w:spacing w:line="259" w:lineRule="auto"/>
              <w:rPr>
                <w:rFonts w:eastAsia="Times New Roman" w:cs="Times New Roman"/>
                <w:color w:val="000000" w:themeColor="text1"/>
              </w:rPr>
            </w:pPr>
            <w:r w:rsidRPr="007E0F6C">
              <w:rPr>
                <w:rFonts w:eastAsia="Times New Roman" w:cs="Times New Roman"/>
                <w:color w:val="000000" w:themeColor="text1"/>
              </w:rPr>
              <w:t>960</w:t>
            </w:r>
          </w:p>
        </w:tc>
      </w:tr>
      <w:tr w14:paraId="7D8FDE7E" w14:textId="77777777" w:rsidTr="4CC34AA2">
        <w:tblPrEx>
          <w:tblW w:w="0" w:type="auto"/>
          <w:tblLayout w:type="fixed"/>
          <w:tblLook w:val="04A0"/>
        </w:tblPrEx>
        <w:tc>
          <w:tcPr>
            <w:tcW w:w="2295" w:type="dxa"/>
            <w:shd w:val="clear" w:color="auto" w:fill="D9D9D9" w:themeFill="background1" w:themeFillShade="D9"/>
          </w:tcPr>
          <w:p w:rsidR="009304DA" w:rsidP="009304DA" w14:paraId="762EF877" w14:textId="0AD48AC3">
            <w:pPr>
              <w:spacing w:line="259" w:lineRule="auto"/>
              <w:rPr>
                <w:rFonts w:eastAsia="Times New Roman" w:cs="Times New Roman"/>
                <w:color w:val="000000" w:themeColor="text1"/>
              </w:rPr>
            </w:pPr>
            <w:r w:rsidRPr="14287EAA">
              <w:rPr>
                <w:rFonts w:eastAsia="Times New Roman" w:cs="Times New Roman"/>
                <w:b/>
                <w:bCs/>
                <w:color w:val="000000" w:themeColor="text1"/>
              </w:rPr>
              <w:t>TOTAL</w:t>
            </w:r>
          </w:p>
        </w:tc>
        <w:tc>
          <w:tcPr>
            <w:tcW w:w="1365" w:type="dxa"/>
            <w:shd w:val="clear" w:color="auto" w:fill="D9D9D9" w:themeFill="background1" w:themeFillShade="D9"/>
          </w:tcPr>
          <w:p w:rsidR="009304DA" w:rsidP="009304DA" w14:paraId="5BCFED8F" w14:textId="1B99FBB2">
            <w:pPr>
              <w:spacing w:line="259" w:lineRule="auto"/>
              <w:rPr>
                <w:rFonts w:eastAsia="Times New Roman" w:cs="Times New Roman"/>
                <w:color w:val="000000" w:themeColor="text1"/>
              </w:rPr>
            </w:pPr>
          </w:p>
        </w:tc>
        <w:tc>
          <w:tcPr>
            <w:tcW w:w="1485" w:type="dxa"/>
            <w:shd w:val="clear" w:color="auto" w:fill="D9D9D9" w:themeFill="background1" w:themeFillShade="D9"/>
          </w:tcPr>
          <w:p w:rsidR="009304DA" w:rsidP="009304DA" w14:paraId="002746D2" w14:textId="3ED308D8">
            <w:pPr>
              <w:spacing w:line="259" w:lineRule="auto"/>
              <w:rPr>
                <w:rFonts w:eastAsia="Times New Roman" w:cs="Times New Roman"/>
                <w:b/>
                <w:bCs/>
                <w:color w:val="000000" w:themeColor="text1"/>
                <w:vertAlign w:val="superscript"/>
              </w:rPr>
            </w:pPr>
            <w:r w:rsidRPr="4CC34AA2">
              <w:rPr>
                <w:rFonts w:eastAsia="Times New Roman" w:cs="Times New Roman"/>
                <w:b/>
                <w:bCs/>
                <w:color w:val="000000" w:themeColor="text1"/>
              </w:rPr>
              <w:t>20,5</w:t>
            </w:r>
            <w:r w:rsidRPr="4CC34AA2" w:rsidR="72D44EAF">
              <w:rPr>
                <w:rFonts w:eastAsia="Times New Roman" w:cs="Times New Roman"/>
                <w:b/>
                <w:bCs/>
                <w:color w:val="000000" w:themeColor="text1"/>
              </w:rPr>
              <w:t>6</w:t>
            </w:r>
            <w:r w:rsidRPr="4CC34AA2">
              <w:rPr>
                <w:rFonts w:eastAsia="Times New Roman" w:cs="Times New Roman"/>
                <w:b/>
                <w:bCs/>
                <w:color w:val="000000" w:themeColor="text1"/>
              </w:rPr>
              <w:t>0</w:t>
            </w:r>
            <w:r w:rsidRPr="4CC34AA2" w:rsidR="00ED513F">
              <w:rPr>
                <w:rFonts w:eastAsia="Times New Roman" w:cs="Times New Roman"/>
                <w:b/>
                <w:bCs/>
                <w:color w:val="000000" w:themeColor="text1"/>
              </w:rPr>
              <w:t>*</w:t>
            </w:r>
          </w:p>
        </w:tc>
        <w:tc>
          <w:tcPr>
            <w:tcW w:w="1455" w:type="dxa"/>
            <w:shd w:val="clear" w:color="auto" w:fill="D9D9D9" w:themeFill="background1" w:themeFillShade="D9"/>
          </w:tcPr>
          <w:p w:rsidR="009304DA" w:rsidP="009304DA" w14:paraId="269CA9F5" w14:textId="2EF44161">
            <w:pPr>
              <w:spacing w:line="259" w:lineRule="auto"/>
              <w:rPr>
                <w:rFonts w:eastAsia="Times New Roman" w:cs="Times New Roman"/>
                <w:color w:val="000000" w:themeColor="text1"/>
              </w:rPr>
            </w:pPr>
          </w:p>
        </w:tc>
        <w:tc>
          <w:tcPr>
            <w:tcW w:w="1380" w:type="dxa"/>
            <w:shd w:val="clear" w:color="auto" w:fill="D9D9D9" w:themeFill="background1" w:themeFillShade="D9"/>
          </w:tcPr>
          <w:p w:rsidR="009304DA" w:rsidP="009304DA" w14:paraId="0F7B0496" w14:textId="05F4C940">
            <w:pPr>
              <w:spacing w:line="259" w:lineRule="auto"/>
              <w:rPr>
                <w:rFonts w:eastAsia="Times New Roman" w:cs="Times New Roman"/>
                <w:color w:val="000000" w:themeColor="text1"/>
              </w:rPr>
            </w:pPr>
            <w:r w:rsidRPr="14287EAA">
              <w:rPr>
                <w:rFonts w:eastAsia="Times New Roman" w:cs="Times New Roman"/>
                <w:b/>
                <w:bCs/>
                <w:color w:val="000000" w:themeColor="text1"/>
              </w:rPr>
              <w:t>3.48</w:t>
            </w:r>
            <w:r w:rsidR="00ED513F">
              <w:rPr>
                <w:rFonts w:eastAsia="Times New Roman" w:cs="Times New Roman"/>
                <w:b/>
                <w:bCs/>
                <w:color w:val="000000" w:themeColor="text1"/>
              </w:rPr>
              <w:t>**</w:t>
            </w:r>
          </w:p>
        </w:tc>
        <w:tc>
          <w:tcPr>
            <w:tcW w:w="1320" w:type="dxa"/>
            <w:shd w:val="clear" w:color="auto" w:fill="D9D9D9" w:themeFill="background1" w:themeFillShade="D9"/>
          </w:tcPr>
          <w:p w:rsidR="009304DA" w:rsidP="009304DA" w14:paraId="2E011A55" w14:textId="394ED78A">
            <w:pPr>
              <w:spacing w:line="259" w:lineRule="auto"/>
              <w:rPr>
                <w:rFonts w:eastAsia="Times New Roman" w:cs="Times New Roman"/>
                <w:color w:val="000000" w:themeColor="text1"/>
              </w:rPr>
            </w:pPr>
            <w:r w:rsidRPr="14287EAA">
              <w:rPr>
                <w:rFonts w:eastAsia="Times New Roman" w:cs="Times New Roman"/>
                <w:b/>
                <w:bCs/>
                <w:color w:val="000000" w:themeColor="text1"/>
              </w:rPr>
              <w:t>11,</w:t>
            </w:r>
            <w:r w:rsidRPr="0D77AB94" w:rsidR="540F85FB">
              <w:rPr>
                <w:rFonts w:eastAsia="Times New Roman" w:cs="Times New Roman"/>
                <w:b/>
                <w:bCs/>
                <w:color w:val="000000" w:themeColor="text1"/>
              </w:rPr>
              <w:t>280</w:t>
            </w:r>
            <w:r w:rsidR="008F6D31">
              <w:rPr>
                <w:rFonts w:eastAsia="Times New Roman" w:cs="Times New Roman"/>
                <w:b/>
                <w:bCs/>
                <w:color w:val="000000" w:themeColor="text1"/>
              </w:rPr>
              <w:t>.96</w:t>
            </w:r>
          </w:p>
        </w:tc>
      </w:tr>
    </w:tbl>
    <w:p w:rsidR="00ED513F" w:rsidRPr="00ED513F" w:rsidP="009C55A5" w14:paraId="492E6025" w14:textId="64DAC3A8">
      <w:pPr>
        <w:rPr>
          <w:rFonts w:eastAsia="Times" w:cs="Times New Roman"/>
          <w:sz w:val="18"/>
          <w:szCs w:val="18"/>
        </w:rPr>
      </w:pPr>
      <w:r w:rsidRPr="4CC34AA2">
        <w:rPr>
          <w:rFonts w:eastAsia="Times" w:cs="Times New Roman"/>
          <w:sz w:val="18"/>
          <w:szCs w:val="18"/>
        </w:rPr>
        <w:t xml:space="preserve">Table </w:t>
      </w:r>
      <w:r w:rsidRPr="4CC34AA2" w:rsidR="4F66190F">
        <w:rPr>
          <w:rFonts w:eastAsia="Times" w:cs="Times New Roman"/>
          <w:sz w:val="18"/>
          <w:szCs w:val="18"/>
        </w:rPr>
        <w:t>Note</w:t>
      </w:r>
      <w:r w:rsidRPr="4CC34AA2">
        <w:rPr>
          <w:rFonts w:eastAsia="Times" w:cs="Times New Roman"/>
          <w:sz w:val="18"/>
          <w:szCs w:val="18"/>
        </w:rPr>
        <w:t>s:</w:t>
      </w:r>
      <w:r>
        <w:br/>
      </w:r>
      <w:r w:rsidRPr="4CC34AA2">
        <w:rPr>
          <w:rFonts w:eastAsia="Times" w:cs="Times New Roman"/>
          <w:sz w:val="18"/>
          <w:szCs w:val="18"/>
        </w:rPr>
        <w:t>*</w:t>
      </w:r>
      <w:r w:rsidRPr="4CC34AA2">
        <w:rPr>
          <w:rFonts w:cs="Times New Roman"/>
          <w:sz w:val="18"/>
          <w:szCs w:val="18"/>
        </w:rPr>
        <w:t>The total number of respondents in this table is the sum of the number of respondents for each information collection activity. Because some individuals will participate in more than one information collection activity, the total number of respon</w:t>
      </w:r>
      <w:r w:rsidRPr="4CC34AA2" w:rsidR="54B08F08">
        <w:rPr>
          <w:rFonts w:cs="Times New Roman"/>
          <w:sz w:val="18"/>
          <w:szCs w:val="18"/>
        </w:rPr>
        <w:t>dents in the table</w:t>
      </w:r>
      <w:r w:rsidRPr="4CC34AA2">
        <w:rPr>
          <w:rFonts w:cs="Times New Roman"/>
          <w:sz w:val="18"/>
          <w:szCs w:val="18"/>
        </w:rPr>
        <w:t xml:space="preserve"> exceeds the total number of </w:t>
      </w:r>
      <w:r w:rsidRPr="4CC34AA2" w:rsidR="17207EF1">
        <w:rPr>
          <w:rFonts w:cs="Times New Roman"/>
          <w:sz w:val="18"/>
          <w:szCs w:val="18"/>
        </w:rPr>
        <w:t xml:space="preserve">unique </w:t>
      </w:r>
      <w:r w:rsidRPr="4CC34AA2">
        <w:rPr>
          <w:rFonts w:cs="Times New Roman"/>
          <w:sz w:val="18"/>
          <w:szCs w:val="18"/>
        </w:rPr>
        <w:t>individuals who will respond.</w:t>
      </w:r>
      <w:r>
        <w:br/>
      </w:r>
      <w:r w:rsidRPr="4CC34AA2">
        <w:rPr>
          <w:rFonts w:cs="Times New Roman"/>
          <w:sz w:val="18"/>
          <w:szCs w:val="18"/>
        </w:rPr>
        <w:t>**</w:t>
      </w:r>
      <w:r w:rsidRPr="4CC34AA2" w:rsidR="4F66190F">
        <w:rPr>
          <w:rFonts w:eastAsia="Times" w:cs="Times New Roman"/>
          <w:sz w:val="18"/>
          <w:szCs w:val="18"/>
        </w:rPr>
        <w:t>The hours per response was rounded to the second decimal place for display only. Therefore, the total burden may not equal the product of the displayed hours per response</w:t>
      </w:r>
      <w:r w:rsidRPr="4CC34AA2" w:rsidR="62004CD1">
        <w:rPr>
          <w:rFonts w:eastAsia="Times" w:cs="Times New Roman"/>
          <w:sz w:val="18"/>
          <w:szCs w:val="18"/>
        </w:rPr>
        <w:t xml:space="preserve"> </w:t>
      </w:r>
      <w:r w:rsidRPr="4CC34AA2" w:rsidR="4F66190F">
        <w:rPr>
          <w:rFonts w:eastAsia="Times" w:cs="Times New Roman"/>
          <w:sz w:val="18"/>
          <w:szCs w:val="18"/>
        </w:rPr>
        <w:t>and number of respondents.</w:t>
      </w:r>
    </w:p>
    <w:p w:rsidR="009C55A5" w:rsidRPr="009C55A5" w:rsidP="009C55A5" w14:paraId="5611B577" w14:textId="443D2E59">
      <w:pPr>
        <w:rPr>
          <w:rFonts w:eastAsia="Calibri"/>
          <w:sz w:val="19"/>
          <w:szCs w:val="19"/>
        </w:rPr>
      </w:pPr>
      <w:r>
        <w:br/>
      </w:r>
    </w:p>
    <w:p w:rsidR="00DF19DA" w:rsidP="00DF19DA" w14:paraId="3829B7A6" w14:textId="566F1692">
      <w:pPr>
        <w:pStyle w:val="Heading2"/>
        <w:numPr>
          <w:ilvl w:val="0"/>
          <w:numId w:val="15"/>
        </w:numPr>
      </w:pPr>
      <w:bookmarkStart w:id="17" w:name="_Toc116659897"/>
      <w:r>
        <w:t>Estimate of Total Cost Burden to Respondents or Record-Keepers</w:t>
      </w:r>
      <w:bookmarkEnd w:id="17"/>
    </w:p>
    <w:p w:rsidR="009C55A5" w:rsidRPr="009C55A5" w:rsidP="18AC26EE" w14:paraId="41402F05" w14:textId="491E9488">
      <w:pPr>
        <w:spacing w:before="240"/>
        <w:rPr>
          <w:color w:val="FF0000"/>
        </w:rPr>
      </w:pPr>
      <w:r>
        <w:t>There are no start-up costs for this collection.</w:t>
      </w:r>
      <w:r w:rsidRPr="18AC26EE" w:rsidR="084AFEB7">
        <w:rPr>
          <w:color w:val="FF0000"/>
        </w:rPr>
        <w:t xml:space="preserve"> </w:t>
      </w:r>
    </w:p>
    <w:p w:rsidR="009C55A5" w:rsidRPr="009C55A5" w:rsidP="18AC26EE" w14:paraId="614F966C" w14:textId="32044CB3">
      <w:pPr>
        <w:spacing w:before="240"/>
      </w:pPr>
      <w:r>
        <w:t>The total cost to respondents collectively across the entire study is $</w:t>
      </w:r>
      <w:r w:rsidR="127836D9">
        <w:t>33,353.88</w:t>
      </w:r>
      <w:r>
        <w:t xml:space="preserve"> (see Table).</w:t>
      </w:r>
    </w:p>
    <w:p w:rsidR="009C55A5" w:rsidRPr="009C55A5" w:rsidP="14287EAA" w14:paraId="363E3D69" w14:textId="13E50DC5">
      <w:pPr>
        <w:jc w:val="center"/>
        <w:rPr>
          <w:rFonts w:eastAsia="Times New Roman" w:cs="Times New Roman"/>
          <w:color w:val="000000" w:themeColor="text1"/>
          <w:sz w:val="24"/>
          <w:szCs w:val="24"/>
        </w:rPr>
      </w:pPr>
      <w:r w:rsidRPr="0D0B90D2">
        <w:rPr>
          <w:rFonts w:eastAsia="Times New Roman" w:cs="Times New Roman"/>
          <w:b/>
          <w:bCs/>
          <w:color w:val="000000" w:themeColor="text1"/>
          <w:sz w:val="24"/>
          <w:szCs w:val="24"/>
        </w:rPr>
        <w:t xml:space="preserve">Table 3. </w:t>
      </w:r>
      <w:r w:rsidRPr="0D0B90D2" w:rsidR="45DA8464">
        <w:rPr>
          <w:rFonts w:eastAsia="Times New Roman" w:cs="Times New Roman"/>
          <w:b/>
          <w:bCs/>
          <w:color w:val="000000" w:themeColor="text1"/>
          <w:sz w:val="24"/>
          <w:szCs w:val="24"/>
        </w:rPr>
        <w:t>Estimates of Annualized Costs for Respondents</w:t>
      </w:r>
    </w:p>
    <w:tbl>
      <w:tblPr>
        <w:tblW w:w="0" w:type="auto"/>
        <w:tblInd w:w="90" w:type="dxa"/>
        <w:tblLayout w:type="fixed"/>
        <w:tblLook w:val="04A0"/>
      </w:tblPr>
      <w:tblGrid>
        <w:gridCol w:w="3015"/>
        <w:gridCol w:w="1890"/>
        <w:gridCol w:w="1365"/>
        <w:gridCol w:w="1365"/>
        <w:gridCol w:w="1365"/>
      </w:tblGrid>
      <w:tr w14:paraId="66433C1D" w14:textId="77777777" w:rsidTr="1F92002E">
        <w:tblPrEx>
          <w:tblW w:w="0" w:type="auto"/>
          <w:tblInd w:w="90" w:type="dxa"/>
          <w:tblLayout w:type="fixed"/>
          <w:tblLook w:val="04A0"/>
        </w:tblPrEx>
        <w:trPr>
          <w:trHeight w:val="945"/>
        </w:trPr>
        <w:tc>
          <w:tcPr>
            <w:tcW w:w="3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5A4C89FC" w14:textId="5904729F">
            <w:pPr>
              <w:jc w:val="center"/>
              <w:rPr>
                <w:rFonts w:eastAsia="Times New Roman" w:cs="Times New Roman"/>
                <w:color w:val="000000" w:themeColor="text1"/>
              </w:rPr>
            </w:pPr>
            <w:r w:rsidRPr="14287EAA">
              <w:rPr>
                <w:rFonts w:eastAsia="Times New Roman" w:cs="Times New Roman"/>
                <w:b/>
                <w:bCs/>
                <w:color w:val="000000" w:themeColor="text1"/>
              </w:rPr>
              <w:t>Tasks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12C4482E" w14:textId="5908BC5D">
            <w:pPr>
              <w:jc w:val="center"/>
              <w:rPr>
                <w:rFonts w:eastAsia="Times New Roman" w:cs="Times New Roman"/>
                <w:color w:val="000000" w:themeColor="text1"/>
              </w:rPr>
            </w:pPr>
            <w:r w:rsidRPr="14287EAA">
              <w:rPr>
                <w:rFonts w:eastAsia="Times New Roman" w:cs="Times New Roman"/>
                <w:b/>
                <w:bCs/>
                <w:color w:val="000000" w:themeColor="text1"/>
              </w:rPr>
              <w:t>Type of Respondent</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27CF2C97" w14:textId="391E3A52">
            <w:pPr>
              <w:jc w:val="center"/>
              <w:rPr>
                <w:rFonts w:eastAsia="Times New Roman" w:cs="Times New Roman"/>
                <w:color w:val="000000" w:themeColor="text1"/>
              </w:rPr>
            </w:pPr>
            <w:r w:rsidRPr="14287EAA">
              <w:rPr>
                <w:rFonts w:eastAsia="Times New Roman" w:cs="Times New Roman"/>
                <w:b/>
                <w:bCs/>
                <w:color w:val="000000" w:themeColor="text1"/>
              </w:rPr>
              <w:t>Total Burden Hours</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56C7ACBC" w14:textId="7AA582AF">
            <w:pPr>
              <w:jc w:val="center"/>
              <w:rPr>
                <w:rFonts w:eastAsia="Times New Roman" w:cs="Times New Roman"/>
                <w:color w:val="000000" w:themeColor="text1"/>
                <w:sz w:val="17"/>
                <w:szCs w:val="17"/>
              </w:rPr>
            </w:pPr>
            <w:r w:rsidRPr="14287EAA">
              <w:rPr>
                <w:rFonts w:eastAsia="Times New Roman" w:cs="Times New Roman"/>
                <w:b/>
                <w:bCs/>
                <w:color w:val="000000" w:themeColor="text1"/>
              </w:rPr>
              <w:t>Hourly Wage Rate</w:t>
            </w:r>
            <w:r w:rsidR="00F22524">
              <w:rPr>
                <w:rFonts w:eastAsia="Times New Roman" w:cs="Times New Roman"/>
                <w:color w:val="000000" w:themeColor="text1"/>
                <w:vertAlign w:val="superscript"/>
              </w:rPr>
              <w:t>*</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60EE314F" w14:textId="66883918">
            <w:pPr>
              <w:jc w:val="center"/>
              <w:rPr>
                <w:rFonts w:eastAsia="Times New Roman" w:cs="Times New Roman"/>
                <w:color w:val="000000" w:themeColor="text1"/>
              </w:rPr>
            </w:pPr>
            <w:r w:rsidRPr="14287EAA">
              <w:rPr>
                <w:rFonts w:eastAsia="Times New Roman" w:cs="Times New Roman"/>
                <w:b/>
                <w:bCs/>
                <w:color w:val="000000" w:themeColor="text1"/>
              </w:rPr>
              <w:t>Monetary Cost of Burden</w:t>
            </w:r>
          </w:p>
        </w:tc>
      </w:tr>
      <w:tr w14:paraId="4DA8224C" w14:textId="77777777" w:rsidTr="1F92002E">
        <w:tblPrEx>
          <w:tblW w:w="0" w:type="auto"/>
          <w:tblInd w:w="90" w:type="dxa"/>
          <w:tblLayout w:type="fixed"/>
          <w:tblLook w:val="04A0"/>
        </w:tblPrEx>
        <w:trPr>
          <w:trHeight w:val="405"/>
        </w:trPr>
        <w:tc>
          <w:tcPr>
            <w:tcW w:w="30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24BEA58B" w14:textId="315C265E">
            <w:pPr>
              <w:rPr>
                <w:rFonts w:eastAsia="Times New Roman" w:cs="Times New Roman"/>
                <w:color w:val="000000" w:themeColor="text1"/>
              </w:rPr>
            </w:pPr>
            <w:r w:rsidRPr="14287EAA">
              <w:rPr>
                <w:rFonts w:eastAsia="Times New Roman" w:cs="Times New Roman"/>
                <w:color w:val="000000" w:themeColor="text1"/>
              </w:rPr>
              <w:t>Staff consent form</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4C163B5E" w14:textId="2B1515E5">
            <w:pPr>
              <w:spacing w:after="0"/>
              <w:rPr>
                <w:rFonts w:eastAsia="Times New Roman" w:cs="Times New Roman"/>
                <w:color w:val="000000" w:themeColor="text1"/>
              </w:rPr>
            </w:pPr>
            <w:r w:rsidRPr="14287EAA">
              <w:rPr>
                <w:rFonts w:eastAsia="Times New Roman" w:cs="Times New Roman"/>
                <w:color w:val="000000" w:themeColor="text1"/>
              </w:rPr>
              <w:t>Teachers</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064F4802" w14:textId="705C5941">
            <w:pPr>
              <w:jc w:val="right"/>
              <w:rPr>
                <w:rFonts w:eastAsia="Times New Roman" w:cs="Times New Roman"/>
                <w:color w:val="000000" w:themeColor="text1"/>
              </w:rPr>
            </w:pPr>
            <w:r w:rsidRPr="14287EAA">
              <w:rPr>
                <w:rFonts w:eastAsia="Times New Roman" w:cs="Times New Roman"/>
                <w:color w:val="000000" w:themeColor="text1"/>
              </w:rPr>
              <w:t>8</w:t>
            </w:r>
            <w:r w:rsidRPr="0D77AB94" w:rsidR="63270423">
              <w:rPr>
                <w:rFonts w:eastAsia="Times New Roman" w:cs="Times New Roman"/>
                <w:color w:val="000000" w:themeColor="text1"/>
              </w:rPr>
              <w:t>.96</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ED58F26" w14:paraId="1C758CB3" w14:textId="25EFCFC9">
            <w:pPr>
              <w:jc w:val="right"/>
              <w:rPr>
                <w:rFonts w:eastAsia="Times New Roman" w:cs="Times New Roman"/>
                <w:color w:val="000000" w:themeColor="text1"/>
              </w:rPr>
            </w:pPr>
            <w:r w:rsidRPr="6481BD34">
              <w:rPr>
                <w:rFonts w:eastAsia="Times New Roman" w:cs="Times New Roman"/>
                <w:color w:val="000000" w:themeColor="text1"/>
              </w:rPr>
              <w:t>$</w:t>
            </w:r>
            <w:r w:rsidRPr="6481BD34" w:rsidR="4514D435">
              <w:rPr>
                <w:rFonts w:eastAsia="Times New Roman" w:cs="Times New Roman"/>
                <w:color w:val="000000" w:themeColor="text1"/>
              </w:rPr>
              <w:t>72.04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65FC9AD6" w14:textId="5E4552D0">
            <w:pPr>
              <w:jc w:val="right"/>
              <w:rPr>
                <w:rFonts w:eastAsia="Times New Roman" w:cs="Times New Roman"/>
                <w:color w:val="000000" w:themeColor="text1"/>
              </w:rPr>
            </w:pPr>
            <w:r w:rsidRPr="60F140AE">
              <w:rPr>
                <w:rFonts w:eastAsia="Times New Roman" w:cs="Times New Roman"/>
                <w:color w:val="000000" w:themeColor="text1"/>
              </w:rPr>
              <w:t>$</w:t>
            </w:r>
            <w:r w:rsidRPr="60F140AE" w:rsidR="51EE80BA">
              <w:rPr>
                <w:rFonts w:eastAsia="Times New Roman" w:cs="Times New Roman"/>
                <w:color w:val="000000" w:themeColor="text1"/>
              </w:rPr>
              <w:t>645.48</w:t>
            </w:r>
          </w:p>
        </w:tc>
      </w:tr>
      <w:tr w14:paraId="6ADC5E82" w14:textId="77777777" w:rsidTr="1F92002E">
        <w:tblPrEx>
          <w:tblW w:w="0" w:type="auto"/>
          <w:tblInd w:w="90" w:type="dxa"/>
          <w:tblLayout w:type="fixed"/>
          <w:tblLook w:val="04A0"/>
        </w:tblPrEx>
        <w:trPr>
          <w:trHeight w:val="720"/>
        </w:trPr>
        <w:tc>
          <w:tcPr>
            <w:tcW w:w="30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25461042" w14:textId="50730994">
            <w:pPr>
              <w:rPr>
                <w:rFonts w:eastAsia="Times New Roman" w:cs="Times New Roman"/>
                <w:color w:val="000000" w:themeColor="text1"/>
              </w:rPr>
            </w:pPr>
            <w:r w:rsidRPr="14287EAA">
              <w:rPr>
                <w:rFonts w:eastAsia="Times New Roman" w:cs="Times New Roman"/>
                <w:color w:val="000000" w:themeColor="text1"/>
              </w:rPr>
              <w:t>Parent information letter with consent form</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55FD6BA3" w14:textId="6EE203B2">
            <w:pPr>
              <w:rPr>
                <w:rFonts w:eastAsia="Times New Roman" w:cs="Times New Roman"/>
                <w:color w:val="000000" w:themeColor="text1"/>
              </w:rPr>
            </w:pPr>
            <w:r w:rsidRPr="14287EAA">
              <w:rPr>
                <w:rFonts w:eastAsia="Times New Roman" w:cs="Times New Roman"/>
                <w:color w:val="000000" w:themeColor="text1"/>
              </w:rPr>
              <w:t>Parent or guardian</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1803A8C7" w14:textId="5B7AFA1A">
            <w:pPr>
              <w:jc w:val="right"/>
              <w:rPr>
                <w:rFonts w:eastAsia="Times New Roman" w:cs="Times New Roman"/>
                <w:color w:val="000000" w:themeColor="text1"/>
              </w:rPr>
            </w:pPr>
            <w:r w:rsidRPr="14287EAA">
              <w:rPr>
                <w:rFonts w:eastAsia="Times New Roman" w:cs="Times New Roman"/>
                <w:color w:val="000000" w:themeColor="text1"/>
              </w:rPr>
              <w:t>320</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099C00E0" w14:textId="255D2F33">
            <w:pPr>
              <w:jc w:val="right"/>
              <w:rPr>
                <w:rFonts w:eastAsia="Times New Roman" w:cs="Times New Roman"/>
                <w:color w:val="000000" w:themeColor="text1"/>
              </w:rPr>
            </w:pPr>
            <w:r w:rsidRPr="14287EAA">
              <w:rPr>
                <w:rFonts w:eastAsia="Times New Roman" w:cs="Times New Roman"/>
                <w:color w:val="000000" w:themeColor="text1"/>
              </w:rPr>
              <w:t>$23.42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4183A6A6" w14:textId="6F7D3EC5">
            <w:pPr>
              <w:jc w:val="right"/>
              <w:rPr>
                <w:rFonts w:eastAsia="Times New Roman" w:cs="Times New Roman"/>
                <w:color w:val="000000" w:themeColor="text1"/>
              </w:rPr>
            </w:pPr>
            <w:r w:rsidRPr="14287EAA">
              <w:rPr>
                <w:rFonts w:eastAsia="Times New Roman" w:cs="Times New Roman"/>
                <w:color w:val="000000" w:themeColor="text1"/>
              </w:rPr>
              <w:t>$7494.40</w:t>
            </w:r>
          </w:p>
        </w:tc>
      </w:tr>
      <w:tr w14:paraId="0930D95D" w14:textId="77777777" w:rsidTr="1F92002E">
        <w:tblPrEx>
          <w:tblW w:w="0" w:type="auto"/>
          <w:tblInd w:w="90" w:type="dxa"/>
          <w:tblLayout w:type="fixed"/>
          <w:tblLook w:val="04A0"/>
        </w:tblPrEx>
        <w:trPr>
          <w:trHeight w:val="435"/>
        </w:trPr>
        <w:tc>
          <w:tcPr>
            <w:tcW w:w="30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69DED124" w14:textId="6394D769">
            <w:pPr>
              <w:rPr>
                <w:rFonts w:eastAsia="Times New Roman" w:cs="Times New Roman"/>
                <w:color w:val="000000" w:themeColor="text1"/>
              </w:rPr>
            </w:pPr>
            <w:r w:rsidRPr="14287EAA">
              <w:rPr>
                <w:rFonts w:eastAsia="Times New Roman" w:cs="Times New Roman"/>
                <w:color w:val="000000" w:themeColor="text1"/>
              </w:rPr>
              <w:t>Teacher Measures</w:t>
            </w:r>
          </w:p>
          <w:p w:rsidR="14287EAA" w:rsidP="14287EAA" w14:paraId="63488B13" w14:textId="3171F57C">
            <w:pPr>
              <w:ind w:left="180"/>
              <w:rPr>
                <w:rFonts w:eastAsia="Times New Roman" w:cs="Times New Roman"/>
                <w:color w:val="000000" w:themeColor="text1"/>
              </w:rPr>
            </w:pPr>
            <w:r w:rsidRPr="14287EAA">
              <w:rPr>
                <w:rFonts w:eastAsia="Times New Roman" w:cs="Times New Roman"/>
                <w:color w:val="000000" w:themeColor="text1"/>
              </w:rPr>
              <w:t>DTAMS</w:t>
            </w:r>
          </w:p>
          <w:p w:rsidR="14287EAA" w:rsidP="14287EAA" w14:paraId="19CEAEED" w14:textId="20A8A08A">
            <w:pPr>
              <w:ind w:left="180"/>
              <w:rPr>
                <w:rFonts w:eastAsia="Times New Roman" w:cs="Times New Roman"/>
                <w:color w:val="000000" w:themeColor="text1"/>
              </w:rPr>
            </w:pPr>
            <w:r w:rsidRPr="14287EAA">
              <w:rPr>
                <w:rFonts w:eastAsia="Times New Roman" w:cs="Times New Roman"/>
                <w:color w:val="000000" w:themeColor="text1"/>
              </w:rPr>
              <w:t>CVA</w:t>
            </w:r>
          </w:p>
          <w:p w:rsidR="14287EAA" w:rsidP="14287EAA" w14:paraId="759F2B17" w14:textId="0133EC7E">
            <w:pPr>
              <w:ind w:left="180"/>
              <w:rPr>
                <w:rFonts w:eastAsia="Times New Roman" w:cs="Times New Roman"/>
                <w:color w:val="000000" w:themeColor="text1"/>
              </w:rPr>
            </w:pPr>
            <w:r w:rsidRPr="14287EAA">
              <w:rPr>
                <w:rFonts w:eastAsia="Times New Roman" w:cs="Times New Roman"/>
                <w:color w:val="000000" w:themeColor="text1"/>
              </w:rPr>
              <w:t>Pre</w:t>
            </w:r>
            <w:r w:rsidRPr="0D77AB94" w:rsidR="3D930B58">
              <w:rPr>
                <w:rFonts w:eastAsia="Times New Roman" w:cs="Times New Roman"/>
                <w:color w:val="000000" w:themeColor="text1"/>
              </w:rPr>
              <w:t>-</w:t>
            </w:r>
            <w:r w:rsidRPr="14287EAA">
              <w:rPr>
                <w:rFonts w:eastAsia="Times New Roman" w:cs="Times New Roman"/>
                <w:color w:val="000000" w:themeColor="text1"/>
              </w:rPr>
              <w:t>Survey</w:t>
            </w:r>
          </w:p>
          <w:p w:rsidR="14287EAA" w:rsidP="14287EAA" w14:paraId="5BEB37B6" w14:textId="312D5A01">
            <w:pPr>
              <w:ind w:left="180"/>
              <w:rPr>
                <w:rFonts w:eastAsia="Times New Roman" w:cs="Times New Roman"/>
                <w:color w:val="000000" w:themeColor="text1"/>
              </w:rPr>
            </w:pPr>
            <w:r w:rsidRPr="14287EAA">
              <w:rPr>
                <w:rFonts w:eastAsia="Times New Roman" w:cs="Times New Roman"/>
                <w:color w:val="000000" w:themeColor="text1"/>
              </w:rPr>
              <w:t>Post</w:t>
            </w:r>
            <w:r w:rsidRPr="0D77AB94" w:rsidR="40681805">
              <w:rPr>
                <w:rFonts w:eastAsia="Times New Roman" w:cs="Times New Roman"/>
                <w:color w:val="000000" w:themeColor="text1"/>
              </w:rPr>
              <w:t>-</w:t>
            </w:r>
            <w:r w:rsidRPr="14287EAA">
              <w:rPr>
                <w:rFonts w:eastAsia="Times New Roman" w:cs="Times New Roman"/>
                <w:color w:val="000000" w:themeColor="text1"/>
              </w:rPr>
              <w:t>Survey</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274BAAEB" w14:textId="2CC2831A">
            <w:pPr>
              <w:rPr>
                <w:rFonts w:eastAsia="Times New Roman" w:cs="Times New Roman"/>
                <w:color w:val="000000" w:themeColor="text1"/>
              </w:rPr>
            </w:pPr>
            <w:r w:rsidRPr="14287EAA">
              <w:rPr>
                <w:rFonts w:eastAsia="Times New Roman" w:cs="Times New Roman"/>
                <w:color w:val="000000" w:themeColor="text1"/>
              </w:rPr>
              <w:t>Teachers</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3E9DD587" w14:textId="69FF2C17">
            <w:pPr>
              <w:jc w:val="right"/>
              <w:rPr>
                <w:rFonts w:eastAsia="Times New Roman" w:cs="Times New Roman"/>
                <w:color w:val="000000" w:themeColor="text1"/>
              </w:rPr>
            </w:pPr>
            <w:r w:rsidRPr="1F92002E">
              <w:rPr>
                <w:rFonts w:eastAsia="Times New Roman" w:cs="Times New Roman"/>
                <w:color w:val="000000" w:themeColor="text1"/>
              </w:rPr>
              <w:t>3</w:t>
            </w:r>
            <w:r w:rsidRPr="1F92002E" w:rsidR="0BE119E8">
              <w:rPr>
                <w:rFonts w:eastAsia="Times New Roman" w:cs="Times New Roman"/>
                <w:color w:val="000000" w:themeColor="text1"/>
              </w:rPr>
              <w:t>92</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ED58F26" w14:paraId="1BF16B91" w14:textId="2148CD7C">
            <w:pPr>
              <w:spacing w:after="0"/>
              <w:jc w:val="right"/>
              <w:rPr>
                <w:rFonts w:eastAsia="Times New Roman" w:cs="Times New Roman"/>
                <w:color w:val="000000" w:themeColor="text1"/>
              </w:rPr>
            </w:pPr>
            <w:r w:rsidRPr="60F140AE">
              <w:rPr>
                <w:rFonts w:eastAsia="Times New Roman" w:cs="Times New Roman"/>
                <w:color w:val="000000" w:themeColor="text1"/>
              </w:rPr>
              <w:t>$</w:t>
            </w:r>
            <w:r w:rsidRPr="60F140AE" w:rsidR="7367E980">
              <w:rPr>
                <w:rFonts w:eastAsia="Times New Roman" w:cs="Times New Roman"/>
                <w:color w:val="000000" w:themeColor="text1"/>
              </w:rPr>
              <w:t>72.04</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0E9192C8" w14:textId="545D84C5">
            <w:pPr>
              <w:jc w:val="right"/>
              <w:rPr>
                <w:rFonts w:eastAsia="Times New Roman" w:cs="Times New Roman"/>
                <w:color w:val="000000" w:themeColor="text1"/>
              </w:rPr>
            </w:pPr>
            <w:r w:rsidRPr="60F140AE">
              <w:rPr>
                <w:rFonts w:eastAsia="Times New Roman" w:cs="Times New Roman"/>
                <w:color w:val="000000" w:themeColor="text1"/>
              </w:rPr>
              <w:t>$</w:t>
            </w:r>
            <w:r w:rsidRPr="60F140AE" w:rsidR="03B8ADA4">
              <w:rPr>
                <w:rFonts w:eastAsia="Times New Roman" w:cs="Times New Roman"/>
                <w:color w:val="000000" w:themeColor="text1"/>
              </w:rPr>
              <w:t>25,214.00</w:t>
            </w:r>
          </w:p>
        </w:tc>
      </w:tr>
      <w:tr w14:paraId="3EF0E4BA" w14:textId="77777777" w:rsidTr="1F92002E">
        <w:tblPrEx>
          <w:tblW w:w="0" w:type="auto"/>
          <w:tblInd w:w="90" w:type="dxa"/>
          <w:tblLayout w:type="fixed"/>
          <w:tblLook w:val="04A0"/>
        </w:tblPrEx>
        <w:trPr>
          <w:trHeight w:val="435"/>
        </w:trPr>
        <w:tc>
          <w:tcPr>
            <w:tcW w:w="30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4CD1FD3D" w14:textId="2DFBA127">
            <w:pPr>
              <w:spacing w:after="0"/>
              <w:rPr>
                <w:rFonts w:eastAsia="Times New Roman" w:cs="Times New Roman"/>
                <w:color w:val="000000" w:themeColor="text1"/>
              </w:rPr>
            </w:pPr>
            <w:r w:rsidRPr="14287EAA">
              <w:rPr>
                <w:rFonts w:eastAsia="Times New Roman" w:cs="Times New Roman"/>
                <w:color w:val="000000" w:themeColor="text1"/>
              </w:rPr>
              <w:t>Student Measures</w:t>
            </w:r>
          </w:p>
          <w:p w:rsidR="14287EAA" w:rsidP="14287EAA" w14:paraId="2F017A4D" w14:textId="0083080E">
            <w:pPr>
              <w:spacing w:after="0"/>
              <w:ind w:firstLine="180"/>
              <w:rPr>
                <w:rFonts w:eastAsia="Times New Roman" w:cs="Times New Roman"/>
                <w:color w:val="000000" w:themeColor="text1"/>
              </w:rPr>
            </w:pPr>
            <w:r w:rsidRPr="14287EAA">
              <w:rPr>
                <w:rFonts w:eastAsia="Times New Roman" w:cs="Times New Roman"/>
                <w:color w:val="000000" w:themeColor="text1"/>
              </w:rPr>
              <w:t>PPS</w:t>
            </w:r>
          </w:p>
          <w:p w:rsidR="14287EAA" w:rsidP="14287EAA" w14:paraId="2AE9FCCB" w14:textId="378F8992">
            <w:pPr>
              <w:spacing w:after="0"/>
              <w:ind w:firstLine="180"/>
              <w:rPr>
                <w:rFonts w:eastAsia="Times New Roman" w:cs="Times New Roman"/>
                <w:color w:val="000000" w:themeColor="text1"/>
              </w:rPr>
            </w:pPr>
            <w:r w:rsidRPr="14287EAA">
              <w:rPr>
                <w:rFonts w:eastAsia="Times New Roman" w:cs="Times New Roman"/>
                <w:color w:val="000000" w:themeColor="text1"/>
              </w:rPr>
              <w:t xml:space="preserve">VR </w:t>
            </w:r>
            <w:r w:rsidRPr="14287EAA" w:rsidR="6D481CDD">
              <w:rPr>
                <w:rFonts w:eastAsia="Times New Roman" w:cs="Times New Roman"/>
                <w:color w:val="000000" w:themeColor="text1"/>
              </w:rPr>
              <w:t>Measure</w:t>
            </w:r>
          </w:p>
          <w:p w:rsidR="14287EAA" w:rsidP="14287EAA" w14:paraId="649D6552" w14:textId="02CFCF79">
            <w:pPr>
              <w:spacing w:after="0"/>
              <w:ind w:firstLine="180"/>
              <w:rPr>
                <w:rFonts w:eastAsia="Times New Roman" w:cs="Times New Roman"/>
                <w:color w:val="000000" w:themeColor="text1"/>
              </w:rPr>
            </w:pPr>
            <w:r w:rsidRPr="14287EAA">
              <w:rPr>
                <w:rFonts w:eastAsia="Times New Roman" w:cs="Times New Roman"/>
                <w:color w:val="000000" w:themeColor="text1"/>
              </w:rPr>
              <w:t>PISA Math Self Concept</w:t>
            </w:r>
          </w:p>
          <w:p w:rsidR="14287EAA" w:rsidP="14287EAA" w14:paraId="17B2E8F4" w14:textId="1881E102">
            <w:pPr>
              <w:spacing w:after="0"/>
              <w:ind w:firstLine="180"/>
              <w:rPr>
                <w:rFonts w:eastAsia="Times New Roman" w:cs="Times New Roman"/>
                <w:color w:val="000000" w:themeColor="text1"/>
              </w:rPr>
            </w:pPr>
            <w:r w:rsidRPr="14287EAA">
              <w:rPr>
                <w:rFonts w:eastAsia="Times New Roman" w:cs="Times New Roman"/>
                <w:color w:val="000000" w:themeColor="text1"/>
              </w:rPr>
              <w:t>PISA Math Anxiety</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5AB80BAF" w14:textId="7E6C7026">
            <w:pPr>
              <w:spacing w:after="0"/>
              <w:rPr>
                <w:rFonts w:eastAsia="Times New Roman" w:cs="Times New Roman"/>
                <w:color w:val="000000" w:themeColor="text1"/>
              </w:rPr>
            </w:pPr>
            <w:r w:rsidRPr="14287EAA">
              <w:rPr>
                <w:rFonts w:eastAsia="Times New Roman" w:cs="Times New Roman"/>
                <w:color w:val="000000" w:themeColor="text1"/>
              </w:rPr>
              <w:t>Students</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6B9F8F9A" w14:textId="085D78BF">
            <w:pPr>
              <w:jc w:val="right"/>
              <w:rPr>
                <w:rFonts w:eastAsia="Times New Roman" w:cs="Times New Roman"/>
                <w:color w:val="000000" w:themeColor="text1"/>
              </w:rPr>
            </w:pPr>
            <w:r w:rsidRPr="14287EAA">
              <w:rPr>
                <w:rFonts w:eastAsia="Times New Roman" w:cs="Times New Roman"/>
                <w:color w:val="000000" w:themeColor="text1"/>
              </w:rPr>
              <w:t>10,560</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6FE22D86" w14:textId="4194A617">
            <w:pPr>
              <w:jc w:val="right"/>
              <w:rPr>
                <w:rFonts w:eastAsia="Times New Roman" w:cs="Times New Roman"/>
                <w:color w:val="000000" w:themeColor="text1"/>
              </w:rPr>
            </w:pPr>
            <w:r w:rsidRPr="14287EAA">
              <w:rPr>
                <w:rFonts w:eastAsia="Times New Roman" w:cs="Times New Roman"/>
                <w:color w:val="000000" w:themeColor="text1"/>
              </w:rPr>
              <w:t>$0</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4287EAA" w:rsidP="14287EAA" w14:paraId="26CE58AC" w14:textId="4456F891">
            <w:pPr>
              <w:jc w:val="right"/>
              <w:rPr>
                <w:rFonts w:eastAsia="Times New Roman" w:cs="Times New Roman"/>
                <w:color w:val="000000" w:themeColor="text1"/>
              </w:rPr>
            </w:pPr>
            <w:r w:rsidRPr="14287EAA">
              <w:rPr>
                <w:rFonts w:eastAsia="Times New Roman" w:cs="Times New Roman"/>
                <w:color w:val="000000" w:themeColor="text1"/>
              </w:rPr>
              <w:t>$0</w:t>
            </w:r>
          </w:p>
        </w:tc>
      </w:tr>
      <w:tr w14:paraId="0A693C7C" w14:textId="77777777" w:rsidTr="1F92002E">
        <w:tblPrEx>
          <w:tblW w:w="0" w:type="auto"/>
          <w:tblInd w:w="90" w:type="dxa"/>
          <w:tblLayout w:type="fixed"/>
          <w:tblLook w:val="04A0"/>
        </w:tblPrEx>
        <w:trPr>
          <w:trHeight w:val="315"/>
        </w:trPr>
        <w:tc>
          <w:tcPr>
            <w:tcW w:w="490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47C5DD9B" w14:textId="053A8BE0">
            <w:pPr>
              <w:jc w:val="center"/>
              <w:rPr>
                <w:rFonts w:eastAsia="Times New Roman" w:cs="Times New Roman"/>
                <w:color w:val="000000" w:themeColor="text1"/>
              </w:rPr>
            </w:pPr>
            <w:r w:rsidRPr="14287EAA">
              <w:rPr>
                <w:rFonts w:eastAsia="Times New Roman" w:cs="Times New Roman"/>
                <w:b/>
                <w:bCs/>
                <w:color w:val="000000" w:themeColor="text1"/>
              </w:rPr>
              <w:t>Total</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0D77AB94" w14:paraId="412F8A9B" w14:textId="6328DE3A">
            <w:pPr>
              <w:rPr>
                <w:rFonts w:eastAsia="Times New Roman" w:cs="Times New Roman"/>
                <w:color w:val="000000" w:themeColor="text1"/>
              </w:rPr>
            </w:pPr>
            <w:r w:rsidRPr="14287EAA">
              <w:rPr>
                <w:rFonts w:eastAsia="Times New Roman" w:cs="Times New Roman"/>
                <w:b/>
                <w:bCs/>
                <w:color w:val="000000" w:themeColor="text1"/>
              </w:rPr>
              <w:t>11,</w:t>
            </w:r>
            <w:r w:rsidRPr="0D77AB94" w:rsidR="6127956C">
              <w:rPr>
                <w:rFonts w:eastAsia="Times New Roman" w:cs="Times New Roman"/>
                <w:b/>
                <w:bCs/>
                <w:color w:val="000000" w:themeColor="text1"/>
              </w:rPr>
              <w:t>280.96</w:t>
            </w: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27425E49" w14:textId="63C333EB">
            <w:pPr>
              <w:rPr>
                <w:rFonts w:ascii="Calibri" w:eastAsia="Calibri" w:hAnsi="Calibri" w:cs="Calibri"/>
              </w:rPr>
            </w:pPr>
          </w:p>
        </w:tc>
        <w:tc>
          <w:tcPr>
            <w:tcW w:w="13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rsidR="14287EAA" w:rsidP="14287EAA" w14:paraId="7A933EE2" w14:textId="2E22D372">
            <w:pPr>
              <w:jc w:val="right"/>
              <w:rPr>
                <w:rFonts w:eastAsia="Times New Roman" w:cs="Times New Roman"/>
                <w:color w:val="000000" w:themeColor="text1"/>
              </w:rPr>
            </w:pPr>
            <w:r w:rsidRPr="60F140AE">
              <w:rPr>
                <w:rFonts w:eastAsia="Times New Roman" w:cs="Times New Roman"/>
                <w:b/>
                <w:bCs/>
                <w:color w:val="000000" w:themeColor="text1"/>
              </w:rPr>
              <w:t>$</w:t>
            </w:r>
            <w:r w:rsidRPr="60F140AE" w:rsidR="67690D07">
              <w:rPr>
                <w:rFonts w:eastAsia="Times New Roman" w:cs="Times New Roman"/>
                <w:b/>
                <w:bCs/>
                <w:color w:val="000000" w:themeColor="text1"/>
              </w:rPr>
              <w:t>33,353.88</w:t>
            </w:r>
          </w:p>
        </w:tc>
      </w:tr>
    </w:tbl>
    <w:p w:rsidR="009C55A5" w:rsidRPr="009C55A5" w:rsidP="14287EAA" w14:paraId="4724C5E0" w14:textId="6BAC7879">
      <w:pPr>
        <w:rPr>
          <w:rFonts w:eastAsia="Times New Roman" w:cs="Times New Roman"/>
          <w:color w:val="000000" w:themeColor="text1"/>
          <w:sz w:val="20"/>
          <w:szCs w:val="20"/>
        </w:rPr>
      </w:pPr>
      <w:r w:rsidRPr="60F140AE">
        <w:rPr>
          <w:rFonts w:eastAsia="Times New Roman" w:cs="Times New Roman"/>
          <w:color w:val="000000" w:themeColor="text1"/>
          <w:sz w:val="20"/>
          <w:szCs w:val="20"/>
          <w:vertAlign w:val="superscript"/>
        </w:rPr>
        <w:t>*</w:t>
      </w:r>
      <w:r w:rsidRPr="60F140AE" w:rsidR="58FB6132">
        <w:rPr>
          <w:rFonts w:eastAsia="Times New Roman" w:cs="Times New Roman"/>
          <w:color w:val="000000" w:themeColor="text1"/>
          <w:sz w:val="20"/>
          <w:szCs w:val="20"/>
        </w:rPr>
        <w:t>The</w:t>
      </w:r>
      <w:r w:rsidRPr="60F140AE" w:rsidR="58FB6132">
        <w:rPr>
          <w:rFonts w:eastAsia="Times New Roman" w:cs="Times New Roman"/>
          <w:color w:val="000000" w:themeColor="text1"/>
          <w:sz w:val="20"/>
          <w:szCs w:val="20"/>
          <w:vertAlign w:val="superscript"/>
        </w:rPr>
        <w:t xml:space="preserve"> </w:t>
      </w:r>
      <w:r w:rsidRPr="60F140AE" w:rsidR="58FB6132">
        <w:rPr>
          <w:rFonts w:eastAsia="Times New Roman" w:cs="Times New Roman"/>
          <w:color w:val="000000" w:themeColor="text1"/>
          <w:sz w:val="20"/>
          <w:szCs w:val="20"/>
        </w:rPr>
        <w:t>hourly wage rates for parents and school staff are based on mean wage rates in Connecticut reported by the Bureau of Labor Statistics (2021). For parents, the overall median hourly wage rate in Connecticut is used ($23.42). To estimate an hourly wage rate for teachers, we divided</w:t>
      </w:r>
      <w:r w:rsidRPr="60F140AE" w:rsidR="380D4727">
        <w:rPr>
          <w:rFonts w:eastAsia="Times New Roman" w:cs="Times New Roman"/>
          <w:color w:val="000000" w:themeColor="text1"/>
          <w:sz w:val="20"/>
          <w:szCs w:val="20"/>
        </w:rPr>
        <w:t xml:space="preserve"> the</w:t>
      </w:r>
      <w:r w:rsidRPr="60F140AE" w:rsidR="58FB6132">
        <w:rPr>
          <w:rFonts w:eastAsia="Times New Roman" w:cs="Times New Roman"/>
          <w:color w:val="000000" w:themeColor="text1"/>
          <w:sz w:val="20"/>
          <w:szCs w:val="20"/>
        </w:rPr>
        <w:t xml:space="preserve"> </w:t>
      </w:r>
      <w:r w:rsidRPr="60F140AE" w:rsidR="413CC367">
        <w:rPr>
          <w:rFonts w:eastAsia="Times New Roman" w:cs="Times New Roman"/>
          <w:color w:val="000000" w:themeColor="text1"/>
          <w:sz w:val="20"/>
          <w:szCs w:val="20"/>
        </w:rPr>
        <w:t>90th percentile secondary teacher salary ($103,740</w:t>
      </w:r>
      <w:r w:rsidRPr="60F140AE" w:rsidR="413CC367">
        <w:rPr>
          <w:rFonts w:eastAsia="Times New Roman" w:cs="Times New Roman"/>
          <w:color w:val="000000" w:themeColor="text1"/>
          <w:sz w:val="20"/>
          <w:szCs w:val="20"/>
        </w:rPr>
        <w:t xml:space="preserve">) </w:t>
      </w:r>
      <w:r w:rsidRPr="60F140AE" w:rsidR="00F22524">
        <w:rPr>
          <w:rFonts w:eastAsia="Times New Roman" w:cs="Times New Roman"/>
          <w:color w:val="000000" w:themeColor="text1"/>
          <w:sz w:val="20"/>
          <w:szCs w:val="20"/>
        </w:rPr>
        <w:t xml:space="preserve"> </w:t>
      </w:r>
      <w:r w:rsidRPr="60F140AE" w:rsidR="58FB6132">
        <w:rPr>
          <w:rFonts w:eastAsia="Times New Roman" w:cs="Times New Roman"/>
          <w:color w:val="000000" w:themeColor="text1"/>
          <w:sz w:val="20"/>
          <w:szCs w:val="20"/>
        </w:rPr>
        <w:t>by</w:t>
      </w:r>
      <w:r w:rsidRPr="60F140AE" w:rsidR="58FB6132">
        <w:rPr>
          <w:rFonts w:eastAsia="Times New Roman" w:cs="Times New Roman"/>
          <w:color w:val="000000" w:themeColor="text1"/>
          <w:sz w:val="20"/>
          <w:szCs w:val="20"/>
        </w:rPr>
        <w:t xml:space="preserve"> 180 8-hour work days. Because students will take the survey and assessment during school hours, it is assumed that no costs will result from students participating in the data collection.</w:t>
      </w:r>
    </w:p>
    <w:p w:rsidR="009C55A5" w:rsidRPr="009C55A5" w:rsidP="009C55A5" w14:paraId="3404FC3B" w14:textId="662F204B">
      <w:pPr>
        <w:rPr>
          <w:rFonts w:eastAsia="Times New Roman" w:cs="Times New Roman"/>
          <w:color w:val="000000" w:themeColor="text1"/>
          <w:sz w:val="20"/>
          <w:szCs w:val="20"/>
        </w:rPr>
      </w:pPr>
      <w:r w:rsidRPr="14287EAA">
        <w:rPr>
          <w:rFonts w:eastAsia="Times New Roman" w:cs="Times New Roman"/>
          <w:i/>
          <w:iCs/>
          <w:color w:val="000000" w:themeColor="text1"/>
          <w:sz w:val="20"/>
          <w:szCs w:val="20"/>
        </w:rPr>
        <w:t>Note.</w:t>
      </w:r>
      <w:r w:rsidRPr="14287EAA">
        <w:rPr>
          <w:rFonts w:eastAsia="Times New Roman" w:cs="Times New Roman"/>
          <w:color w:val="000000" w:themeColor="text1"/>
          <w:sz w:val="20"/>
          <w:szCs w:val="20"/>
        </w:rPr>
        <w:t xml:space="preserve"> The total burden hours and wage rates were rounded for display only. Therefore, the total monetary cost may not equal the product of the displayed burden hours and the wage rate.</w:t>
      </w:r>
    </w:p>
    <w:p w:rsidR="0010692A" w:rsidP="0010692A" w14:paraId="0D59AF4F" w14:textId="4D7290CB">
      <w:pPr>
        <w:pStyle w:val="Heading2"/>
        <w:numPr>
          <w:ilvl w:val="0"/>
          <w:numId w:val="15"/>
        </w:numPr>
      </w:pPr>
      <w:bookmarkStart w:id="18" w:name="_Toc116659898"/>
      <w:r>
        <w:t>Estimates of Annualized Cost to the Federal Government</w:t>
      </w:r>
      <w:bookmarkEnd w:id="18"/>
    </w:p>
    <w:p w:rsidR="009C55A5" w:rsidRPr="009C55A5" w:rsidP="7EE5783F" w14:paraId="322F1AE2" w14:textId="2F6DEFC0">
      <w:pPr>
        <w:spacing w:before="240"/>
      </w:pPr>
      <w:r>
        <w:t>The annualized cost to the federal government for all project activities is $</w:t>
      </w:r>
      <w:r w:rsidR="2CC7D754">
        <w:t>433,311</w:t>
      </w:r>
      <w:r>
        <w:t>. The estimated total cost for the five-year project is $</w:t>
      </w:r>
      <w:r w:rsidR="00697483">
        <w:t>2,</w:t>
      </w:r>
      <w:r w:rsidR="12FCD254">
        <w:t>166,566</w:t>
      </w:r>
      <w:r>
        <w:t>.</w:t>
      </w:r>
    </w:p>
    <w:p w:rsidR="009C55A5" w:rsidP="009C55A5" w14:paraId="7BCEC7BF" w14:textId="0FAD1B14">
      <w:pPr>
        <w:pStyle w:val="Heading2"/>
        <w:numPr>
          <w:ilvl w:val="0"/>
          <w:numId w:val="15"/>
        </w:numPr>
      </w:pPr>
      <w:bookmarkStart w:id="19" w:name="_Toc116659899"/>
      <w:r>
        <w:t>Reasons for Program Changes or Adjustments</w:t>
      </w:r>
      <w:bookmarkEnd w:id="19"/>
    </w:p>
    <w:p w:rsidR="00636448" w:rsidRPr="009C55A5" w:rsidP="7EE5783F" w14:paraId="5BADEFBE" w14:textId="4E7E424A">
      <w:pPr>
        <w:spacing w:before="240"/>
      </w:pPr>
      <w:r>
        <w:t>This is a new study.</w:t>
      </w:r>
    </w:p>
    <w:p w:rsidR="0010692A" w:rsidP="0010692A" w14:paraId="0D20A6D2" w14:textId="2CE2EDAD">
      <w:pPr>
        <w:pStyle w:val="Heading2"/>
        <w:numPr>
          <w:ilvl w:val="0"/>
          <w:numId w:val="15"/>
        </w:numPr>
      </w:pPr>
      <w:bookmarkStart w:id="20" w:name="_Toc116659900"/>
      <w:r>
        <w:t>Plan for Tabulation and Publication and Schedule for Project</w:t>
      </w:r>
      <w:bookmarkEnd w:id="20"/>
    </w:p>
    <w:p w:rsidR="009C55A5" w:rsidRPr="009C55A5" w:rsidP="009C55A5" w14:paraId="7F5506D6" w14:textId="77777777">
      <w:pPr>
        <w:rPr>
          <w:color w:val="FF0000"/>
        </w:rPr>
      </w:pPr>
    </w:p>
    <w:p w:rsidR="7EE5783F" w:rsidP="18AC26EE" w14:paraId="7757DFD2" w14:textId="7AF82C87">
      <w:pPr>
        <w:rPr>
          <w:rFonts w:eastAsia="Times New Roman" w:cs="Times New Roman"/>
          <w:sz w:val="24"/>
          <w:szCs w:val="24"/>
        </w:rPr>
      </w:pPr>
      <w:r w:rsidRPr="18AC26EE">
        <w:rPr>
          <w:rFonts w:eastAsia="Times New Roman" w:cs="Times New Roman"/>
          <w:sz w:val="24"/>
          <w:szCs w:val="24"/>
        </w:rPr>
        <w:t>The project will result in a 15-page report and a 1-page summary. In addition to the report, we will create an infographic for Connecticut district leaders about impacts of VAM PD for teachers and students. We will also create a video for district leaders that provides information about VAM PD and includes footage of VAM PD participants. With a CSDE partner, we will co-author a blog featuring findings and experiences and will share it via the newsletter and social media. We will also share findings in a webinar for district leaders that will be recorded and archived on the REL-NEI website, and we will plan to present findings at a practitioner-focused conference. Partnership leads and members will support dissemination, including through connections with the Connecticut mathematics and MLL organizations, as well as through the REL-NEI Governing Board.</w:t>
      </w:r>
    </w:p>
    <w:p w:rsidR="00696F89" w:rsidP="18AC26EE" w14:paraId="4E1CA397" w14:textId="6C872285">
      <w:pPr>
        <w:rPr>
          <w:rFonts w:eastAsia="Times New Roman" w:cs="Times New Roman"/>
          <w:sz w:val="24"/>
          <w:szCs w:val="24"/>
        </w:rPr>
      </w:pPr>
      <w:r w:rsidRPr="008D1118">
        <w:rPr>
          <w:rFonts w:eastAsia="Times New Roman" w:cs="Times New Roman"/>
          <w:sz w:val="24"/>
          <w:szCs w:val="24"/>
        </w:rPr>
        <w:t>We will provide one Restricted Use file, with all teacher and student data aggregated to the school level.</w:t>
      </w:r>
      <w:r>
        <w:rPr>
          <w:rFonts w:eastAsia="Times New Roman" w:cs="Times New Roman"/>
          <w:sz w:val="24"/>
          <w:szCs w:val="24"/>
        </w:rPr>
        <w:t xml:space="preserve"> </w:t>
      </w:r>
      <w:r w:rsidRPr="00696F89">
        <w:rPr>
          <w:rFonts w:eastAsia="Times New Roman" w:cs="Times New Roman"/>
          <w:sz w:val="24"/>
          <w:szCs w:val="24"/>
        </w:rPr>
        <w:t>All restricted use files are required to be reviewed by IES’ Disclosure Review Board. The Disclosure Review Board (DRB) comprised of members from each NCES Division, representatives from the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files.</w:t>
      </w:r>
    </w:p>
    <w:p w:rsidR="7EE5783F" w:rsidP="18AC26EE" w14:paraId="3B7B05F6" w14:textId="3F2C2621">
      <w:pPr>
        <w:rPr>
          <w:rFonts w:eastAsia="Calibri"/>
          <w:sz w:val="24"/>
          <w:szCs w:val="24"/>
        </w:rPr>
      </w:pPr>
      <w:r w:rsidRPr="18AC26EE">
        <w:rPr>
          <w:rFonts w:eastAsia="Calibri"/>
          <w:sz w:val="24"/>
          <w:szCs w:val="24"/>
        </w:rPr>
        <w:t xml:space="preserve">The project schedule is presented </w:t>
      </w:r>
      <w:r w:rsidR="005B3D0C">
        <w:rPr>
          <w:rFonts w:eastAsia="Calibri"/>
          <w:sz w:val="24"/>
          <w:szCs w:val="24"/>
        </w:rPr>
        <w:t>below:</w:t>
      </w:r>
    </w:p>
    <w:tbl>
      <w:tblPr>
        <w:tblW w:w="10026" w:type="dxa"/>
        <w:tblLayout w:type="fixed"/>
        <w:tblLook w:val="04A0"/>
      </w:tblPr>
      <w:tblGrid>
        <w:gridCol w:w="3768"/>
        <w:gridCol w:w="449"/>
        <w:gridCol w:w="423"/>
        <w:gridCol w:w="436"/>
        <w:gridCol w:w="449"/>
        <w:gridCol w:w="542"/>
        <w:gridCol w:w="436"/>
        <w:gridCol w:w="449"/>
        <w:gridCol w:w="542"/>
        <w:gridCol w:w="516"/>
        <w:gridCol w:w="236"/>
        <w:gridCol w:w="423"/>
        <w:gridCol w:w="236"/>
        <w:gridCol w:w="436"/>
        <w:gridCol w:w="236"/>
        <w:gridCol w:w="449"/>
      </w:tblGrid>
      <w:tr w14:paraId="2468D1C4" w14:textId="77777777" w:rsidTr="00DB0104">
        <w:tblPrEx>
          <w:tblW w:w="10026" w:type="dxa"/>
          <w:tblLayout w:type="fixed"/>
          <w:tblLook w:val="04A0"/>
        </w:tblPrEx>
        <w:trPr>
          <w:trHeight w:val="20"/>
        </w:trPr>
        <w:tc>
          <w:tcPr>
            <w:tcW w:w="3768" w:type="dxa"/>
            <w:vMerge w:val="restart"/>
            <w:tcBorders>
              <w:top w:val="single" w:sz="8" w:space="0" w:color="auto"/>
              <w:left w:val="single" w:sz="8" w:space="0" w:color="auto"/>
              <w:bottom w:val="single" w:sz="8" w:space="0" w:color="auto"/>
              <w:right w:val="single" w:sz="8" w:space="0" w:color="auto"/>
            </w:tcBorders>
            <w:vAlign w:val="center"/>
          </w:tcPr>
          <w:p w:rsidR="18AC26EE" w:rsidP="00DB0104" w14:paraId="20218B30" w14:textId="727FFD36">
            <w:pPr>
              <w:spacing w:after="0" w:line="240" w:lineRule="auto"/>
              <w:jc w:val="center"/>
            </w:pPr>
            <w:r w:rsidRPr="18AC26EE">
              <w:rPr>
                <w:rFonts w:eastAsia="Times New Roman" w:cs="Times New Roman"/>
                <w:b/>
                <w:bCs/>
                <w:color w:val="000000" w:themeColor="text1"/>
                <w:sz w:val="20"/>
                <w:szCs w:val="20"/>
              </w:rPr>
              <w:t>Activity/Milestone</w:t>
            </w:r>
          </w:p>
        </w:tc>
        <w:tc>
          <w:tcPr>
            <w:tcW w:w="6258" w:type="dxa"/>
            <w:gridSpan w:val="15"/>
            <w:tcBorders>
              <w:top w:val="single" w:sz="8" w:space="0" w:color="auto"/>
              <w:left w:val="single" w:sz="8" w:space="0" w:color="auto"/>
              <w:bottom w:val="single" w:sz="8" w:space="0" w:color="auto"/>
              <w:right w:val="single" w:sz="8" w:space="0" w:color="auto"/>
            </w:tcBorders>
          </w:tcPr>
          <w:p w:rsidR="18AC26EE" w:rsidP="00DB0104" w14:paraId="7F79B025" w14:textId="3C116D97">
            <w:pPr>
              <w:spacing w:after="0" w:line="240" w:lineRule="auto"/>
              <w:jc w:val="center"/>
            </w:pPr>
            <w:r w:rsidRPr="18AC26EE">
              <w:rPr>
                <w:rFonts w:eastAsia="Times New Roman" w:cs="Times New Roman"/>
                <w:b/>
                <w:bCs/>
                <w:color w:val="000000" w:themeColor="text1"/>
                <w:sz w:val="20"/>
                <w:szCs w:val="20"/>
              </w:rPr>
              <w:t>2022</w:t>
            </w:r>
          </w:p>
        </w:tc>
      </w:tr>
      <w:tr w14:paraId="428AFD3F" w14:textId="77777777" w:rsidTr="00DB0104">
        <w:tblPrEx>
          <w:tblW w:w="10026" w:type="dxa"/>
          <w:tblLayout w:type="fixed"/>
          <w:tblLook w:val="04A0"/>
        </w:tblPrEx>
        <w:trPr>
          <w:trHeight w:val="20"/>
        </w:trPr>
        <w:tc>
          <w:tcPr>
            <w:tcW w:w="3768" w:type="dxa"/>
            <w:vMerge/>
            <w:tcBorders>
              <w:left w:val="single" w:sz="0" w:space="0" w:color="auto"/>
              <w:bottom w:val="single" w:sz="0" w:space="0" w:color="auto"/>
              <w:right w:val="single" w:sz="0" w:space="0" w:color="auto"/>
            </w:tcBorders>
            <w:vAlign w:val="center"/>
          </w:tcPr>
          <w:p w:rsidR="001612B3" w:rsidP="00DB0104" w14:paraId="024D8E1B" w14:textId="77777777">
            <w:pPr>
              <w:spacing w:after="0" w:line="240" w:lineRule="auto"/>
            </w:pPr>
          </w:p>
        </w:tc>
        <w:tc>
          <w:tcPr>
            <w:tcW w:w="449" w:type="dxa"/>
            <w:tcBorders>
              <w:top w:val="single" w:sz="8" w:space="0" w:color="auto"/>
              <w:left w:val="nil"/>
              <w:bottom w:val="single" w:sz="8" w:space="0" w:color="auto"/>
              <w:right w:val="single" w:sz="8" w:space="0" w:color="auto"/>
            </w:tcBorders>
          </w:tcPr>
          <w:p w:rsidR="18AC26EE" w:rsidP="00DB0104" w14:paraId="1C2697BB" w14:textId="08E900D0">
            <w:pPr>
              <w:spacing w:after="0" w:line="240" w:lineRule="auto"/>
              <w:jc w:val="center"/>
            </w:pPr>
            <w:r w:rsidRPr="18AC26EE">
              <w:rPr>
                <w:rFonts w:eastAsia="Times New Roman" w:cs="Times New Roman"/>
                <w:b/>
                <w:bCs/>
                <w:color w:val="000000" w:themeColor="text1"/>
                <w:sz w:val="20"/>
                <w:szCs w:val="20"/>
              </w:rPr>
              <w:t>01</w:t>
            </w:r>
          </w:p>
        </w:tc>
        <w:tc>
          <w:tcPr>
            <w:tcW w:w="423" w:type="dxa"/>
            <w:tcBorders>
              <w:top w:val="nil"/>
              <w:left w:val="single" w:sz="8" w:space="0" w:color="auto"/>
              <w:bottom w:val="single" w:sz="8" w:space="0" w:color="auto"/>
              <w:right w:val="single" w:sz="8" w:space="0" w:color="auto"/>
            </w:tcBorders>
          </w:tcPr>
          <w:p w:rsidR="18AC26EE" w:rsidP="00DB0104" w14:paraId="343BCDA2" w14:textId="6213A821">
            <w:pPr>
              <w:spacing w:after="0" w:line="240" w:lineRule="auto"/>
              <w:jc w:val="center"/>
            </w:pPr>
            <w:r w:rsidRPr="18AC26EE">
              <w:rPr>
                <w:rFonts w:eastAsia="Times New Roman" w:cs="Times New Roman"/>
                <w:b/>
                <w:bCs/>
                <w:color w:val="000000" w:themeColor="text1"/>
                <w:sz w:val="20"/>
                <w:szCs w:val="20"/>
              </w:rPr>
              <w:t>02</w:t>
            </w:r>
          </w:p>
        </w:tc>
        <w:tc>
          <w:tcPr>
            <w:tcW w:w="436" w:type="dxa"/>
            <w:tcBorders>
              <w:top w:val="nil"/>
              <w:left w:val="single" w:sz="8" w:space="0" w:color="auto"/>
              <w:bottom w:val="single" w:sz="8" w:space="0" w:color="auto"/>
              <w:right w:val="single" w:sz="8" w:space="0" w:color="auto"/>
            </w:tcBorders>
          </w:tcPr>
          <w:p w:rsidR="18AC26EE" w:rsidP="00DB0104" w14:paraId="696C7EBA" w14:textId="5E6F4D72">
            <w:pPr>
              <w:spacing w:after="0" w:line="240" w:lineRule="auto"/>
              <w:jc w:val="center"/>
            </w:pPr>
            <w:r w:rsidRPr="18AC26EE">
              <w:rPr>
                <w:rFonts w:eastAsia="Times New Roman" w:cs="Times New Roman"/>
                <w:b/>
                <w:bCs/>
                <w:color w:val="000000" w:themeColor="text1"/>
                <w:sz w:val="20"/>
                <w:szCs w:val="20"/>
              </w:rPr>
              <w:t>03</w:t>
            </w:r>
          </w:p>
        </w:tc>
        <w:tc>
          <w:tcPr>
            <w:tcW w:w="449" w:type="dxa"/>
            <w:tcBorders>
              <w:top w:val="nil"/>
              <w:left w:val="single" w:sz="8" w:space="0" w:color="auto"/>
              <w:bottom w:val="single" w:sz="8" w:space="0" w:color="auto"/>
              <w:right w:val="single" w:sz="8" w:space="0" w:color="auto"/>
            </w:tcBorders>
          </w:tcPr>
          <w:p w:rsidR="18AC26EE" w:rsidP="00DB0104" w14:paraId="66267115" w14:textId="647EB046">
            <w:pPr>
              <w:spacing w:after="0" w:line="240" w:lineRule="auto"/>
              <w:jc w:val="center"/>
            </w:pPr>
            <w:r w:rsidRPr="18AC26EE">
              <w:rPr>
                <w:rFonts w:eastAsia="Times New Roman" w:cs="Times New Roman"/>
                <w:b/>
                <w:bCs/>
                <w:color w:val="000000" w:themeColor="text1"/>
                <w:sz w:val="20"/>
                <w:szCs w:val="20"/>
              </w:rPr>
              <w:t>04</w:t>
            </w:r>
          </w:p>
        </w:tc>
        <w:tc>
          <w:tcPr>
            <w:tcW w:w="542" w:type="dxa"/>
            <w:tcBorders>
              <w:top w:val="nil"/>
              <w:left w:val="single" w:sz="8" w:space="0" w:color="auto"/>
              <w:bottom w:val="single" w:sz="8" w:space="0" w:color="auto"/>
              <w:right w:val="single" w:sz="8" w:space="0" w:color="auto"/>
            </w:tcBorders>
          </w:tcPr>
          <w:p w:rsidR="18AC26EE" w:rsidP="00DB0104" w14:paraId="4B09AB09" w14:textId="4A7EA0DB">
            <w:pPr>
              <w:spacing w:after="0" w:line="240" w:lineRule="auto"/>
              <w:jc w:val="center"/>
            </w:pPr>
            <w:r w:rsidRPr="18AC26EE">
              <w:rPr>
                <w:rFonts w:eastAsia="Times New Roman" w:cs="Times New Roman"/>
                <w:b/>
                <w:bCs/>
                <w:color w:val="000000" w:themeColor="text1"/>
                <w:sz w:val="20"/>
                <w:szCs w:val="20"/>
              </w:rPr>
              <w:t>05</w:t>
            </w:r>
          </w:p>
        </w:tc>
        <w:tc>
          <w:tcPr>
            <w:tcW w:w="436" w:type="dxa"/>
            <w:tcBorders>
              <w:top w:val="nil"/>
              <w:left w:val="single" w:sz="8" w:space="0" w:color="auto"/>
              <w:bottom w:val="single" w:sz="8" w:space="0" w:color="auto"/>
              <w:right w:val="single" w:sz="8" w:space="0" w:color="auto"/>
            </w:tcBorders>
          </w:tcPr>
          <w:p w:rsidR="18AC26EE" w:rsidP="00DB0104" w14:paraId="300AFA3B" w14:textId="2899391B">
            <w:pPr>
              <w:spacing w:after="0" w:line="240" w:lineRule="auto"/>
              <w:jc w:val="center"/>
            </w:pPr>
            <w:r w:rsidRPr="18AC26EE">
              <w:rPr>
                <w:rFonts w:eastAsia="Times New Roman" w:cs="Times New Roman"/>
                <w:b/>
                <w:bCs/>
                <w:color w:val="000000" w:themeColor="text1"/>
                <w:sz w:val="20"/>
                <w:szCs w:val="20"/>
              </w:rPr>
              <w:t>06</w:t>
            </w:r>
          </w:p>
        </w:tc>
        <w:tc>
          <w:tcPr>
            <w:tcW w:w="449" w:type="dxa"/>
            <w:tcBorders>
              <w:top w:val="nil"/>
              <w:left w:val="single" w:sz="8" w:space="0" w:color="auto"/>
              <w:bottom w:val="single" w:sz="8" w:space="0" w:color="auto"/>
              <w:right w:val="single" w:sz="8" w:space="0" w:color="auto"/>
            </w:tcBorders>
          </w:tcPr>
          <w:p w:rsidR="18AC26EE" w:rsidP="00DB0104" w14:paraId="7C4822DF" w14:textId="2A629EA5">
            <w:pPr>
              <w:spacing w:after="0" w:line="240" w:lineRule="auto"/>
              <w:jc w:val="center"/>
            </w:pPr>
            <w:r w:rsidRPr="18AC26EE">
              <w:rPr>
                <w:rFonts w:eastAsia="Times New Roman" w:cs="Times New Roman"/>
                <w:b/>
                <w:bCs/>
                <w:color w:val="000000" w:themeColor="text1"/>
                <w:sz w:val="20"/>
                <w:szCs w:val="20"/>
              </w:rPr>
              <w:t>07</w:t>
            </w:r>
          </w:p>
        </w:tc>
        <w:tc>
          <w:tcPr>
            <w:tcW w:w="542" w:type="dxa"/>
            <w:tcBorders>
              <w:top w:val="nil"/>
              <w:left w:val="single" w:sz="8" w:space="0" w:color="auto"/>
              <w:bottom w:val="single" w:sz="8" w:space="0" w:color="auto"/>
              <w:right w:val="single" w:sz="8" w:space="0" w:color="auto"/>
            </w:tcBorders>
          </w:tcPr>
          <w:p w:rsidR="18AC26EE" w:rsidP="00DB0104" w14:paraId="01FAD67F" w14:textId="788B39D2">
            <w:pPr>
              <w:spacing w:after="0" w:line="240" w:lineRule="auto"/>
              <w:jc w:val="center"/>
            </w:pPr>
            <w:r w:rsidRPr="18AC26EE">
              <w:rPr>
                <w:rFonts w:eastAsia="Times New Roman" w:cs="Times New Roman"/>
                <w:b/>
                <w:bCs/>
                <w:color w:val="000000" w:themeColor="text1"/>
                <w:sz w:val="20"/>
                <w:szCs w:val="20"/>
              </w:rPr>
              <w:t>08</w:t>
            </w:r>
          </w:p>
        </w:tc>
        <w:tc>
          <w:tcPr>
            <w:tcW w:w="752" w:type="dxa"/>
            <w:gridSpan w:val="2"/>
            <w:tcBorders>
              <w:top w:val="nil"/>
              <w:left w:val="single" w:sz="8" w:space="0" w:color="auto"/>
              <w:bottom w:val="single" w:sz="8" w:space="0" w:color="auto"/>
              <w:right w:val="single" w:sz="8" w:space="0" w:color="auto"/>
            </w:tcBorders>
          </w:tcPr>
          <w:p w:rsidR="18AC26EE" w:rsidP="00DB0104" w14:paraId="6948DE57" w14:textId="65E00681">
            <w:pPr>
              <w:spacing w:after="0" w:line="240" w:lineRule="auto"/>
              <w:jc w:val="center"/>
            </w:pPr>
            <w:r w:rsidRPr="18AC26EE">
              <w:rPr>
                <w:rFonts w:eastAsia="Times New Roman" w:cs="Times New Roman"/>
                <w:b/>
                <w:bCs/>
                <w:color w:val="000000" w:themeColor="text1"/>
                <w:sz w:val="20"/>
                <w:szCs w:val="20"/>
              </w:rPr>
              <w:t>09</w:t>
            </w:r>
          </w:p>
        </w:tc>
        <w:tc>
          <w:tcPr>
            <w:tcW w:w="659" w:type="dxa"/>
            <w:gridSpan w:val="2"/>
            <w:tcBorders>
              <w:top w:val="nil"/>
              <w:left w:val="nil"/>
              <w:bottom w:val="single" w:sz="8" w:space="0" w:color="auto"/>
              <w:right w:val="single" w:sz="8" w:space="0" w:color="auto"/>
            </w:tcBorders>
          </w:tcPr>
          <w:p w:rsidR="18AC26EE" w:rsidP="00DB0104" w14:paraId="561E64F5" w14:textId="12BE2FBE">
            <w:pPr>
              <w:spacing w:after="0" w:line="240" w:lineRule="auto"/>
              <w:jc w:val="center"/>
            </w:pPr>
            <w:r w:rsidRPr="18AC26EE">
              <w:rPr>
                <w:rFonts w:eastAsia="Times New Roman" w:cs="Times New Roman"/>
                <w:b/>
                <w:bCs/>
                <w:color w:val="000000" w:themeColor="text1"/>
                <w:sz w:val="20"/>
                <w:szCs w:val="20"/>
              </w:rPr>
              <w:t>10</w:t>
            </w:r>
          </w:p>
        </w:tc>
        <w:tc>
          <w:tcPr>
            <w:tcW w:w="672" w:type="dxa"/>
            <w:gridSpan w:val="2"/>
            <w:tcBorders>
              <w:top w:val="nil"/>
              <w:left w:val="nil"/>
              <w:bottom w:val="single" w:sz="8" w:space="0" w:color="auto"/>
              <w:right w:val="single" w:sz="8" w:space="0" w:color="auto"/>
            </w:tcBorders>
          </w:tcPr>
          <w:p w:rsidR="18AC26EE" w:rsidP="00DB0104" w14:paraId="018ED590" w14:textId="068A6C4C">
            <w:pPr>
              <w:spacing w:after="0" w:line="240" w:lineRule="auto"/>
              <w:jc w:val="center"/>
            </w:pPr>
            <w:r w:rsidRPr="18AC26EE">
              <w:rPr>
                <w:rFonts w:eastAsia="Times New Roman" w:cs="Times New Roman"/>
                <w:b/>
                <w:bCs/>
                <w:color w:val="000000" w:themeColor="text1"/>
                <w:sz w:val="20"/>
                <w:szCs w:val="20"/>
              </w:rPr>
              <w:t>11</w:t>
            </w:r>
          </w:p>
        </w:tc>
        <w:tc>
          <w:tcPr>
            <w:tcW w:w="449" w:type="dxa"/>
            <w:tcBorders>
              <w:top w:val="nil"/>
              <w:left w:val="nil"/>
              <w:bottom w:val="single" w:sz="8" w:space="0" w:color="auto"/>
              <w:right w:val="single" w:sz="8" w:space="0" w:color="auto"/>
            </w:tcBorders>
          </w:tcPr>
          <w:p w:rsidR="18AC26EE" w:rsidP="00DB0104" w14:paraId="70EB46C1" w14:textId="52EDFB95">
            <w:pPr>
              <w:spacing w:after="0" w:line="240" w:lineRule="auto"/>
              <w:jc w:val="center"/>
            </w:pPr>
            <w:r w:rsidRPr="18AC26EE">
              <w:rPr>
                <w:rFonts w:eastAsia="Times New Roman" w:cs="Times New Roman"/>
                <w:b/>
                <w:bCs/>
                <w:color w:val="000000" w:themeColor="text1"/>
                <w:sz w:val="20"/>
                <w:szCs w:val="20"/>
              </w:rPr>
              <w:t>12</w:t>
            </w:r>
          </w:p>
        </w:tc>
      </w:tr>
      <w:tr w14:paraId="5F27A482"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4504E28C" w14:textId="63B3A9A5">
            <w:pPr>
              <w:spacing w:after="0" w:line="240" w:lineRule="auto"/>
            </w:pPr>
            <w:r w:rsidRPr="18AC26EE">
              <w:rPr>
                <w:rFonts w:eastAsia="Times New Roman" w:cs="Times New Roman"/>
                <w:color w:val="000000" w:themeColor="text1"/>
                <w:sz w:val="20"/>
                <w:szCs w:val="20"/>
              </w:rPr>
              <w:t xml:space="preserve">Submit proposal and data management plan </w:t>
            </w:r>
          </w:p>
        </w:tc>
        <w:tc>
          <w:tcPr>
            <w:tcW w:w="449" w:type="dxa"/>
            <w:tcBorders>
              <w:top w:val="single" w:sz="8" w:space="0" w:color="auto"/>
              <w:left w:val="single" w:sz="8" w:space="0" w:color="auto"/>
              <w:bottom w:val="single" w:sz="8" w:space="0" w:color="auto"/>
              <w:right w:val="single" w:sz="8" w:space="0" w:color="auto"/>
            </w:tcBorders>
          </w:tcPr>
          <w:p w:rsidR="18AC26EE" w:rsidP="00DB0104" w14:paraId="1CA94429" w14:textId="73760CCC">
            <w:pPr>
              <w:spacing w:after="0" w:line="240" w:lineRule="auto"/>
              <w:jc w:val="center"/>
            </w:pPr>
            <w:r w:rsidRPr="18AC26EE">
              <w:rPr>
                <w:rFonts w:eastAsia="Times New Roman" w:cs="Times New Roman"/>
                <w:color w:val="000000" w:themeColor="text1"/>
                <w:sz w:val="20"/>
                <w:szCs w:val="20"/>
              </w:rPr>
              <w:t xml:space="preserve"> </w:t>
            </w:r>
          </w:p>
        </w:tc>
        <w:tc>
          <w:tcPr>
            <w:tcW w:w="423" w:type="dxa"/>
            <w:tcBorders>
              <w:top w:val="single" w:sz="8" w:space="0" w:color="auto"/>
              <w:left w:val="single" w:sz="8" w:space="0" w:color="auto"/>
              <w:bottom w:val="single" w:sz="8" w:space="0" w:color="auto"/>
              <w:right w:val="single" w:sz="8" w:space="0" w:color="auto"/>
            </w:tcBorders>
          </w:tcPr>
          <w:p w:rsidR="18AC26EE" w:rsidP="00DB0104" w14:paraId="1F378828" w14:textId="1BE2C79F">
            <w:pPr>
              <w:spacing w:after="0" w:line="240" w:lineRule="auto"/>
              <w:jc w:val="center"/>
            </w:pPr>
            <w:r w:rsidRPr="18AC26EE">
              <w:rPr>
                <w:rFonts w:eastAsia="Times New Roman" w:cs="Times New Roman"/>
                <w:color w:val="000000" w:themeColor="text1"/>
                <w:sz w:val="20"/>
                <w:szCs w:val="20"/>
              </w:rPr>
              <w:t xml:space="preserve"> </w:t>
            </w:r>
          </w:p>
        </w:tc>
        <w:tc>
          <w:tcPr>
            <w:tcW w:w="436" w:type="dxa"/>
            <w:tcBorders>
              <w:top w:val="single" w:sz="8" w:space="0" w:color="auto"/>
              <w:left w:val="single" w:sz="8" w:space="0" w:color="auto"/>
              <w:bottom w:val="single" w:sz="8" w:space="0" w:color="auto"/>
              <w:right w:val="single" w:sz="8" w:space="0" w:color="auto"/>
            </w:tcBorders>
          </w:tcPr>
          <w:p w:rsidR="18AC26EE" w:rsidP="00DB0104" w14:paraId="7D07009E" w14:textId="08201C23">
            <w:pPr>
              <w:spacing w:after="0" w:line="240" w:lineRule="auto"/>
              <w:jc w:val="center"/>
            </w:pPr>
            <w:r w:rsidRPr="18AC26EE">
              <w:rPr>
                <w:rFonts w:eastAsia="Times New Roman" w:cs="Times New Roman"/>
                <w:color w:val="000000" w:themeColor="text1"/>
                <w:sz w:val="20"/>
                <w:szCs w:val="20"/>
              </w:rPr>
              <w:t xml:space="preserve"> </w:t>
            </w:r>
          </w:p>
        </w:tc>
        <w:tc>
          <w:tcPr>
            <w:tcW w:w="449" w:type="dxa"/>
            <w:tcBorders>
              <w:top w:val="single" w:sz="8" w:space="0" w:color="auto"/>
              <w:left w:val="single" w:sz="8" w:space="0" w:color="auto"/>
              <w:bottom w:val="single" w:sz="8" w:space="0" w:color="auto"/>
              <w:right w:val="single" w:sz="8" w:space="0" w:color="auto"/>
            </w:tcBorders>
          </w:tcPr>
          <w:p w:rsidR="18AC26EE" w:rsidP="00DB0104" w14:paraId="0AACA829" w14:textId="67D7EBE8">
            <w:pPr>
              <w:spacing w:after="0" w:line="240" w:lineRule="auto"/>
              <w:jc w:val="center"/>
            </w:pPr>
            <w:r w:rsidRPr="18AC26EE">
              <w:rPr>
                <w:rFonts w:eastAsia="Times New Roman" w:cs="Times New Roman"/>
                <w:color w:val="000000" w:themeColor="text1"/>
                <w:sz w:val="20"/>
                <w:szCs w:val="20"/>
              </w:rPr>
              <w:t xml:space="preserve"> </w:t>
            </w:r>
          </w:p>
        </w:tc>
        <w:tc>
          <w:tcPr>
            <w:tcW w:w="542" w:type="dxa"/>
            <w:tcBorders>
              <w:top w:val="single" w:sz="8" w:space="0" w:color="auto"/>
              <w:left w:val="single" w:sz="8" w:space="0" w:color="auto"/>
              <w:bottom w:val="single" w:sz="8" w:space="0" w:color="auto"/>
              <w:right w:val="single" w:sz="8" w:space="0" w:color="auto"/>
            </w:tcBorders>
          </w:tcPr>
          <w:p w:rsidR="18AC26EE" w:rsidP="00DB0104" w14:paraId="701B77C1" w14:textId="3AE55286">
            <w:pPr>
              <w:spacing w:after="0" w:line="240" w:lineRule="auto"/>
              <w:jc w:val="center"/>
            </w:pPr>
            <w:r w:rsidRPr="18AC26EE">
              <w:rPr>
                <w:rFonts w:eastAsia="Times New Roman" w:cs="Times New Roman"/>
                <w:color w:val="000000" w:themeColor="text1"/>
                <w:sz w:val="20"/>
                <w:szCs w:val="20"/>
              </w:rPr>
              <w:t xml:space="preserve"> </w:t>
            </w:r>
          </w:p>
        </w:tc>
        <w:tc>
          <w:tcPr>
            <w:tcW w:w="436" w:type="dxa"/>
            <w:tcBorders>
              <w:top w:val="single" w:sz="8" w:space="0" w:color="auto"/>
              <w:left w:val="single" w:sz="8" w:space="0" w:color="auto"/>
              <w:bottom w:val="single" w:sz="8" w:space="0" w:color="auto"/>
              <w:right w:val="single" w:sz="8" w:space="0" w:color="auto"/>
            </w:tcBorders>
          </w:tcPr>
          <w:p w:rsidR="18AC26EE" w:rsidP="00DB0104" w14:paraId="0DD8C8E7" w14:textId="421FCF6E">
            <w:pPr>
              <w:spacing w:after="0" w:line="240" w:lineRule="auto"/>
              <w:jc w:val="center"/>
            </w:pPr>
            <w:r w:rsidRPr="18AC26EE">
              <w:rPr>
                <w:rFonts w:eastAsia="Times New Roman" w:cs="Times New Roman"/>
                <w:color w:val="000000" w:themeColor="text1"/>
                <w:sz w:val="20"/>
                <w:szCs w:val="20"/>
              </w:rPr>
              <w:t>D</w:t>
            </w:r>
          </w:p>
        </w:tc>
        <w:tc>
          <w:tcPr>
            <w:tcW w:w="449" w:type="dxa"/>
            <w:tcBorders>
              <w:top w:val="single" w:sz="8" w:space="0" w:color="auto"/>
              <w:left w:val="single" w:sz="8" w:space="0" w:color="auto"/>
              <w:bottom w:val="single" w:sz="8" w:space="0" w:color="auto"/>
              <w:right w:val="single" w:sz="8" w:space="0" w:color="auto"/>
            </w:tcBorders>
          </w:tcPr>
          <w:p w:rsidR="18AC26EE" w:rsidP="00DB0104" w14:paraId="67A0D370" w14:textId="35F2931E">
            <w:pPr>
              <w:spacing w:after="0" w:line="240" w:lineRule="auto"/>
              <w:jc w:val="center"/>
            </w:pPr>
            <w:r w:rsidRPr="18AC26EE">
              <w:rPr>
                <w:rFonts w:eastAsia="Times New Roman" w:cs="Times New Roman"/>
                <w:color w:val="000000" w:themeColor="text1"/>
                <w:sz w:val="20"/>
                <w:szCs w:val="20"/>
              </w:rPr>
              <w:t xml:space="preserve"> </w:t>
            </w:r>
          </w:p>
        </w:tc>
        <w:tc>
          <w:tcPr>
            <w:tcW w:w="542" w:type="dxa"/>
            <w:tcBorders>
              <w:top w:val="single" w:sz="8" w:space="0" w:color="auto"/>
              <w:left w:val="single" w:sz="8" w:space="0" w:color="auto"/>
              <w:bottom w:val="single" w:sz="8" w:space="0" w:color="auto"/>
              <w:right w:val="single" w:sz="8" w:space="0" w:color="auto"/>
            </w:tcBorders>
          </w:tcPr>
          <w:p w:rsidR="18AC26EE" w:rsidP="00DB0104" w14:paraId="2D8EC43D" w14:textId="54520554">
            <w:pPr>
              <w:spacing w:after="0" w:line="240" w:lineRule="auto"/>
              <w:jc w:val="center"/>
            </w:pPr>
            <w:r w:rsidRPr="18AC26EE">
              <w:rPr>
                <w:rFonts w:eastAsia="Times New Roman" w:cs="Times New Roman"/>
                <w:color w:val="000000" w:themeColor="text1"/>
                <w:sz w:val="20"/>
                <w:szCs w:val="20"/>
              </w:rPr>
              <w:t xml:space="preserve"> </w:t>
            </w:r>
          </w:p>
        </w:tc>
        <w:tc>
          <w:tcPr>
            <w:tcW w:w="752" w:type="dxa"/>
            <w:gridSpan w:val="2"/>
            <w:tcBorders>
              <w:top w:val="single" w:sz="8" w:space="0" w:color="auto"/>
              <w:left w:val="single" w:sz="8" w:space="0" w:color="auto"/>
              <w:bottom w:val="single" w:sz="8" w:space="0" w:color="auto"/>
              <w:right w:val="single" w:sz="8" w:space="0" w:color="auto"/>
            </w:tcBorders>
          </w:tcPr>
          <w:p w:rsidR="18AC26EE" w:rsidP="00DB0104" w14:paraId="3D881D00" w14:textId="4A202DCB">
            <w:pPr>
              <w:spacing w:after="0" w:line="240" w:lineRule="auto"/>
              <w:jc w:val="center"/>
            </w:pPr>
            <w:r w:rsidRPr="18AC26EE">
              <w:rPr>
                <w:rFonts w:eastAsia="Times New Roman" w:cs="Times New Roman"/>
                <w:color w:val="000000" w:themeColor="text1"/>
                <w:sz w:val="20"/>
                <w:szCs w:val="20"/>
              </w:rPr>
              <w:t xml:space="preserve"> </w:t>
            </w:r>
          </w:p>
        </w:tc>
        <w:tc>
          <w:tcPr>
            <w:tcW w:w="659" w:type="dxa"/>
            <w:gridSpan w:val="2"/>
            <w:tcBorders>
              <w:top w:val="single" w:sz="8" w:space="0" w:color="auto"/>
              <w:left w:val="nil"/>
              <w:bottom w:val="single" w:sz="8" w:space="0" w:color="auto"/>
              <w:right w:val="single" w:sz="8" w:space="0" w:color="auto"/>
            </w:tcBorders>
          </w:tcPr>
          <w:p w:rsidR="18AC26EE" w:rsidP="00DB0104" w14:paraId="3BBAE6C7" w14:textId="26D06DF8">
            <w:pPr>
              <w:spacing w:after="0" w:line="240" w:lineRule="auto"/>
              <w:jc w:val="center"/>
            </w:pPr>
            <w:r w:rsidRPr="18AC26EE">
              <w:rPr>
                <w:rFonts w:eastAsia="Times New Roman" w:cs="Times New Roman"/>
                <w:color w:val="000000" w:themeColor="text1"/>
                <w:sz w:val="20"/>
                <w:szCs w:val="20"/>
              </w:rPr>
              <w:t xml:space="preserve"> </w:t>
            </w:r>
          </w:p>
        </w:tc>
        <w:tc>
          <w:tcPr>
            <w:tcW w:w="672" w:type="dxa"/>
            <w:gridSpan w:val="2"/>
            <w:tcBorders>
              <w:top w:val="single" w:sz="8" w:space="0" w:color="auto"/>
              <w:left w:val="nil"/>
              <w:bottom w:val="single" w:sz="8" w:space="0" w:color="auto"/>
              <w:right w:val="single" w:sz="8" w:space="0" w:color="auto"/>
            </w:tcBorders>
          </w:tcPr>
          <w:p w:rsidR="18AC26EE" w:rsidP="00DB0104" w14:paraId="112A4471" w14:textId="5B9A1078">
            <w:pPr>
              <w:spacing w:after="0" w:line="240" w:lineRule="auto"/>
              <w:jc w:val="center"/>
            </w:pPr>
            <w:r w:rsidRPr="18AC26EE">
              <w:rPr>
                <w:rFonts w:eastAsia="Times New Roman" w:cs="Times New Roman"/>
                <w:color w:val="000000" w:themeColor="text1"/>
                <w:sz w:val="20"/>
                <w:szCs w:val="20"/>
              </w:rPr>
              <w:t>F</w:t>
            </w:r>
          </w:p>
        </w:tc>
        <w:tc>
          <w:tcPr>
            <w:tcW w:w="449" w:type="dxa"/>
            <w:tcBorders>
              <w:top w:val="single" w:sz="8" w:space="0" w:color="auto"/>
              <w:left w:val="nil"/>
              <w:bottom w:val="single" w:sz="8" w:space="0" w:color="auto"/>
              <w:right w:val="single" w:sz="8" w:space="0" w:color="auto"/>
            </w:tcBorders>
          </w:tcPr>
          <w:p w:rsidR="18AC26EE" w:rsidP="00DB0104" w14:paraId="2DBC8A2A" w14:textId="2DF67B9E">
            <w:pPr>
              <w:spacing w:after="0" w:line="240" w:lineRule="auto"/>
              <w:jc w:val="center"/>
            </w:pPr>
            <w:r w:rsidRPr="18AC26EE">
              <w:rPr>
                <w:rFonts w:eastAsia="Times New Roman" w:cs="Times New Roman"/>
                <w:color w:val="000000" w:themeColor="text1"/>
                <w:sz w:val="20"/>
                <w:szCs w:val="20"/>
              </w:rPr>
              <w:t xml:space="preserve"> </w:t>
            </w:r>
          </w:p>
        </w:tc>
      </w:tr>
      <w:tr w14:paraId="6725D0C9"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35887D48" w14:textId="1401194F">
            <w:pPr>
              <w:spacing w:after="0" w:line="240" w:lineRule="auto"/>
            </w:pPr>
            <w:r w:rsidRPr="18AC26EE">
              <w:rPr>
                <w:rFonts w:eastAsia="Times New Roman" w:cs="Times New Roman"/>
                <w:color w:val="000000" w:themeColor="text1"/>
                <w:sz w:val="20"/>
                <w:szCs w:val="20"/>
              </w:rPr>
              <w:t>Submit IRB application</w:t>
            </w:r>
          </w:p>
        </w:tc>
        <w:tc>
          <w:tcPr>
            <w:tcW w:w="449" w:type="dxa"/>
            <w:tcBorders>
              <w:top w:val="single" w:sz="8" w:space="0" w:color="auto"/>
              <w:left w:val="single" w:sz="8" w:space="0" w:color="auto"/>
              <w:bottom w:val="single" w:sz="8" w:space="0" w:color="auto"/>
              <w:right w:val="single" w:sz="8" w:space="0" w:color="auto"/>
            </w:tcBorders>
          </w:tcPr>
          <w:p w:rsidR="18AC26EE" w:rsidP="00DB0104" w14:paraId="43576B10" w14:textId="3F93899C">
            <w:pPr>
              <w:spacing w:after="0" w:line="240" w:lineRule="auto"/>
              <w:jc w:val="center"/>
            </w:pPr>
            <w:r w:rsidRPr="18AC26EE">
              <w:rPr>
                <w:rFonts w:eastAsia="Times New Roman" w:cs="Times New Roman"/>
                <w:color w:val="000000" w:themeColor="text1"/>
                <w:sz w:val="20"/>
                <w:szCs w:val="20"/>
              </w:rPr>
              <w:t xml:space="preserve"> </w:t>
            </w:r>
          </w:p>
        </w:tc>
        <w:tc>
          <w:tcPr>
            <w:tcW w:w="423" w:type="dxa"/>
            <w:tcBorders>
              <w:top w:val="single" w:sz="8" w:space="0" w:color="auto"/>
              <w:left w:val="single" w:sz="8" w:space="0" w:color="auto"/>
              <w:bottom w:val="single" w:sz="8" w:space="0" w:color="auto"/>
              <w:right w:val="single" w:sz="8" w:space="0" w:color="auto"/>
            </w:tcBorders>
          </w:tcPr>
          <w:p w:rsidR="18AC26EE" w:rsidP="00DB0104" w14:paraId="7BF36951" w14:textId="4D1229C0">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7565BEE2" w14:textId="457BE4F2">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1554EDFE" w14:textId="114D9256">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0D6B2C45" w14:textId="407CDBE6">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3735A6F8" w14:textId="4A2075ED">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2B0BE19A" w14:textId="1B25133C">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460A8EA0" w14:textId="453BE11C">
            <w:pPr>
              <w:spacing w:after="0" w:line="240" w:lineRule="auto"/>
            </w:pPr>
          </w:p>
        </w:tc>
        <w:tc>
          <w:tcPr>
            <w:tcW w:w="752" w:type="dxa"/>
            <w:gridSpan w:val="2"/>
            <w:tcBorders>
              <w:top w:val="single" w:sz="8" w:space="0" w:color="auto"/>
              <w:left w:val="single" w:sz="8" w:space="0" w:color="auto"/>
              <w:bottom w:val="single" w:sz="8" w:space="0" w:color="auto"/>
              <w:right w:val="single" w:sz="8" w:space="0" w:color="auto"/>
            </w:tcBorders>
          </w:tcPr>
          <w:p w:rsidR="18AC26EE" w:rsidP="00DB0104" w14:paraId="16EB0A64" w14:textId="61B0282D">
            <w:pPr>
              <w:spacing w:after="0" w:line="240" w:lineRule="auto"/>
            </w:pPr>
          </w:p>
        </w:tc>
        <w:tc>
          <w:tcPr>
            <w:tcW w:w="659" w:type="dxa"/>
            <w:gridSpan w:val="2"/>
            <w:tcBorders>
              <w:top w:val="single" w:sz="8" w:space="0" w:color="auto"/>
              <w:left w:val="nil"/>
              <w:bottom w:val="single" w:sz="8" w:space="0" w:color="auto"/>
              <w:right w:val="single" w:sz="8" w:space="0" w:color="auto"/>
            </w:tcBorders>
          </w:tcPr>
          <w:p w:rsidR="18AC26EE" w:rsidP="00DB0104" w14:paraId="048C031C" w14:textId="62B9C7B6">
            <w:pPr>
              <w:spacing w:after="0" w:line="240" w:lineRule="auto"/>
              <w:jc w:val="center"/>
            </w:pPr>
            <w:r w:rsidRPr="18AC26EE">
              <w:rPr>
                <w:rFonts w:eastAsia="Times New Roman" w:cs="Times New Roman"/>
                <w:color w:val="000000" w:themeColor="text1"/>
                <w:sz w:val="20"/>
                <w:szCs w:val="20"/>
              </w:rPr>
              <w:t>D</w:t>
            </w:r>
          </w:p>
        </w:tc>
        <w:tc>
          <w:tcPr>
            <w:tcW w:w="672" w:type="dxa"/>
            <w:gridSpan w:val="2"/>
            <w:tcBorders>
              <w:top w:val="single" w:sz="8" w:space="0" w:color="auto"/>
              <w:left w:val="nil"/>
              <w:bottom w:val="single" w:sz="8" w:space="0" w:color="auto"/>
              <w:right w:val="single" w:sz="8" w:space="0" w:color="auto"/>
            </w:tcBorders>
          </w:tcPr>
          <w:p w:rsidR="18AC26EE" w:rsidP="00DB0104" w14:paraId="20E7DAE8" w14:textId="45BEA9C3">
            <w:pPr>
              <w:spacing w:after="0" w:line="240" w:lineRule="auto"/>
              <w:jc w:val="center"/>
            </w:pPr>
            <w:r w:rsidRPr="18AC26EE">
              <w:rPr>
                <w:rFonts w:eastAsia="Times New Roman" w:cs="Times New Roman"/>
                <w:color w:val="000000" w:themeColor="text1"/>
                <w:sz w:val="20"/>
                <w:szCs w:val="20"/>
              </w:rPr>
              <w:t>F</w:t>
            </w:r>
          </w:p>
        </w:tc>
        <w:tc>
          <w:tcPr>
            <w:tcW w:w="449" w:type="dxa"/>
            <w:tcBorders>
              <w:top w:val="single" w:sz="8" w:space="0" w:color="auto"/>
              <w:left w:val="nil"/>
              <w:bottom w:val="single" w:sz="8" w:space="0" w:color="auto"/>
              <w:right w:val="single" w:sz="8" w:space="0" w:color="auto"/>
            </w:tcBorders>
          </w:tcPr>
          <w:p w:rsidR="18AC26EE" w:rsidP="00DB0104" w14:paraId="604A7D11" w14:textId="4D5871F1">
            <w:pPr>
              <w:spacing w:after="0" w:line="240" w:lineRule="auto"/>
            </w:pPr>
          </w:p>
        </w:tc>
      </w:tr>
      <w:tr w14:paraId="7925E582"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6A3963CC" w14:textId="14EA2D50">
            <w:pPr>
              <w:spacing w:after="0" w:line="240" w:lineRule="auto"/>
            </w:pPr>
            <w:r w:rsidRPr="18AC26EE">
              <w:rPr>
                <w:rFonts w:eastAsia="Times New Roman" w:cs="Times New Roman"/>
                <w:color w:val="000000" w:themeColor="text1"/>
                <w:sz w:val="20"/>
                <w:szCs w:val="20"/>
              </w:rPr>
              <w:t>Submit OMB</w:t>
            </w:r>
          </w:p>
        </w:tc>
        <w:tc>
          <w:tcPr>
            <w:tcW w:w="449" w:type="dxa"/>
            <w:tcBorders>
              <w:top w:val="single" w:sz="8" w:space="0" w:color="auto"/>
              <w:left w:val="single" w:sz="8" w:space="0" w:color="auto"/>
              <w:bottom w:val="single" w:sz="8" w:space="0" w:color="auto"/>
              <w:right w:val="single" w:sz="8" w:space="0" w:color="auto"/>
            </w:tcBorders>
          </w:tcPr>
          <w:p w:rsidR="18AC26EE" w:rsidP="00DB0104" w14:paraId="64016891" w14:textId="49EED44B">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03D464BA" w14:textId="3A989668">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0F8DA0FD" w14:textId="67669347">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614C1730" w14:textId="2A969CAC">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2BE6599F" w14:textId="4708CD46">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55A272CE" w14:textId="6353A885">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114AC70D" w14:textId="71611D28">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10DDB442" w14:textId="654ACF69">
            <w:pPr>
              <w:spacing w:after="0" w:line="240" w:lineRule="auto"/>
            </w:pPr>
          </w:p>
        </w:tc>
        <w:tc>
          <w:tcPr>
            <w:tcW w:w="752" w:type="dxa"/>
            <w:gridSpan w:val="2"/>
            <w:tcBorders>
              <w:top w:val="single" w:sz="8" w:space="0" w:color="auto"/>
              <w:left w:val="single" w:sz="8" w:space="0" w:color="auto"/>
              <w:bottom w:val="single" w:sz="8" w:space="0" w:color="auto"/>
              <w:right w:val="single" w:sz="8" w:space="0" w:color="auto"/>
            </w:tcBorders>
          </w:tcPr>
          <w:p w:rsidR="18AC26EE" w:rsidP="00DB0104" w14:paraId="16A41D3A" w14:textId="7AAEA906">
            <w:pPr>
              <w:spacing w:after="0" w:line="240" w:lineRule="auto"/>
            </w:pPr>
          </w:p>
        </w:tc>
        <w:tc>
          <w:tcPr>
            <w:tcW w:w="659" w:type="dxa"/>
            <w:gridSpan w:val="2"/>
            <w:tcBorders>
              <w:top w:val="single" w:sz="8" w:space="0" w:color="auto"/>
              <w:left w:val="nil"/>
              <w:bottom w:val="single" w:sz="8" w:space="0" w:color="auto"/>
              <w:right w:val="single" w:sz="8" w:space="0" w:color="auto"/>
            </w:tcBorders>
          </w:tcPr>
          <w:p w:rsidR="18AC26EE" w:rsidP="00DB0104" w14:paraId="30985ED2" w14:textId="00B01FA9">
            <w:pPr>
              <w:spacing w:after="0" w:line="240" w:lineRule="auto"/>
              <w:jc w:val="center"/>
            </w:pPr>
            <w:r w:rsidRPr="18AC26EE">
              <w:rPr>
                <w:rFonts w:eastAsia="Times New Roman" w:cs="Times New Roman"/>
                <w:color w:val="000000" w:themeColor="text1"/>
                <w:sz w:val="20"/>
                <w:szCs w:val="20"/>
              </w:rPr>
              <w:t>D</w:t>
            </w:r>
          </w:p>
        </w:tc>
        <w:tc>
          <w:tcPr>
            <w:tcW w:w="672" w:type="dxa"/>
            <w:gridSpan w:val="2"/>
            <w:tcBorders>
              <w:top w:val="single" w:sz="8" w:space="0" w:color="auto"/>
              <w:left w:val="nil"/>
              <w:bottom w:val="single" w:sz="8" w:space="0" w:color="auto"/>
              <w:right w:val="single" w:sz="8" w:space="0" w:color="auto"/>
            </w:tcBorders>
          </w:tcPr>
          <w:p w:rsidR="18AC26EE" w:rsidP="00DB0104" w14:paraId="33555338" w14:textId="004C613B">
            <w:pPr>
              <w:spacing w:after="0" w:line="240" w:lineRule="auto"/>
            </w:pPr>
          </w:p>
        </w:tc>
        <w:tc>
          <w:tcPr>
            <w:tcW w:w="449" w:type="dxa"/>
            <w:tcBorders>
              <w:top w:val="single" w:sz="8" w:space="0" w:color="auto"/>
              <w:left w:val="nil"/>
              <w:bottom w:val="single" w:sz="8" w:space="0" w:color="auto"/>
              <w:right w:val="single" w:sz="8" w:space="0" w:color="auto"/>
            </w:tcBorders>
          </w:tcPr>
          <w:p w:rsidR="18AC26EE" w:rsidP="00DB0104" w14:paraId="2E211331" w14:textId="20C66D15">
            <w:pPr>
              <w:spacing w:after="0" w:line="240" w:lineRule="auto"/>
            </w:pPr>
          </w:p>
        </w:tc>
      </w:tr>
      <w:tr w14:paraId="21E19006"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123623FA" w14:textId="4155919D">
            <w:pPr>
              <w:spacing w:after="0" w:line="240" w:lineRule="auto"/>
            </w:pPr>
            <w:r w:rsidRPr="18AC26EE">
              <w:rPr>
                <w:rFonts w:eastAsia="Times New Roman" w:cs="Times New Roman"/>
                <w:color w:val="000000" w:themeColor="text1"/>
                <w:sz w:val="20"/>
                <w:szCs w:val="20"/>
              </w:rPr>
              <w:t xml:space="preserve"> </w:t>
            </w:r>
          </w:p>
        </w:tc>
        <w:tc>
          <w:tcPr>
            <w:tcW w:w="6258" w:type="dxa"/>
            <w:gridSpan w:val="15"/>
            <w:tcBorders>
              <w:top w:val="single" w:sz="8" w:space="0" w:color="auto"/>
              <w:left w:val="single" w:sz="8" w:space="0" w:color="auto"/>
              <w:bottom w:val="single" w:sz="8" w:space="0" w:color="auto"/>
              <w:right w:val="single" w:sz="8" w:space="0" w:color="auto"/>
            </w:tcBorders>
          </w:tcPr>
          <w:p w:rsidR="18AC26EE" w:rsidP="00DB0104" w14:paraId="3162B4CF" w14:textId="49DD6E9A">
            <w:pPr>
              <w:spacing w:after="0" w:line="240" w:lineRule="auto"/>
              <w:jc w:val="center"/>
            </w:pPr>
            <w:r w:rsidRPr="18AC26EE">
              <w:rPr>
                <w:rFonts w:eastAsia="Times New Roman" w:cs="Times New Roman"/>
                <w:b/>
                <w:bCs/>
                <w:color w:val="000000" w:themeColor="text1"/>
                <w:sz w:val="20"/>
                <w:szCs w:val="20"/>
              </w:rPr>
              <w:t>2023</w:t>
            </w:r>
          </w:p>
        </w:tc>
      </w:tr>
      <w:tr w14:paraId="5013D857"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19B50C33" w14:textId="794995F6">
            <w:pPr>
              <w:spacing w:after="0" w:line="240" w:lineRule="auto"/>
            </w:pPr>
            <w:r w:rsidRPr="18AC26EE">
              <w:rPr>
                <w:rFonts w:eastAsia="Times New Roman" w:cs="Times New Roman"/>
                <w:color w:val="000000" w:themeColor="text1"/>
                <w:sz w:val="20"/>
                <w:szCs w:val="20"/>
              </w:rPr>
              <w:t>Finalize OMB</w:t>
            </w:r>
          </w:p>
        </w:tc>
        <w:tc>
          <w:tcPr>
            <w:tcW w:w="449" w:type="dxa"/>
            <w:tcBorders>
              <w:top w:val="single" w:sz="8" w:space="0" w:color="auto"/>
              <w:left w:val="single" w:sz="8" w:space="0" w:color="auto"/>
              <w:bottom w:val="single" w:sz="8" w:space="0" w:color="auto"/>
              <w:right w:val="single" w:sz="8" w:space="0" w:color="auto"/>
            </w:tcBorders>
          </w:tcPr>
          <w:p w:rsidR="18AC26EE" w:rsidP="00DB0104" w14:paraId="4BBED9AF" w14:textId="2122B7C8">
            <w:pPr>
              <w:spacing w:after="0" w:line="240" w:lineRule="auto"/>
            </w:pPr>
          </w:p>
        </w:tc>
        <w:tc>
          <w:tcPr>
            <w:tcW w:w="423" w:type="dxa"/>
            <w:tcBorders>
              <w:top w:val="nil"/>
              <w:left w:val="single" w:sz="8" w:space="0" w:color="auto"/>
              <w:bottom w:val="single" w:sz="8" w:space="0" w:color="auto"/>
              <w:right w:val="single" w:sz="8" w:space="0" w:color="auto"/>
            </w:tcBorders>
          </w:tcPr>
          <w:p w:rsidR="18AC26EE" w:rsidP="00DB0104" w14:paraId="281E2AA8" w14:textId="5AE0D65F">
            <w:pPr>
              <w:spacing w:after="0" w:line="240" w:lineRule="auto"/>
            </w:pPr>
          </w:p>
        </w:tc>
        <w:tc>
          <w:tcPr>
            <w:tcW w:w="436" w:type="dxa"/>
            <w:tcBorders>
              <w:top w:val="nil"/>
              <w:left w:val="single" w:sz="8" w:space="0" w:color="auto"/>
              <w:bottom w:val="single" w:sz="8" w:space="0" w:color="auto"/>
              <w:right w:val="single" w:sz="8" w:space="0" w:color="auto"/>
            </w:tcBorders>
          </w:tcPr>
          <w:p w:rsidR="18AC26EE" w:rsidP="00DB0104" w14:paraId="2C3FDBD2" w14:textId="78D02995">
            <w:pPr>
              <w:spacing w:after="0" w:line="240" w:lineRule="auto"/>
            </w:pPr>
          </w:p>
        </w:tc>
        <w:tc>
          <w:tcPr>
            <w:tcW w:w="449" w:type="dxa"/>
            <w:tcBorders>
              <w:top w:val="nil"/>
              <w:left w:val="single" w:sz="8" w:space="0" w:color="auto"/>
              <w:bottom w:val="single" w:sz="8" w:space="0" w:color="auto"/>
              <w:right w:val="single" w:sz="8" w:space="0" w:color="auto"/>
            </w:tcBorders>
          </w:tcPr>
          <w:p w:rsidR="18AC26EE" w:rsidP="00DB0104" w14:paraId="62AB1745" w14:textId="6B47E462">
            <w:pPr>
              <w:spacing w:after="0" w:line="240" w:lineRule="auto"/>
            </w:pPr>
          </w:p>
        </w:tc>
        <w:tc>
          <w:tcPr>
            <w:tcW w:w="542" w:type="dxa"/>
            <w:tcBorders>
              <w:top w:val="nil"/>
              <w:left w:val="single" w:sz="8" w:space="0" w:color="auto"/>
              <w:bottom w:val="single" w:sz="8" w:space="0" w:color="auto"/>
              <w:right w:val="single" w:sz="8" w:space="0" w:color="auto"/>
            </w:tcBorders>
          </w:tcPr>
          <w:p w:rsidR="18AC26EE" w:rsidP="00DB0104" w14:paraId="5F702902" w14:textId="09D67BC5">
            <w:pPr>
              <w:spacing w:after="0" w:line="240" w:lineRule="auto"/>
            </w:pPr>
          </w:p>
        </w:tc>
        <w:tc>
          <w:tcPr>
            <w:tcW w:w="436" w:type="dxa"/>
            <w:tcBorders>
              <w:top w:val="nil"/>
              <w:left w:val="single" w:sz="8" w:space="0" w:color="auto"/>
              <w:bottom w:val="single" w:sz="8" w:space="0" w:color="auto"/>
              <w:right w:val="single" w:sz="8" w:space="0" w:color="auto"/>
            </w:tcBorders>
          </w:tcPr>
          <w:p w:rsidR="18AC26EE" w:rsidP="00DB0104" w14:paraId="51646DA8" w14:textId="1B74E593">
            <w:pPr>
              <w:spacing w:after="0" w:line="240" w:lineRule="auto"/>
              <w:jc w:val="center"/>
            </w:pPr>
            <w:r w:rsidRPr="18AC26EE">
              <w:rPr>
                <w:rFonts w:eastAsia="Times New Roman" w:cs="Times New Roman"/>
                <w:color w:val="000000" w:themeColor="text1"/>
                <w:sz w:val="20"/>
                <w:szCs w:val="20"/>
              </w:rPr>
              <w:t>F</w:t>
            </w:r>
          </w:p>
        </w:tc>
        <w:tc>
          <w:tcPr>
            <w:tcW w:w="449" w:type="dxa"/>
            <w:tcBorders>
              <w:top w:val="nil"/>
              <w:left w:val="single" w:sz="8" w:space="0" w:color="auto"/>
              <w:bottom w:val="single" w:sz="8" w:space="0" w:color="auto"/>
              <w:right w:val="single" w:sz="8" w:space="0" w:color="auto"/>
            </w:tcBorders>
          </w:tcPr>
          <w:p w:rsidR="18AC26EE" w:rsidP="00DB0104" w14:paraId="057EBF60" w14:textId="477DCEB2">
            <w:pPr>
              <w:spacing w:after="0" w:line="240" w:lineRule="auto"/>
            </w:pPr>
          </w:p>
        </w:tc>
        <w:tc>
          <w:tcPr>
            <w:tcW w:w="542" w:type="dxa"/>
            <w:tcBorders>
              <w:top w:val="nil"/>
              <w:left w:val="single" w:sz="8" w:space="0" w:color="auto"/>
              <w:bottom w:val="single" w:sz="8" w:space="0" w:color="auto"/>
              <w:right w:val="single" w:sz="8" w:space="0" w:color="auto"/>
            </w:tcBorders>
          </w:tcPr>
          <w:p w:rsidR="18AC26EE" w:rsidP="00DB0104" w14:paraId="650A3C2B" w14:textId="6E4C157A">
            <w:pPr>
              <w:spacing w:after="0" w:line="240" w:lineRule="auto"/>
            </w:pPr>
          </w:p>
        </w:tc>
        <w:tc>
          <w:tcPr>
            <w:tcW w:w="516" w:type="dxa"/>
            <w:tcBorders>
              <w:top w:val="nil"/>
              <w:left w:val="single" w:sz="8" w:space="0" w:color="auto"/>
              <w:bottom w:val="single" w:sz="8" w:space="0" w:color="auto"/>
              <w:right w:val="single" w:sz="8" w:space="0" w:color="auto"/>
            </w:tcBorders>
          </w:tcPr>
          <w:p w:rsidR="18AC26EE" w:rsidP="00DB0104" w14:paraId="7179F733" w14:textId="4D1C6975">
            <w:pPr>
              <w:spacing w:after="0" w:line="240" w:lineRule="auto"/>
            </w:pPr>
          </w:p>
        </w:tc>
        <w:tc>
          <w:tcPr>
            <w:tcW w:w="659" w:type="dxa"/>
            <w:gridSpan w:val="2"/>
            <w:tcBorders>
              <w:top w:val="nil"/>
              <w:left w:val="single" w:sz="8" w:space="0" w:color="auto"/>
              <w:bottom w:val="single" w:sz="8" w:space="0" w:color="auto"/>
              <w:right w:val="single" w:sz="8" w:space="0" w:color="auto"/>
            </w:tcBorders>
          </w:tcPr>
          <w:p w:rsidR="18AC26EE" w:rsidP="00DB0104" w14:paraId="1FC3CBD7" w14:textId="6D9BE498">
            <w:pPr>
              <w:spacing w:after="0" w:line="240" w:lineRule="auto"/>
            </w:pPr>
          </w:p>
        </w:tc>
        <w:tc>
          <w:tcPr>
            <w:tcW w:w="672" w:type="dxa"/>
            <w:gridSpan w:val="2"/>
            <w:tcBorders>
              <w:top w:val="nil"/>
              <w:left w:val="nil"/>
              <w:bottom w:val="single" w:sz="8" w:space="0" w:color="auto"/>
              <w:right w:val="single" w:sz="8" w:space="0" w:color="auto"/>
            </w:tcBorders>
          </w:tcPr>
          <w:p w:rsidR="18AC26EE" w:rsidP="00DB0104" w14:paraId="7806463F" w14:textId="571F18FA">
            <w:pPr>
              <w:spacing w:after="0" w:line="240" w:lineRule="auto"/>
            </w:pPr>
          </w:p>
        </w:tc>
        <w:tc>
          <w:tcPr>
            <w:tcW w:w="685" w:type="dxa"/>
            <w:gridSpan w:val="2"/>
            <w:tcBorders>
              <w:top w:val="nil"/>
              <w:left w:val="nil"/>
              <w:bottom w:val="single" w:sz="8" w:space="0" w:color="auto"/>
              <w:right w:val="single" w:sz="8" w:space="0" w:color="auto"/>
            </w:tcBorders>
          </w:tcPr>
          <w:p w:rsidR="18AC26EE" w:rsidP="00DB0104" w14:paraId="7020F36F" w14:textId="24F1C0C6">
            <w:pPr>
              <w:spacing w:after="0" w:line="240" w:lineRule="auto"/>
            </w:pPr>
          </w:p>
        </w:tc>
      </w:tr>
      <w:tr w14:paraId="15E375C8"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5946DED1" w14:textId="77E98AEE">
            <w:pPr>
              <w:spacing w:after="0" w:line="240" w:lineRule="auto"/>
            </w:pPr>
            <w:r w:rsidRPr="18AC26EE">
              <w:rPr>
                <w:rFonts w:eastAsia="Times New Roman" w:cs="Times New Roman"/>
                <w:color w:val="000000" w:themeColor="text1"/>
                <w:sz w:val="20"/>
                <w:szCs w:val="20"/>
              </w:rPr>
              <w:t>Support recruitment/execute data sharing agreements</w:t>
            </w:r>
          </w:p>
        </w:tc>
        <w:tc>
          <w:tcPr>
            <w:tcW w:w="449" w:type="dxa"/>
            <w:tcBorders>
              <w:top w:val="single" w:sz="8" w:space="0" w:color="auto"/>
              <w:left w:val="single" w:sz="8" w:space="0" w:color="auto"/>
              <w:bottom w:val="single" w:sz="8" w:space="0" w:color="auto"/>
              <w:right w:val="single" w:sz="8" w:space="0" w:color="auto"/>
            </w:tcBorders>
          </w:tcPr>
          <w:p w:rsidR="18AC26EE" w:rsidP="00DB0104" w14:paraId="75993CA5" w14:textId="479BD6FA">
            <w:pPr>
              <w:spacing w:after="0" w:line="240" w:lineRule="auto"/>
              <w:jc w:val="center"/>
            </w:pPr>
            <w:r w:rsidRPr="18AC26EE">
              <w:rPr>
                <w:rFonts w:eastAsia="Times New Roman" w:cs="Times New Roman"/>
                <w:color w:val="000000" w:themeColor="text1"/>
                <w:sz w:val="20"/>
                <w:szCs w:val="20"/>
              </w:rPr>
              <w:t>X</w:t>
            </w:r>
          </w:p>
        </w:tc>
        <w:tc>
          <w:tcPr>
            <w:tcW w:w="423" w:type="dxa"/>
            <w:tcBorders>
              <w:top w:val="single" w:sz="8" w:space="0" w:color="auto"/>
              <w:left w:val="single" w:sz="8" w:space="0" w:color="auto"/>
              <w:bottom w:val="single" w:sz="8" w:space="0" w:color="auto"/>
              <w:right w:val="single" w:sz="8" w:space="0" w:color="auto"/>
            </w:tcBorders>
          </w:tcPr>
          <w:p w:rsidR="18AC26EE" w:rsidP="00DB0104" w14:paraId="4401E770" w14:textId="776F2CFA">
            <w:pPr>
              <w:spacing w:after="0" w:line="240" w:lineRule="auto"/>
              <w:jc w:val="center"/>
            </w:pPr>
            <w:r w:rsidRPr="18AC26EE">
              <w:rPr>
                <w:rFonts w:eastAsia="Times New Roman" w:cs="Times New Roman"/>
                <w:color w:val="000000" w:themeColor="text1"/>
                <w:sz w:val="20"/>
                <w:szCs w:val="20"/>
              </w:rPr>
              <w:t>X</w:t>
            </w:r>
          </w:p>
        </w:tc>
        <w:tc>
          <w:tcPr>
            <w:tcW w:w="436" w:type="dxa"/>
            <w:tcBorders>
              <w:top w:val="single" w:sz="8" w:space="0" w:color="auto"/>
              <w:left w:val="single" w:sz="8" w:space="0" w:color="auto"/>
              <w:bottom w:val="single" w:sz="8" w:space="0" w:color="auto"/>
              <w:right w:val="single" w:sz="8" w:space="0" w:color="auto"/>
            </w:tcBorders>
          </w:tcPr>
          <w:p w:rsidR="18AC26EE" w:rsidP="00DB0104" w14:paraId="7401270F" w14:textId="05785970">
            <w:pPr>
              <w:spacing w:after="0" w:line="240" w:lineRule="auto"/>
              <w:jc w:val="center"/>
            </w:pPr>
            <w:r w:rsidRPr="18AC26EE">
              <w:rPr>
                <w:rFonts w:eastAsia="Times New Roman" w:cs="Times New Roman"/>
                <w:color w:val="000000" w:themeColor="text1"/>
                <w:sz w:val="20"/>
                <w:szCs w:val="20"/>
              </w:rPr>
              <w:t>X</w:t>
            </w:r>
          </w:p>
        </w:tc>
        <w:tc>
          <w:tcPr>
            <w:tcW w:w="449" w:type="dxa"/>
            <w:tcBorders>
              <w:top w:val="single" w:sz="8" w:space="0" w:color="auto"/>
              <w:left w:val="single" w:sz="8" w:space="0" w:color="auto"/>
              <w:bottom w:val="single" w:sz="8" w:space="0" w:color="auto"/>
              <w:right w:val="single" w:sz="8" w:space="0" w:color="auto"/>
            </w:tcBorders>
          </w:tcPr>
          <w:p w:rsidR="18AC26EE" w:rsidP="00DB0104" w14:paraId="2A706DBC" w14:textId="13AEDED2">
            <w:pPr>
              <w:spacing w:after="0" w:line="240" w:lineRule="auto"/>
              <w:jc w:val="center"/>
            </w:pPr>
            <w:r w:rsidRPr="18AC26EE">
              <w:rPr>
                <w:rFonts w:eastAsia="Times New Roman" w:cs="Times New Roman"/>
                <w:color w:val="000000" w:themeColor="text1"/>
                <w:sz w:val="20"/>
                <w:szCs w:val="20"/>
              </w:rPr>
              <w:t>X</w:t>
            </w:r>
          </w:p>
        </w:tc>
        <w:tc>
          <w:tcPr>
            <w:tcW w:w="542" w:type="dxa"/>
            <w:tcBorders>
              <w:top w:val="single" w:sz="8" w:space="0" w:color="auto"/>
              <w:left w:val="single" w:sz="8" w:space="0" w:color="auto"/>
              <w:bottom w:val="single" w:sz="8" w:space="0" w:color="auto"/>
              <w:right w:val="single" w:sz="8" w:space="0" w:color="auto"/>
            </w:tcBorders>
          </w:tcPr>
          <w:p w:rsidR="18AC26EE" w:rsidP="00DB0104" w14:paraId="1C985958" w14:textId="18138FB9">
            <w:pPr>
              <w:spacing w:after="0" w:line="240" w:lineRule="auto"/>
              <w:jc w:val="center"/>
            </w:pPr>
            <w:r w:rsidRPr="18AC26EE">
              <w:rPr>
                <w:rFonts w:eastAsia="Times New Roman" w:cs="Times New Roman"/>
                <w:color w:val="000000" w:themeColor="text1"/>
                <w:sz w:val="20"/>
                <w:szCs w:val="20"/>
              </w:rPr>
              <w:t>X</w:t>
            </w:r>
          </w:p>
        </w:tc>
        <w:tc>
          <w:tcPr>
            <w:tcW w:w="436" w:type="dxa"/>
            <w:tcBorders>
              <w:top w:val="single" w:sz="8" w:space="0" w:color="auto"/>
              <w:left w:val="single" w:sz="8" w:space="0" w:color="auto"/>
              <w:bottom w:val="single" w:sz="8" w:space="0" w:color="auto"/>
              <w:right w:val="single" w:sz="8" w:space="0" w:color="auto"/>
            </w:tcBorders>
          </w:tcPr>
          <w:p w:rsidR="18AC26EE" w:rsidP="00DB0104" w14:paraId="3FFE29DE" w14:textId="767A726E">
            <w:pPr>
              <w:spacing w:after="0" w:line="240" w:lineRule="auto"/>
              <w:jc w:val="center"/>
            </w:pPr>
            <w:r w:rsidRPr="18AC26EE">
              <w:rPr>
                <w:rFonts w:eastAsia="Times New Roman" w:cs="Times New Roman"/>
                <w:color w:val="000000" w:themeColor="text1"/>
                <w:sz w:val="20"/>
                <w:szCs w:val="20"/>
              </w:rPr>
              <w:t>X</w:t>
            </w:r>
          </w:p>
        </w:tc>
        <w:tc>
          <w:tcPr>
            <w:tcW w:w="449" w:type="dxa"/>
            <w:tcBorders>
              <w:top w:val="single" w:sz="8" w:space="0" w:color="auto"/>
              <w:left w:val="single" w:sz="8" w:space="0" w:color="auto"/>
              <w:bottom w:val="single" w:sz="8" w:space="0" w:color="auto"/>
              <w:right w:val="single" w:sz="8" w:space="0" w:color="auto"/>
            </w:tcBorders>
          </w:tcPr>
          <w:p w:rsidR="18AC26EE" w:rsidP="00DB0104" w14:paraId="034A88F3" w14:textId="1F9C2603">
            <w:pPr>
              <w:spacing w:after="0" w:line="240" w:lineRule="auto"/>
              <w:jc w:val="center"/>
            </w:pPr>
            <w:r w:rsidRPr="18AC26EE">
              <w:rPr>
                <w:rFonts w:eastAsia="Times New Roman" w:cs="Times New Roman"/>
                <w:color w:val="000000" w:themeColor="text1"/>
                <w:sz w:val="20"/>
                <w:szCs w:val="20"/>
              </w:rPr>
              <w:t>X</w:t>
            </w:r>
          </w:p>
        </w:tc>
        <w:tc>
          <w:tcPr>
            <w:tcW w:w="542" w:type="dxa"/>
            <w:tcBorders>
              <w:top w:val="single" w:sz="8" w:space="0" w:color="auto"/>
              <w:left w:val="single" w:sz="8" w:space="0" w:color="auto"/>
              <w:bottom w:val="single" w:sz="8" w:space="0" w:color="auto"/>
              <w:right w:val="single" w:sz="8" w:space="0" w:color="auto"/>
            </w:tcBorders>
          </w:tcPr>
          <w:p w:rsidR="18AC26EE" w:rsidP="00DB0104" w14:paraId="5AAE0262" w14:textId="78F5732D">
            <w:pPr>
              <w:spacing w:after="0" w:line="240" w:lineRule="auto"/>
            </w:pPr>
          </w:p>
        </w:tc>
        <w:tc>
          <w:tcPr>
            <w:tcW w:w="516" w:type="dxa"/>
            <w:tcBorders>
              <w:top w:val="single" w:sz="8" w:space="0" w:color="auto"/>
              <w:left w:val="single" w:sz="8" w:space="0" w:color="auto"/>
              <w:bottom w:val="single" w:sz="8" w:space="0" w:color="auto"/>
              <w:right w:val="single" w:sz="8" w:space="0" w:color="auto"/>
            </w:tcBorders>
          </w:tcPr>
          <w:p w:rsidR="18AC26EE" w:rsidP="00DB0104" w14:paraId="1F0522E3" w14:textId="02476C17">
            <w:pPr>
              <w:spacing w:after="0" w:line="240" w:lineRule="auto"/>
            </w:pP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6D81BDC7" w14:textId="2CCA9A9A">
            <w:pPr>
              <w:spacing w:after="0" w:line="240" w:lineRule="auto"/>
            </w:pPr>
          </w:p>
        </w:tc>
        <w:tc>
          <w:tcPr>
            <w:tcW w:w="672" w:type="dxa"/>
            <w:gridSpan w:val="2"/>
            <w:tcBorders>
              <w:top w:val="single" w:sz="8" w:space="0" w:color="auto"/>
              <w:left w:val="nil"/>
              <w:bottom w:val="single" w:sz="8" w:space="0" w:color="auto"/>
              <w:right w:val="single" w:sz="8" w:space="0" w:color="auto"/>
            </w:tcBorders>
          </w:tcPr>
          <w:p w:rsidR="18AC26EE" w:rsidP="00DB0104" w14:paraId="2D73099B" w14:textId="62BDA2C9">
            <w:pPr>
              <w:spacing w:after="0" w:line="240" w:lineRule="auto"/>
            </w:pPr>
          </w:p>
        </w:tc>
        <w:tc>
          <w:tcPr>
            <w:tcW w:w="685" w:type="dxa"/>
            <w:gridSpan w:val="2"/>
            <w:tcBorders>
              <w:top w:val="single" w:sz="8" w:space="0" w:color="auto"/>
              <w:left w:val="nil"/>
              <w:bottom w:val="single" w:sz="8" w:space="0" w:color="auto"/>
              <w:right w:val="single" w:sz="8" w:space="0" w:color="auto"/>
            </w:tcBorders>
          </w:tcPr>
          <w:p w:rsidR="18AC26EE" w:rsidP="00DB0104" w14:paraId="6E784378" w14:textId="4D7427EF">
            <w:pPr>
              <w:spacing w:after="0" w:line="240" w:lineRule="auto"/>
            </w:pPr>
          </w:p>
        </w:tc>
      </w:tr>
      <w:tr w14:paraId="5DE7E030"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F60A481" w14:textId="3979A45E">
            <w:pPr>
              <w:spacing w:after="0" w:line="240" w:lineRule="auto"/>
            </w:pPr>
            <w:r w:rsidRPr="18AC26EE">
              <w:rPr>
                <w:rFonts w:eastAsia="Times New Roman" w:cs="Times New Roman"/>
                <w:color w:val="000000" w:themeColor="text1"/>
                <w:sz w:val="20"/>
                <w:szCs w:val="20"/>
              </w:rPr>
              <w:t>Random assignment</w:t>
            </w:r>
          </w:p>
        </w:tc>
        <w:tc>
          <w:tcPr>
            <w:tcW w:w="449" w:type="dxa"/>
            <w:tcBorders>
              <w:top w:val="single" w:sz="8" w:space="0" w:color="auto"/>
              <w:left w:val="single" w:sz="8" w:space="0" w:color="auto"/>
              <w:bottom w:val="single" w:sz="8" w:space="0" w:color="auto"/>
              <w:right w:val="single" w:sz="8" w:space="0" w:color="auto"/>
            </w:tcBorders>
          </w:tcPr>
          <w:p w:rsidR="18AC26EE" w:rsidP="00DB0104" w14:paraId="18ECDEA2" w14:textId="56B1DD64">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4E75CDB9" w14:textId="12C59332">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009C1E06" w14:textId="3A527054">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7BF6F1A9" w14:textId="4DE2A446">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715E8D3F" w14:textId="3243F3C1">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2C7A302D" w14:textId="5C3713F0">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58DEAA58" w14:textId="55517649">
            <w:pPr>
              <w:spacing w:after="0" w:line="240" w:lineRule="auto"/>
              <w:jc w:val="center"/>
            </w:pPr>
            <w:r w:rsidRPr="18AC26EE">
              <w:rPr>
                <w:rFonts w:eastAsia="Times New Roman" w:cs="Times New Roman"/>
                <w:color w:val="000000" w:themeColor="text1"/>
                <w:sz w:val="20"/>
                <w:szCs w:val="20"/>
              </w:rPr>
              <w:t>X</w:t>
            </w:r>
          </w:p>
        </w:tc>
        <w:tc>
          <w:tcPr>
            <w:tcW w:w="542" w:type="dxa"/>
            <w:tcBorders>
              <w:top w:val="single" w:sz="8" w:space="0" w:color="auto"/>
              <w:left w:val="single" w:sz="8" w:space="0" w:color="auto"/>
              <w:bottom w:val="single" w:sz="8" w:space="0" w:color="auto"/>
              <w:right w:val="single" w:sz="8" w:space="0" w:color="auto"/>
            </w:tcBorders>
          </w:tcPr>
          <w:p w:rsidR="18AC26EE" w:rsidP="00DB0104" w14:paraId="47221326" w14:textId="1EB79F3C">
            <w:pPr>
              <w:spacing w:after="0" w:line="240" w:lineRule="auto"/>
            </w:pPr>
          </w:p>
        </w:tc>
        <w:tc>
          <w:tcPr>
            <w:tcW w:w="516" w:type="dxa"/>
            <w:tcBorders>
              <w:top w:val="single" w:sz="8" w:space="0" w:color="auto"/>
              <w:left w:val="single" w:sz="8" w:space="0" w:color="auto"/>
              <w:bottom w:val="single" w:sz="8" w:space="0" w:color="auto"/>
              <w:right w:val="single" w:sz="8" w:space="0" w:color="auto"/>
            </w:tcBorders>
          </w:tcPr>
          <w:p w:rsidR="18AC26EE" w:rsidP="00DB0104" w14:paraId="04FD8F3F" w14:textId="3E97D87F">
            <w:pPr>
              <w:spacing w:after="0" w:line="240" w:lineRule="auto"/>
            </w:pP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44514524" w14:textId="1EA45665">
            <w:pPr>
              <w:spacing w:after="0" w:line="240" w:lineRule="auto"/>
            </w:pPr>
          </w:p>
        </w:tc>
        <w:tc>
          <w:tcPr>
            <w:tcW w:w="672" w:type="dxa"/>
            <w:gridSpan w:val="2"/>
            <w:tcBorders>
              <w:top w:val="single" w:sz="8" w:space="0" w:color="auto"/>
              <w:left w:val="nil"/>
              <w:bottom w:val="single" w:sz="8" w:space="0" w:color="auto"/>
              <w:right w:val="single" w:sz="8" w:space="0" w:color="auto"/>
            </w:tcBorders>
          </w:tcPr>
          <w:p w:rsidR="18AC26EE" w:rsidP="00DB0104" w14:paraId="518202C9" w14:textId="46919B7F">
            <w:pPr>
              <w:spacing w:after="0" w:line="240" w:lineRule="auto"/>
            </w:pPr>
          </w:p>
        </w:tc>
        <w:tc>
          <w:tcPr>
            <w:tcW w:w="685" w:type="dxa"/>
            <w:gridSpan w:val="2"/>
            <w:tcBorders>
              <w:top w:val="single" w:sz="8" w:space="0" w:color="auto"/>
              <w:left w:val="nil"/>
              <w:bottom w:val="single" w:sz="8" w:space="0" w:color="auto"/>
              <w:right w:val="single" w:sz="8" w:space="0" w:color="auto"/>
            </w:tcBorders>
          </w:tcPr>
          <w:p w:rsidR="18AC26EE" w:rsidP="00DB0104" w14:paraId="5F7C0B25" w14:textId="754BBE16">
            <w:pPr>
              <w:spacing w:after="0" w:line="240" w:lineRule="auto"/>
            </w:pPr>
          </w:p>
        </w:tc>
      </w:tr>
      <w:tr w14:paraId="0A90FC86"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8DB3C78" w14:textId="31E48A51">
            <w:pPr>
              <w:spacing w:after="0" w:line="240" w:lineRule="auto"/>
            </w:pPr>
            <w:r w:rsidRPr="18AC26EE">
              <w:rPr>
                <w:rFonts w:eastAsia="Times New Roman" w:cs="Times New Roman"/>
                <w:color w:val="000000" w:themeColor="text1"/>
                <w:sz w:val="20"/>
                <w:szCs w:val="20"/>
              </w:rPr>
              <w:t>Collect pre-data</w:t>
            </w:r>
          </w:p>
        </w:tc>
        <w:tc>
          <w:tcPr>
            <w:tcW w:w="449" w:type="dxa"/>
            <w:tcBorders>
              <w:top w:val="single" w:sz="8" w:space="0" w:color="auto"/>
              <w:left w:val="single" w:sz="8" w:space="0" w:color="auto"/>
              <w:bottom w:val="single" w:sz="8" w:space="0" w:color="auto"/>
              <w:right w:val="single" w:sz="8" w:space="0" w:color="auto"/>
            </w:tcBorders>
          </w:tcPr>
          <w:p w:rsidR="18AC26EE" w:rsidP="00DB0104" w14:paraId="2D56B7DF" w14:textId="3591780E">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2C38094C" w14:textId="39E50F54">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59167C71" w14:textId="248B994A">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0CAB3E5C" w14:textId="3CAEA76C">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236611D5" w14:textId="351FD1C8">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661A647D" w14:textId="46F3AC9B">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55D54B09" w14:textId="240FDCCD">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2DCC8F5D" w14:textId="259F2A54">
            <w:pPr>
              <w:spacing w:after="0" w:line="240" w:lineRule="auto"/>
              <w:jc w:val="center"/>
            </w:pPr>
            <w:r w:rsidRPr="18AC26EE">
              <w:rPr>
                <w:rFonts w:eastAsia="Times New Roman" w:cs="Times New Roman"/>
                <w:color w:val="000000" w:themeColor="text1"/>
                <w:sz w:val="20"/>
                <w:szCs w:val="20"/>
              </w:rPr>
              <w:t>X</w:t>
            </w:r>
          </w:p>
        </w:tc>
        <w:tc>
          <w:tcPr>
            <w:tcW w:w="516" w:type="dxa"/>
            <w:tcBorders>
              <w:top w:val="single" w:sz="8" w:space="0" w:color="auto"/>
              <w:left w:val="single" w:sz="8" w:space="0" w:color="auto"/>
              <w:bottom w:val="single" w:sz="8" w:space="0" w:color="auto"/>
              <w:right w:val="single" w:sz="8" w:space="0" w:color="auto"/>
            </w:tcBorders>
          </w:tcPr>
          <w:p w:rsidR="18AC26EE" w:rsidP="00DB0104" w14:paraId="7FB2DEF3" w14:textId="09D41268">
            <w:pPr>
              <w:spacing w:after="0" w:line="240" w:lineRule="auto"/>
              <w:jc w:val="center"/>
            </w:pPr>
            <w:r w:rsidRPr="18AC26EE">
              <w:rPr>
                <w:rFonts w:eastAsia="Times New Roman" w:cs="Times New Roman"/>
                <w:color w:val="000000" w:themeColor="text1"/>
                <w:sz w:val="20"/>
                <w:szCs w:val="20"/>
              </w:rPr>
              <w:t>X</w:t>
            </w: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2002D127" w14:textId="0C5A4B6B">
            <w:pPr>
              <w:spacing w:after="0" w:line="240" w:lineRule="auto"/>
              <w:jc w:val="center"/>
            </w:pPr>
            <w:r w:rsidRPr="18AC26EE">
              <w:rPr>
                <w:rFonts w:eastAsia="Times New Roman" w:cs="Times New Roman"/>
                <w:color w:val="000000" w:themeColor="text1"/>
                <w:sz w:val="20"/>
                <w:szCs w:val="20"/>
              </w:rPr>
              <w:t>X</w:t>
            </w:r>
          </w:p>
        </w:tc>
        <w:tc>
          <w:tcPr>
            <w:tcW w:w="672" w:type="dxa"/>
            <w:gridSpan w:val="2"/>
            <w:tcBorders>
              <w:top w:val="single" w:sz="8" w:space="0" w:color="auto"/>
              <w:left w:val="nil"/>
              <w:bottom w:val="single" w:sz="8" w:space="0" w:color="auto"/>
              <w:right w:val="single" w:sz="8" w:space="0" w:color="auto"/>
            </w:tcBorders>
          </w:tcPr>
          <w:p w:rsidR="18AC26EE" w:rsidP="00DB0104" w14:paraId="58779925" w14:textId="614B6E05">
            <w:pPr>
              <w:spacing w:after="0" w:line="240" w:lineRule="auto"/>
              <w:jc w:val="center"/>
            </w:pPr>
            <w:r w:rsidRPr="18AC26EE">
              <w:rPr>
                <w:rFonts w:eastAsia="Times New Roman" w:cs="Times New Roman"/>
                <w:color w:val="000000" w:themeColor="text1"/>
                <w:sz w:val="20"/>
                <w:szCs w:val="20"/>
              </w:rPr>
              <w:t>X</w:t>
            </w:r>
          </w:p>
        </w:tc>
        <w:tc>
          <w:tcPr>
            <w:tcW w:w="685" w:type="dxa"/>
            <w:gridSpan w:val="2"/>
            <w:tcBorders>
              <w:top w:val="single" w:sz="8" w:space="0" w:color="auto"/>
              <w:left w:val="nil"/>
              <w:bottom w:val="single" w:sz="8" w:space="0" w:color="auto"/>
              <w:right w:val="single" w:sz="8" w:space="0" w:color="auto"/>
            </w:tcBorders>
          </w:tcPr>
          <w:p w:rsidR="18AC26EE" w:rsidP="00DB0104" w14:paraId="142A6D17" w14:textId="5108C3FC">
            <w:pPr>
              <w:spacing w:after="0" w:line="240" w:lineRule="auto"/>
            </w:pPr>
          </w:p>
        </w:tc>
      </w:tr>
      <w:tr w14:paraId="030609A9"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EBB2D8C" w14:textId="44BD8FA0">
            <w:pPr>
              <w:spacing w:after="0" w:line="240" w:lineRule="auto"/>
            </w:pPr>
            <w:r w:rsidRPr="18AC26EE">
              <w:rPr>
                <w:rFonts w:eastAsia="Times New Roman" w:cs="Times New Roman"/>
                <w:color w:val="000000" w:themeColor="text1"/>
                <w:sz w:val="20"/>
                <w:szCs w:val="20"/>
              </w:rPr>
              <w:t>Implement VAM PD</w:t>
            </w:r>
          </w:p>
        </w:tc>
        <w:tc>
          <w:tcPr>
            <w:tcW w:w="449" w:type="dxa"/>
            <w:tcBorders>
              <w:top w:val="single" w:sz="8" w:space="0" w:color="auto"/>
              <w:left w:val="single" w:sz="8" w:space="0" w:color="auto"/>
              <w:bottom w:val="single" w:sz="8" w:space="0" w:color="auto"/>
              <w:right w:val="single" w:sz="8" w:space="0" w:color="auto"/>
            </w:tcBorders>
          </w:tcPr>
          <w:p w:rsidR="18AC26EE" w:rsidP="00DB0104" w14:paraId="0D14F7FF" w14:textId="00C1377F">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44EB69E5" w14:textId="076629EB">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2A3B0DBD" w14:textId="60696173">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5D68F8D8" w14:textId="2F868148">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2014D550" w14:textId="71D93CF3">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646AEBAB" w14:textId="1C6F7572">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582BB6F4" w14:textId="27DD9285">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235A887E" w14:textId="54AC8EF5">
            <w:pPr>
              <w:spacing w:after="0" w:line="240" w:lineRule="auto"/>
              <w:jc w:val="center"/>
            </w:pPr>
            <w:r w:rsidRPr="18AC26EE">
              <w:rPr>
                <w:rFonts w:eastAsia="Times New Roman" w:cs="Times New Roman"/>
                <w:color w:val="000000" w:themeColor="text1"/>
                <w:sz w:val="20"/>
                <w:szCs w:val="20"/>
              </w:rPr>
              <w:t>X</w:t>
            </w:r>
          </w:p>
        </w:tc>
        <w:tc>
          <w:tcPr>
            <w:tcW w:w="516" w:type="dxa"/>
            <w:tcBorders>
              <w:top w:val="single" w:sz="8" w:space="0" w:color="auto"/>
              <w:left w:val="single" w:sz="8" w:space="0" w:color="auto"/>
              <w:bottom w:val="single" w:sz="8" w:space="0" w:color="auto"/>
              <w:right w:val="single" w:sz="8" w:space="0" w:color="auto"/>
            </w:tcBorders>
          </w:tcPr>
          <w:p w:rsidR="18AC26EE" w:rsidP="00DB0104" w14:paraId="08A271FD" w14:textId="54B84F34">
            <w:pPr>
              <w:spacing w:after="0" w:line="240" w:lineRule="auto"/>
              <w:jc w:val="center"/>
            </w:pPr>
            <w:r w:rsidRPr="18AC26EE">
              <w:rPr>
                <w:rFonts w:eastAsia="Times New Roman" w:cs="Times New Roman"/>
                <w:color w:val="000000" w:themeColor="text1"/>
                <w:sz w:val="20"/>
                <w:szCs w:val="20"/>
              </w:rPr>
              <w:t>X</w:t>
            </w: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35292AB3" w14:textId="0E58FF25">
            <w:pPr>
              <w:spacing w:after="0" w:line="240" w:lineRule="auto"/>
              <w:jc w:val="center"/>
            </w:pPr>
            <w:r w:rsidRPr="18AC26EE">
              <w:rPr>
                <w:rFonts w:eastAsia="Times New Roman" w:cs="Times New Roman"/>
                <w:color w:val="000000" w:themeColor="text1"/>
                <w:sz w:val="20"/>
                <w:szCs w:val="20"/>
              </w:rPr>
              <w:t>X</w:t>
            </w:r>
          </w:p>
        </w:tc>
        <w:tc>
          <w:tcPr>
            <w:tcW w:w="672" w:type="dxa"/>
            <w:gridSpan w:val="2"/>
            <w:tcBorders>
              <w:top w:val="single" w:sz="8" w:space="0" w:color="auto"/>
              <w:left w:val="nil"/>
              <w:bottom w:val="single" w:sz="8" w:space="0" w:color="auto"/>
              <w:right w:val="single" w:sz="8" w:space="0" w:color="auto"/>
            </w:tcBorders>
          </w:tcPr>
          <w:p w:rsidR="18AC26EE" w:rsidP="00DB0104" w14:paraId="23664FF8" w14:textId="4C11575F">
            <w:pPr>
              <w:spacing w:after="0" w:line="240" w:lineRule="auto"/>
              <w:jc w:val="center"/>
            </w:pPr>
            <w:r w:rsidRPr="18AC26EE">
              <w:rPr>
                <w:rFonts w:eastAsia="Times New Roman" w:cs="Times New Roman"/>
                <w:color w:val="000000" w:themeColor="text1"/>
                <w:sz w:val="20"/>
                <w:szCs w:val="20"/>
              </w:rPr>
              <w:t>X</w:t>
            </w:r>
          </w:p>
        </w:tc>
        <w:tc>
          <w:tcPr>
            <w:tcW w:w="685" w:type="dxa"/>
            <w:gridSpan w:val="2"/>
            <w:tcBorders>
              <w:top w:val="single" w:sz="8" w:space="0" w:color="auto"/>
              <w:left w:val="nil"/>
              <w:bottom w:val="single" w:sz="8" w:space="0" w:color="auto"/>
              <w:right w:val="single" w:sz="8" w:space="0" w:color="auto"/>
            </w:tcBorders>
          </w:tcPr>
          <w:p w:rsidR="18AC26EE" w:rsidP="00DB0104" w14:paraId="39052A08" w14:textId="383831CF">
            <w:pPr>
              <w:spacing w:after="0" w:line="240" w:lineRule="auto"/>
              <w:jc w:val="center"/>
            </w:pPr>
            <w:r w:rsidRPr="18AC26EE">
              <w:rPr>
                <w:rFonts w:eastAsia="Times New Roman" w:cs="Times New Roman"/>
                <w:color w:val="000000" w:themeColor="text1"/>
                <w:sz w:val="20"/>
                <w:szCs w:val="20"/>
              </w:rPr>
              <w:t>X</w:t>
            </w:r>
          </w:p>
        </w:tc>
      </w:tr>
      <w:tr w14:paraId="483CBA83"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607DB29C" w14:textId="760219AE">
            <w:pPr>
              <w:spacing w:after="0" w:line="240" w:lineRule="auto"/>
            </w:pPr>
            <w:r w:rsidRPr="18AC26EE">
              <w:rPr>
                <w:rFonts w:eastAsia="Times New Roman" w:cs="Times New Roman"/>
                <w:color w:val="000000" w:themeColor="text1"/>
                <w:sz w:val="20"/>
                <w:szCs w:val="20"/>
              </w:rPr>
              <w:t xml:space="preserve"> </w:t>
            </w:r>
          </w:p>
        </w:tc>
        <w:tc>
          <w:tcPr>
            <w:tcW w:w="6258" w:type="dxa"/>
            <w:gridSpan w:val="15"/>
            <w:tcBorders>
              <w:top w:val="single" w:sz="8" w:space="0" w:color="auto"/>
              <w:left w:val="single" w:sz="8" w:space="0" w:color="auto"/>
              <w:bottom w:val="single" w:sz="8" w:space="0" w:color="auto"/>
              <w:right w:val="single" w:sz="8" w:space="0" w:color="auto"/>
            </w:tcBorders>
          </w:tcPr>
          <w:p w:rsidR="18AC26EE" w:rsidP="00DB0104" w14:paraId="4A6F92CE" w14:textId="66B755EF">
            <w:pPr>
              <w:spacing w:after="0" w:line="240" w:lineRule="auto"/>
              <w:jc w:val="center"/>
            </w:pPr>
            <w:r w:rsidRPr="18AC26EE">
              <w:rPr>
                <w:rFonts w:eastAsia="Times New Roman" w:cs="Times New Roman"/>
                <w:b/>
                <w:bCs/>
                <w:color w:val="000000" w:themeColor="text1"/>
                <w:sz w:val="20"/>
                <w:szCs w:val="20"/>
              </w:rPr>
              <w:t>2024</w:t>
            </w:r>
          </w:p>
        </w:tc>
      </w:tr>
      <w:tr w14:paraId="4FDA3D0A"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4CDDDBB2" w14:textId="38FB8243">
            <w:pPr>
              <w:spacing w:after="0" w:line="240" w:lineRule="auto"/>
            </w:pPr>
            <w:r w:rsidRPr="18AC26EE">
              <w:rPr>
                <w:rFonts w:eastAsia="Times New Roman" w:cs="Times New Roman"/>
                <w:color w:val="000000" w:themeColor="text1"/>
                <w:sz w:val="20"/>
                <w:szCs w:val="20"/>
              </w:rPr>
              <w:t>Implement VAM PD</w:t>
            </w:r>
          </w:p>
        </w:tc>
        <w:tc>
          <w:tcPr>
            <w:tcW w:w="449" w:type="dxa"/>
            <w:tcBorders>
              <w:top w:val="single" w:sz="8" w:space="0" w:color="auto"/>
              <w:left w:val="single" w:sz="8" w:space="0" w:color="auto"/>
              <w:bottom w:val="single" w:sz="8" w:space="0" w:color="auto"/>
              <w:right w:val="single" w:sz="8" w:space="0" w:color="auto"/>
            </w:tcBorders>
          </w:tcPr>
          <w:p w:rsidR="18AC26EE" w:rsidP="00DB0104" w14:paraId="3C1EDCC2" w14:textId="4B863793">
            <w:pPr>
              <w:spacing w:after="0" w:line="240" w:lineRule="auto"/>
              <w:jc w:val="center"/>
            </w:pPr>
            <w:r w:rsidRPr="18AC26EE">
              <w:rPr>
                <w:rFonts w:eastAsia="Times New Roman" w:cs="Times New Roman"/>
                <w:color w:val="000000" w:themeColor="text1"/>
                <w:sz w:val="20"/>
                <w:szCs w:val="20"/>
              </w:rPr>
              <w:t>X</w:t>
            </w:r>
          </w:p>
        </w:tc>
        <w:tc>
          <w:tcPr>
            <w:tcW w:w="423" w:type="dxa"/>
            <w:tcBorders>
              <w:top w:val="nil"/>
              <w:left w:val="single" w:sz="8" w:space="0" w:color="auto"/>
              <w:bottom w:val="single" w:sz="8" w:space="0" w:color="auto"/>
              <w:right w:val="single" w:sz="8" w:space="0" w:color="auto"/>
            </w:tcBorders>
          </w:tcPr>
          <w:p w:rsidR="18AC26EE" w:rsidP="00DB0104" w14:paraId="17675AB3" w14:textId="165817A5">
            <w:pPr>
              <w:spacing w:after="0" w:line="240" w:lineRule="auto"/>
              <w:jc w:val="center"/>
            </w:pPr>
            <w:r w:rsidRPr="18AC26EE">
              <w:rPr>
                <w:rFonts w:eastAsia="Times New Roman" w:cs="Times New Roman"/>
                <w:color w:val="000000" w:themeColor="text1"/>
                <w:sz w:val="20"/>
                <w:szCs w:val="20"/>
              </w:rPr>
              <w:t>X</w:t>
            </w:r>
          </w:p>
        </w:tc>
        <w:tc>
          <w:tcPr>
            <w:tcW w:w="436" w:type="dxa"/>
            <w:tcBorders>
              <w:top w:val="nil"/>
              <w:left w:val="single" w:sz="8" w:space="0" w:color="auto"/>
              <w:bottom w:val="single" w:sz="8" w:space="0" w:color="auto"/>
              <w:right w:val="single" w:sz="8" w:space="0" w:color="auto"/>
            </w:tcBorders>
          </w:tcPr>
          <w:p w:rsidR="18AC26EE" w:rsidP="00DB0104" w14:paraId="1CBA37B0" w14:textId="4BD1023C">
            <w:pPr>
              <w:spacing w:after="0" w:line="240" w:lineRule="auto"/>
              <w:jc w:val="center"/>
            </w:pPr>
            <w:r w:rsidRPr="18AC26EE">
              <w:rPr>
                <w:rFonts w:eastAsia="Times New Roman" w:cs="Times New Roman"/>
                <w:color w:val="000000" w:themeColor="text1"/>
                <w:sz w:val="20"/>
                <w:szCs w:val="20"/>
              </w:rPr>
              <w:t>X</w:t>
            </w:r>
          </w:p>
        </w:tc>
        <w:tc>
          <w:tcPr>
            <w:tcW w:w="449" w:type="dxa"/>
            <w:tcBorders>
              <w:top w:val="nil"/>
              <w:left w:val="single" w:sz="8" w:space="0" w:color="auto"/>
              <w:bottom w:val="single" w:sz="8" w:space="0" w:color="auto"/>
              <w:right w:val="single" w:sz="8" w:space="0" w:color="auto"/>
            </w:tcBorders>
          </w:tcPr>
          <w:p w:rsidR="18AC26EE" w:rsidP="00DB0104" w14:paraId="35E81806" w14:textId="599497D9">
            <w:pPr>
              <w:spacing w:after="0" w:line="240" w:lineRule="auto"/>
              <w:jc w:val="center"/>
            </w:pPr>
            <w:r w:rsidRPr="18AC26EE">
              <w:rPr>
                <w:rFonts w:eastAsia="Times New Roman" w:cs="Times New Roman"/>
                <w:color w:val="000000" w:themeColor="text1"/>
                <w:sz w:val="20"/>
                <w:szCs w:val="20"/>
              </w:rPr>
              <w:t>X</w:t>
            </w:r>
          </w:p>
        </w:tc>
        <w:tc>
          <w:tcPr>
            <w:tcW w:w="542" w:type="dxa"/>
            <w:tcBorders>
              <w:top w:val="nil"/>
              <w:left w:val="single" w:sz="8" w:space="0" w:color="auto"/>
              <w:bottom w:val="single" w:sz="8" w:space="0" w:color="auto"/>
              <w:right w:val="single" w:sz="8" w:space="0" w:color="auto"/>
            </w:tcBorders>
          </w:tcPr>
          <w:p w:rsidR="18AC26EE" w:rsidP="00DB0104" w14:paraId="0F607C74" w14:textId="07465066">
            <w:pPr>
              <w:spacing w:after="0" w:line="240" w:lineRule="auto"/>
            </w:pPr>
          </w:p>
        </w:tc>
        <w:tc>
          <w:tcPr>
            <w:tcW w:w="436" w:type="dxa"/>
            <w:tcBorders>
              <w:top w:val="nil"/>
              <w:left w:val="single" w:sz="8" w:space="0" w:color="auto"/>
              <w:bottom w:val="single" w:sz="8" w:space="0" w:color="auto"/>
              <w:right w:val="single" w:sz="8" w:space="0" w:color="auto"/>
            </w:tcBorders>
          </w:tcPr>
          <w:p w:rsidR="18AC26EE" w:rsidP="00DB0104" w14:paraId="54F328D0" w14:textId="31D0FBBD">
            <w:pPr>
              <w:spacing w:after="0" w:line="240" w:lineRule="auto"/>
            </w:pPr>
          </w:p>
        </w:tc>
        <w:tc>
          <w:tcPr>
            <w:tcW w:w="449" w:type="dxa"/>
            <w:tcBorders>
              <w:top w:val="nil"/>
              <w:left w:val="single" w:sz="8" w:space="0" w:color="auto"/>
              <w:bottom w:val="single" w:sz="8" w:space="0" w:color="auto"/>
              <w:right w:val="single" w:sz="8" w:space="0" w:color="auto"/>
            </w:tcBorders>
          </w:tcPr>
          <w:p w:rsidR="18AC26EE" w:rsidP="00DB0104" w14:paraId="72FF81F8" w14:textId="644AA353">
            <w:pPr>
              <w:spacing w:after="0" w:line="240" w:lineRule="auto"/>
            </w:pPr>
          </w:p>
        </w:tc>
        <w:tc>
          <w:tcPr>
            <w:tcW w:w="542" w:type="dxa"/>
            <w:tcBorders>
              <w:top w:val="nil"/>
              <w:left w:val="single" w:sz="8" w:space="0" w:color="auto"/>
              <w:bottom w:val="single" w:sz="8" w:space="0" w:color="auto"/>
              <w:right w:val="single" w:sz="8" w:space="0" w:color="auto"/>
            </w:tcBorders>
          </w:tcPr>
          <w:p w:rsidR="18AC26EE" w:rsidP="00DB0104" w14:paraId="540EF05B" w14:textId="3D098471">
            <w:pPr>
              <w:spacing w:after="0" w:line="240" w:lineRule="auto"/>
            </w:pPr>
          </w:p>
        </w:tc>
        <w:tc>
          <w:tcPr>
            <w:tcW w:w="516" w:type="dxa"/>
            <w:tcBorders>
              <w:top w:val="nil"/>
              <w:left w:val="single" w:sz="8" w:space="0" w:color="auto"/>
              <w:bottom w:val="single" w:sz="8" w:space="0" w:color="auto"/>
              <w:right w:val="single" w:sz="8" w:space="0" w:color="auto"/>
            </w:tcBorders>
          </w:tcPr>
          <w:p w:rsidR="18AC26EE" w:rsidP="00DB0104" w14:paraId="2D3FFEC9" w14:textId="567EF71E">
            <w:pPr>
              <w:spacing w:after="0" w:line="240" w:lineRule="auto"/>
            </w:pPr>
          </w:p>
        </w:tc>
        <w:tc>
          <w:tcPr>
            <w:tcW w:w="659" w:type="dxa"/>
            <w:gridSpan w:val="2"/>
            <w:tcBorders>
              <w:top w:val="nil"/>
              <w:left w:val="single" w:sz="8" w:space="0" w:color="auto"/>
              <w:bottom w:val="single" w:sz="8" w:space="0" w:color="auto"/>
              <w:right w:val="single" w:sz="8" w:space="0" w:color="auto"/>
            </w:tcBorders>
          </w:tcPr>
          <w:p w:rsidR="18AC26EE" w:rsidP="00DB0104" w14:paraId="3A110037" w14:textId="2F66EAC5">
            <w:pPr>
              <w:spacing w:after="0" w:line="240" w:lineRule="auto"/>
            </w:pPr>
          </w:p>
        </w:tc>
        <w:tc>
          <w:tcPr>
            <w:tcW w:w="672" w:type="dxa"/>
            <w:gridSpan w:val="2"/>
            <w:tcBorders>
              <w:top w:val="nil"/>
              <w:left w:val="nil"/>
              <w:bottom w:val="single" w:sz="8" w:space="0" w:color="auto"/>
              <w:right w:val="single" w:sz="8" w:space="0" w:color="auto"/>
            </w:tcBorders>
          </w:tcPr>
          <w:p w:rsidR="18AC26EE" w:rsidP="00DB0104" w14:paraId="2ED75329" w14:textId="698F7C2A">
            <w:pPr>
              <w:spacing w:after="0" w:line="240" w:lineRule="auto"/>
            </w:pPr>
          </w:p>
        </w:tc>
        <w:tc>
          <w:tcPr>
            <w:tcW w:w="685" w:type="dxa"/>
            <w:gridSpan w:val="2"/>
            <w:tcBorders>
              <w:top w:val="nil"/>
              <w:left w:val="nil"/>
              <w:bottom w:val="single" w:sz="8" w:space="0" w:color="auto"/>
              <w:right w:val="single" w:sz="8" w:space="0" w:color="auto"/>
            </w:tcBorders>
          </w:tcPr>
          <w:p w:rsidR="18AC26EE" w:rsidP="00DB0104" w14:paraId="78ED30D7" w14:textId="3E1AAF7D">
            <w:pPr>
              <w:spacing w:after="0" w:line="240" w:lineRule="auto"/>
            </w:pPr>
          </w:p>
        </w:tc>
      </w:tr>
      <w:tr w14:paraId="4AB4299C"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7AB48CB" w14:textId="1DFA5753">
            <w:pPr>
              <w:spacing w:after="0" w:line="240" w:lineRule="auto"/>
            </w:pPr>
            <w:r w:rsidRPr="18AC26EE">
              <w:rPr>
                <w:rFonts w:eastAsia="Times New Roman" w:cs="Times New Roman"/>
                <w:color w:val="000000" w:themeColor="text1"/>
                <w:sz w:val="20"/>
                <w:szCs w:val="20"/>
              </w:rPr>
              <w:t>Collect post-data</w:t>
            </w:r>
          </w:p>
        </w:tc>
        <w:tc>
          <w:tcPr>
            <w:tcW w:w="449" w:type="dxa"/>
            <w:tcBorders>
              <w:top w:val="single" w:sz="8" w:space="0" w:color="auto"/>
              <w:left w:val="single" w:sz="8" w:space="0" w:color="auto"/>
              <w:bottom w:val="single" w:sz="8" w:space="0" w:color="auto"/>
              <w:right w:val="single" w:sz="8" w:space="0" w:color="auto"/>
            </w:tcBorders>
          </w:tcPr>
          <w:p w:rsidR="18AC26EE" w:rsidP="00DB0104" w14:paraId="49FD3EF1" w14:textId="546CC2AE">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6A5D923A" w14:textId="044A819B">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3A5F8621" w14:textId="49F62A53">
            <w:pPr>
              <w:spacing w:after="0" w:line="240" w:lineRule="auto"/>
              <w:jc w:val="center"/>
            </w:pPr>
            <w:r w:rsidRPr="18AC26EE">
              <w:rPr>
                <w:rFonts w:eastAsia="Times New Roman" w:cs="Times New Roman"/>
                <w:color w:val="000000" w:themeColor="text1"/>
                <w:sz w:val="20"/>
                <w:szCs w:val="20"/>
              </w:rPr>
              <w:t>X</w:t>
            </w:r>
          </w:p>
        </w:tc>
        <w:tc>
          <w:tcPr>
            <w:tcW w:w="449" w:type="dxa"/>
            <w:tcBorders>
              <w:top w:val="single" w:sz="8" w:space="0" w:color="auto"/>
              <w:left w:val="single" w:sz="8" w:space="0" w:color="auto"/>
              <w:bottom w:val="single" w:sz="8" w:space="0" w:color="auto"/>
              <w:right w:val="single" w:sz="8" w:space="0" w:color="auto"/>
            </w:tcBorders>
          </w:tcPr>
          <w:p w:rsidR="18AC26EE" w:rsidP="00DB0104" w14:paraId="2B6EAE45" w14:textId="1813A321">
            <w:pPr>
              <w:spacing w:after="0" w:line="240" w:lineRule="auto"/>
              <w:jc w:val="center"/>
            </w:pPr>
            <w:r w:rsidRPr="18AC26EE">
              <w:rPr>
                <w:rFonts w:eastAsia="Times New Roman" w:cs="Times New Roman"/>
                <w:color w:val="000000" w:themeColor="text1"/>
                <w:sz w:val="20"/>
                <w:szCs w:val="20"/>
              </w:rPr>
              <w:t>X</w:t>
            </w:r>
          </w:p>
        </w:tc>
        <w:tc>
          <w:tcPr>
            <w:tcW w:w="542" w:type="dxa"/>
            <w:tcBorders>
              <w:top w:val="single" w:sz="8" w:space="0" w:color="auto"/>
              <w:left w:val="single" w:sz="8" w:space="0" w:color="auto"/>
              <w:bottom w:val="single" w:sz="8" w:space="0" w:color="auto"/>
              <w:right w:val="single" w:sz="8" w:space="0" w:color="auto"/>
            </w:tcBorders>
          </w:tcPr>
          <w:p w:rsidR="18AC26EE" w:rsidP="00DB0104" w14:paraId="4AEB91CA" w14:textId="2D9F0DAB">
            <w:pPr>
              <w:spacing w:after="0" w:line="240" w:lineRule="auto"/>
              <w:jc w:val="center"/>
            </w:pPr>
            <w:r w:rsidRPr="18AC26EE">
              <w:rPr>
                <w:rFonts w:eastAsia="Times New Roman" w:cs="Times New Roman"/>
                <w:color w:val="000000" w:themeColor="text1"/>
                <w:sz w:val="20"/>
                <w:szCs w:val="20"/>
              </w:rPr>
              <w:t>X</w:t>
            </w:r>
          </w:p>
        </w:tc>
        <w:tc>
          <w:tcPr>
            <w:tcW w:w="436" w:type="dxa"/>
            <w:tcBorders>
              <w:top w:val="single" w:sz="8" w:space="0" w:color="auto"/>
              <w:left w:val="single" w:sz="8" w:space="0" w:color="auto"/>
              <w:bottom w:val="single" w:sz="8" w:space="0" w:color="auto"/>
              <w:right w:val="single" w:sz="8" w:space="0" w:color="auto"/>
            </w:tcBorders>
          </w:tcPr>
          <w:p w:rsidR="18AC26EE" w:rsidP="00DB0104" w14:paraId="708548F9" w14:textId="3A7EE78F">
            <w:pPr>
              <w:spacing w:after="0" w:line="240" w:lineRule="auto"/>
              <w:jc w:val="center"/>
            </w:pPr>
            <w:r w:rsidRPr="18AC26EE">
              <w:rPr>
                <w:rFonts w:eastAsia="Times New Roman" w:cs="Times New Roman"/>
                <w:color w:val="000000" w:themeColor="text1"/>
                <w:sz w:val="20"/>
                <w:szCs w:val="20"/>
              </w:rPr>
              <w:t>X</w:t>
            </w:r>
          </w:p>
        </w:tc>
        <w:tc>
          <w:tcPr>
            <w:tcW w:w="449" w:type="dxa"/>
            <w:tcBorders>
              <w:top w:val="single" w:sz="8" w:space="0" w:color="auto"/>
              <w:left w:val="single" w:sz="8" w:space="0" w:color="auto"/>
              <w:bottom w:val="single" w:sz="8" w:space="0" w:color="auto"/>
              <w:right w:val="single" w:sz="8" w:space="0" w:color="auto"/>
            </w:tcBorders>
          </w:tcPr>
          <w:p w:rsidR="18AC26EE" w:rsidP="00DB0104" w14:paraId="702761D0" w14:textId="69CAA024">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46215CE4" w14:textId="03572637">
            <w:pPr>
              <w:spacing w:after="0" w:line="240" w:lineRule="auto"/>
            </w:pPr>
          </w:p>
        </w:tc>
        <w:tc>
          <w:tcPr>
            <w:tcW w:w="516" w:type="dxa"/>
            <w:tcBorders>
              <w:top w:val="single" w:sz="8" w:space="0" w:color="auto"/>
              <w:left w:val="single" w:sz="8" w:space="0" w:color="auto"/>
              <w:bottom w:val="single" w:sz="8" w:space="0" w:color="auto"/>
              <w:right w:val="single" w:sz="8" w:space="0" w:color="auto"/>
            </w:tcBorders>
          </w:tcPr>
          <w:p w:rsidR="18AC26EE" w:rsidP="00DB0104" w14:paraId="39F89406" w14:textId="0A891116">
            <w:pPr>
              <w:spacing w:after="0" w:line="240" w:lineRule="auto"/>
            </w:pP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5F11C646" w14:textId="792DC5A1">
            <w:pPr>
              <w:spacing w:after="0" w:line="240" w:lineRule="auto"/>
            </w:pPr>
          </w:p>
        </w:tc>
        <w:tc>
          <w:tcPr>
            <w:tcW w:w="672" w:type="dxa"/>
            <w:gridSpan w:val="2"/>
            <w:tcBorders>
              <w:top w:val="single" w:sz="8" w:space="0" w:color="auto"/>
              <w:left w:val="nil"/>
              <w:bottom w:val="single" w:sz="8" w:space="0" w:color="auto"/>
              <w:right w:val="single" w:sz="8" w:space="0" w:color="auto"/>
            </w:tcBorders>
          </w:tcPr>
          <w:p w:rsidR="18AC26EE" w:rsidP="00DB0104" w14:paraId="15C774F5" w14:textId="58EB022C">
            <w:pPr>
              <w:spacing w:after="0" w:line="240" w:lineRule="auto"/>
            </w:pPr>
          </w:p>
        </w:tc>
        <w:tc>
          <w:tcPr>
            <w:tcW w:w="685" w:type="dxa"/>
            <w:gridSpan w:val="2"/>
            <w:tcBorders>
              <w:top w:val="single" w:sz="8" w:space="0" w:color="auto"/>
              <w:left w:val="nil"/>
              <w:bottom w:val="single" w:sz="8" w:space="0" w:color="auto"/>
              <w:right w:val="single" w:sz="8" w:space="0" w:color="auto"/>
            </w:tcBorders>
          </w:tcPr>
          <w:p w:rsidR="18AC26EE" w:rsidP="00DB0104" w14:paraId="3838B27E" w14:textId="17C49821">
            <w:pPr>
              <w:spacing w:after="0" w:line="240" w:lineRule="auto"/>
            </w:pPr>
          </w:p>
        </w:tc>
      </w:tr>
      <w:tr w14:paraId="4673ADB1"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F560068" w14:textId="03F30D35">
            <w:pPr>
              <w:spacing w:after="0" w:line="240" w:lineRule="auto"/>
            </w:pPr>
            <w:r w:rsidRPr="18AC26EE">
              <w:rPr>
                <w:rFonts w:eastAsia="Times New Roman" w:cs="Times New Roman"/>
                <w:color w:val="000000" w:themeColor="text1"/>
                <w:sz w:val="20"/>
                <w:szCs w:val="20"/>
              </w:rPr>
              <w:t>Conduct analysis</w:t>
            </w:r>
          </w:p>
        </w:tc>
        <w:tc>
          <w:tcPr>
            <w:tcW w:w="449" w:type="dxa"/>
            <w:tcBorders>
              <w:top w:val="single" w:sz="8" w:space="0" w:color="auto"/>
              <w:left w:val="single" w:sz="8" w:space="0" w:color="auto"/>
              <w:bottom w:val="single" w:sz="8" w:space="0" w:color="auto"/>
              <w:right w:val="single" w:sz="8" w:space="0" w:color="auto"/>
            </w:tcBorders>
          </w:tcPr>
          <w:p w:rsidR="18AC26EE" w:rsidP="00DB0104" w14:paraId="51E8C166" w14:textId="33084B0E">
            <w:pPr>
              <w:spacing w:after="0" w:line="240" w:lineRule="auto"/>
            </w:pPr>
          </w:p>
        </w:tc>
        <w:tc>
          <w:tcPr>
            <w:tcW w:w="423" w:type="dxa"/>
            <w:tcBorders>
              <w:top w:val="single" w:sz="8" w:space="0" w:color="auto"/>
              <w:left w:val="single" w:sz="8" w:space="0" w:color="auto"/>
              <w:bottom w:val="single" w:sz="8" w:space="0" w:color="auto"/>
              <w:right w:val="single" w:sz="8" w:space="0" w:color="auto"/>
            </w:tcBorders>
          </w:tcPr>
          <w:p w:rsidR="18AC26EE" w:rsidP="00DB0104" w14:paraId="28EF31D9" w14:textId="14F02459">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7967807E" w14:textId="45A0E0DC">
            <w:pPr>
              <w:spacing w:after="0" w:line="240" w:lineRule="auto"/>
            </w:pPr>
          </w:p>
        </w:tc>
        <w:tc>
          <w:tcPr>
            <w:tcW w:w="449" w:type="dxa"/>
            <w:tcBorders>
              <w:top w:val="single" w:sz="8" w:space="0" w:color="auto"/>
              <w:left w:val="single" w:sz="8" w:space="0" w:color="auto"/>
              <w:bottom w:val="single" w:sz="8" w:space="0" w:color="auto"/>
              <w:right w:val="single" w:sz="8" w:space="0" w:color="auto"/>
            </w:tcBorders>
          </w:tcPr>
          <w:p w:rsidR="18AC26EE" w:rsidP="00DB0104" w14:paraId="7E26BE9D" w14:textId="0F7FD909">
            <w:pPr>
              <w:spacing w:after="0" w:line="240" w:lineRule="auto"/>
            </w:pPr>
          </w:p>
        </w:tc>
        <w:tc>
          <w:tcPr>
            <w:tcW w:w="542" w:type="dxa"/>
            <w:tcBorders>
              <w:top w:val="single" w:sz="8" w:space="0" w:color="auto"/>
              <w:left w:val="single" w:sz="8" w:space="0" w:color="auto"/>
              <w:bottom w:val="single" w:sz="8" w:space="0" w:color="auto"/>
              <w:right w:val="single" w:sz="8" w:space="0" w:color="auto"/>
            </w:tcBorders>
          </w:tcPr>
          <w:p w:rsidR="18AC26EE" w:rsidP="00DB0104" w14:paraId="41ABDBC2" w14:textId="314868BF">
            <w:pPr>
              <w:spacing w:after="0" w:line="240" w:lineRule="auto"/>
            </w:pPr>
          </w:p>
        </w:tc>
        <w:tc>
          <w:tcPr>
            <w:tcW w:w="436" w:type="dxa"/>
            <w:tcBorders>
              <w:top w:val="single" w:sz="8" w:space="0" w:color="auto"/>
              <w:left w:val="single" w:sz="8" w:space="0" w:color="auto"/>
              <w:bottom w:val="single" w:sz="8" w:space="0" w:color="auto"/>
              <w:right w:val="single" w:sz="8" w:space="0" w:color="auto"/>
            </w:tcBorders>
          </w:tcPr>
          <w:p w:rsidR="18AC26EE" w:rsidP="00DB0104" w14:paraId="2B2AA1BC" w14:textId="19537943">
            <w:pPr>
              <w:spacing w:after="0" w:line="240" w:lineRule="auto"/>
              <w:jc w:val="center"/>
            </w:pPr>
            <w:r w:rsidRPr="18AC26EE">
              <w:rPr>
                <w:rFonts w:eastAsia="Times New Roman" w:cs="Times New Roman"/>
                <w:color w:val="000000" w:themeColor="text1"/>
                <w:sz w:val="20"/>
                <w:szCs w:val="20"/>
              </w:rPr>
              <w:t>X</w:t>
            </w:r>
          </w:p>
        </w:tc>
        <w:tc>
          <w:tcPr>
            <w:tcW w:w="449" w:type="dxa"/>
            <w:tcBorders>
              <w:top w:val="single" w:sz="8" w:space="0" w:color="auto"/>
              <w:left w:val="single" w:sz="8" w:space="0" w:color="auto"/>
              <w:bottom w:val="single" w:sz="8" w:space="0" w:color="auto"/>
              <w:right w:val="single" w:sz="8" w:space="0" w:color="auto"/>
            </w:tcBorders>
          </w:tcPr>
          <w:p w:rsidR="18AC26EE" w:rsidP="00DB0104" w14:paraId="00AD0F1D" w14:textId="7DF05854">
            <w:pPr>
              <w:spacing w:after="0" w:line="240" w:lineRule="auto"/>
              <w:jc w:val="center"/>
            </w:pPr>
            <w:r w:rsidRPr="18AC26EE">
              <w:rPr>
                <w:rFonts w:eastAsia="Times New Roman" w:cs="Times New Roman"/>
                <w:color w:val="000000" w:themeColor="text1"/>
                <w:sz w:val="20"/>
                <w:szCs w:val="20"/>
              </w:rPr>
              <w:t>X</w:t>
            </w:r>
          </w:p>
        </w:tc>
        <w:tc>
          <w:tcPr>
            <w:tcW w:w="542" w:type="dxa"/>
            <w:tcBorders>
              <w:top w:val="single" w:sz="8" w:space="0" w:color="auto"/>
              <w:left w:val="single" w:sz="8" w:space="0" w:color="auto"/>
              <w:bottom w:val="single" w:sz="8" w:space="0" w:color="auto"/>
              <w:right w:val="single" w:sz="8" w:space="0" w:color="auto"/>
            </w:tcBorders>
          </w:tcPr>
          <w:p w:rsidR="18AC26EE" w:rsidP="00DB0104" w14:paraId="2E202953" w14:textId="79F65439">
            <w:pPr>
              <w:spacing w:after="0" w:line="240" w:lineRule="auto"/>
              <w:jc w:val="center"/>
            </w:pPr>
            <w:r w:rsidRPr="18AC26EE">
              <w:rPr>
                <w:rFonts w:eastAsia="Times New Roman" w:cs="Times New Roman"/>
                <w:color w:val="000000" w:themeColor="text1"/>
                <w:sz w:val="20"/>
                <w:szCs w:val="20"/>
              </w:rPr>
              <w:t>X</w:t>
            </w:r>
          </w:p>
        </w:tc>
        <w:tc>
          <w:tcPr>
            <w:tcW w:w="516" w:type="dxa"/>
            <w:tcBorders>
              <w:top w:val="single" w:sz="8" w:space="0" w:color="auto"/>
              <w:left w:val="single" w:sz="8" w:space="0" w:color="auto"/>
              <w:bottom w:val="single" w:sz="8" w:space="0" w:color="auto"/>
              <w:right w:val="single" w:sz="8" w:space="0" w:color="auto"/>
            </w:tcBorders>
          </w:tcPr>
          <w:p w:rsidR="18AC26EE" w:rsidP="00DB0104" w14:paraId="3E080C17" w14:textId="7E41F84D">
            <w:pPr>
              <w:spacing w:after="0" w:line="240" w:lineRule="auto"/>
              <w:jc w:val="center"/>
            </w:pPr>
            <w:r w:rsidRPr="18AC26EE">
              <w:rPr>
                <w:rFonts w:eastAsia="Times New Roman" w:cs="Times New Roman"/>
                <w:color w:val="000000" w:themeColor="text1"/>
                <w:sz w:val="20"/>
                <w:szCs w:val="20"/>
              </w:rPr>
              <w:t>X</w:t>
            </w: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7B142656" w14:textId="10C54963">
            <w:pPr>
              <w:spacing w:after="0" w:line="240" w:lineRule="auto"/>
              <w:jc w:val="center"/>
            </w:pPr>
            <w:r w:rsidRPr="18AC26EE">
              <w:rPr>
                <w:rFonts w:eastAsia="Times New Roman" w:cs="Times New Roman"/>
                <w:color w:val="000000" w:themeColor="text1"/>
                <w:sz w:val="20"/>
                <w:szCs w:val="20"/>
              </w:rPr>
              <w:t>X</w:t>
            </w:r>
          </w:p>
        </w:tc>
        <w:tc>
          <w:tcPr>
            <w:tcW w:w="672" w:type="dxa"/>
            <w:gridSpan w:val="2"/>
            <w:tcBorders>
              <w:top w:val="single" w:sz="8" w:space="0" w:color="auto"/>
              <w:left w:val="nil"/>
              <w:bottom w:val="single" w:sz="8" w:space="0" w:color="auto"/>
              <w:right w:val="single" w:sz="8" w:space="0" w:color="auto"/>
            </w:tcBorders>
          </w:tcPr>
          <w:p w:rsidR="18AC26EE" w:rsidP="00DB0104" w14:paraId="3A2C0CFA" w14:textId="1D26AAF2">
            <w:pPr>
              <w:spacing w:after="0" w:line="240" w:lineRule="auto"/>
              <w:jc w:val="center"/>
            </w:pPr>
            <w:r w:rsidRPr="18AC26EE">
              <w:rPr>
                <w:rFonts w:eastAsia="Times New Roman" w:cs="Times New Roman"/>
                <w:color w:val="000000" w:themeColor="text1"/>
                <w:sz w:val="20"/>
                <w:szCs w:val="20"/>
              </w:rPr>
              <w:t>X</w:t>
            </w:r>
          </w:p>
        </w:tc>
        <w:tc>
          <w:tcPr>
            <w:tcW w:w="685" w:type="dxa"/>
            <w:gridSpan w:val="2"/>
            <w:tcBorders>
              <w:top w:val="single" w:sz="8" w:space="0" w:color="auto"/>
              <w:left w:val="nil"/>
              <w:bottom w:val="single" w:sz="8" w:space="0" w:color="auto"/>
              <w:right w:val="single" w:sz="8" w:space="0" w:color="auto"/>
            </w:tcBorders>
          </w:tcPr>
          <w:p w:rsidR="18AC26EE" w:rsidP="00DB0104" w14:paraId="12E26A0E" w14:textId="6CDF7C0B">
            <w:pPr>
              <w:spacing w:after="0" w:line="240" w:lineRule="auto"/>
              <w:jc w:val="center"/>
            </w:pPr>
            <w:r w:rsidRPr="18AC26EE">
              <w:rPr>
                <w:rFonts w:eastAsia="Times New Roman" w:cs="Times New Roman"/>
                <w:color w:val="000000" w:themeColor="text1"/>
                <w:sz w:val="20"/>
                <w:szCs w:val="20"/>
              </w:rPr>
              <w:t>X</w:t>
            </w:r>
          </w:p>
        </w:tc>
      </w:tr>
      <w:tr w14:paraId="07C3AF2C"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77E27F70" w14:textId="1B445582">
            <w:pPr>
              <w:spacing w:after="0" w:line="240" w:lineRule="auto"/>
            </w:pPr>
            <w:r w:rsidRPr="18AC26EE">
              <w:rPr>
                <w:rFonts w:eastAsia="Times New Roman" w:cs="Times New Roman"/>
                <w:color w:val="000000" w:themeColor="text1"/>
                <w:sz w:val="20"/>
                <w:szCs w:val="20"/>
              </w:rPr>
              <w:t xml:space="preserve"> </w:t>
            </w:r>
          </w:p>
        </w:tc>
        <w:tc>
          <w:tcPr>
            <w:tcW w:w="6258" w:type="dxa"/>
            <w:gridSpan w:val="15"/>
            <w:tcBorders>
              <w:top w:val="single" w:sz="8" w:space="0" w:color="auto"/>
              <w:left w:val="single" w:sz="8" w:space="0" w:color="auto"/>
              <w:bottom w:val="single" w:sz="8" w:space="0" w:color="auto"/>
              <w:right w:val="single" w:sz="8" w:space="0" w:color="auto"/>
            </w:tcBorders>
          </w:tcPr>
          <w:p w:rsidR="18AC26EE" w:rsidP="00DB0104" w14:paraId="436D328F" w14:textId="5A521237">
            <w:pPr>
              <w:spacing w:after="0" w:line="240" w:lineRule="auto"/>
              <w:jc w:val="center"/>
            </w:pPr>
            <w:r w:rsidRPr="18AC26EE">
              <w:rPr>
                <w:rFonts w:eastAsia="Times New Roman" w:cs="Times New Roman"/>
                <w:b/>
                <w:bCs/>
                <w:color w:val="000000" w:themeColor="text1"/>
                <w:sz w:val="20"/>
                <w:szCs w:val="20"/>
              </w:rPr>
              <w:t>2025</w:t>
            </w:r>
          </w:p>
        </w:tc>
      </w:tr>
      <w:tr w14:paraId="1B6CC7B6"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2D65BDBE" w14:textId="4743D2CA">
            <w:pPr>
              <w:spacing w:after="0" w:line="240" w:lineRule="auto"/>
            </w:pPr>
            <w:r w:rsidRPr="18AC26EE">
              <w:rPr>
                <w:rFonts w:eastAsia="Times New Roman" w:cs="Times New Roman"/>
                <w:color w:val="000000" w:themeColor="text1"/>
                <w:sz w:val="20"/>
                <w:szCs w:val="20"/>
              </w:rPr>
              <w:t>Conduct analysis and draft report</w:t>
            </w:r>
          </w:p>
        </w:tc>
        <w:tc>
          <w:tcPr>
            <w:tcW w:w="449" w:type="dxa"/>
            <w:tcBorders>
              <w:top w:val="single" w:sz="8" w:space="0" w:color="auto"/>
              <w:left w:val="single" w:sz="8" w:space="0" w:color="auto"/>
              <w:bottom w:val="single" w:sz="8" w:space="0" w:color="auto"/>
              <w:right w:val="single" w:sz="8" w:space="0" w:color="auto"/>
            </w:tcBorders>
          </w:tcPr>
          <w:p w:rsidR="18AC26EE" w:rsidP="00DB0104" w14:paraId="424D5773" w14:textId="06586FAB">
            <w:pPr>
              <w:spacing w:after="0" w:line="240" w:lineRule="auto"/>
              <w:jc w:val="center"/>
            </w:pPr>
            <w:r w:rsidRPr="18AC26EE">
              <w:rPr>
                <w:rFonts w:eastAsia="Times New Roman" w:cs="Times New Roman"/>
                <w:color w:val="000000" w:themeColor="text1"/>
                <w:sz w:val="20"/>
                <w:szCs w:val="20"/>
              </w:rPr>
              <w:t>X</w:t>
            </w:r>
          </w:p>
        </w:tc>
        <w:tc>
          <w:tcPr>
            <w:tcW w:w="423" w:type="dxa"/>
            <w:tcBorders>
              <w:top w:val="nil"/>
              <w:left w:val="single" w:sz="8" w:space="0" w:color="auto"/>
              <w:bottom w:val="single" w:sz="8" w:space="0" w:color="auto"/>
              <w:right w:val="single" w:sz="8" w:space="0" w:color="auto"/>
            </w:tcBorders>
          </w:tcPr>
          <w:p w:rsidR="18AC26EE" w:rsidP="00DB0104" w14:paraId="57CFB502" w14:textId="30C8960B">
            <w:pPr>
              <w:spacing w:after="0" w:line="240" w:lineRule="auto"/>
              <w:jc w:val="center"/>
            </w:pPr>
            <w:r w:rsidRPr="18AC26EE">
              <w:rPr>
                <w:rFonts w:eastAsia="Times New Roman" w:cs="Times New Roman"/>
                <w:color w:val="000000" w:themeColor="text1"/>
                <w:sz w:val="20"/>
                <w:szCs w:val="20"/>
              </w:rPr>
              <w:t>X</w:t>
            </w:r>
          </w:p>
        </w:tc>
        <w:tc>
          <w:tcPr>
            <w:tcW w:w="436" w:type="dxa"/>
            <w:tcBorders>
              <w:top w:val="nil"/>
              <w:left w:val="single" w:sz="8" w:space="0" w:color="auto"/>
              <w:bottom w:val="single" w:sz="8" w:space="0" w:color="auto"/>
              <w:right w:val="single" w:sz="8" w:space="0" w:color="auto"/>
            </w:tcBorders>
          </w:tcPr>
          <w:p w:rsidR="18AC26EE" w:rsidP="00DB0104" w14:paraId="3F69F152" w14:textId="188337DF">
            <w:pPr>
              <w:spacing w:after="0" w:line="240" w:lineRule="auto"/>
              <w:jc w:val="center"/>
            </w:pPr>
            <w:r w:rsidRPr="18AC26EE">
              <w:rPr>
                <w:rFonts w:eastAsia="Times New Roman" w:cs="Times New Roman"/>
                <w:color w:val="000000" w:themeColor="text1"/>
                <w:sz w:val="20"/>
                <w:szCs w:val="20"/>
              </w:rPr>
              <w:t>X</w:t>
            </w:r>
          </w:p>
        </w:tc>
        <w:tc>
          <w:tcPr>
            <w:tcW w:w="449" w:type="dxa"/>
            <w:tcBorders>
              <w:top w:val="nil"/>
              <w:left w:val="single" w:sz="8" w:space="0" w:color="auto"/>
              <w:bottom w:val="single" w:sz="8" w:space="0" w:color="auto"/>
              <w:right w:val="single" w:sz="8" w:space="0" w:color="auto"/>
            </w:tcBorders>
          </w:tcPr>
          <w:p w:rsidR="18AC26EE" w:rsidP="00DB0104" w14:paraId="2EB7B0EA" w14:textId="048AA27D">
            <w:pPr>
              <w:spacing w:after="0" w:line="240" w:lineRule="auto"/>
              <w:jc w:val="center"/>
            </w:pPr>
            <w:r w:rsidRPr="18AC26EE">
              <w:rPr>
                <w:rFonts w:eastAsia="Times New Roman" w:cs="Times New Roman"/>
                <w:color w:val="000000" w:themeColor="text1"/>
                <w:sz w:val="20"/>
                <w:szCs w:val="20"/>
              </w:rPr>
              <w:t>X</w:t>
            </w:r>
          </w:p>
        </w:tc>
        <w:tc>
          <w:tcPr>
            <w:tcW w:w="542" w:type="dxa"/>
            <w:tcBorders>
              <w:top w:val="nil"/>
              <w:left w:val="single" w:sz="8" w:space="0" w:color="auto"/>
              <w:bottom w:val="single" w:sz="8" w:space="0" w:color="auto"/>
              <w:right w:val="single" w:sz="8" w:space="0" w:color="auto"/>
            </w:tcBorders>
          </w:tcPr>
          <w:p w:rsidR="18AC26EE" w:rsidP="00DB0104" w14:paraId="6026B503" w14:textId="1E767FC7">
            <w:pPr>
              <w:spacing w:after="0" w:line="240" w:lineRule="auto"/>
              <w:jc w:val="center"/>
            </w:pPr>
            <w:r w:rsidRPr="18AC26EE">
              <w:rPr>
                <w:rFonts w:eastAsia="Times New Roman" w:cs="Times New Roman"/>
                <w:color w:val="000000" w:themeColor="text1"/>
                <w:sz w:val="20"/>
                <w:szCs w:val="20"/>
              </w:rPr>
              <w:t>X</w:t>
            </w:r>
          </w:p>
        </w:tc>
        <w:tc>
          <w:tcPr>
            <w:tcW w:w="436" w:type="dxa"/>
            <w:tcBorders>
              <w:top w:val="nil"/>
              <w:left w:val="single" w:sz="8" w:space="0" w:color="auto"/>
              <w:bottom w:val="single" w:sz="8" w:space="0" w:color="auto"/>
              <w:right w:val="single" w:sz="8" w:space="0" w:color="auto"/>
            </w:tcBorders>
          </w:tcPr>
          <w:p w:rsidR="18AC26EE" w:rsidP="00DB0104" w14:paraId="3A58AFC3" w14:textId="3B111696">
            <w:pPr>
              <w:spacing w:after="0" w:line="240" w:lineRule="auto"/>
              <w:jc w:val="center"/>
            </w:pPr>
            <w:r w:rsidRPr="18AC26EE">
              <w:rPr>
                <w:rFonts w:eastAsia="Times New Roman" w:cs="Times New Roman"/>
                <w:color w:val="000000" w:themeColor="text1"/>
                <w:sz w:val="20"/>
                <w:szCs w:val="20"/>
              </w:rPr>
              <w:t>X</w:t>
            </w:r>
          </w:p>
        </w:tc>
        <w:tc>
          <w:tcPr>
            <w:tcW w:w="449" w:type="dxa"/>
            <w:tcBorders>
              <w:top w:val="nil"/>
              <w:left w:val="single" w:sz="8" w:space="0" w:color="auto"/>
              <w:bottom w:val="single" w:sz="8" w:space="0" w:color="auto"/>
              <w:right w:val="single" w:sz="8" w:space="0" w:color="auto"/>
            </w:tcBorders>
          </w:tcPr>
          <w:p w:rsidR="18AC26EE" w:rsidP="00DB0104" w14:paraId="49248E20" w14:textId="056DEC9F">
            <w:pPr>
              <w:spacing w:after="0" w:line="240" w:lineRule="auto"/>
            </w:pPr>
          </w:p>
        </w:tc>
        <w:tc>
          <w:tcPr>
            <w:tcW w:w="542" w:type="dxa"/>
            <w:tcBorders>
              <w:top w:val="nil"/>
              <w:left w:val="single" w:sz="8" w:space="0" w:color="auto"/>
              <w:bottom w:val="single" w:sz="8" w:space="0" w:color="auto"/>
              <w:right w:val="single" w:sz="8" w:space="0" w:color="auto"/>
            </w:tcBorders>
          </w:tcPr>
          <w:p w:rsidR="18AC26EE" w:rsidP="00DB0104" w14:paraId="74A3270C" w14:textId="4653C18A">
            <w:pPr>
              <w:spacing w:after="0" w:line="240" w:lineRule="auto"/>
            </w:pPr>
          </w:p>
        </w:tc>
        <w:tc>
          <w:tcPr>
            <w:tcW w:w="516" w:type="dxa"/>
            <w:tcBorders>
              <w:top w:val="nil"/>
              <w:left w:val="single" w:sz="8" w:space="0" w:color="auto"/>
              <w:bottom w:val="single" w:sz="8" w:space="0" w:color="auto"/>
              <w:right w:val="single" w:sz="8" w:space="0" w:color="auto"/>
            </w:tcBorders>
          </w:tcPr>
          <w:p w:rsidR="18AC26EE" w:rsidP="00DB0104" w14:paraId="25B5726A" w14:textId="18D76AD7">
            <w:pPr>
              <w:spacing w:after="0" w:line="240" w:lineRule="auto"/>
            </w:pPr>
          </w:p>
        </w:tc>
        <w:tc>
          <w:tcPr>
            <w:tcW w:w="659" w:type="dxa"/>
            <w:gridSpan w:val="2"/>
            <w:tcBorders>
              <w:top w:val="nil"/>
              <w:left w:val="single" w:sz="8" w:space="0" w:color="auto"/>
              <w:bottom w:val="single" w:sz="8" w:space="0" w:color="auto"/>
              <w:right w:val="single" w:sz="8" w:space="0" w:color="auto"/>
            </w:tcBorders>
          </w:tcPr>
          <w:p w:rsidR="18AC26EE" w:rsidP="00DB0104" w14:paraId="41E127A5" w14:textId="618E6D58">
            <w:pPr>
              <w:spacing w:after="0" w:line="240" w:lineRule="auto"/>
            </w:pPr>
          </w:p>
        </w:tc>
        <w:tc>
          <w:tcPr>
            <w:tcW w:w="672" w:type="dxa"/>
            <w:gridSpan w:val="2"/>
            <w:tcBorders>
              <w:top w:val="nil"/>
              <w:left w:val="nil"/>
              <w:bottom w:val="single" w:sz="8" w:space="0" w:color="auto"/>
              <w:right w:val="single" w:sz="8" w:space="0" w:color="auto"/>
            </w:tcBorders>
          </w:tcPr>
          <w:p w:rsidR="18AC26EE" w:rsidP="00DB0104" w14:paraId="5EA7D7A7" w14:textId="33BB6965">
            <w:pPr>
              <w:spacing w:after="0" w:line="240" w:lineRule="auto"/>
            </w:pPr>
          </w:p>
        </w:tc>
        <w:tc>
          <w:tcPr>
            <w:tcW w:w="685" w:type="dxa"/>
            <w:gridSpan w:val="2"/>
            <w:tcBorders>
              <w:top w:val="nil"/>
              <w:left w:val="nil"/>
              <w:bottom w:val="single" w:sz="8" w:space="0" w:color="auto"/>
              <w:right w:val="single" w:sz="8" w:space="0" w:color="auto"/>
            </w:tcBorders>
          </w:tcPr>
          <w:p w:rsidR="18AC26EE" w:rsidP="00DB0104" w14:paraId="7AD9EF13" w14:textId="00FC5A48">
            <w:pPr>
              <w:spacing w:after="0" w:line="240" w:lineRule="auto"/>
            </w:pPr>
          </w:p>
        </w:tc>
      </w:tr>
      <w:tr w14:paraId="0371AD40"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60C5DA0D" w14:textId="3C1EB00B">
            <w:pPr>
              <w:spacing w:after="0" w:line="240" w:lineRule="auto"/>
            </w:pPr>
            <w:r w:rsidRPr="18AC26EE">
              <w:rPr>
                <w:rFonts w:eastAsia="Times New Roman" w:cs="Times New Roman"/>
                <w:color w:val="000000" w:themeColor="text1"/>
                <w:sz w:val="20"/>
                <w:szCs w:val="20"/>
              </w:rPr>
              <w:t>Submit report</w:t>
            </w:r>
          </w:p>
        </w:tc>
        <w:tc>
          <w:tcPr>
            <w:tcW w:w="449" w:type="dxa"/>
            <w:tcBorders>
              <w:top w:val="single" w:sz="8" w:space="0" w:color="auto"/>
              <w:left w:val="single" w:sz="8" w:space="0" w:color="auto"/>
              <w:bottom w:val="single" w:sz="8" w:space="0" w:color="auto"/>
              <w:right w:val="single" w:sz="8" w:space="0" w:color="auto"/>
            </w:tcBorders>
          </w:tcPr>
          <w:p w:rsidR="18AC26EE" w:rsidP="00DB0104" w14:paraId="23A74FB0" w14:textId="30F95C58">
            <w:pPr>
              <w:spacing w:after="0" w:line="240" w:lineRule="auto"/>
              <w:jc w:val="center"/>
            </w:pPr>
            <w:r w:rsidRPr="18AC26EE">
              <w:rPr>
                <w:rFonts w:eastAsia="Times New Roman" w:cs="Times New Roman"/>
                <w:color w:val="000000" w:themeColor="text1"/>
                <w:sz w:val="20"/>
                <w:szCs w:val="20"/>
              </w:rPr>
              <w:t xml:space="preserve"> </w:t>
            </w:r>
          </w:p>
        </w:tc>
        <w:tc>
          <w:tcPr>
            <w:tcW w:w="423" w:type="dxa"/>
            <w:tcBorders>
              <w:top w:val="single" w:sz="8" w:space="0" w:color="auto"/>
              <w:left w:val="single" w:sz="8" w:space="0" w:color="auto"/>
              <w:bottom w:val="single" w:sz="8" w:space="0" w:color="auto"/>
              <w:right w:val="single" w:sz="8" w:space="0" w:color="auto"/>
            </w:tcBorders>
          </w:tcPr>
          <w:p w:rsidR="18AC26EE" w:rsidP="00DB0104" w14:paraId="1CC3A5EB" w14:textId="50CD371A">
            <w:pPr>
              <w:spacing w:after="0" w:line="240" w:lineRule="auto"/>
              <w:jc w:val="center"/>
            </w:pPr>
            <w:r w:rsidRPr="18AC26EE">
              <w:rPr>
                <w:rFonts w:eastAsia="Times New Roman" w:cs="Times New Roman"/>
                <w:color w:val="000000" w:themeColor="text1"/>
                <w:sz w:val="20"/>
                <w:szCs w:val="20"/>
              </w:rPr>
              <w:t xml:space="preserve"> </w:t>
            </w:r>
          </w:p>
        </w:tc>
        <w:tc>
          <w:tcPr>
            <w:tcW w:w="436" w:type="dxa"/>
            <w:tcBorders>
              <w:top w:val="single" w:sz="8" w:space="0" w:color="auto"/>
              <w:left w:val="single" w:sz="8" w:space="0" w:color="auto"/>
              <w:bottom w:val="single" w:sz="8" w:space="0" w:color="auto"/>
              <w:right w:val="single" w:sz="8" w:space="0" w:color="auto"/>
            </w:tcBorders>
          </w:tcPr>
          <w:p w:rsidR="18AC26EE" w:rsidP="00DB0104" w14:paraId="3DDA8CE4" w14:textId="131859C2">
            <w:pPr>
              <w:spacing w:after="0" w:line="240" w:lineRule="auto"/>
              <w:jc w:val="center"/>
            </w:pPr>
            <w:r w:rsidRPr="18AC26EE">
              <w:rPr>
                <w:rFonts w:eastAsia="Times New Roman" w:cs="Times New Roman"/>
                <w:color w:val="000000" w:themeColor="text1"/>
                <w:sz w:val="20"/>
                <w:szCs w:val="20"/>
              </w:rPr>
              <w:t xml:space="preserve"> </w:t>
            </w:r>
          </w:p>
        </w:tc>
        <w:tc>
          <w:tcPr>
            <w:tcW w:w="449" w:type="dxa"/>
            <w:tcBorders>
              <w:top w:val="single" w:sz="8" w:space="0" w:color="auto"/>
              <w:left w:val="single" w:sz="8" w:space="0" w:color="auto"/>
              <w:bottom w:val="single" w:sz="8" w:space="0" w:color="auto"/>
              <w:right w:val="single" w:sz="8" w:space="0" w:color="auto"/>
            </w:tcBorders>
          </w:tcPr>
          <w:p w:rsidR="18AC26EE" w:rsidP="00DB0104" w14:paraId="6B4A9EA7" w14:textId="60FF81A0">
            <w:pPr>
              <w:spacing w:after="0" w:line="240" w:lineRule="auto"/>
              <w:jc w:val="center"/>
            </w:pPr>
            <w:r w:rsidRPr="18AC26EE">
              <w:rPr>
                <w:rFonts w:eastAsia="Times New Roman" w:cs="Times New Roman"/>
                <w:color w:val="000000" w:themeColor="text1"/>
                <w:sz w:val="20"/>
                <w:szCs w:val="20"/>
              </w:rPr>
              <w:t xml:space="preserve"> </w:t>
            </w:r>
          </w:p>
        </w:tc>
        <w:tc>
          <w:tcPr>
            <w:tcW w:w="542" w:type="dxa"/>
            <w:tcBorders>
              <w:top w:val="single" w:sz="8" w:space="0" w:color="auto"/>
              <w:left w:val="single" w:sz="8" w:space="0" w:color="auto"/>
              <w:bottom w:val="single" w:sz="8" w:space="0" w:color="auto"/>
              <w:right w:val="single" w:sz="8" w:space="0" w:color="auto"/>
            </w:tcBorders>
          </w:tcPr>
          <w:p w:rsidR="18AC26EE" w:rsidP="00DB0104" w14:paraId="5640157E" w14:textId="7638128D">
            <w:pPr>
              <w:spacing w:after="0" w:line="240" w:lineRule="auto"/>
              <w:jc w:val="center"/>
            </w:pPr>
            <w:r w:rsidRPr="18AC26EE">
              <w:rPr>
                <w:rFonts w:eastAsia="Times New Roman" w:cs="Times New Roman"/>
                <w:color w:val="000000" w:themeColor="text1"/>
                <w:sz w:val="20"/>
                <w:szCs w:val="20"/>
              </w:rPr>
              <w:t xml:space="preserve"> </w:t>
            </w:r>
          </w:p>
        </w:tc>
        <w:tc>
          <w:tcPr>
            <w:tcW w:w="436" w:type="dxa"/>
            <w:tcBorders>
              <w:top w:val="single" w:sz="8" w:space="0" w:color="auto"/>
              <w:left w:val="single" w:sz="8" w:space="0" w:color="auto"/>
              <w:bottom w:val="single" w:sz="8" w:space="0" w:color="auto"/>
              <w:right w:val="single" w:sz="8" w:space="0" w:color="auto"/>
            </w:tcBorders>
          </w:tcPr>
          <w:p w:rsidR="18AC26EE" w:rsidP="00DB0104" w14:paraId="5F86A24A" w14:textId="77EBAA9A">
            <w:pPr>
              <w:spacing w:after="0" w:line="240" w:lineRule="auto"/>
              <w:jc w:val="center"/>
            </w:pPr>
            <w:r w:rsidRPr="18AC26EE">
              <w:rPr>
                <w:rFonts w:eastAsia="Times New Roman" w:cs="Times New Roman"/>
                <w:color w:val="000000" w:themeColor="text1"/>
                <w:sz w:val="20"/>
                <w:szCs w:val="20"/>
              </w:rPr>
              <w:t xml:space="preserve"> </w:t>
            </w:r>
          </w:p>
        </w:tc>
        <w:tc>
          <w:tcPr>
            <w:tcW w:w="449" w:type="dxa"/>
            <w:tcBorders>
              <w:top w:val="single" w:sz="8" w:space="0" w:color="auto"/>
              <w:left w:val="single" w:sz="8" w:space="0" w:color="auto"/>
              <w:bottom w:val="single" w:sz="8" w:space="0" w:color="auto"/>
              <w:right w:val="single" w:sz="8" w:space="0" w:color="auto"/>
            </w:tcBorders>
          </w:tcPr>
          <w:p w:rsidR="18AC26EE" w:rsidP="00DB0104" w14:paraId="2104487F" w14:textId="595C4F90">
            <w:pPr>
              <w:spacing w:after="0" w:line="240" w:lineRule="auto"/>
              <w:jc w:val="center"/>
            </w:pPr>
            <w:r w:rsidRPr="18AC26EE">
              <w:rPr>
                <w:rFonts w:eastAsia="Times New Roman" w:cs="Times New Roman"/>
                <w:color w:val="000000" w:themeColor="text1"/>
                <w:sz w:val="20"/>
                <w:szCs w:val="20"/>
              </w:rPr>
              <w:t>D</w:t>
            </w:r>
          </w:p>
        </w:tc>
        <w:tc>
          <w:tcPr>
            <w:tcW w:w="542" w:type="dxa"/>
            <w:tcBorders>
              <w:top w:val="single" w:sz="8" w:space="0" w:color="auto"/>
              <w:left w:val="single" w:sz="8" w:space="0" w:color="auto"/>
              <w:bottom w:val="single" w:sz="8" w:space="0" w:color="auto"/>
              <w:right w:val="single" w:sz="8" w:space="0" w:color="auto"/>
            </w:tcBorders>
          </w:tcPr>
          <w:p w:rsidR="18AC26EE" w:rsidP="00DB0104" w14:paraId="6C01C962" w14:textId="14CB39C9">
            <w:pPr>
              <w:spacing w:after="0" w:line="240" w:lineRule="auto"/>
              <w:jc w:val="center"/>
            </w:pPr>
            <w:r w:rsidRPr="18AC26EE">
              <w:rPr>
                <w:rFonts w:eastAsia="Times New Roman" w:cs="Times New Roman"/>
                <w:color w:val="000000" w:themeColor="text1"/>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Pr>
          <w:p w:rsidR="18AC26EE" w:rsidP="00DB0104" w14:paraId="43267E61" w14:textId="6B66E194">
            <w:pPr>
              <w:spacing w:after="0" w:line="240" w:lineRule="auto"/>
              <w:jc w:val="center"/>
            </w:pPr>
            <w:r w:rsidRPr="18AC26EE">
              <w:rPr>
                <w:rFonts w:eastAsia="Times New Roman" w:cs="Times New Roman"/>
                <w:color w:val="000000" w:themeColor="text1"/>
                <w:sz w:val="20"/>
                <w:szCs w:val="20"/>
              </w:rPr>
              <w:t xml:space="preserve"> </w:t>
            </w:r>
          </w:p>
        </w:tc>
        <w:tc>
          <w:tcPr>
            <w:tcW w:w="659" w:type="dxa"/>
            <w:gridSpan w:val="2"/>
            <w:tcBorders>
              <w:top w:val="single" w:sz="8" w:space="0" w:color="auto"/>
              <w:left w:val="single" w:sz="8" w:space="0" w:color="auto"/>
              <w:bottom w:val="single" w:sz="8" w:space="0" w:color="auto"/>
              <w:right w:val="single" w:sz="8" w:space="0" w:color="auto"/>
            </w:tcBorders>
          </w:tcPr>
          <w:p w:rsidR="18AC26EE" w:rsidP="00DB0104" w14:paraId="27C7B7A8" w14:textId="43CFD81B">
            <w:pPr>
              <w:spacing w:after="0" w:line="240" w:lineRule="auto"/>
              <w:jc w:val="center"/>
            </w:pPr>
            <w:r w:rsidRPr="18AC26EE">
              <w:rPr>
                <w:rFonts w:eastAsia="Times New Roman" w:cs="Times New Roman"/>
                <w:color w:val="000000" w:themeColor="text1"/>
                <w:sz w:val="20"/>
                <w:szCs w:val="20"/>
              </w:rPr>
              <w:t xml:space="preserve"> </w:t>
            </w:r>
          </w:p>
        </w:tc>
        <w:tc>
          <w:tcPr>
            <w:tcW w:w="672" w:type="dxa"/>
            <w:gridSpan w:val="2"/>
            <w:tcBorders>
              <w:top w:val="single" w:sz="8" w:space="0" w:color="auto"/>
              <w:left w:val="nil"/>
              <w:bottom w:val="single" w:sz="8" w:space="0" w:color="auto"/>
              <w:right w:val="single" w:sz="8" w:space="0" w:color="auto"/>
            </w:tcBorders>
          </w:tcPr>
          <w:p w:rsidR="18AC26EE" w:rsidP="00DB0104" w14:paraId="0AAC5F64" w14:textId="326EAE4B">
            <w:pPr>
              <w:spacing w:after="0" w:line="240" w:lineRule="auto"/>
              <w:jc w:val="center"/>
            </w:pPr>
            <w:r w:rsidRPr="18AC26EE">
              <w:rPr>
                <w:rFonts w:eastAsia="Times New Roman" w:cs="Times New Roman"/>
                <w:color w:val="000000" w:themeColor="text1"/>
                <w:sz w:val="20"/>
                <w:szCs w:val="20"/>
              </w:rPr>
              <w:t xml:space="preserve"> </w:t>
            </w:r>
          </w:p>
        </w:tc>
        <w:tc>
          <w:tcPr>
            <w:tcW w:w="685" w:type="dxa"/>
            <w:gridSpan w:val="2"/>
            <w:tcBorders>
              <w:top w:val="single" w:sz="8" w:space="0" w:color="auto"/>
              <w:left w:val="nil"/>
              <w:bottom w:val="single" w:sz="8" w:space="0" w:color="auto"/>
              <w:right w:val="single" w:sz="8" w:space="0" w:color="auto"/>
            </w:tcBorders>
          </w:tcPr>
          <w:p w:rsidR="18AC26EE" w:rsidP="00DB0104" w14:paraId="581F04BA" w14:textId="774580A3">
            <w:pPr>
              <w:spacing w:after="0" w:line="240" w:lineRule="auto"/>
              <w:jc w:val="center"/>
            </w:pPr>
            <w:r w:rsidRPr="18AC26EE">
              <w:rPr>
                <w:rFonts w:eastAsia="Times New Roman" w:cs="Times New Roman"/>
                <w:color w:val="000000" w:themeColor="text1"/>
                <w:sz w:val="20"/>
                <w:szCs w:val="20"/>
              </w:rPr>
              <w:t xml:space="preserve"> </w:t>
            </w:r>
          </w:p>
        </w:tc>
      </w:tr>
      <w:tr w14:paraId="07E21C40"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07E067D2" w14:textId="6526083F">
            <w:pPr>
              <w:spacing w:after="0" w:line="240" w:lineRule="auto"/>
            </w:pPr>
            <w:r w:rsidRPr="18AC26EE">
              <w:rPr>
                <w:rFonts w:eastAsia="Times New Roman" w:cs="Times New Roman"/>
                <w:color w:val="000000" w:themeColor="text1"/>
                <w:sz w:val="20"/>
                <w:szCs w:val="20"/>
              </w:rPr>
              <w:t xml:space="preserve"> </w:t>
            </w:r>
          </w:p>
        </w:tc>
        <w:tc>
          <w:tcPr>
            <w:tcW w:w="6258" w:type="dxa"/>
            <w:gridSpan w:val="15"/>
            <w:tcBorders>
              <w:top w:val="single" w:sz="8" w:space="0" w:color="auto"/>
              <w:left w:val="single" w:sz="8" w:space="0" w:color="auto"/>
              <w:bottom w:val="single" w:sz="8" w:space="0" w:color="auto"/>
              <w:right w:val="single" w:sz="8" w:space="0" w:color="auto"/>
            </w:tcBorders>
          </w:tcPr>
          <w:p w:rsidR="18AC26EE" w:rsidP="00DB0104" w14:paraId="27093CC0" w14:textId="7B139E7C">
            <w:pPr>
              <w:spacing w:after="0" w:line="240" w:lineRule="auto"/>
              <w:jc w:val="center"/>
            </w:pPr>
            <w:r w:rsidRPr="18AC26EE">
              <w:rPr>
                <w:rFonts w:eastAsia="Times New Roman" w:cs="Times New Roman"/>
                <w:b/>
                <w:bCs/>
                <w:color w:val="000000" w:themeColor="text1"/>
                <w:sz w:val="20"/>
                <w:szCs w:val="20"/>
              </w:rPr>
              <w:t>2026</w:t>
            </w:r>
          </w:p>
        </w:tc>
      </w:tr>
      <w:tr w14:paraId="4ADBB39C" w14:textId="77777777" w:rsidTr="00DB0104">
        <w:tblPrEx>
          <w:tblW w:w="10026" w:type="dxa"/>
          <w:tblLayout w:type="fixed"/>
          <w:tblLook w:val="04A0"/>
        </w:tblPrEx>
        <w:trPr>
          <w:trHeight w:val="20"/>
        </w:trPr>
        <w:tc>
          <w:tcPr>
            <w:tcW w:w="3768" w:type="dxa"/>
            <w:tcBorders>
              <w:top w:val="single" w:sz="8" w:space="0" w:color="auto"/>
              <w:left w:val="single" w:sz="8" w:space="0" w:color="auto"/>
              <w:bottom w:val="single" w:sz="8" w:space="0" w:color="auto"/>
              <w:right w:val="single" w:sz="8" w:space="0" w:color="auto"/>
            </w:tcBorders>
            <w:vAlign w:val="center"/>
          </w:tcPr>
          <w:p w:rsidR="18AC26EE" w:rsidP="00DB0104" w14:paraId="30E68049" w14:textId="64CE6E0F">
            <w:pPr>
              <w:spacing w:after="0" w:line="240" w:lineRule="auto"/>
            </w:pPr>
            <w:r w:rsidRPr="18AC26EE">
              <w:rPr>
                <w:rFonts w:eastAsia="Times New Roman" w:cs="Times New Roman"/>
                <w:color w:val="000000" w:themeColor="text1"/>
                <w:sz w:val="20"/>
                <w:szCs w:val="20"/>
              </w:rPr>
              <w:t>Report published</w:t>
            </w:r>
          </w:p>
        </w:tc>
        <w:tc>
          <w:tcPr>
            <w:tcW w:w="449" w:type="dxa"/>
            <w:tcBorders>
              <w:top w:val="single" w:sz="8" w:space="0" w:color="auto"/>
              <w:left w:val="single" w:sz="8" w:space="0" w:color="auto"/>
              <w:bottom w:val="single" w:sz="8" w:space="0" w:color="auto"/>
              <w:right w:val="single" w:sz="8" w:space="0" w:color="auto"/>
            </w:tcBorders>
          </w:tcPr>
          <w:p w:rsidR="18AC26EE" w:rsidP="00DB0104" w14:paraId="72301CDB" w14:textId="4F282D31">
            <w:pPr>
              <w:spacing w:after="0" w:line="240" w:lineRule="auto"/>
              <w:jc w:val="center"/>
            </w:pPr>
            <w:r w:rsidRPr="18AC26EE">
              <w:rPr>
                <w:rFonts w:eastAsia="Times New Roman" w:cs="Times New Roman"/>
                <w:color w:val="000000" w:themeColor="text1"/>
                <w:sz w:val="20"/>
                <w:szCs w:val="20"/>
              </w:rPr>
              <w:t>X</w:t>
            </w:r>
          </w:p>
        </w:tc>
        <w:tc>
          <w:tcPr>
            <w:tcW w:w="423" w:type="dxa"/>
            <w:tcBorders>
              <w:top w:val="nil"/>
              <w:left w:val="single" w:sz="8" w:space="0" w:color="auto"/>
              <w:bottom w:val="single" w:sz="8" w:space="0" w:color="auto"/>
              <w:right w:val="single" w:sz="8" w:space="0" w:color="auto"/>
            </w:tcBorders>
          </w:tcPr>
          <w:p w:rsidR="18AC26EE" w:rsidP="00DB0104" w14:paraId="73A6733E" w14:textId="2AD9AA07">
            <w:pPr>
              <w:spacing w:after="0" w:line="240" w:lineRule="auto"/>
              <w:jc w:val="center"/>
            </w:pPr>
            <w:r w:rsidRPr="18AC26EE">
              <w:rPr>
                <w:rFonts w:eastAsia="Times New Roman" w:cs="Times New Roman"/>
                <w:color w:val="000000" w:themeColor="text1"/>
                <w:sz w:val="20"/>
                <w:szCs w:val="20"/>
              </w:rPr>
              <w:t>X</w:t>
            </w:r>
          </w:p>
        </w:tc>
        <w:tc>
          <w:tcPr>
            <w:tcW w:w="436" w:type="dxa"/>
            <w:tcBorders>
              <w:top w:val="nil"/>
              <w:left w:val="single" w:sz="8" w:space="0" w:color="auto"/>
              <w:bottom w:val="single" w:sz="8" w:space="0" w:color="auto"/>
              <w:right w:val="single" w:sz="8" w:space="0" w:color="auto"/>
            </w:tcBorders>
          </w:tcPr>
          <w:p w:rsidR="18AC26EE" w:rsidP="00DB0104" w14:paraId="428FD49D" w14:textId="2C0F03A3">
            <w:pPr>
              <w:spacing w:after="0" w:line="240" w:lineRule="auto"/>
              <w:jc w:val="center"/>
            </w:pPr>
            <w:r w:rsidRPr="18AC26EE">
              <w:rPr>
                <w:rFonts w:eastAsia="Times New Roman" w:cs="Times New Roman"/>
                <w:color w:val="000000" w:themeColor="text1"/>
                <w:sz w:val="20"/>
                <w:szCs w:val="20"/>
              </w:rPr>
              <w:t>X</w:t>
            </w:r>
          </w:p>
        </w:tc>
        <w:tc>
          <w:tcPr>
            <w:tcW w:w="449" w:type="dxa"/>
            <w:tcBorders>
              <w:top w:val="nil"/>
              <w:left w:val="single" w:sz="8" w:space="0" w:color="auto"/>
              <w:bottom w:val="single" w:sz="8" w:space="0" w:color="auto"/>
              <w:right w:val="single" w:sz="8" w:space="0" w:color="auto"/>
            </w:tcBorders>
          </w:tcPr>
          <w:p w:rsidR="18AC26EE" w:rsidP="00DB0104" w14:paraId="3447E61A" w14:textId="1ABEE6F8">
            <w:pPr>
              <w:spacing w:after="0" w:line="240" w:lineRule="auto"/>
              <w:jc w:val="center"/>
            </w:pPr>
            <w:r w:rsidRPr="18AC26EE">
              <w:rPr>
                <w:rFonts w:eastAsia="Times New Roman" w:cs="Times New Roman"/>
                <w:color w:val="000000" w:themeColor="text1"/>
                <w:sz w:val="20"/>
                <w:szCs w:val="20"/>
              </w:rPr>
              <w:t>X</w:t>
            </w:r>
          </w:p>
        </w:tc>
        <w:tc>
          <w:tcPr>
            <w:tcW w:w="542" w:type="dxa"/>
            <w:tcBorders>
              <w:top w:val="nil"/>
              <w:left w:val="single" w:sz="8" w:space="0" w:color="auto"/>
              <w:bottom w:val="single" w:sz="8" w:space="0" w:color="auto"/>
              <w:right w:val="single" w:sz="8" w:space="0" w:color="auto"/>
            </w:tcBorders>
          </w:tcPr>
          <w:p w:rsidR="18AC26EE" w:rsidP="00DB0104" w14:paraId="3A2B7289" w14:textId="7AB72729">
            <w:pPr>
              <w:spacing w:after="0" w:line="240" w:lineRule="auto"/>
              <w:jc w:val="center"/>
            </w:pPr>
            <w:r w:rsidRPr="18AC26EE">
              <w:rPr>
                <w:rFonts w:eastAsia="Times New Roman" w:cs="Times New Roman"/>
                <w:color w:val="000000" w:themeColor="text1"/>
                <w:sz w:val="20"/>
                <w:szCs w:val="20"/>
              </w:rPr>
              <w:t>X</w:t>
            </w:r>
          </w:p>
        </w:tc>
        <w:tc>
          <w:tcPr>
            <w:tcW w:w="436" w:type="dxa"/>
            <w:tcBorders>
              <w:top w:val="nil"/>
              <w:left w:val="single" w:sz="8" w:space="0" w:color="auto"/>
              <w:bottom w:val="single" w:sz="8" w:space="0" w:color="auto"/>
              <w:right w:val="single" w:sz="8" w:space="0" w:color="auto"/>
            </w:tcBorders>
          </w:tcPr>
          <w:p w:rsidR="18AC26EE" w:rsidP="00DB0104" w14:paraId="0AC771E3" w14:textId="062CC5E3">
            <w:pPr>
              <w:spacing w:after="0" w:line="240" w:lineRule="auto"/>
              <w:jc w:val="center"/>
            </w:pPr>
            <w:r w:rsidRPr="18AC26EE">
              <w:rPr>
                <w:rFonts w:eastAsia="Times New Roman" w:cs="Times New Roman"/>
                <w:color w:val="000000" w:themeColor="text1"/>
                <w:sz w:val="20"/>
                <w:szCs w:val="20"/>
              </w:rPr>
              <w:t>X</w:t>
            </w:r>
          </w:p>
        </w:tc>
        <w:tc>
          <w:tcPr>
            <w:tcW w:w="449" w:type="dxa"/>
            <w:tcBorders>
              <w:top w:val="nil"/>
              <w:left w:val="single" w:sz="8" w:space="0" w:color="auto"/>
              <w:bottom w:val="single" w:sz="8" w:space="0" w:color="auto"/>
              <w:right w:val="single" w:sz="8" w:space="0" w:color="auto"/>
            </w:tcBorders>
          </w:tcPr>
          <w:p w:rsidR="18AC26EE" w:rsidP="00DB0104" w14:paraId="7310F9D3" w14:textId="6030F46F">
            <w:pPr>
              <w:spacing w:after="0" w:line="240" w:lineRule="auto"/>
              <w:jc w:val="center"/>
            </w:pPr>
            <w:r w:rsidRPr="18AC26EE">
              <w:rPr>
                <w:rFonts w:eastAsia="Times New Roman" w:cs="Times New Roman"/>
                <w:color w:val="000000" w:themeColor="text1"/>
                <w:sz w:val="20"/>
                <w:szCs w:val="20"/>
              </w:rPr>
              <w:t>F</w:t>
            </w:r>
          </w:p>
        </w:tc>
        <w:tc>
          <w:tcPr>
            <w:tcW w:w="542" w:type="dxa"/>
            <w:tcBorders>
              <w:top w:val="nil"/>
              <w:left w:val="single" w:sz="8" w:space="0" w:color="auto"/>
              <w:bottom w:val="single" w:sz="8" w:space="0" w:color="auto"/>
              <w:right w:val="single" w:sz="8" w:space="0" w:color="auto"/>
            </w:tcBorders>
          </w:tcPr>
          <w:p w:rsidR="18AC26EE" w:rsidP="00DB0104" w14:paraId="45708B4B" w14:textId="4FC0FAD6">
            <w:pPr>
              <w:spacing w:after="0" w:line="240" w:lineRule="auto"/>
              <w:jc w:val="center"/>
            </w:pPr>
            <w:r w:rsidRPr="18AC26EE">
              <w:rPr>
                <w:rFonts w:eastAsia="Times New Roman" w:cs="Times New Roman"/>
                <w:color w:val="000000" w:themeColor="text1"/>
                <w:sz w:val="20"/>
                <w:szCs w:val="20"/>
              </w:rPr>
              <w:t xml:space="preserve"> </w:t>
            </w:r>
          </w:p>
        </w:tc>
        <w:tc>
          <w:tcPr>
            <w:tcW w:w="516" w:type="dxa"/>
            <w:tcBorders>
              <w:top w:val="nil"/>
              <w:left w:val="single" w:sz="8" w:space="0" w:color="auto"/>
              <w:bottom w:val="single" w:sz="8" w:space="0" w:color="auto"/>
              <w:right w:val="single" w:sz="8" w:space="0" w:color="auto"/>
            </w:tcBorders>
          </w:tcPr>
          <w:p w:rsidR="18AC26EE" w:rsidP="00DB0104" w14:paraId="296D2CDF" w14:textId="6F12ED90">
            <w:pPr>
              <w:spacing w:after="0" w:line="240" w:lineRule="auto"/>
              <w:jc w:val="center"/>
            </w:pPr>
            <w:r w:rsidRPr="18AC26EE">
              <w:rPr>
                <w:rFonts w:eastAsia="Times New Roman" w:cs="Times New Roman"/>
                <w:color w:val="000000" w:themeColor="text1"/>
                <w:sz w:val="20"/>
                <w:szCs w:val="20"/>
              </w:rPr>
              <w:t xml:space="preserve"> </w:t>
            </w:r>
          </w:p>
        </w:tc>
        <w:tc>
          <w:tcPr>
            <w:tcW w:w="659" w:type="dxa"/>
            <w:gridSpan w:val="2"/>
            <w:tcBorders>
              <w:top w:val="nil"/>
              <w:left w:val="single" w:sz="8" w:space="0" w:color="auto"/>
              <w:bottom w:val="single" w:sz="8" w:space="0" w:color="auto"/>
              <w:right w:val="single" w:sz="8" w:space="0" w:color="auto"/>
            </w:tcBorders>
          </w:tcPr>
          <w:p w:rsidR="18AC26EE" w:rsidP="00DB0104" w14:paraId="53625697" w14:textId="11518147">
            <w:pPr>
              <w:spacing w:after="0" w:line="240" w:lineRule="auto"/>
              <w:jc w:val="center"/>
            </w:pPr>
            <w:r w:rsidRPr="18AC26EE">
              <w:rPr>
                <w:rFonts w:eastAsia="Times New Roman" w:cs="Times New Roman"/>
                <w:color w:val="000000" w:themeColor="text1"/>
                <w:sz w:val="20"/>
                <w:szCs w:val="20"/>
              </w:rPr>
              <w:t xml:space="preserve"> </w:t>
            </w:r>
          </w:p>
        </w:tc>
        <w:tc>
          <w:tcPr>
            <w:tcW w:w="672" w:type="dxa"/>
            <w:gridSpan w:val="2"/>
            <w:tcBorders>
              <w:top w:val="nil"/>
              <w:left w:val="nil"/>
              <w:bottom w:val="single" w:sz="8" w:space="0" w:color="auto"/>
              <w:right w:val="single" w:sz="8" w:space="0" w:color="auto"/>
            </w:tcBorders>
          </w:tcPr>
          <w:p w:rsidR="18AC26EE" w:rsidP="00DB0104" w14:paraId="0FABAB3F" w14:textId="5B4F8A21">
            <w:pPr>
              <w:spacing w:after="0" w:line="240" w:lineRule="auto"/>
              <w:jc w:val="center"/>
            </w:pPr>
            <w:r w:rsidRPr="18AC26EE">
              <w:rPr>
                <w:rFonts w:eastAsia="Times New Roman" w:cs="Times New Roman"/>
                <w:color w:val="000000" w:themeColor="text1"/>
                <w:sz w:val="20"/>
                <w:szCs w:val="20"/>
              </w:rPr>
              <w:t xml:space="preserve"> </w:t>
            </w:r>
          </w:p>
        </w:tc>
        <w:tc>
          <w:tcPr>
            <w:tcW w:w="685" w:type="dxa"/>
            <w:gridSpan w:val="2"/>
            <w:tcBorders>
              <w:top w:val="nil"/>
              <w:left w:val="nil"/>
              <w:bottom w:val="single" w:sz="8" w:space="0" w:color="auto"/>
              <w:right w:val="single" w:sz="8" w:space="0" w:color="auto"/>
            </w:tcBorders>
          </w:tcPr>
          <w:p w:rsidR="18AC26EE" w:rsidP="00DB0104" w14:paraId="591A772A" w14:textId="57EED474">
            <w:pPr>
              <w:spacing w:after="0" w:line="240" w:lineRule="auto"/>
              <w:jc w:val="center"/>
            </w:pPr>
            <w:r w:rsidRPr="18AC26EE">
              <w:rPr>
                <w:rFonts w:eastAsia="Times New Roman" w:cs="Times New Roman"/>
                <w:color w:val="000000" w:themeColor="text1"/>
                <w:sz w:val="20"/>
                <w:szCs w:val="20"/>
              </w:rPr>
              <w:t xml:space="preserve"> </w:t>
            </w:r>
          </w:p>
        </w:tc>
      </w:tr>
    </w:tbl>
    <w:p w:rsidR="7EE5783F" w:rsidP="18AC26EE" w14:paraId="0DD91544" w14:textId="0A132696">
      <w:pPr>
        <w:spacing w:line="480" w:lineRule="auto"/>
      </w:pPr>
      <w:r w:rsidRPr="18AC26EE">
        <w:rPr>
          <w:rFonts w:ascii="Garamond" w:eastAsia="Garamond" w:hAnsi="Garamond" w:cs="Garamond"/>
          <w:sz w:val="20"/>
          <w:szCs w:val="20"/>
        </w:rPr>
        <w:t>D = Draft; F = Final; X = Months in which activity will occur</w:t>
      </w:r>
    </w:p>
    <w:p w:rsidR="0010692A" w:rsidP="0010692A" w14:paraId="4F81E5C1" w14:textId="7D9C4FD6">
      <w:pPr>
        <w:pStyle w:val="Heading2"/>
        <w:numPr>
          <w:ilvl w:val="0"/>
          <w:numId w:val="15"/>
        </w:numPr>
      </w:pPr>
      <w:bookmarkStart w:id="21" w:name="_Toc116659901"/>
      <w:r>
        <w:t>Approval Not to Display the Expiration Date for OMB Approval</w:t>
      </w:r>
      <w:bookmarkEnd w:id="21"/>
    </w:p>
    <w:p w:rsidR="009C55A5" w:rsidRPr="009C55A5" w:rsidP="7EE5783F" w14:paraId="7111996E" w14:textId="0ED56B60">
      <w:pPr>
        <w:spacing w:before="240"/>
      </w:pPr>
      <w:r>
        <w:t>Approval not to display the expiration date for OMB approval is not requested.</w:t>
      </w:r>
    </w:p>
    <w:p w:rsidR="009C55A5" w:rsidRPr="009C55A5" w:rsidP="009C55A5" w14:paraId="6374222D" w14:textId="4AA42349">
      <w:pPr>
        <w:rPr>
          <w:rFonts w:eastAsia="Calibri"/>
        </w:rPr>
      </w:pPr>
    </w:p>
    <w:p w:rsidR="0010692A" w:rsidP="0010692A" w14:paraId="23B5B78F" w14:textId="73B09D36">
      <w:pPr>
        <w:pStyle w:val="Heading2"/>
        <w:numPr>
          <w:ilvl w:val="0"/>
          <w:numId w:val="15"/>
        </w:numPr>
      </w:pPr>
      <w:bookmarkStart w:id="22" w:name="_Toc116659902"/>
      <w:r>
        <w:t>Exception to the Certification Statement</w:t>
      </w:r>
      <w:bookmarkEnd w:id="22"/>
    </w:p>
    <w:p w:rsidR="009C55A5" w:rsidRPr="009C55A5" w:rsidP="7EE5783F" w14:paraId="650EA103" w14:textId="438B78A2">
      <w:pPr>
        <w:spacing w:before="240"/>
      </w:pPr>
      <w:r>
        <w:t>No exceptions to the certification statement are being sought.</w:t>
      </w:r>
    </w:p>
    <w:p w:rsidR="009C55A5" w:rsidRPr="009C55A5" w:rsidP="009C55A5" w14:paraId="0C2A602E" w14:textId="7B679C42">
      <w:pPr>
        <w:rPr>
          <w:rFonts w:eastAsia="Calibri"/>
        </w:rPr>
      </w:pPr>
    </w:p>
    <w:p w:rsidR="00DE7F68" w:rsidP="00E81C24" w14:paraId="6933C0C9" w14:textId="36A68505">
      <w:pPr>
        <w:pStyle w:val="Heading2"/>
      </w:pPr>
      <w:bookmarkStart w:id="23" w:name="_Toc116659903"/>
      <w:r>
        <w:t>References</w:t>
      </w:r>
      <w:bookmarkEnd w:id="23"/>
    </w:p>
    <w:p w:rsidR="00E81C24" w:rsidP="00E81C24" w14:paraId="64FC7C33" w14:textId="77777777"/>
    <w:p w:rsidR="00BD20B5" w:rsidP="00BD20B5" w14:paraId="4A5B9CA5" w14:textId="77777777">
      <w:pPr>
        <w:spacing w:after="120" w:line="240" w:lineRule="auto"/>
        <w:ind w:left="360" w:hanging="360"/>
        <w:textAlignment w:val="baseline"/>
        <w:rPr>
          <w:rFonts w:eastAsia="Times New Roman" w:cs="Times New Roman"/>
          <w:color w:val="0562C1"/>
          <w:u w:val="single"/>
        </w:rPr>
      </w:pPr>
      <w:r w:rsidRPr="1594FC12">
        <w:rPr>
          <w:rFonts w:eastAsia="Times New Roman" w:cs="Times New Roman"/>
        </w:rPr>
        <w:t xml:space="preserve">Baker, S., </w:t>
      </w:r>
      <w:r w:rsidRPr="1594FC12">
        <w:rPr>
          <w:rFonts w:eastAsia="Times New Roman" w:cs="Times New Roman"/>
        </w:rPr>
        <w:t>Lesaux</w:t>
      </w:r>
      <w:r w:rsidRPr="1594FC12">
        <w:rPr>
          <w:rFonts w:eastAsia="Times New Roman" w:cs="Times New Roman"/>
        </w:rPr>
        <w:t xml:space="preserve">, N., Jayanthi, M., Dimino, J., Proctor, C. P., Morris, J., Geva, E., Kieffer, M. J., Lina-Thompson, S., Russell, R., Gersten, R., Haymond, K., McCallum, D., &amp; Newman-Gonchar, R. (2014). </w:t>
      </w:r>
      <w:r w:rsidRPr="1594FC12">
        <w:rPr>
          <w:rFonts w:eastAsia="Times New Roman" w:cs="Times New Roman"/>
          <w:i/>
          <w:iCs/>
        </w:rPr>
        <w:t xml:space="preserve">Teaching academic content and literacy to English learners in elementary and middle school </w:t>
      </w:r>
      <w:r w:rsidRPr="1594FC12">
        <w:rPr>
          <w:rFonts w:eastAsia="Times New Roman" w:cs="Times New Roman"/>
        </w:rPr>
        <w:t xml:space="preserve">(NCEE 2014–4012). </w:t>
      </w:r>
      <w:hyperlink r:id="rId11">
        <w:r w:rsidRPr="1594FC12">
          <w:rPr>
            <w:rFonts w:eastAsia="Times New Roman" w:cs="Times New Roman"/>
            <w:color w:val="0562C1"/>
            <w:u w:val="single"/>
          </w:rPr>
          <w:t>http://ies.ed.gov/ncee/wwc/publications_reviews.aspx</w:t>
        </w:r>
      </w:hyperlink>
      <w:r w:rsidRPr="1594FC12">
        <w:rPr>
          <w:rFonts w:eastAsia="Times New Roman" w:cs="Times New Roman"/>
          <w:color w:val="0562C1"/>
          <w:u w:val="single"/>
        </w:rPr>
        <w:t> </w:t>
      </w:r>
    </w:p>
    <w:p w:rsidR="00986D2F" w:rsidRPr="005C003E" w:rsidP="00986D2F" w14:paraId="693FE3E7"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CSDE [Connecticut State Department of Education]. (2020). </w:t>
      </w:r>
      <w:r w:rsidRPr="2CDBAF29">
        <w:rPr>
          <w:rFonts w:eastAsia="Times New Roman" w:cs="Times New Roman"/>
          <w:i/>
          <w:iCs/>
        </w:rPr>
        <w:t>Demographic trends of Connecticut’s English Learners (Sys 2015-16 through 2019-20)</w:t>
      </w:r>
      <w:r w:rsidRPr="005C003E">
        <w:rPr>
          <w:rFonts w:eastAsia="Times New Roman" w:cs="Times New Roman"/>
        </w:rPr>
        <w:t>.</w:t>
      </w:r>
      <w:r w:rsidRPr="005C003E">
        <w:rPr>
          <w:rFonts w:eastAsia="Times New Roman" w:cs="Times New Roman"/>
        </w:rPr>
        <w:t xml:space="preserve"> Connecticut State Department of Education.</w:t>
      </w:r>
      <w:r w:rsidRPr="005C003E">
        <w:rPr>
          <w:rFonts w:eastAsia="Times New Roman" w:cs="Times New Roman"/>
        </w:rPr>
        <w:t xml:space="preserve"> </w:t>
      </w:r>
      <w:hyperlink r:id="rId12" w:tgtFrame="_blank" w:history="1">
        <w:r w:rsidRPr="005C003E">
          <w:rPr>
            <w:rFonts w:eastAsia="Times New Roman" w:cs="Times New Roman"/>
            <w:color w:val="0000FF"/>
            <w:u w:val="single"/>
          </w:rPr>
          <w:t>https://portal.ct.gov/-/media/SDE/Performance/Research-Library/EL-DEMOGRAPHICS-10012020.pdf</w:t>
        </w:r>
      </w:hyperlink>
      <w:r w:rsidRPr="005C003E">
        <w:rPr>
          <w:rFonts w:eastAsia="Times New Roman" w:cs="Times New Roman"/>
        </w:rPr>
        <w:t> </w:t>
      </w:r>
    </w:p>
    <w:p w:rsidR="00986D2F" w:rsidP="00161CB6" w14:paraId="06F52289" w14:textId="77777777">
      <w:pPr>
        <w:ind w:left="360" w:hanging="360"/>
        <w:rPr>
          <w:rStyle w:val="Hyperlink"/>
          <w:rFonts w:eastAsia="Times New Roman" w:cs="Times New Roman"/>
        </w:rPr>
      </w:pPr>
      <w:r w:rsidRPr="005C003E">
        <w:rPr>
          <w:rFonts w:eastAsia="Times New Roman" w:cs="Times New Roman"/>
        </w:rPr>
        <w:t xml:space="preserve">CSDE [Connecticut State Department of Education]. (2021). </w:t>
      </w:r>
      <w:r w:rsidRPr="2CDBAF29">
        <w:rPr>
          <w:rFonts w:eastAsia="Times New Roman" w:cs="Times New Roman"/>
          <w:i/>
          <w:iCs/>
        </w:rPr>
        <w:t>EdSight</w:t>
      </w:r>
      <w:r w:rsidRPr="2CDBAF29">
        <w:rPr>
          <w:rFonts w:eastAsia="Times New Roman" w:cs="Times New Roman"/>
          <w:i/>
          <w:iCs/>
        </w:rPr>
        <w:t xml:space="preserve"> insight to education data portal: Connecticut State report card 2015–2020</w:t>
      </w:r>
      <w:r w:rsidRPr="005C003E">
        <w:rPr>
          <w:rFonts w:eastAsia="Times New Roman" w:cs="Times New Roman"/>
        </w:rPr>
        <w:t xml:space="preserve">. </w:t>
      </w:r>
      <w:hyperlink r:id="rId13" w:history="1">
        <w:r w:rsidRPr="005C003E">
          <w:rPr>
            <w:rStyle w:val="Hyperlink"/>
            <w:rFonts w:eastAsia="Times New Roman"/>
          </w:rPr>
          <w:t>https://edsight.ct.gov/SASStoredProcess/guest?_program=%2FCTDOE%2FEdSight%2FRelease%2FReporting%2FPublic%2FReports%2FStoredProcesses%2FConnecticutReportCard&amp;_district=State%20of%20Connecticut&amp;_select=Submit</w:t>
        </w:r>
      </w:hyperlink>
    </w:p>
    <w:p w:rsidR="00960927" w:rsidRPr="005C003E" w:rsidP="00960927" w14:paraId="1F5D8A19" w14:textId="77777777">
      <w:pPr>
        <w:spacing w:after="120" w:line="240" w:lineRule="auto"/>
        <w:ind w:left="360" w:hanging="360"/>
        <w:textAlignment w:val="baseline"/>
        <w:rPr>
          <w:rFonts w:eastAsia="Times New Roman" w:cs="Times New Roman"/>
        </w:rPr>
      </w:pPr>
      <w:r w:rsidRPr="2CDBAF29">
        <w:rPr>
          <w:rFonts w:eastAsia="Times New Roman" w:cs="Times New Roman"/>
        </w:rPr>
        <w:t xml:space="preserve">Darling-Hammond, L., Hyler, M. E., &amp; Gardner, M. (2017). </w:t>
      </w:r>
      <w:r w:rsidRPr="2CDBAF29">
        <w:rPr>
          <w:rFonts w:eastAsia="Times New Roman" w:cs="Times New Roman"/>
          <w:i/>
          <w:iCs/>
        </w:rPr>
        <w:t xml:space="preserve">Effective teacher professional development. </w:t>
      </w:r>
      <w:r w:rsidRPr="2CDBAF29">
        <w:rPr>
          <w:rFonts w:eastAsia="Times New Roman" w:cs="Times New Roman"/>
        </w:rPr>
        <w:t>Palo Alto, CA: Learning Policy Institute. </w:t>
      </w:r>
    </w:p>
    <w:p w:rsidR="00960927" w:rsidRPr="005C003E" w:rsidP="00960927" w14:paraId="6287AACF"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De Araujo, Z., Roberts, S. A., Wiley, C., &amp; Zahner, W. (2018). English learners in K–12 mathematics education: A review of the literature. </w:t>
      </w:r>
      <w:r w:rsidRPr="2CDBAF29">
        <w:rPr>
          <w:rFonts w:eastAsia="Times New Roman" w:cs="Times New Roman"/>
          <w:i/>
          <w:iCs/>
        </w:rPr>
        <w:t>Review of Educational Research, 88</w:t>
      </w:r>
      <w:r w:rsidRPr="005C003E">
        <w:rPr>
          <w:rFonts w:eastAsia="Times New Roman" w:cs="Times New Roman"/>
        </w:rPr>
        <w:t>(6), 1–41.</w:t>
      </w:r>
      <w:r w:rsidRPr="005C003E">
        <w:rPr>
          <w:rFonts w:eastAsia="Times New Roman" w:cs="Times New Roman"/>
        </w:rPr>
        <w:t xml:space="preserve"> </w:t>
      </w:r>
      <w:r w:rsidRPr="005C003E">
        <w:rPr>
          <w:rFonts w:eastAsia="Times New Roman" w:cs="Times New Roman"/>
        </w:rPr>
        <w:t> </w:t>
      </w:r>
    </w:p>
    <w:p w:rsidR="00960927" w:rsidRPr="005C003E" w:rsidP="00960927" w14:paraId="09B0BD37" w14:textId="77777777">
      <w:pPr>
        <w:spacing w:after="120" w:line="240" w:lineRule="auto"/>
        <w:ind w:left="360" w:hanging="360"/>
        <w:textAlignment w:val="baseline"/>
        <w:rPr>
          <w:rFonts w:eastAsia="Times New Roman" w:cs="Times New Roman"/>
        </w:rPr>
      </w:pPr>
      <w:r w:rsidRPr="2CDBAF29">
        <w:rPr>
          <w:rFonts w:eastAsia="Times New Roman" w:cs="Times New Roman"/>
        </w:rPr>
        <w:t>DePiper</w:t>
      </w:r>
      <w:r w:rsidRPr="2CDBAF29">
        <w:rPr>
          <w:rFonts w:eastAsia="Times New Roman" w:cs="Times New Roman"/>
        </w:rPr>
        <w:t xml:space="preserve">, J. N., Nikula, J., &amp; Louie, J. (2019). Shifts in self-efficacy for teaching English learners: Emergent findings from mathematics teacher professional development. In S. Otten, A. G. Candela, Z. de Araujo, C. Haines, &amp; C. Munter (Eds.), </w:t>
      </w:r>
      <w:r w:rsidRPr="2CDBAF29">
        <w:rPr>
          <w:rFonts w:eastAsia="Times New Roman" w:cs="Times New Roman"/>
          <w:i/>
          <w:iCs/>
        </w:rPr>
        <w:t xml:space="preserve">Proceedings of the forty-first annual meeting of the </w:t>
      </w:r>
      <w:r w:rsidRPr="2CDBAF29">
        <w:rPr>
          <w:rFonts w:eastAsia="Times New Roman" w:cs="Times New Roman"/>
          <w:i/>
          <w:iCs/>
        </w:rPr>
        <w:t xml:space="preserve">North American Chapter of the International Group for the Psychology of Mathematics Education </w:t>
      </w:r>
      <w:r w:rsidRPr="2CDBAF29">
        <w:rPr>
          <w:rFonts w:eastAsia="Times New Roman" w:cs="Times New Roman"/>
        </w:rPr>
        <w:t>(pp. 547–551). St. Louis: University of Missouri. </w:t>
      </w:r>
    </w:p>
    <w:p w:rsidR="00960927" w:rsidRPr="005C003E" w:rsidP="00960927" w14:paraId="5C579DAD" w14:textId="77777777">
      <w:pPr>
        <w:spacing w:after="120" w:line="240" w:lineRule="auto"/>
        <w:ind w:left="360" w:hanging="360"/>
        <w:textAlignment w:val="baseline"/>
        <w:rPr>
          <w:rFonts w:eastAsia="Times New Roman" w:cs="Times New Roman"/>
        </w:rPr>
      </w:pPr>
      <w:r w:rsidRPr="005C003E">
        <w:rPr>
          <w:rFonts w:eastAsia="Times New Roman" w:cs="Times New Roman"/>
        </w:rPr>
        <w:t>DePiper</w:t>
      </w:r>
      <w:r w:rsidRPr="005C003E">
        <w:rPr>
          <w:rFonts w:eastAsia="Times New Roman" w:cs="Times New Roman"/>
        </w:rPr>
        <w:t>, J. N., Louie, J., Nikula, J., Buffington, P., Tierney-Fife, P., &amp; Driscoll, M. (2021</w:t>
      </w:r>
      <w:r w:rsidRPr="005C003E">
        <w:rPr>
          <w:rFonts w:eastAsia="Times New Roman" w:cs="Times New Roman"/>
        </w:rPr>
        <w:t>a</w:t>
      </w:r>
      <w:r w:rsidRPr="005C003E">
        <w:rPr>
          <w:rFonts w:eastAsia="Times New Roman" w:cs="Times New Roman"/>
        </w:rPr>
        <w:t xml:space="preserve">). Promoting teacher self-efficacy for supporting English learners in mathematics: Effects of the Visual Access to Mathematics professional development. </w:t>
      </w:r>
      <w:r w:rsidRPr="2CDBAF29">
        <w:rPr>
          <w:rFonts w:eastAsia="Times New Roman" w:cs="Times New Roman"/>
          <w:i/>
          <w:iCs/>
        </w:rPr>
        <w:t>ZDM Mathematics Education, 53</w:t>
      </w:r>
      <w:r w:rsidRPr="005C003E">
        <w:rPr>
          <w:rFonts w:eastAsia="Times New Roman" w:cs="Times New Roman"/>
        </w:rPr>
        <w:t>(2), 489–502. </w:t>
      </w:r>
      <w:r w:rsidRPr="005C003E">
        <w:rPr>
          <w:rFonts w:cs="Times New Roman"/>
        </w:rPr>
        <w:t xml:space="preserve"> </w:t>
      </w:r>
      <w:hyperlink r:id="rId14" w:history="1">
        <w:r w:rsidRPr="00CA0045">
          <w:rPr>
            <w:rStyle w:val="Hyperlink"/>
            <w:rFonts w:eastAsia="Times New Roman"/>
          </w:rPr>
          <w:t>https://eric.ed.gov/?id=EJ1295914</w:t>
        </w:r>
      </w:hyperlink>
      <w:r w:rsidRPr="005C003E">
        <w:rPr>
          <w:rFonts w:eastAsia="Times New Roman" w:cs="Times New Roman"/>
        </w:rPr>
        <w:t> </w:t>
      </w:r>
    </w:p>
    <w:p w:rsidR="00960927" w:rsidRPr="005C003E" w:rsidP="00960927" w14:paraId="2848E69E" w14:textId="77777777">
      <w:pPr>
        <w:spacing w:after="120" w:line="240" w:lineRule="auto"/>
        <w:ind w:left="360" w:hanging="360"/>
        <w:textAlignment w:val="baseline"/>
        <w:rPr>
          <w:rFonts w:eastAsia="Times New Roman" w:cs="Times New Roman"/>
        </w:rPr>
      </w:pPr>
      <w:r w:rsidRPr="2CDBAF29">
        <w:rPr>
          <w:rFonts w:eastAsia="Times New Roman" w:cs="Times New Roman"/>
        </w:rPr>
        <w:t>DePiper</w:t>
      </w:r>
      <w:r w:rsidRPr="2CDBAF29">
        <w:rPr>
          <w:rFonts w:eastAsia="Times New Roman" w:cs="Times New Roman"/>
        </w:rPr>
        <w:t xml:space="preserve">, J. N., Nikula, J., Buffington, P., Louie, J., &amp; Tierney-Fife, P. (2021b). </w:t>
      </w:r>
      <w:r w:rsidRPr="2CDBAF29">
        <w:rPr>
          <w:rFonts w:eastAsia="Times New Roman" w:cs="Times New Roman"/>
          <w:i/>
          <w:iCs/>
        </w:rPr>
        <w:t>Learning to attend to and interpret multilingual learners’ mathematical thinking: A professional development story</w:t>
      </w:r>
      <w:r w:rsidRPr="2CDBAF29">
        <w:rPr>
          <w:rFonts w:eastAsia="Times New Roman" w:cs="Times New Roman"/>
        </w:rPr>
        <w:t>. Manuscript submitted for publication. </w:t>
      </w:r>
    </w:p>
    <w:p w:rsidR="00733D69" w:rsidRPr="005C003E" w:rsidP="00733D69" w14:paraId="14269CF8" w14:textId="77777777">
      <w:pPr>
        <w:spacing w:after="120" w:line="240" w:lineRule="auto"/>
        <w:ind w:left="360" w:hanging="360"/>
        <w:textAlignment w:val="baseline"/>
        <w:rPr>
          <w:rFonts w:eastAsia="Times New Roman" w:cs="Times New Roman"/>
        </w:rPr>
      </w:pPr>
      <w:r w:rsidRPr="1594FC12">
        <w:rPr>
          <w:rFonts w:eastAsia="Times New Roman" w:cs="Times New Roman"/>
        </w:rPr>
        <w:t xml:space="preserve">Empson, S. B., Levi, L., &amp; Carpenter, T. P. (2011). The algebraic nature of fractions: Developing relational thinking in elementary school. In J. Cai &amp; E. J. Knuth (Eds.), </w:t>
      </w:r>
      <w:r w:rsidRPr="1594FC12">
        <w:rPr>
          <w:rFonts w:eastAsia="Times New Roman" w:cs="Times New Roman"/>
          <w:i/>
          <w:iCs/>
        </w:rPr>
        <w:t xml:space="preserve">Early algebraization: A global dialogue from multiple perspectives </w:t>
      </w:r>
      <w:r w:rsidRPr="1594FC12">
        <w:rPr>
          <w:rFonts w:eastAsia="Times New Roman" w:cs="Times New Roman"/>
        </w:rPr>
        <w:t>(pp. 409–428). New York: Springer. </w:t>
      </w:r>
    </w:p>
    <w:p w:rsidR="001C02DA" w:rsidRPr="005C003E" w:rsidP="001C02DA" w14:paraId="538C8274" w14:textId="77777777">
      <w:pPr>
        <w:spacing w:after="120" w:line="240" w:lineRule="auto"/>
        <w:ind w:left="360" w:hanging="360"/>
        <w:textAlignment w:val="baseline"/>
        <w:rPr>
          <w:rFonts w:eastAsia="Times New Roman" w:cs="Times New Roman"/>
        </w:rPr>
      </w:pPr>
      <w:r w:rsidRPr="2CDBAF29">
        <w:rPr>
          <w:rFonts w:eastAsia="Times New Roman" w:cs="Times New Roman"/>
        </w:rPr>
        <w:t xml:space="preserve">Lamon, S. J. (2007). Rational numbers and proportional reasoning: Toward a theoretical framework. In F. Lester (Ed.), </w:t>
      </w:r>
      <w:r w:rsidRPr="2CDBAF29">
        <w:rPr>
          <w:rFonts w:eastAsia="Times New Roman" w:cs="Times New Roman"/>
          <w:i/>
          <w:iCs/>
        </w:rPr>
        <w:t xml:space="preserve">Second handbook of research on mathematics teaching and learning </w:t>
      </w:r>
      <w:r w:rsidRPr="2CDBAF29">
        <w:rPr>
          <w:rFonts w:eastAsia="Times New Roman" w:cs="Times New Roman"/>
        </w:rPr>
        <w:t>(pp. 629–668). Charlotte, NC: Information Age. </w:t>
      </w:r>
    </w:p>
    <w:p w:rsidR="00A5362F" w:rsidP="00A5362F" w14:paraId="78F256DA" w14:textId="77777777">
      <w:pPr>
        <w:spacing w:after="120" w:line="240" w:lineRule="auto"/>
        <w:ind w:left="360" w:hanging="360"/>
        <w:rPr>
          <w:rFonts w:eastAsia="Times New Roman" w:cs="Times New Roman"/>
        </w:rPr>
      </w:pPr>
      <w:r w:rsidRPr="6E72DAE7">
        <w:rPr>
          <w:rFonts w:eastAsia="Times New Roman" w:cs="Times New Roman"/>
        </w:rPr>
        <w:t xml:space="preserve">Lesh, R., Post, T. R., &amp; Behr, M. (1988). Proportional reasoning. In </w:t>
      </w:r>
      <w:r w:rsidRPr="6E72DAE7">
        <w:rPr>
          <w:rFonts w:eastAsia="Times New Roman" w:cs="Times New Roman"/>
          <w:i/>
          <w:iCs/>
        </w:rPr>
        <w:t xml:space="preserve">Number concepts and operations in the middle grades </w:t>
      </w:r>
      <w:r w:rsidRPr="6E72DAE7">
        <w:rPr>
          <w:rFonts w:eastAsia="Times New Roman" w:cs="Times New Roman"/>
        </w:rPr>
        <w:t>(pp. 93-118). National Council of Teachers of Mathematics, Lawrence Erlbaum Associates.</w:t>
      </w:r>
    </w:p>
    <w:p w:rsidR="00541F17" w:rsidRPr="005C003E" w:rsidP="00541F17" w14:paraId="14A91981" w14:textId="77777777">
      <w:pPr>
        <w:spacing w:after="120" w:line="240" w:lineRule="auto"/>
        <w:ind w:left="360" w:hanging="360"/>
        <w:textAlignment w:val="baseline"/>
        <w:rPr>
          <w:rFonts w:eastAsia="Times New Roman" w:cs="Times New Roman"/>
        </w:rPr>
      </w:pPr>
      <w:r w:rsidRPr="2CDBAF29">
        <w:rPr>
          <w:rFonts w:eastAsia="Times New Roman" w:cs="Times New Roman"/>
        </w:rPr>
        <w:t xml:space="preserve">Loucks-Horsley, S., Stiles, K. E., </w:t>
      </w:r>
      <w:r w:rsidRPr="2CDBAF29">
        <w:rPr>
          <w:rFonts w:eastAsia="Times New Roman" w:cs="Times New Roman"/>
        </w:rPr>
        <w:t>Mundry</w:t>
      </w:r>
      <w:r w:rsidRPr="2CDBAF29">
        <w:rPr>
          <w:rFonts w:eastAsia="Times New Roman" w:cs="Times New Roman"/>
        </w:rPr>
        <w:t xml:space="preserve">, S., Love, N., &amp; Hewson, P. W. (2010). </w:t>
      </w:r>
      <w:r w:rsidRPr="2CDBAF29">
        <w:rPr>
          <w:rFonts w:eastAsia="Times New Roman" w:cs="Times New Roman"/>
          <w:i/>
          <w:iCs/>
        </w:rPr>
        <w:t xml:space="preserve">Designing professional development for teachers of science and mathematics. </w:t>
      </w:r>
      <w:r w:rsidRPr="2CDBAF29">
        <w:rPr>
          <w:rFonts w:eastAsia="Times New Roman" w:cs="Times New Roman"/>
        </w:rPr>
        <w:t>Thousand Oaks, CA: Corwin. </w:t>
      </w:r>
    </w:p>
    <w:p w:rsidR="00541F17" w:rsidRPr="005C003E" w:rsidP="00541F17" w14:paraId="364415C6" w14:textId="77777777">
      <w:pPr>
        <w:spacing w:after="120" w:line="240" w:lineRule="auto"/>
        <w:ind w:left="360" w:hanging="360"/>
        <w:textAlignment w:val="baseline"/>
        <w:rPr>
          <w:rFonts w:eastAsia="Times New Roman" w:cs="Times New Roman"/>
        </w:rPr>
      </w:pPr>
      <w:r w:rsidRPr="2CDBAF29">
        <w:rPr>
          <w:rFonts w:eastAsia="Times New Roman" w:cs="Times New Roman"/>
        </w:rPr>
        <w:t xml:space="preserve">Louie, J., </w:t>
      </w:r>
      <w:r w:rsidRPr="2CDBAF29">
        <w:rPr>
          <w:rFonts w:eastAsia="Times New Roman" w:cs="Times New Roman"/>
        </w:rPr>
        <w:t>Neumayer</w:t>
      </w:r>
      <w:r w:rsidRPr="2CDBAF29">
        <w:rPr>
          <w:rFonts w:eastAsia="Times New Roman" w:cs="Times New Roman"/>
        </w:rPr>
        <w:t xml:space="preserve"> </w:t>
      </w:r>
      <w:r w:rsidRPr="2CDBAF29">
        <w:rPr>
          <w:rFonts w:eastAsia="Times New Roman" w:cs="Times New Roman"/>
        </w:rPr>
        <w:t>DePiper</w:t>
      </w:r>
      <w:r w:rsidRPr="2CDBAF29">
        <w:rPr>
          <w:rFonts w:eastAsia="Times New Roman" w:cs="Times New Roman"/>
        </w:rPr>
        <w:t xml:space="preserve">, J., Nikula, J., Buffington, P., Tierney-Fife, P., &amp; Driscoll, M. (2022). </w:t>
      </w:r>
      <w:r w:rsidRPr="2CDBAF29">
        <w:rPr>
          <w:rFonts w:eastAsia="Times New Roman" w:cs="Times New Roman"/>
          <w:i/>
          <w:iCs/>
        </w:rPr>
        <w:t>Teacher self-efficacy with visual representations: Effects of the Visual Access to Mathematics professional development</w:t>
      </w:r>
      <w:r w:rsidRPr="2CDBAF29">
        <w:rPr>
          <w:rFonts w:eastAsia="Times New Roman" w:cs="Times New Roman"/>
        </w:rPr>
        <w:t>. Manuscript submitted for publication. </w:t>
      </w:r>
    </w:p>
    <w:p w:rsidR="000423EA" w:rsidRPr="005C003E" w:rsidP="000423EA" w14:paraId="78D84083" w14:textId="77777777">
      <w:pPr>
        <w:spacing w:after="120" w:line="240" w:lineRule="auto"/>
        <w:ind w:left="360" w:hanging="360"/>
        <w:textAlignment w:val="baseline"/>
        <w:rPr>
          <w:rFonts w:eastAsia="Times New Roman" w:cs="Times New Roman"/>
        </w:rPr>
      </w:pPr>
      <w:r w:rsidRPr="603C7632">
        <w:rPr>
          <w:rFonts w:eastAsia="Times New Roman" w:cs="Times New Roman"/>
        </w:rPr>
        <w:t>Lynch, K., Hill, H. C., Gonzalez, K. E., &amp; Pollard, C. (2019). Strengthening the research base that informs STEM instructional improvement efforts: A meta-analysis.</w:t>
      </w:r>
      <w:r w:rsidRPr="603C7632">
        <w:rPr>
          <w:rFonts w:eastAsia="Times New Roman" w:cs="Times New Roman"/>
          <w:i/>
          <w:iCs/>
        </w:rPr>
        <w:t xml:space="preserve"> Educational Evaluation and Policy Analysis, 41</w:t>
      </w:r>
      <w:r w:rsidRPr="603C7632">
        <w:rPr>
          <w:rFonts w:eastAsia="Times New Roman" w:cs="Times New Roman"/>
        </w:rPr>
        <w:t xml:space="preserve">(3), 260–293. </w:t>
      </w:r>
    </w:p>
    <w:p w:rsidR="000423EA" w:rsidRPr="005C003E" w:rsidP="000423EA" w14:paraId="15DF271E"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McFarland, J., Hussar, B., Zhang, J., Wang, X., Wang, K., Hein, S., Diliberti, M., Forrest Cataldi, E., Bullock Mann, F., &amp; Barmer, A. (2019). </w:t>
      </w:r>
      <w:r w:rsidRPr="2CDBAF29">
        <w:rPr>
          <w:rFonts w:eastAsia="Times New Roman" w:cs="Times New Roman"/>
          <w:i/>
          <w:iCs/>
        </w:rPr>
        <w:t xml:space="preserve">The condition of education 2019 </w:t>
      </w:r>
      <w:r w:rsidRPr="005C003E">
        <w:rPr>
          <w:rFonts w:eastAsia="Times New Roman" w:cs="Times New Roman"/>
        </w:rPr>
        <w:t>(NCES 2019-144). National C</w:t>
      </w:r>
      <w:r>
        <w:rPr>
          <w:rFonts w:eastAsia="Times New Roman" w:cs="Times New Roman"/>
        </w:rPr>
        <w:t xml:space="preserve">enter for Education Statistics. </w:t>
      </w:r>
    </w:p>
    <w:p w:rsidR="00C5400A" w:rsidRPr="005C003E" w:rsidP="00C5400A" w14:paraId="4C9AC493" w14:textId="77777777">
      <w:pPr>
        <w:spacing w:after="120" w:line="240" w:lineRule="auto"/>
        <w:ind w:left="360" w:hanging="360"/>
        <w:textAlignment w:val="baseline"/>
        <w:rPr>
          <w:rFonts w:eastAsia="Times New Roman" w:cs="Times New Roman"/>
        </w:rPr>
      </w:pPr>
      <w:r w:rsidRPr="005C003E">
        <w:rPr>
          <w:rFonts w:eastAsia="Times New Roman" w:cs="Times New Roman"/>
        </w:rPr>
        <w:t>Moschkovich</w:t>
      </w:r>
      <w:r w:rsidRPr="005C003E">
        <w:rPr>
          <w:rFonts w:eastAsia="Times New Roman" w:cs="Times New Roman"/>
        </w:rPr>
        <w:t xml:space="preserve">, J. (2013). Principles and guidelines for equitable mathematics teaching practices and materials for English language learners. </w:t>
      </w:r>
      <w:r w:rsidRPr="2CDBAF29">
        <w:rPr>
          <w:rFonts w:eastAsia="Times New Roman" w:cs="Times New Roman"/>
          <w:i/>
          <w:iCs/>
        </w:rPr>
        <w:t>Journal of Urban Mathematics Education, 6</w:t>
      </w:r>
      <w:r w:rsidRPr="005C003E">
        <w:rPr>
          <w:rFonts w:eastAsia="Times New Roman" w:cs="Times New Roman"/>
        </w:rPr>
        <w:t xml:space="preserve">(1), 45–57. </w:t>
      </w:r>
      <w:hyperlink r:id="rId15" w:history="1">
        <w:r w:rsidRPr="005C003E">
          <w:rPr>
            <w:rStyle w:val="Hyperlink"/>
            <w:rFonts w:eastAsia="Times New Roman"/>
          </w:rPr>
          <w:t>https://ell.stanford.edu/sites/default/files/Moschkovich%20JUME%202013_0.pdf</w:t>
        </w:r>
      </w:hyperlink>
      <w:r w:rsidRPr="005C003E">
        <w:rPr>
          <w:rFonts w:eastAsia="Times New Roman" w:cs="Times New Roman"/>
        </w:rPr>
        <w:t> </w:t>
      </w:r>
    </w:p>
    <w:p w:rsidR="00F02456" w:rsidRPr="005C003E" w:rsidP="00F02456" w14:paraId="443A29AC" w14:textId="77777777">
      <w:pPr>
        <w:spacing w:after="120" w:line="240" w:lineRule="auto"/>
        <w:ind w:left="360" w:hanging="360"/>
        <w:textAlignment w:val="baseline"/>
        <w:rPr>
          <w:rFonts w:eastAsia="Times New Roman" w:cs="Times New Roman"/>
        </w:rPr>
      </w:pPr>
      <w:r w:rsidRPr="2CDBAF29">
        <w:rPr>
          <w:rFonts w:eastAsia="Times New Roman" w:cs="Times New Roman"/>
        </w:rPr>
        <w:t xml:space="preserve">NASEM [National Academies of Sciences, Engineering, and Medicine]. (2018). </w:t>
      </w:r>
      <w:r w:rsidRPr="2CDBAF29">
        <w:rPr>
          <w:rFonts w:eastAsia="Times New Roman" w:cs="Times New Roman"/>
          <w:i/>
          <w:iCs/>
        </w:rPr>
        <w:t>English learners in STEM subjects: Transforming classrooms, schools, and lives</w:t>
      </w:r>
      <w:r w:rsidRPr="2CDBAF29">
        <w:rPr>
          <w:rFonts w:eastAsia="Times New Roman" w:cs="Times New Roman"/>
        </w:rPr>
        <w:t>. Washington, DC: The National Academies Press. </w:t>
      </w:r>
    </w:p>
    <w:p w:rsidR="00F02456" w:rsidRPr="005C003E" w:rsidP="00F02456" w14:paraId="065D797D"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NGA &amp; CCSSO [National Governors Association Center for Best Practices &amp; Council of Chief State School Officers]. (2010). </w:t>
      </w:r>
      <w:r w:rsidRPr="2CDBAF29">
        <w:rPr>
          <w:rFonts w:eastAsia="Times New Roman" w:cs="Times New Roman"/>
          <w:i/>
          <w:iCs/>
        </w:rPr>
        <w:t xml:space="preserve">Common core state standards: Mathematics. </w:t>
      </w:r>
      <w:hyperlink r:id="rId16" w:history="1">
        <w:r w:rsidRPr="005C003E">
          <w:rPr>
            <w:rStyle w:val="Hyperlink"/>
            <w:rFonts w:eastAsia="Times New Roman"/>
          </w:rPr>
          <w:t>http://www.corestandards.org/assets/CCSSI_Math Standards.pdf</w:t>
        </w:r>
      </w:hyperlink>
      <w:r w:rsidRPr="005C003E">
        <w:rPr>
          <w:rFonts w:eastAsia="Times New Roman" w:cs="Times New Roman"/>
          <w:color w:val="0562C1"/>
        </w:rPr>
        <w:t> </w:t>
      </w:r>
    </w:p>
    <w:p w:rsidR="009A7660" w:rsidRPr="00E81C24" w:rsidP="009A7660" w14:paraId="1A41B559" w14:textId="77777777">
      <w:r>
        <w:t xml:space="preserve">Russell-Tucker, C.M. (2021, April 14). </w:t>
      </w:r>
      <w:r w:rsidRPr="0079784E">
        <w:rPr>
          <w:i/>
          <w:iCs/>
        </w:rPr>
        <w:t>Designation of Certification Shortage Areas, 2021-22 School Year</w:t>
      </w:r>
      <w:r>
        <w:t xml:space="preserve"> [Memorandum]. Connecticut Board of Education. </w:t>
      </w:r>
      <w:r w:rsidRPr="0079784E">
        <w:t>https://portal.ct.gov/-/media/SDE/Digest/2020-21/ShortageAreaMemo_Superintendents_4_14_21-signed.pdf</w:t>
      </w:r>
    </w:p>
    <w:p w:rsidR="00F016B5" w:rsidRPr="005C003E" w:rsidP="00F016B5" w14:paraId="359AAA85"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Siegler, R. S., Duncan, G. J., Davis-Kean, P. E., Duckworth, K., Claessens, A., Engel, M., </w:t>
      </w:r>
      <w:r w:rsidRPr="005C003E">
        <w:rPr>
          <w:rFonts w:eastAsia="Times New Roman" w:cs="Times New Roman"/>
        </w:rPr>
        <w:t>Susperreguy</w:t>
      </w:r>
      <w:r w:rsidRPr="005C003E">
        <w:rPr>
          <w:rFonts w:eastAsia="Times New Roman" w:cs="Times New Roman"/>
        </w:rPr>
        <w:t xml:space="preserve">, M. I., &amp; Chen, M. (2012). Early predictors of high school mathematics achievement. </w:t>
      </w:r>
      <w:r w:rsidRPr="2CDBAF29">
        <w:rPr>
          <w:rFonts w:eastAsia="Times New Roman" w:cs="Times New Roman"/>
          <w:i/>
          <w:iCs/>
        </w:rPr>
        <w:t>Psychological Science, 23</w:t>
      </w:r>
      <w:r w:rsidRPr="005C003E">
        <w:rPr>
          <w:rFonts w:eastAsia="Times New Roman" w:cs="Times New Roman"/>
        </w:rPr>
        <w:t>, 691–697. </w:t>
      </w:r>
    </w:p>
    <w:p w:rsidR="00826F3D" w:rsidRPr="005C003E" w:rsidP="00826F3D" w14:paraId="0ADD2E8C"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Varley Gutiérrez, M., Willey, C., &amp; </w:t>
      </w:r>
      <w:r w:rsidRPr="005C003E">
        <w:rPr>
          <w:rFonts w:eastAsia="Times New Roman" w:cs="Times New Roman"/>
        </w:rPr>
        <w:t>Khisty</w:t>
      </w:r>
      <w:r w:rsidRPr="005C003E">
        <w:rPr>
          <w:rFonts w:eastAsia="Times New Roman" w:cs="Times New Roman"/>
        </w:rPr>
        <w:t>, L. L. (2011). (In)equitable schooling and mathematics of marginalized students: Through the voices of urban Latinas/</w:t>
      </w:r>
      <w:r w:rsidRPr="005C003E">
        <w:rPr>
          <w:rFonts w:eastAsia="Times New Roman" w:cs="Times New Roman"/>
        </w:rPr>
        <w:t>os</w:t>
      </w:r>
      <w:r w:rsidRPr="005C003E">
        <w:rPr>
          <w:rFonts w:eastAsia="Times New Roman" w:cs="Times New Roman"/>
        </w:rPr>
        <w:t xml:space="preserve">. </w:t>
      </w:r>
      <w:r w:rsidRPr="2CDBAF29">
        <w:rPr>
          <w:rFonts w:eastAsia="Times New Roman" w:cs="Times New Roman"/>
          <w:i/>
          <w:iCs/>
        </w:rPr>
        <w:t>Journal of Urban Mathematics Education, 4</w:t>
      </w:r>
      <w:r w:rsidRPr="005C003E">
        <w:rPr>
          <w:rFonts w:eastAsia="Times New Roman" w:cs="Times New Roman"/>
        </w:rPr>
        <w:t>(2), 26–43. </w:t>
      </w:r>
    </w:p>
    <w:p w:rsidR="00161CB6" w:rsidRPr="005C003E" w:rsidP="00161CB6" w14:paraId="63F80101" w14:textId="77777777">
      <w:pPr>
        <w:spacing w:after="120" w:line="240" w:lineRule="auto"/>
        <w:ind w:left="360" w:hanging="360"/>
        <w:textAlignment w:val="baseline"/>
        <w:rPr>
          <w:rFonts w:eastAsia="Times New Roman" w:cs="Times New Roman"/>
        </w:rPr>
      </w:pPr>
      <w:r w:rsidRPr="005C003E">
        <w:rPr>
          <w:rFonts w:eastAsia="Times New Roman" w:cs="Times New Roman"/>
        </w:rPr>
        <w:t xml:space="preserve">Woodward, J., Beckmann, S., Driscoll, M., Franke, M., Herzig, P., Jitendra, A., Koedinger, K. R., &amp; Ogbuehi, P. (2012). </w:t>
      </w:r>
      <w:r w:rsidRPr="2CDBAF29">
        <w:rPr>
          <w:rFonts w:eastAsia="Times New Roman" w:cs="Times New Roman"/>
          <w:i/>
          <w:iCs/>
        </w:rPr>
        <w:t xml:space="preserve">Improving mathematical problem solving in grades 4 through 8: A practice guide </w:t>
      </w:r>
      <w:r w:rsidRPr="005C003E">
        <w:rPr>
          <w:rFonts w:eastAsia="Times New Roman" w:cs="Times New Roman"/>
        </w:rPr>
        <w:t xml:space="preserve">(NCEE 2012–4055). </w:t>
      </w:r>
      <w:hyperlink r:id="rId17" w:tgtFrame="_blank" w:history="1">
        <w:r w:rsidRPr="005C003E">
          <w:rPr>
            <w:rFonts w:eastAsia="Times New Roman" w:cs="Times New Roman"/>
            <w:color w:val="0562C1"/>
            <w:u w:val="single"/>
          </w:rPr>
          <w:t>http://ies.ed.gov/ncee/wwc/publications_reviews.aspx#pubsearch/</w:t>
        </w:r>
      </w:hyperlink>
      <w:r w:rsidRPr="005C003E">
        <w:rPr>
          <w:rFonts w:eastAsia="Times New Roman" w:cs="Times New Roman"/>
        </w:rPr>
        <w:t> </w:t>
      </w:r>
    </w:p>
    <w:p w:rsidR="009A7660" w:rsidRPr="00E81C24" w14:paraId="4D88A9CE" w14:textId="77777777"/>
    <w:sectPr>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A0E3A43" w14:textId="77777777" w:rsidTr="34B70C55">
      <w:tblPrEx>
        <w:tblW w:w="0" w:type="auto"/>
        <w:tblLayout w:type="fixed"/>
        <w:tblLook w:val="06A0"/>
      </w:tblPrEx>
      <w:tc>
        <w:tcPr>
          <w:tcW w:w="3120" w:type="dxa"/>
        </w:tcPr>
        <w:p w:rsidR="34B70C55" w:rsidP="34B70C55" w14:paraId="1D73CA88" w14:textId="1F2B8651">
          <w:pPr>
            <w:pStyle w:val="Header"/>
            <w:ind w:left="-115"/>
          </w:pPr>
        </w:p>
      </w:tc>
      <w:tc>
        <w:tcPr>
          <w:tcW w:w="3120" w:type="dxa"/>
        </w:tcPr>
        <w:p w:rsidR="34B70C55" w:rsidP="34B70C55" w14:paraId="5315A802" w14:textId="5A16DC88">
          <w:pPr>
            <w:pStyle w:val="Header"/>
            <w:jc w:val="center"/>
          </w:pPr>
        </w:p>
      </w:tc>
      <w:tc>
        <w:tcPr>
          <w:tcW w:w="3120" w:type="dxa"/>
        </w:tcPr>
        <w:p w:rsidR="34B70C55" w:rsidP="34B70C55" w14:paraId="5C191703" w14:textId="0C41C6B0">
          <w:pPr>
            <w:pStyle w:val="Header"/>
            <w:ind w:right="-115"/>
            <w:jc w:val="right"/>
          </w:pPr>
        </w:p>
      </w:tc>
    </w:tr>
  </w:tbl>
  <w:p w:rsidR="34B70C55" w:rsidP="34B70C55" w14:paraId="46E752A5" w14:textId="2001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22CA" w:rsidP="00E6289F" w14:paraId="62344EDE" w14:textId="77777777">
      <w:pPr>
        <w:spacing w:after="0" w:line="240" w:lineRule="auto"/>
      </w:pPr>
      <w:r>
        <w:separator/>
      </w:r>
    </w:p>
  </w:footnote>
  <w:footnote w:type="continuationSeparator" w:id="1">
    <w:p w:rsidR="00E322CA" w:rsidP="00E6289F" w14:paraId="3EAB0932" w14:textId="77777777">
      <w:pPr>
        <w:spacing w:after="0" w:line="240" w:lineRule="auto"/>
      </w:pPr>
      <w:r>
        <w:continuationSeparator/>
      </w:r>
    </w:p>
  </w:footnote>
  <w:footnote w:type="continuationNotice" w:id="2">
    <w:p w:rsidR="00E322CA" w14:paraId="2431466A" w14:textId="77777777">
      <w:pPr>
        <w:spacing w:after="0" w:line="240" w:lineRule="auto"/>
      </w:pPr>
    </w:p>
  </w:footnote>
  <w:footnote w:id="3">
    <w:p w:rsidR="00267F8B" w:rsidRPr="00244877" w:rsidP="00267F8B" w14:paraId="0A26B794" w14:textId="77777777">
      <w:pPr>
        <w:pStyle w:val="FootnoteText"/>
        <w:rPr>
          <w:rFonts w:eastAsia="Garamond" w:cs="Times New Roman"/>
        </w:rPr>
      </w:pPr>
      <w:r w:rsidRPr="00244877">
        <w:rPr>
          <w:rFonts w:cs="Times New Roman"/>
          <w:vertAlign w:val="superscript"/>
        </w:rPr>
        <w:footnoteRef/>
      </w:r>
      <w:r w:rsidRPr="00244877">
        <w:rPr>
          <w:rFonts w:cs="Times New Roman"/>
        </w:rPr>
        <w:t xml:space="preserve"> </w:t>
      </w:r>
      <w:r w:rsidRPr="00244877">
        <w:rPr>
          <w:rFonts w:eastAsia="Garamond" w:cs="Times New Roman"/>
        </w:rPr>
        <w:t xml:space="preserve">Throughout this proposal, we use multilingual learners (MLLs) as an asset-based term for students identified as English learners by their districts or schools. The Connecticut State Department of Education uses both multilingual learners and English learners as phrases to describe this student population.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400"/>
      <w:gridCol w:w="5400"/>
    </w:tblGrid>
    <w:tr w14:paraId="17F7EA05" w14:textId="77777777" w:rsidTr="00B152CB">
      <w:tblPrEx>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jc w:val="center"/>
      </w:trPr>
      <w:tc>
        <w:tcPr>
          <w:tcW w:w="5107" w:type="dxa"/>
          <w:vAlign w:val="bottom"/>
          <w:hideMark/>
        </w:tcPr>
        <w:p w:rsidR="00B152CB" w:rsidP="00B152CB" w14:paraId="67BADCB1" w14:textId="77777777">
          <w:pPr>
            <w:pStyle w:val="Header"/>
            <w:rPr>
              <w:rFonts w:ascii="Georgia" w:hAnsi="Georgia"/>
              <w:color w:val="576F7F" w:themeColor="text2"/>
              <w:sz w:val="28"/>
              <w:szCs w:val="28"/>
            </w:rPr>
          </w:pPr>
          <w:r w:rsidRPr="00B152CB">
            <w:rPr>
              <w:rFonts w:ascii="Georgia" w:hAnsi="Georgia"/>
              <w:color w:val="576F7F" w:themeColor="text2"/>
              <w:sz w:val="28"/>
              <w:szCs w:val="28"/>
            </w:rPr>
            <w:t xml:space="preserve">Regional Education Laboratory </w:t>
          </w:r>
        </w:p>
        <w:p w:rsidR="00886759" w:rsidRPr="00B152CB" w:rsidP="00B152CB" w14:paraId="7DCB1B27" w14:textId="4F334353">
          <w:pPr>
            <w:pStyle w:val="Header"/>
            <w:rPr>
              <w:rFonts w:ascii="Georgia" w:hAnsi="Georgia"/>
              <w:color w:val="576F7F" w:themeColor="text2"/>
              <w:sz w:val="28"/>
              <w:szCs w:val="28"/>
            </w:rPr>
          </w:pPr>
          <w:r>
            <w:rPr>
              <w:rFonts w:ascii="Georgia" w:hAnsi="Georgia"/>
              <w:color w:val="576F7F" w:themeColor="text2"/>
              <w:sz w:val="28"/>
              <w:szCs w:val="28"/>
            </w:rPr>
            <w:t>Northeast &amp; Islands</w:t>
          </w:r>
        </w:p>
      </w:tc>
      <w:tc>
        <w:tcPr>
          <w:tcW w:w="5107" w:type="dxa"/>
          <w:hideMark/>
        </w:tcPr>
        <w:p w:rsidR="00B152CB" w:rsidP="00B152CB" w14:paraId="73DD9DB4" w14:textId="77777777">
          <w:pPr>
            <w:pStyle w:val="Header"/>
            <w:jc w:val="right"/>
          </w:pPr>
          <w:r>
            <w:rPr>
              <w:noProof/>
            </w:rPr>
            <w:drawing>
              <wp:inline distT="0" distB="0" distL="0" distR="0">
                <wp:extent cx="2330450" cy="546100"/>
                <wp:effectExtent l="0" t="0" r="0" b="6350"/>
                <wp:docPr id="5" name="Graphic 5"/>
                <wp:cNvGraphicFramePr/>
                <a:graphic xmlns:a="http://schemas.openxmlformats.org/drawingml/2006/main">
                  <a:graphicData uri="http://schemas.openxmlformats.org/drawingml/2006/picture">
                    <pic:pic xmlns:pic="http://schemas.openxmlformats.org/drawingml/2006/picture">
                      <pic:nvPicPr>
                        <pic:cNvPr id="5" name="Graphic 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27275" cy="548640"/>
                        </a:xfrm>
                        <a:prstGeom prst="rect">
                          <a:avLst/>
                        </a:prstGeom>
                      </pic:spPr>
                    </pic:pic>
                  </a:graphicData>
                </a:graphic>
              </wp:inline>
            </w:drawing>
          </w:r>
        </w:p>
      </w:tc>
    </w:tr>
    <w:tr w14:paraId="07D3AFF5" w14:textId="77777777" w:rsidTr="00B152CB">
      <w:tblPrEx>
        <w:tblW w:w="10800" w:type="dxa"/>
        <w:jc w:val="center"/>
        <w:tblCellMar>
          <w:left w:w="0" w:type="dxa"/>
          <w:right w:w="0" w:type="dxa"/>
        </w:tblCellMar>
        <w:tblLook w:val="04A0"/>
      </w:tblPrEx>
      <w:trPr>
        <w:trHeight w:hRule="exact" w:val="144"/>
        <w:jc w:val="center"/>
      </w:trPr>
      <w:tc>
        <w:tcPr>
          <w:tcW w:w="5107" w:type="dxa"/>
        </w:tcPr>
        <w:p w:rsidR="00B152CB" w:rsidP="00B152CB" w14:paraId="1CD97D63" w14:textId="77777777">
          <w:pPr>
            <w:pStyle w:val="Header"/>
          </w:pPr>
        </w:p>
      </w:tc>
      <w:tc>
        <w:tcPr>
          <w:tcW w:w="5107" w:type="dxa"/>
        </w:tcPr>
        <w:p w:rsidR="00B152CB" w:rsidP="00B152CB" w14:paraId="5EAC01F3" w14:textId="77777777">
          <w:pPr>
            <w:pStyle w:val="Header"/>
            <w:jc w:val="right"/>
            <w:rPr>
              <w:noProof/>
            </w:rPr>
          </w:pPr>
        </w:p>
      </w:tc>
    </w:tr>
    <w:tr w14:paraId="13EED956" w14:textId="77777777" w:rsidTr="00B152CB">
      <w:tblPrEx>
        <w:tblW w:w="10800" w:type="dxa"/>
        <w:jc w:val="center"/>
        <w:tblCellMar>
          <w:left w:w="0" w:type="dxa"/>
          <w:right w:w="0" w:type="dxa"/>
        </w:tblCellMar>
        <w:tblLook w:val="04A0"/>
      </w:tblPrEx>
      <w:trPr>
        <w:jc w:val="center"/>
      </w:trPr>
      <w:tc>
        <w:tcPr>
          <w:tcW w:w="5107" w:type="dxa"/>
          <w:shd w:val="clear" w:color="auto" w:fill="576F7F" w:themeFill="text2"/>
        </w:tcPr>
        <w:p w:rsidR="00B152CB" w:rsidRPr="00B152CB" w:rsidP="00B152CB" w14:paraId="5F11F3F6" w14:textId="0B3097C2">
          <w:pPr>
            <w:pStyle w:val="Header"/>
            <w:tabs>
              <w:tab w:val="left" w:pos="180"/>
            </w:tabs>
            <w:rPr>
              <w:color w:val="576F7F" w:themeColor="text2"/>
            </w:rPr>
          </w:pPr>
          <w:r>
            <w:tab/>
          </w:r>
        </w:p>
      </w:tc>
      <w:tc>
        <w:tcPr>
          <w:tcW w:w="5107" w:type="dxa"/>
          <w:shd w:val="clear" w:color="auto" w:fill="576F7F" w:themeFill="text2"/>
        </w:tcPr>
        <w:p w:rsidR="00B152CB" w:rsidP="00B152CB" w14:paraId="4EC919C7" w14:textId="77777777">
          <w:pPr>
            <w:pStyle w:val="Header"/>
            <w:jc w:val="right"/>
            <w:rPr>
              <w:noProof/>
            </w:rPr>
          </w:pPr>
        </w:p>
      </w:tc>
    </w:tr>
  </w:tbl>
  <w:p w:rsidR="00954779" w:rsidP="00B152CB" w14:paraId="46B9231E" w14:textId="1AEE20EC">
    <w:pPr>
      <w:pStyle w:val="Header"/>
    </w:pPr>
  </w:p>
  <w:p w:rsidR="00B152CB" w:rsidRPr="00B152CB" w:rsidP="00B152CB" w14:paraId="3C71B7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7522"/>
    <w:multiLevelType w:val="hybridMultilevel"/>
    <w:tmpl w:val="B7E2F8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032D1552"/>
    <w:multiLevelType w:val="hybridMultilevel"/>
    <w:tmpl w:val="25C686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14B944C7"/>
    <w:multiLevelType w:val="hybridMultilevel"/>
    <w:tmpl w:val="022CC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B5E7C"/>
    <w:multiLevelType w:val="hybridMultilevel"/>
    <w:tmpl w:val="2C7013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E9A43AC"/>
    <w:multiLevelType w:val="hybridMultilevel"/>
    <w:tmpl w:val="C0389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A309D6"/>
    <w:multiLevelType w:val="hybridMultilevel"/>
    <w:tmpl w:val="1ED647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C7544C"/>
    <w:multiLevelType w:val="hybridMultilevel"/>
    <w:tmpl w:val="3A6EDF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EE40D7"/>
    <w:multiLevelType w:val="hybridMultilevel"/>
    <w:tmpl w:val="50D2E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CD1D73"/>
    <w:multiLevelType w:val="hybridMultilevel"/>
    <w:tmpl w:val="11B82A0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2DDC1D9C"/>
    <w:multiLevelType w:val="hybridMultilevel"/>
    <w:tmpl w:val="5DECA8C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2E18044B"/>
    <w:multiLevelType w:val="hybridMultilevel"/>
    <w:tmpl w:val="AF7A5B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CE2ED4"/>
    <w:multiLevelType w:val="hybridMultilevel"/>
    <w:tmpl w:val="265A970C"/>
    <w:lvl w:ilvl="0">
      <w:start w:val="1"/>
      <w:numFmt w:val="bullet"/>
      <w:lvlText w:val="-"/>
      <w:lvlJc w:val="left"/>
      <w:pPr>
        <w:ind w:left="2520" w:hanging="360"/>
      </w:pPr>
      <w:rPr>
        <w:rFonts w:ascii="Calibri" w:hAnsi="Calibri" w:eastAsiaTheme="minorHAnsi" w:cs="Calibri"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3022217B"/>
    <w:multiLevelType w:val="hybridMultilevel"/>
    <w:tmpl w:val="43800A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5B7F81"/>
    <w:multiLevelType w:val="hybridMultilevel"/>
    <w:tmpl w:val="AD3AF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C5864"/>
    <w:multiLevelType w:val="hybridMultilevel"/>
    <w:tmpl w:val="709A4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7D21B7"/>
    <w:multiLevelType w:val="hybridMultilevel"/>
    <w:tmpl w:val="86E6AE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35393F"/>
    <w:multiLevelType w:val="hybridMultilevel"/>
    <w:tmpl w:val="613E1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6C1679B"/>
    <w:multiLevelType w:val="hybridMultilevel"/>
    <w:tmpl w:val="E09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F06AD1"/>
    <w:multiLevelType w:val="hybridMultilevel"/>
    <w:tmpl w:val="1E2AB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7502A2"/>
    <w:multiLevelType w:val="hybridMultilevel"/>
    <w:tmpl w:val="45A8D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A700F7"/>
    <w:multiLevelType w:val="hybridMultilevel"/>
    <w:tmpl w:val="48AE88A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1">
    <w:nsid w:val="6C850A2A"/>
    <w:multiLevelType w:val="hybridMultilevel"/>
    <w:tmpl w:val="FF26DF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3D5ED68"/>
    <w:multiLevelType w:val="hybridMultilevel"/>
    <w:tmpl w:val="C6A89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E2E0A1A"/>
    <w:multiLevelType w:val="hybridMultilevel"/>
    <w:tmpl w:val="8D5442E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179277788">
    <w:abstractNumId w:val="5"/>
  </w:num>
  <w:num w:numId="2" w16cid:durableId="881331629">
    <w:abstractNumId w:val="11"/>
  </w:num>
  <w:num w:numId="3" w16cid:durableId="194928651">
    <w:abstractNumId w:val="0"/>
  </w:num>
  <w:num w:numId="4" w16cid:durableId="1713772416">
    <w:abstractNumId w:val="9"/>
  </w:num>
  <w:num w:numId="5" w16cid:durableId="668992800">
    <w:abstractNumId w:val="8"/>
  </w:num>
  <w:num w:numId="6" w16cid:durableId="141701814">
    <w:abstractNumId w:val="1"/>
  </w:num>
  <w:num w:numId="7" w16cid:durableId="1298954711">
    <w:abstractNumId w:val="20"/>
  </w:num>
  <w:num w:numId="8" w16cid:durableId="1914390414">
    <w:abstractNumId w:val="13"/>
  </w:num>
  <w:num w:numId="9" w16cid:durableId="69693168">
    <w:abstractNumId w:val="15"/>
  </w:num>
  <w:num w:numId="10" w16cid:durableId="1828981419">
    <w:abstractNumId w:val="17"/>
  </w:num>
  <w:num w:numId="11" w16cid:durableId="1650360120">
    <w:abstractNumId w:val="4"/>
  </w:num>
  <w:num w:numId="12" w16cid:durableId="243498116">
    <w:abstractNumId w:val="19"/>
  </w:num>
  <w:num w:numId="13" w16cid:durableId="556941162">
    <w:abstractNumId w:val="23"/>
  </w:num>
  <w:num w:numId="14" w16cid:durableId="1577664071">
    <w:abstractNumId w:val="2"/>
  </w:num>
  <w:num w:numId="15" w16cid:durableId="1369263160">
    <w:abstractNumId w:val="21"/>
  </w:num>
  <w:num w:numId="16" w16cid:durableId="1072432882">
    <w:abstractNumId w:val="18"/>
  </w:num>
  <w:num w:numId="17" w16cid:durableId="1701124920">
    <w:abstractNumId w:val="14"/>
  </w:num>
  <w:num w:numId="18" w16cid:durableId="1584409494">
    <w:abstractNumId w:val="22"/>
  </w:num>
  <w:num w:numId="19" w16cid:durableId="1633555216">
    <w:abstractNumId w:val="16"/>
  </w:num>
  <w:num w:numId="20" w16cid:durableId="1480877012">
    <w:abstractNumId w:val="12"/>
  </w:num>
  <w:num w:numId="21" w16cid:durableId="1691760130">
    <w:abstractNumId w:val="10"/>
  </w:num>
  <w:num w:numId="22" w16cid:durableId="1729568747">
    <w:abstractNumId w:val="7"/>
  </w:num>
  <w:num w:numId="23" w16cid:durableId="1040131303">
    <w:abstractNumId w:val="3"/>
  </w:num>
  <w:num w:numId="24" w16cid:durableId="141200135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yan, Sarah">
    <w15:presenceInfo w15:providerId="AD" w15:userId="S::sryan@edc.org::4d500324-561e-4647-a453-31ca97bc9540"/>
  </w15:person>
  <w15:person w15:author="Battal, Jill">
    <w15:presenceInfo w15:providerId="AD" w15:userId="S::jbattal@air.org::fda1bb4d-bfba-4b60-bdd5-9ab5ac68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9F"/>
    <w:rsid w:val="00002F3C"/>
    <w:rsid w:val="000051CC"/>
    <w:rsid w:val="00007B45"/>
    <w:rsid w:val="00013995"/>
    <w:rsid w:val="00016D44"/>
    <w:rsid w:val="00017085"/>
    <w:rsid w:val="000227AC"/>
    <w:rsid w:val="00022BE8"/>
    <w:rsid w:val="00025B5F"/>
    <w:rsid w:val="00026093"/>
    <w:rsid w:val="00026B08"/>
    <w:rsid w:val="00027004"/>
    <w:rsid w:val="00027A28"/>
    <w:rsid w:val="000423EA"/>
    <w:rsid w:val="00044628"/>
    <w:rsid w:val="0004756A"/>
    <w:rsid w:val="00050D7D"/>
    <w:rsid w:val="000510BB"/>
    <w:rsid w:val="00065814"/>
    <w:rsid w:val="0007576D"/>
    <w:rsid w:val="00080223"/>
    <w:rsid w:val="00096A54"/>
    <w:rsid w:val="000A5D39"/>
    <w:rsid w:val="000B1047"/>
    <w:rsid w:val="000B3E2C"/>
    <w:rsid w:val="000C571D"/>
    <w:rsid w:val="000C676E"/>
    <w:rsid w:val="000D24D0"/>
    <w:rsid w:val="000D3E9D"/>
    <w:rsid w:val="000D7FBB"/>
    <w:rsid w:val="000F4A75"/>
    <w:rsid w:val="00103D09"/>
    <w:rsid w:val="0010692A"/>
    <w:rsid w:val="00110CAF"/>
    <w:rsid w:val="00113EB9"/>
    <w:rsid w:val="00114A79"/>
    <w:rsid w:val="00117070"/>
    <w:rsid w:val="00125EE0"/>
    <w:rsid w:val="00126A10"/>
    <w:rsid w:val="00132252"/>
    <w:rsid w:val="001334AE"/>
    <w:rsid w:val="0014726F"/>
    <w:rsid w:val="0015208C"/>
    <w:rsid w:val="00153E03"/>
    <w:rsid w:val="001612B3"/>
    <w:rsid w:val="00161CB6"/>
    <w:rsid w:val="00162E6D"/>
    <w:rsid w:val="00173515"/>
    <w:rsid w:val="00175319"/>
    <w:rsid w:val="0017657E"/>
    <w:rsid w:val="0018584E"/>
    <w:rsid w:val="0018679B"/>
    <w:rsid w:val="00193311"/>
    <w:rsid w:val="001A02BE"/>
    <w:rsid w:val="001A0E86"/>
    <w:rsid w:val="001B7056"/>
    <w:rsid w:val="001C0065"/>
    <w:rsid w:val="001C02DA"/>
    <w:rsid w:val="001C1D45"/>
    <w:rsid w:val="001D2110"/>
    <w:rsid w:val="001F190E"/>
    <w:rsid w:val="0020105F"/>
    <w:rsid w:val="00205740"/>
    <w:rsid w:val="0021088B"/>
    <w:rsid w:val="0021469C"/>
    <w:rsid w:val="00217339"/>
    <w:rsid w:val="0022502F"/>
    <w:rsid w:val="002356D3"/>
    <w:rsid w:val="00242FC8"/>
    <w:rsid w:val="00244877"/>
    <w:rsid w:val="002516BE"/>
    <w:rsid w:val="002532B7"/>
    <w:rsid w:val="0025715F"/>
    <w:rsid w:val="002618E9"/>
    <w:rsid w:val="00262913"/>
    <w:rsid w:val="002678E7"/>
    <w:rsid w:val="00267F8B"/>
    <w:rsid w:val="00276333"/>
    <w:rsid w:val="00276F4D"/>
    <w:rsid w:val="00290F0F"/>
    <w:rsid w:val="002914F6"/>
    <w:rsid w:val="0029213B"/>
    <w:rsid w:val="002A1B4F"/>
    <w:rsid w:val="002A405B"/>
    <w:rsid w:val="002A514F"/>
    <w:rsid w:val="002B617B"/>
    <w:rsid w:val="002C5DD4"/>
    <w:rsid w:val="002C6ED4"/>
    <w:rsid w:val="002D3FCE"/>
    <w:rsid w:val="002E26E8"/>
    <w:rsid w:val="002F196C"/>
    <w:rsid w:val="00302381"/>
    <w:rsid w:val="003035F8"/>
    <w:rsid w:val="00303FB0"/>
    <w:rsid w:val="0030674B"/>
    <w:rsid w:val="003307FC"/>
    <w:rsid w:val="003346C0"/>
    <w:rsid w:val="0033675B"/>
    <w:rsid w:val="00336AE6"/>
    <w:rsid w:val="003418F0"/>
    <w:rsid w:val="00346719"/>
    <w:rsid w:val="00347F2E"/>
    <w:rsid w:val="00353679"/>
    <w:rsid w:val="00354719"/>
    <w:rsid w:val="00360687"/>
    <w:rsid w:val="003620D2"/>
    <w:rsid w:val="0036754E"/>
    <w:rsid w:val="00382026"/>
    <w:rsid w:val="00382786"/>
    <w:rsid w:val="00384649"/>
    <w:rsid w:val="00391BA4"/>
    <w:rsid w:val="00392F6E"/>
    <w:rsid w:val="003B128A"/>
    <w:rsid w:val="003C6D2B"/>
    <w:rsid w:val="003D17DD"/>
    <w:rsid w:val="003D41A4"/>
    <w:rsid w:val="003E3F17"/>
    <w:rsid w:val="003E6DC6"/>
    <w:rsid w:val="003E769A"/>
    <w:rsid w:val="003F095E"/>
    <w:rsid w:val="004039A6"/>
    <w:rsid w:val="004043F2"/>
    <w:rsid w:val="00405D27"/>
    <w:rsid w:val="00407EF2"/>
    <w:rsid w:val="0042228C"/>
    <w:rsid w:val="00427407"/>
    <w:rsid w:val="00431B78"/>
    <w:rsid w:val="004369D2"/>
    <w:rsid w:val="00436FCE"/>
    <w:rsid w:val="004370FB"/>
    <w:rsid w:val="00442C5E"/>
    <w:rsid w:val="0044459C"/>
    <w:rsid w:val="0044526B"/>
    <w:rsid w:val="004648B6"/>
    <w:rsid w:val="0047116E"/>
    <w:rsid w:val="00492BA3"/>
    <w:rsid w:val="00492D1D"/>
    <w:rsid w:val="00495819"/>
    <w:rsid w:val="004A0360"/>
    <w:rsid w:val="004A4C1A"/>
    <w:rsid w:val="004B17B7"/>
    <w:rsid w:val="004B6C41"/>
    <w:rsid w:val="004C6EA6"/>
    <w:rsid w:val="004D14FB"/>
    <w:rsid w:val="004E0942"/>
    <w:rsid w:val="004E6879"/>
    <w:rsid w:val="004F0C92"/>
    <w:rsid w:val="00503A66"/>
    <w:rsid w:val="00507653"/>
    <w:rsid w:val="005157B8"/>
    <w:rsid w:val="00525B3C"/>
    <w:rsid w:val="00526C6A"/>
    <w:rsid w:val="005303DA"/>
    <w:rsid w:val="00532C26"/>
    <w:rsid w:val="0053490B"/>
    <w:rsid w:val="0053738A"/>
    <w:rsid w:val="00541F17"/>
    <w:rsid w:val="00544AAC"/>
    <w:rsid w:val="00545AC6"/>
    <w:rsid w:val="00550323"/>
    <w:rsid w:val="00555C23"/>
    <w:rsid w:val="0056271A"/>
    <w:rsid w:val="0056383B"/>
    <w:rsid w:val="00566D71"/>
    <w:rsid w:val="00570848"/>
    <w:rsid w:val="00575792"/>
    <w:rsid w:val="00576F94"/>
    <w:rsid w:val="005770BF"/>
    <w:rsid w:val="005844A7"/>
    <w:rsid w:val="00593566"/>
    <w:rsid w:val="00594BAB"/>
    <w:rsid w:val="005A0C5A"/>
    <w:rsid w:val="005A15C5"/>
    <w:rsid w:val="005A56C7"/>
    <w:rsid w:val="005B01F3"/>
    <w:rsid w:val="005B2817"/>
    <w:rsid w:val="005B3D0C"/>
    <w:rsid w:val="005C003E"/>
    <w:rsid w:val="005C1119"/>
    <w:rsid w:val="005C16DE"/>
    <w:rsid w:val="005D292A"/>
    <w:rsid w:val="005D6059"/>
    <w:rsid w:val="005E2BB0"/>
    <w:rsid w:val="005E35A1"/>
    <w:rsid w:val="005E3D40"/>
    <w:rsid w:val="005F007E"/>
    <w:rsid w:val="005F2038"/>
    <w:rsid w:val="005F75EC"/>
    <w:rsid w:val="006028A7"/>
    <w:rsid w:val="0060E81A"/>
    <w:rsid w:val="00610A29"/>
    <w:rsid w:val="00612A1C"/>
    <w:rsid w:val="00621D95"/>
    <w:rsid w:val="00623BBF"/>
    <w:rsid w:val="006268AF"/>
    <w:rsid w:val="00630DA8"/>
    <w:rsid w:val="00636448"/>
    <w:rsid w:val="0064029A"/>
    <w:rsid w:val="00655149"/>
    <w:rsid w:val="006579A2"/>
    <w:rsid w:val="0066040C"/>
    <w:rsid w:val="00665374"/>
    <w:rsid w:val="006844F3"/>
    <w:rsid w:val="0069508D"/>
    <w:rsid w:val="00696F89"/>
    <w:rsid w:val="00697483"/>
    <w:rsid w:val="006A284D"/>
    <w:rsid w:val="006A552B"/>
    <w:rsid w:val="006A6158"/>
    <w:rsid w:val="006B305E"/>
    <w:rsid w:val="006B3F17"/>
    <w:rsid w:val="006B56F0"/>
    <w:rsid w:val="006C5436"/>
    <w:rsid w:val="006E664F"/>
    <w:rsid w:val="006E78AA"/>
    <w:rsid w:val="0070353C"/>
    <w:rsid w:val="00720EEC"/>
    <w:rsid w:val="007262D8"/>
    <w:rsid w:val="00730E7D"/>
    <w:rsid w:val="00733D69"/>
    <w:rsid w:val="00733E6F"/>
    <w:rsid w:val="00733F9A"/>
    <w:rsid w:val="00735A91"/>
    <w:rsid w:val="00742840"/>
    <w:rsid w:val="0075506E"/>
    <w:rsid w:val="00757A00"/>
    <w:rsid w:val="00764A28"/>
    <w:rsid w:val="00774E03"/>
    <w:rsid w:val="00782A34"/>
    <w:rsid w:val="0078341C"/>
    <w:rsid w:val="007845CA"/>
    <w:rsid w:val="00792C36"/>
    <w:rsid w:val="007934BF"/>
    <w:rsid w:val="0079784E"/>
    <w:rsid w:val="007A4128"/>
    <w:rsid w:val="007B52E5"/>
    <w:rsid w:val="007C4D30"/>
    <w:rsid w:val="007D5534"/>
    <w:rsid w:val="007E0F6C"/>
    <w:rsid w:val="007F106B"/>
    <w:rsid w:val="007F6FEE"/>
    <w:rsid w:val="00801104"/>
    <w:rsid w:val="008040DD"/>
    <w:rsid w:val="00804CCE"/>
    <w:rsid w:val="00814458"/>
    <w:rsid w:val="008254C7"/>
    <w:rsid w:val="00826F3D"/>
    <w:rsid w:val="008303B9"/>
    <w:rsid w:val="00835FFF"/>
    <w:rsid w:val="008409F5"/>
    <w:rsid w:val="008500D7"/>
    <w:rsid w:val="008548D2"/>
    <w:rsid w:val="00863D43"/>
    <w:rsid w:val="0087051E"/>
    <w:rsid w:val="00870C0D"/>
    <w:rsid w:val="00873741"/>
    <w:rsid w:val="0088101D"/>
    <w:rsid w:val="00885331"/>
    <w:rsid w:val="00886759"/>
    <w:rsid w:val="0089313A"/>
    <w:rsid w:val="008961BB"/>
    <w:rsid w:val="008A4C0D"/>
    <w:rsid w:val="008B4FC7"/>
    <w:rsid w:val="008B5ACE"/>
    <w:rsid w:val="008C52E3"/>
    <w:rsid w:val="008D1118"/>
    <w:rsid w:val="008D566C"/>
    <w:rsid w:val="008D6197"/>
    <w:rsid w:val="008F0EFD"/>
    <w:rsid w:val="008F405F"/>
    <w:rsid w:val="008F6D31"/>
    <w:rsid w:val="00900C30"/>
    <w:rsid w:val="0090556F"/>
    <w:rsid w:val="00907CE6"/>
    <w:rsid w:val="00907D48"/>
    <w:rsid w:val="00912F37"/>
    <w:rsid w:val="009168B1"/>
    <w:rsid w:val="00920706"/>
    <w:rsid w:val="009304DA"/>
    <w:rsid w:val="00943273"/>
    <w:rsid w:val="009518C9"/>
    <w:rsid w:val="00954779"/>
    <w:rsid w:val="00955FE7"/>
    <w:rsid w:val="00960927"/>
    <w:rsid w:val="0096155E"/>
    <w:rsid w:val="00961B23"/>
    <w:rsid w:val="00971E27"/>
    <w:rsid w:val="00986D2F"/>
    <w:rsid w:val="00994E0B"/>
    <w:rsid w:val="009A41C0"/>
    <w:rsid w:val="009A7660"/>
    <w:rsid w:val="009A7D5B"/>
    <w:rsid w:val="009B47C1"/>
    <w:rsid w:val="009C11C2"/>
    <w:rsid w:val="009C4189"/>
    <w:rsid w:val="009C51C0"/>
    <w:rsid w:val="009C55A5"/>
    <w:rsid w:val="009C6E3B"/>
    <w:rsid w:val="009D1EDF"/>
    <w:rsid w:val="009D3476"/>
    <w:rsid w:val="009D7942"/>
    <w:rsid w:val="009E03B8"/>
    <w:rsid w:val="009E0EC9"/>
    <w:rsid w:val="009E297E"/>
    <w:rsid w:val="009E2A4F"/>
    <w:rsid w:val="00A03E3C"/>
    <w:rsid w:val="00A1366D"/>
    <w:rsid w:val="00A211B7"/>
    <w:rsid w:val="00A21F9E"/>
    <w:rsid w:val="00A26949"/>
    <w:rsid w:val="00A33098"/>
    <w:rsid w:val="00A3354C"/>
    <w:rsid w:val="00A3503B"/>
    <w:rsid w:val="00A5362F"/>
    <w:rsid w:val="00A62563"/>
    <w:rsid w:val="00A646E7"/>
    <w:rsid w:val="00A650C0"/>
    <w:rsid w:val="00A74741"/>
    <w:rsid w:val="00A807EA"/>
    <w:rsid w:val="00A91999"/>
    <w:rsid w:val="00A94F91"/>
    <w:rsid w:val="00A95B49"/>
    <w:rsid w:val="00AA021F"/>
    <w:rsid w:val="00AA126E"/>
    <w:rsid w:val="00AA69AF"/>
    <w:rsid w:val="00AB1BC9"/>
    <w:rsid w:val="00AB63E0"/>
    <w:rsid w:val="00AB6D46"/>
    <w:rsid w:val="00AC05A4"/>
    <w:rsid w:val="00AC1B33"/>
    <w:rsid w:val="00AC6331"/>
    <w:rsid w:val="00AF101A"/>
    <w:rsid w:val="00AF3447"/>
    <w:rsid w:val="00AF64FE"/>
    <w:rsid w:val="00B152CB"/>
    <w:rsid w:val="00B15336"/>
    <w:rsid w:val="00B230F1"/>
    <w:rsid w:val="00B2398D"/>
    <w:rsid w:val="00B30E33"/>
    <w:rsid w:val="00B31BD7"/>
    <w:rsid w:val="00B331DC"/>
    <w:rsid w:val="00B35206"/>
    <w:rsid w:val="00B3541A"/>
    <w:rsid w:val="00B45B19"/>
    <w:rsid w:val="00B45E60"/>
    <w:rsid w:val="00B56D7A"/>
    <w:rsid w:val="00B80EDF"/>
    <w:rsid w:val="00B91912"/>
    <w:rsid w:val="00B969E0"/>
    <w:rsid w:val="00BB3495"/>
    <w:rsid w:val="00BC33B2"/>
    <w:rsid w:val="00BC76D6"/>
    <w:rsid w:val="00BD20B5"/>
    <w:rsid w:val="00BF00D5"/>
    <w:rsid w:val="00BF3A5D"/>
    <w:rsid w:val="00C06BE9"/>
    <w:rsid w:val="00C079DA"/>
    <w:rsid w:val="00C149AC"/>
    <w:rsid w:val="00C165D3"/>
    <w:rsid w:val="00C17C10"/>
    <w:rsid w:val="00C2018F"/>
    <w:rsid w:val="00C36534"/>
    <w:rsid w:val="00C4371D"/>
    <w:rsid w:val="00C44513"/>
    <w:rsid w:val="00C5400A"/>
    <w:rsid w:val="00C5554B"/>
    <w:rsid w:val="00C66EF2"/>
    <w:rsid w:val="00C83BFB"/>
    <w:rsid w:val="00C8553F"/>
    <w:rsid w:val="00C872A4"/>
    <w:rsid w:val="00C96E54"/>
    <w:rsid w:val="00C97C9D"/>
    <w:rsid w:val="00CA0045"/>
    <w:rsid w:val="00CA47C1"/>
    <w:rsid w:val="00CA6A66"/>
    <w:rsid w:val="00CA6D9E"/>
    <w:rsid w:val="00CB1553"/>
    <w:rsid w:val="00CB35FA"/>
    <w:rsid w:val="00CB705F"/>
    <w:rsid w:val="00CB73E7"/>
    <w:rsid w:val="00CD446B"/>
    <w:rsid w:val="00CD53F0"/>
    <w:rsid w:val="00D01629"/>
    <w:rsid w:val="00D1366C"/>
    <w:rsid w:val="00D24501"/>
    <w:rsid w:val="00D36E41"/>
    <w:rsid w:val="00D40406"/>
    <w:rsid w:val="00D435CA"/>
    <w:rsid w:val="00D46104"/>
    <w:rsid w:val="00D50E52"/>
    <w:rsid w:val="00D54E3D"/>
    <w:rsid w:val="00D563E0"/>
    <w:rsid w:val="00D67600"/>
    <w:rsid w:val="00D71F85"/>
    <w:rsid w:val="00D721FF"/>
    <w:rsid w:val="00D764FC"/>
    <w:rsid w:val="00D80D89"/>
    <w:rsid w:val="00D91008"/>
    <w:rsid w:val="00D91E24"/>
    <w:rsid w:val="00D92D30"/>
    <w:rsid w:val="00D9546A"/>
    <w:rsid w:val="00DA24F7"/>
    <w:rsid w:val="00DA388E"/>
    <w:rsid w:val="00DB0104"/>
    <w:rsid w:val="00DB01B6"/>
    <w:rsid w:val="00DB5699"/>
    <w:rsid w:val="00DC36CE"/>
    <w:rsid w:val="00DC75F5"/>
    <w:rsid w:val="00DD6CFC"/>
    <w:rsid w:val="00DE06EA"/>
    <w:rsid w:val="00DE2A75"/>
    <w:rsid w:val="00DE7045"/>
    <w:rsid w:val="00DE7F68"/>
    <w:rsid w:val="00DF19DA"/>
    <w:rsid w:val="00DF32CF"/>
    <w:rsid w:val="00E05E47"/>
    <w:rsid w:val="00E07592"/>
    <w:rsid w:val="00E07C09"/>
    <w:rsid w:val="00E10964"/>
    <w:rsid w:val="00E11809"/>
    <w:rsid w:val="00E122DF"/>
    <w:rsid w:val="00E246FE"/>
    <w:rsid w:val="00E322CA"/>
    <w:rsid w:val="00E33D29"/>
    <w:rsid w:val="00E37E50"/>
    <w:rsid w:val="00E42CFB"/>
    <w:rsid w:val="00E5350B"/>
    <w:rsid w:val="00E6289F"/>
    <w:rsid w:val="00E6612F"/>
    <w:rsid w:val="00E77AE7"/>
    <w:rsid w:val="00E81C24"/>
    <w:rsid w:val="00E8421A"/>
    <w:rsid w:val="00E84E31"/>
    <w:rsid w:val="00E90F1E"/>
    <w:rsid w:val="00EA0470"/>
    <w:rsid w:val="00EA1016"/>
    <w:rsid w:val="00EA1E0F"/>
    <w:rsid w:val="00EB01C9"/>
    <w:rsid w:val="00EB4DE6"/>
    <w:rsid w:val="00EC0DE2"/>
    <w:rsid w:val="00ED051D"/>
    <w:rsid w:val="00ED0E0E"/>
    <w:rsid w:val="00ED1BFF"/>
    <w:rsid w:val="00ED238B"/>
    <w:rsid w:val="00ED49B0"/>
    <w:rsid w:val="00ED513F"/>
    <w:rsid w:val="00EF2FB2"/>
    <w:rsid w:val="00EF6734"/>
    <w:rsid w:val="00F016B5"/>
    <w:rsid w:val="00F02456"/>
    <w:rsid w:val="00F05744"/>
    <w:rsid w:val="00F15C89"/>
    <w:rsid w:val="00F22524"/>
    <w:rsid w:val="00F248F0"/>
    <w:rsid w:val="00F32E12"/>
    <w:rsid w:val="00F3508E"/>
    <w:rsid w:val="00F358F0"/>
    <w:rsid w:val="00F62BAB"/>
    <w:rsid w:val="00F65A57"/>
    <w:rsid w:val="00F67ADA"/>
    <w:rsid w:val="00F75F6F"/>
    <w:rsid w:val="00F77EE6"/>
    <w:rsid w:val="00F83795"/>
    <w:rsid w:val="00F859E3"/>
    <w:rsid w:val="00FC12E5"/>
    <w:rsid w:val="00FD6A28"/>
    <w:rsid w:val="00FE2367"/>
    <w:rsid w:val="013259C1"/>
    <w:rsid w:val="01F30588"/>
    <w:rsid w:val="02082703"/>
    <w:rsid w:val="02F62001"/>
    <w:rsid w:val="03625FEC"/>
    <w:rsid w:val="03B8ADA4"/>
    <w:rsid w:val="04542CF0"/>
    <w:rsid w:val="0469624D"/>
    <w:rsid w:val="04F65B02"/>
    <w:rsid w:val="04FFFB97"/>
    <w:rsid w:val="0504DA77"/>
    <w:rsid w:val="0509A4F9"/>
    <w:rsid w:val="058B23CB"/>
    <w:rsid w:val="05906F27"/>
    <w:rsid w:val="05EC940D"/>
    <w:rsid w:val="0648D0E2"/>
    <w:rsid w:val="06BF411D"/>
    <w:rsid w:val="06C5DB1F"/>
    <w:rsid w:val="0729F06B"/>
    <w:rsid w:val="074215E7"/>
    <w:rsid w:val="07969512"/>
    <w:rsid w:val="07A1BEBE"/>
    <w:rsid w:val="07B78716"/>
    <w:rsid w:val="07D16082"/>
    <w:rsid w:val="08266451"/>
    <w:rsid w:val="083C7B39"/>
    <w:rsid w:val="084AFEB7"/>
    <w:rsid w:val="0853FFE2"/>
    <w:rsid w:val="087947EE"/>
    <w:rsid w:val="08BA6CBE"/>
    <w:rsid w:val="08F6B8BB"/>
    <w:rsid w:val="0922F328"/>
    <w:rsid w:val="0959726D"/>
    <w:rsid w:val="09A3618D"/>
    <w:rsid w:val="0A0F9384"/>
    <w:rsid w:val="0A61912D"/>
    <w:rsid w:val="0AA3C745"/>
    <w:rsid w:val="0AC00530"/>
    <w:rsid w:val="0B1E7240"/>
    <w:rsid w:val="0B9E4400"/>
    <w:rsid w:val="0BC8BA43"/>
    <w:rsid w:val="0BD6FFC2"/>
    <w:rsid w:val="0BE119E8"/>
    <w:rsid w:val="0BF7058B"/>
    <w:rsid w:val="0C18812E"/>
    <w:rsid w:val="0C3C4E1C"/>
    <w:rsid w:val="0C44DC1D"/>
    <w:rsid w:val="0C5BD591"/>
    <w:rsid w:val="0CB97953"/>
    <w:rsid w:val="0CD763AC"/>
    <w:rsid w:val="0D03BEFC"/>
    <w:rsid w:val="0D0B90D2"/>
    <w:rsid w:val="0D2E82A1"/>
    <w:rsid w:val="0D5E8ECA"/>
    <w:rsid w:val="0D77AB94"/>
    <w:rsid w:val="0DEC49A9"/>
    <w:rsid w:val="0DF67B38"/>
    <w:rsid w:val="0DFC4664"/>
    <w:rsid w:val="0E1240E5"/>
    <w:rsid w:val="0E98B061"/>
    <w:rsid w:val="0F202FA8"/>
    <w:rsid w:val="0FD649A4"/>
    <w:rsid w:val="10CC7A56"/>
    <w:rsid w:val="10DC1819"/>
    <w:rsid w:val="11B83FE4"/>
    <w:rsid w:val="11EA183B"/>
    <w:rsid w:val="12363641"/>
    <w:rsid w:val="127836D9"/>
    <w:rsid w:val="12A232E4"/>
    <w:rsid w:val="12FCD254"/>
    <w:rsid w:val="131CAE62"/>
    <w:rsid w:val="1376C815"/>
    <w:rsid w:val="13A0E084"/>
    <w:rsid w:val="14287EAA"/>
    <w:rsid w:val="143B9923"/>
    <w:rsid w:val="1446C04F"/>
    <w:rsid w:val="145895AC"/>
    <w:rsid w:val="14D7401E"/>
    <w:rsid w:val="1594FC12"/>
    <w:rsid w:val="161539C4"/>
    <w:rsid w:val="162D2EE9"/>
    <w:rsid w:val="16467FD6"/>
    <w:rsid w:val="16586F51"/>
    <w:rsid w:val="166986A4"/>
    <w:rsid w:val="168BB107"/>
    <w:rsid w:val="1701AD8F"/>
    <w:rsid w:val="171B24E4"/>
    <w:rsid w:val="17207EF1"/>
    <w:rsid w:val="17EF392C"/>
    <w:rsid w:val="18AC26EE"/>
    <w:rsid w:val="19064302"/>
    <w:rsid w:val="1947E33C"/>
    <w:rsid w:val="196E37BA"/>
    <w:rsid w:val="1A0719C8"/>
    <w:rsid w:val="1A0776E8"/>
    <w:rsid w:val="1A613286"/>
    <w:rsid w:val="1B017963"/>
    <w:rsid w:val="1B66A9FD"/>
    <w:rsid w:val="1C57C1AE"/>
    <w:rsid w:val="1C6587FE"/>
    <w:rsid w:val="1C6C20FC"/>
    <w:rsid w:val="1C7ED2B6"/>
    <w:rsid w:val="1C92E3C2"/>
    <w:rsid w:val="1CBDAC85"/>
    <w:rsid w:val="1D33C39A"/>
    <w:rsid w:val="1D3A6CE8"/>
    <w:rsid w:val="1D56A7B1"/>
    <w:rsid w:val="1D82B342"/>
    <w:rsid w:val="1D8DC0A7"/>
    <w:rsid w:val="1DC141C3"/>
    <w:rsid w:val="1E588617"/>
    <w:rsid w:val="1E962B74"/>
    <w:rsid w:val="1ED58F26"/>
    <w:rsid w:val="1EFCC657"/>
    <w:rsid w:val="1F92002E"/>
    <w:rsid w:val="1F93DD55"/>
    <w:rsid w:val="1FDBA210"/>
    <w:rsid w:val="20293C95"/>
    <w:rsid w:val="2046A528"/>
    <w:rsid w:val="2088A000"/>
    <w:rsid w:val="210A8B29"/>
    <w:rsid w:val="2319B320"/>
    <w:rsid w:val="2375CC7F"/>
    <w:rsid w:val="23CD90C8"/>
    <w:rsid w:val="23F69EE2"/>
    <w:rsid w:val="246DC8A7"/>
    <w:rsid w:val="24AA4E34"/>
    <w:rsid w:val="25957D71"/>
    <w:rsid w:val="266655F1"/>
    <w:rsid w:val="26D68614"/>
    <w:rsid w:val="272A703F"/>
    <w:rsid w:val="273E4ACF"/>
    <w:rsid w:val="288E3EE6"/>
    <w:rsid w:val="28A6ECB4"/>
    <w:rsid w:val="2958F516"/>
    <w:rsid w:val="29ECAE2D"/>
    <w:rsid w:val="2A45965C"/>
    <w:rsid w:val="2AC0DB60"/>
    <w:rsid w:val="2B1ED9EC"/>
    <w:rsid w:val="2B4A547D"/>
    <w:rsid w:val="2BDFF7BA"/>
    <w:rsid w:val="2C083F84"/>
    <w:rsid w:val="2C466A4D"/>
    <w:rsid w:val="2C5C234A"/>
    <w:rsid w:val="2CC7D754"/>
    <w:rsid w:val="2CDBAF29"/>
    <w:rsid w:val="2CE41E4A"/>
    <w:rsid w:val="2D6816EE"/>
    <w:rsid w:val="2E832096"/>
    <w:rsid w:val="2E9DC510"/>
    <w:rsid w:val="2EC5025C"/>
    <w:rsid w:val="2F55A019"/>
    <w:rsid w:val="2F7E0B0F"/>
    <w:rsid w:val="2F8A6E38"/>
    <w:rsid w:val="3023DD7B"/>
    <w:rsid w:val="303D5933"/>
    <w:rsid w:val="30E02D69"/>
    <w:rsid w:val="30EF4249"/>
    <w:rsid w:val="3110C43F"/>
    <w:rsid w:val="313B8499"/>
    <w:rsid w:val="31C9A393"/>
    <w:rsid w:val="31FCC688"/>
    <w:rsid w:val="327D829E"/>
    <w:rsid w:val="32EB8305"/>
    <w:rsid w:val="32F15F0F"/>
    <w:rsid w:val="336371CA"/>
    <w:rsid w:val="33A5C3EC"/>
    <w:rsid w:val="33D69001"/>
    <w:rsid w:val="344570EA"/>
    <w:rsid w:val="34489D25"/>
    <w:rsid w:val="34B70C55"/>
    <w:rsid w:val="34C53276"/>
    <w:rsid w:val="34CAAD03"/>
    <w:rsid w:val="34E05B60"/>
    <w:rsid w:val="35AD1793"/>
    <w:rsid w:val="35D2226A"/>
    <w:rsid w:val="36031890"/>
    <w:rsid w:val="361243DC"/>
    <w:rsid w:val="362323C7"/>
    <w:rsid w:val="36581632"/>
    <w:rsid w:val="36667D64"/>
    <w:rsid w:val="36B74E62"/>
    <w:rsid w:val="36CE2809"/>
    <w:rsid w:val="36EA85C3"/>
    <w:rsid w:val="37B5CABC"/>
    <w:rsid w:val="380D4727"/>
    <w:rsid w:val="38150310"/>
    <w:rsid w:val="38162BDE"/>
    <w:rsid w:val="3866C1CF"/>
    <w:rsid w:val="38A0B52F"/>
    <w:rsid w:val="38ECE9AA"/>
    <w:rsid w:val="38F45E8A"/>
    <w:rsid w:val="393C9B1E"/>
    <w:rsid w:val="397376C5"/>
    <w:rsid w:val="398004F8"/>
    <w:rsid w:val="39A361D8"/>
    <w:rsid w:val="39B3D069"/>
    <w:rsid w:val="3A187D77"/>
    <w:rsid w:val="3A4116C0"/>
    <w:rsid w:val="3A482097"/>
    <w:rsid w:val="3A64DA34"/>
    <w:rsid w:val="3AE06ABC"/>
    <w:rsid w:val="3B0C3BD5"/>
    <w:rsid w:val="3B4D4781"/>
    <w:rsid w:val="3BF0A80F"/>
    <w:rsid w:val="3C29AC62"/>
    <w:rsid w:val="3C3404B3"/>
    <w:rsid w:val="3C6A5106"/>
    <w:rsid w:val="3C80F7A3"/>
    <w:rsid w:val="3D268FE6"/>
    <w:rsid w:val="3D930B58"/>
    <w:rsid w:val="3EDAAF2E"/>
    <w:rsid w:val="3EF7B308"/>
    <w:rsid w:val="3F85EC39"/>
    <w:rsid w:val="3F8E6D02"/>
    <w:rsid w:val="3FB1B6F1"/>
    <w:rsid w:val="400A06FB"/>
    <w:rsid w:val="405BE1F2"/>
    <w:rsid w:val="405E0EB1"/>
    <w:rsid w:val="40681805"/>
    <w:rsid w:val="40683071"/>
    <w:rsid w:val="407A0805"/>
    <w:rsid w:val="40D2006E"/>
    <w:rsid w:val="40D2C429"/>
    <w:rsid w:val="40F08FB9"/>
    <w:rsid w:val="4121990C"/>
    <w:rsid w:val="413CC367"/>
    <w:rsid w:val="415405DE"/>
    <w:rsid w:val="418425CC"/>
    <w:rsid w:val="424F5E8F"/>
    <w:rsid w:val="43669C96"/>
    <w:rsid w:val="43B68E49"/>
    <w:rsid w:val="445E1B45"/>
    <w:rsid w:val="4473836A"/>
    <w:rsid w:val="45143E90"/>
    <w:rsid w:val="4514D435"/>
    <w:rsid w:val="4518796E"/>
    <w:rsid w:val="4570D4FD"/>
    <w:rsid w:val="45AD7C00"/>
    <w:rsid w:val="45DA8464"/>
    <w:rsid w:val="466A915D"/>
    <w:rsid w:val="4688D763"/>
    <w:rsid w:val="469D8E7C"/>
    <w:rsid w:val="46B9F61B"/>
    <w:rsid w:val="46E879B8"/>
    <w:rsid w:val="46EA6E1C"/>
    <w:rsid w:val="4742B16F"/>
    <w:rsid w:val="479377A9"/>
    <w:rsid w:val="48542D79"/>
    <w:rsid w:val="485D51CA"/>
    <w:rsid w:val="4879C6D6"/>
    <w:rsid w:val="48B70A55"/>
    <w:rsid w:val="48CC451F"/>
    <w:rsid w:val="4A220EDE"/>
    <w:rsid w:val="4A44F8FC"/>
    <w:rsid w:val="4A89614F"/>
    <w:rsid w:val="4AB80BF7"/>
    <w:rsid w:val="4AC8F270"/>
    <w:rsid w:val="4B277F3E"/>
    <w:rsid w:val="4C8CE0F5"/>
    <w:rsid w:val="4CB3262B"/>
    <w:rsid w:val="4CC34AA2"/>
    <w:rsid w:val="4CD55168"/>
    <w:rsid w:val="4D96C8D2"/>
    <w:rsid w:val="4DC18C77"/>
    <w:rsid w:val="4E035A2F"/>
    <w:rsid w:val="4E06BDA8"/>
    <w:rsid w:val="4E6D5D4C"/>
    <w:rsid w:val="4E8F7860"/>
    <w:rsid w:val="4E92C3D4"/>
    <w:rsid w:val="4EB4F87F"/>
    <w:rsid w:val="4EFF41C2"/>
    <w:rsid w:val="4F589B55"/>
    <w:rsid w:val="4F66190F"/>
    <w:rsid w:val="4F6DAF5A"/>
    <w:rsid w:val="4F7E5614"/>
    <w:rsid w:val="4F8180A5"/>
    <w:rsid w:val="4FAEE3C9"/>
    <w:rsid w:val="5030BAAF"/>
    <w:rsid w:val="5050C8E0"/>
    <w:rsid w:val="50A9E482"/>
    <w:rsid w:val="50AB57AF"/>
    <w:rsid w:val="51922EB9"/>
    <w:rsid w:val="51EE80BA"/>
    <w:rsid w:val="525694CE"/>
    <w:rsid w:val="52A97E44"/>
    <w:rsid w:val="533A7FCB"/>
    <w:rsid w:val="53FD5FF2"/>
    <w:rsid w:val="540F85FB"/>
    <w:rsid w:val="54683C73"/>
    <w:rsid w:val="54B08F08"/>
    <w:rsid w:val="55888E0E"/>
    <w:rsid w:val="55AD43CC"/>
    <w:rsid w:val="55BC9A6C"/>
    <w:rsid w:val="5681A0B5"/>
    <w:rsid w:val="56EC5266"/>
    <w:rsid w:val="57588B8B"/>
    <w:rsid w:val="57957319"/>
    <w:rsid w:val="582606AE"/>
    <w:rsid w:val="58E1B388"/>
    <w:rsid w:val="58FB6132"/>
    <w:rsid w:val="590BFDAD"/>
    <w:rsid w:val="5988ACE9"/>
    <w:rsid w:val="5A17D14B"/>
    <w:rsid w:val="5A255BDC"/>
    <w:rsid w:val="5AA70857"/>
    <w:rsid w:val="5AE929BB"/>
    <w:rsid w:val="5AF9528B"/>
    <w:rsid w:val="5B665966"/>
    <w:rsid w:val="5B6AF250"/>
    <w:rsid w:val="5BBAF61D"/>
    <w:rsid w:val="5C21BF9A"/>
    <w:rsid w:val="5C3F9729"/>
    <w:rsid w:val="5C52D04C"/>
    <w:rsid w:val="5CCC2723"/>
    <w:rsid w:val="5D30C01F"/>
    <w:rsid w:val="5D75152B"/>
    <w:rsid w:val="5EC890C8"/>
    <w:rsid w:val="603C7632"/>
    <w:rsid w:val="604D268A"/>
    <w:rsid w:val="60F140AE"/>
    <w:rsid w:val="611CEE56"/>
    <w:rsid w:val="6127956C"/>
    <w:rsid w:val="61773720"/>
    <w:rsid w:val="61845264"/>
    <w:rsid w:val="62004CD1"/>
    <w:rsid w:val="6203C75C"/>
    <w:rsid w:val="62081395"/>
    <w:rsid w:val="624FD6F0"/>
    <w:rsid w:val="627275F9"/>
    <w:rsid w:val="6299B796"/>
    <w:rsid w:val="62D343A1"/>
    <w:rsid w:val="63270423"/>
    <w:rsid w:val="637CBD68"/>
    <w:rsid w:val="637D7C1E"/>
    <w:rsid w:val="63866CC1"/>
    <w:rsid w:val="639C7482"/>
    <w:rsid w:val="63BD77FB"/>
    <w:rsid w:val="6481BD34"/>
    <w:rsid w:val="65FAB700"/>
    <w:rsid w:val="676658E6"/>
    <w:rsid w:val="67690D07"/>
    <w:rsid w:val="676A4B00"/>
    <w:rsid w:val="67C330D3"/>
    <w:rsid w:val="67FCC194"/>
    <w:rsid w:val="6890EFA7"/>
    <w:rsid w:val="68E2AAD9"/>
    <w:rsid w:val="6900E835"/>
    <w:rsid w:val="6AA507AD"/>
    <w:rsid w:val="6AEC67F2"/>
    <w:rsid w:val="6B2EF102"/>
    <w:rsid w:val="6B54B3B3"/>
    <w:rsid w:val="6B6EA6F0"/>
    <w:rsid w:val="6BC9E053"/>
    <w:rsid w:val="6C09B7D4"/>
    <w:rsid w:val="6C16052E"/>
    <w:rsid w:val="6C9E3660"/>
    <w:rsid w:val="6D0A7751"/>
    <w:rsid w:val="6D481CDD"/>
    <w:rsid w:val="6D51F566"/>
    <w:rsid w:val="6DADACBA"/>
    <w:rsid w:val="6DC3F65A"/>
    <w:rsid w:val="6E31946A"/>
    <w:rsid w:val="6E72DAE7"/>
    <w:rsid w:val="6E89E2F7"/>
    <w:rsid w:val="6EAF4086"/>
    <w:rsid w:val="6EFC8902"/>
    <w:rsid w:val="6F20ACC0"/>
    <w:rsid w:val="6FBA5544"/>
    <w:rsid w:val="702A3A4D"/>
    <w:rsid w:val="704DEF57"/>
    <w:rsid w:val="70B61EE0"/>
    <w:rsid w:val="70F6F50A"/>
    <w:rsid w:val="7113B03A"/>
    <w:rsid w:val="7169FBC5"/>
    <w:rsid w:val="71AFD607"/>
    <w:rsid w:val="71B00E87"/>
    <w:rsid w:val="72212A47"/>
    <w:rsid w:val="7237247F"/>
    <w:rsid w:val="7268781F"/>
    <w:rsid w:val="72ADD02E"/>
    <w:rsid w:val="72AF809B"/>
    <w:rsid w:val="72D44EAF"/>
    <w:rsid w:val="7367E980"/>
    <w:rsid w:val="739F970D"/>
    <w:rsid w:val="73C1BE3F"/>
    <w:rsid w:val="743844B2"/>
    <w:rsid w:val="7491A4C8"/>
    <w:rsid w:val="74A19C87"/>
    <w:rsid w:val="74EC2D51"/>
    <w:rsid w:val="75B18764"/>
    <w:rsid w:val="75DE69D9"/>
    <w:rsid w:val="761F1991"/>
    <w:rsid w:val="7671C5A4"/>
    <w:rsid w:val="76D708BA"/>
    <w:rsid w:val="76E0A736"/>
    <w:rsid w:val="772CC392"/>
    <w:rsid w:val="77D93D49"/>
    <w:rsid w:val="77FD3912"/>
    <w:rsid w:val="781A23AC"/>
    <w:rsid w:val="7839AEE2"/>
    <w:rsid w:val="787E17FB"/>
    <w:rsid w:val="78A7AF7B"/>
    <w:rsid w:val="797C2D80"/>
    <w:rsid w:val="79CB7C22"/>
    <w:rsid w:val="79E595C2"/>
    <w:rsid w:val="79F70746"/>
    <w:rsid w:val="7AA0C925"/>
    <w:rsid w:val="7AD87658"/>
    <w:rsid w:val="7B128F04"/>
    <w:rsid w:val="7B2B557D"/>
    <w:rsid w:val="7BADD77D"/>
    <w:rsid w:val="7BDF9F58"/>
    <w:rsid w:val="7C08964F"/>
    <w:rsid w:val="7D7A538A"/>
    <w:rsid w:val="7DD23346"/>
    <w:rsid w:val="7E189B79"/>
    <w:rsid w:val="7EB19B82"/>
    <w:rsid w:val="7EE5783F"/>
    <w:rsid w:val="7EE64FED"/>
    <w:rsid w:val="7EFCCEE4"/>
    <w:rsid w:val="7F6C23C2"/>
    <w:rsid w:val="7FC8A5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8732FE"/>
  <w15:chartTrackingRefBased/>
  <w15:docId w15:val="{153A9048-4339-48C0-8AAC-D0598133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1016"/>
    <w:rPr>
      <w:rFonts w:ascii="Times New Roman" w:hAnsi="Times New Roman"/>
    </w:rPr>
  </w:style>
  <w:style w:type="paragraph" w:styleId="Heading1">
    <w:name w:val="heading 1"/>
    <w:basedOn w:val="Normal"/>
    <w:next w:val="Normal"/>
    <w:link w:val="Heading1Char"/>
    <w:uiPriority w:val="9"/>
    <w:qFormat/>
    <w:rsid w:val="0025715F"/>
    <w:pPr>
      <w:spacing w:line="276" w:lineRule="auto"/>
      <w:outlineLvl w:val="0"/>
    </w:pPr>
    <w:rPr>
      <w:rFonts w:cs="Times New Roman"/>
      <w:b/>
      <w:bCs/>
      <w:color w:val="1F497D"/>
      <w:sz w:val="28"/>
      <w:szCs w:val="28"/>
    </w:rPr>
  </w:style>
  <w:style w:type="paragraph" w:styleId="Heading2">
    <w:name w:val="heading 2"/>
    <w:basedOn w:val="Heading3"/>
    <w:next w:val="Normal"/>
    <w:link w:val="Heading2Char"/>
    <w:uiPriority w:val="9"/>
    <w:unhideWhenUsed/>
    <w:qFormat/>
    <w:rsid w:val="005A0C5A"/>
    <w:pPr>
      <w:outlineLvl w:val="1"/>
    </w:pPr>
  </w:style>
  <w:style w:type="paragraph" w:styleId="Heading3">
    <w:name w:val="heading 3"/>
    <w:basedOn w:val="Normal"/>
    <w:next w:val="Normal"/>
    <w:link w:val="Heading3Char"/>
    <w:uiPriority w:val="9"/>
    <w:unhideWhenUsed/>
    <w:qFormat/>
    <w:rsid w:val="00303FB0"/>
    <w:pPr>
      <w:keepNext/>
      <w:keepLines/>
      <w:spacing w:before="40" w:after="0"/>
      <w:outlineLvl w:val="2"/>
    </w:pPr>
    <w:rPr>
      <w:rFonts w:eastAsiaTheme="majorEastAsia" w:cstheme="majorBidi"/>
      <w:b/>
      <w:bCs/>
      <w:color w:val="071D4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9F"/>
  </w:style>
  <w:style w:type="paragraph" w:styleId="Footer">
    <w:name w:val="footer"/>
    <w:basedOn w:val="Normal"/>
    <w:link w:val="FooterChar"/>
    <w:uiPriority w:val="99"/>
    <w:unhideWhenUsed/>
    <w:rsid w:val="00E6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9F"/>
  </w:style>
  <w:style w:type="paragraph" w:styleId="BalloonText">
    <w:name w:val="Balloon Text"/>
    <w:basedOn w:val="Normal"/>
    <w:link w:val="BalloonTextChar"/>
    <w:uiPriority w:val="99"/>
    <w:semiHidden/>
    <w:unhideWhenUsed/>
    <w:rsid w:val="00B23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F1"/>
    <w:rPr>
      <w:rFonts w:ascii="Segoe UI" w:hAnsi="Segoe UI" w:cs="Segoe UI"/>
      <w:sz w:val="18"/>
      <w:szCs w:val="18"/>
    </w:rPr>
  </w:style>
  <w:style w:type="paragraph" w:styleId="ListParagraph">
    <w:name w:val="List Paragraph"/>
    <w:basedOn w:val="Normal"/>
    <w:uiPriority w:val="34"/>
    <w:qFormat/>
    <w:rsid w:val="002C5DD4"/>
    <w:pPr>
      <w:ind w:left="720"/>
      <w:contextualSpacing/>
    </w:pPr>
  </w:style>
  <w:style w:type="paragraph" w:styleId="FootnoteText">
    <w:name w:val="footnote text"/>
    <w:basedOn w:val="Normal"/>
    <w:link w:val="FootnoteTextChar"/>
    <w:uiPriority w:val="99"/>
    <w:semiHidden/>
    <w:unhideWhenUsed/>
    <w:rsid w:val="008A4C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C0D"/>
    <w:rPr>
      <w:sz w:val="20"/>
      <w:szCs w:val="20"/>
    </w:rPr>
  </w:style>
  <w:style w:type="character" w:styleId="FootnoteReference">
    <w:name w:val="footnote reference"/>
    <w:basedOn w:val="DefaultParagraphFont"/>
    <w:uiPriority w:val="99"/>
    <w:semiHidden/>
    <w:unhideWhenUsed/>
    <w:rsid w:val="008A4C0D"/>
    <w:rPr>
      <w:vertAlign w:val="superscript"/>
    </w:rPr>
  </w:style>
  <w:style w:type="character" w:styleId="CommentReference">
    <w:name w:val="annotation reference"/>
    <w:basedOn w:val="DefaultParagraphFont"/>
    <w:uiPriority w:val="99"/>
    <w:semiHidden/>
    <w:unhideWhenUsed/>
    <w:rsid w:val="00360687"/>
    <w:rPr>
      <w:sz w:val="16"/>
      <w:szCs w:val="16"/>
    </w:rPr>
  </w:style>
  <w:style w:type="paragraph" w:styleId="CommentText">
    <w:name w:val="annotation text"/>
    <w:basedOn w:val="Normal"/>
    <w:link w:val="CommentTextChar"/>
    <w:uiPriority w:val="99"/>
    <w:unhideWhenUsed/>
    <w:rsid w:val="00360687"/>
    <w:pPr>
      <w:spacing w:line="240" w:lineRule="auto"/>
    </w:pPr>
    <w:rPr>
      <w:sz w:val="20"/>
      <w:szCs w:val="20"/>
    </w:rPr>
  </w:style>
  <w:style w:type="character" w:customStyle="1" w:styleId="CommentTextChar">
    <w:name w:val="Comment Text Char"/>
    <w:basedOn w:val="DefaultParagraphFont"/>
    <w:link w:val="CommentText"/>
    <w:uiPriority w:val="99"/>
    <w:rsid w:val="00360687"/>
    <w:rPr>
      <w:sz w:val="20"/>
      <w:szCs w:val="20"/>
    </w:rPr>
  </w:style>
  <w:style w:type="paragraph" w:styleId="CommentSubject">
    <w:name w:val="annotation subject"/>
    <w:basedOn w:val="CommentText"/>
    <w:next w:val="CommentText"/>
    <w:link w:val="CommentSubjectChar"/>
    <w:uiPriority w:val="99"/>
    <w:semiHidden/>
    <w:unhideWhenUsed/>
    <w:rsid w:val="00360687"/>
    <w:rPr>
      <w:b/>
      <w:bCs/>
    </w:rPr>
  </w:style>
  <w:style w:type="character" w:customStyle="1" w:styleId="CommentSubjectChar">
    <w:name w:val="Comment Subject Char"/>
    <w:basedOn w:val="CommentTextChar"/>
    <w:link w:val="CommentSubject"/>
    <w:uiPriority w:val="99"/>
    <w:semiHidden/>
    <w:rsid w:val="00360687"/>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715F"/>
    <w:rPr>
      <w:rFonts w:ascii="Times New Roman" w:hAnsi="Times New Roman" w:cs="Times New Roman"/>
      <w:b/>
      <w:bCs/>
      <w:color w:val="1F497D"/>
      <w:sz w:val="28"/>
      <w:szCs w:val="28"/>
    </w:rPr>
  </w:style>
  <w:style w:type="character" w:customStyle="1" w:styleId="Heading2Char">
    <w:name w:val="Heading 2 Char"/>
    <w:basedOn w:val="DefaultParagraphFont"/>
    <w:link w:val="Heading2"/>
    <w:uiPriority w:val="9"/>
    <w:rsid w:val="005A0C5A"/>
    <w:rPr>
      <w:rFonts w:ascii="Times New Roman" w:hAnsi="Times New Roman" w:eastAsiaTheme="majorEastAsia" w:cstheme="majorBidi"/>
      <w:b/>
      <w:bCs/>
      <w:color w:val="071D49" w:themeColor="accent2"/>
    </w:rPr>
  </w:style>
  <w:style w:type="character" w:styleId="Hyperlink">
    <w:name w:val="Hyperlink"/>
    <w:basedOn w:val="DefaultParagraphFont"/>
    <w:uiPriority w:val="99"/>
    <w:unhideWhenUsed/>
    <w:rsid w:val="009518C9"/>
    <w:rPr>
      <w:color w:val="003DA5" w:themeColor="hyperlink"/>
      <w:u w:val="single"/>
    </w:rPr>
  </w:style>
  <w:style w:type="character" w:styleId="UnresolvedMention">
    <w:name w:val="Unresolved Mention"/>
    <w:basedOn w:val="DefaultParagraphFont"/>
    <w:uiPriority w:val="99"/>
    <w:semiHidden/>
    <w:unhideWhenUsed/>
    <w:rsid w:val="009518C9"/>
    <w:rPr>
      <w:color w:val="605E5C"/>
      <w:shd w:val="clear" w:color="auto" w:fill="E1DFDD"/>
    </w:rPr>
  </w:style>
  <w:style w:type="paragraph" w:customStyle="1" w:styleId="paragraph">
    <w:name w:val="paragraph"/>
    <w:basedOn w:val="Normal"/>
    <w:rsid w:val="009518C9"/>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303FB0"/>
    <w:rPr>
      <w:rFonts w:ascii="Times New Roman" w:hAnsi="Times New Roman" w:eastAsiaTheme="majorEastAsia" w:cstheme="majorBidi"/>
      <w:b/>
      <w:bCs/>
      <w:color w:val="071D49" w:themeColor="accent2"/>
    </w:rPr>
  </w:style>
  <w:style w:type="paragraph" w:styleId="Title">
    <w:name w:val="Title"/>
    <w:basedOn w:val="Normal"/>
    <w:next w:val="Normal"/>
    <w:link w:val="TitleChar"/>
    <w:uiPriority w:val="10"/>
    <w:qFormat/>
    <w:rsid w:val="0087051E"/>
    <w:pPr>
      <w:spacing w:after="480" w:line="700" w:lineRule="exact"/>
      <w:contextualSpacing/>
    </w:pPr>
    <w:rPr>
      <w:rFonts w:eastAsiaTheme="majorEastAsia" w:cs="Times New Roman"/>
      <w:b/>
      <w:bCs/>
      <w:color w:val="1F497D"/>
      <w:spacing w:val="-10"/>
      <w:kern w:val="28"/>
      <w:sz w:val="48"/>
      <w:szCs w:val="48"/>
    </w:rPr>
  </w:style>
  <w:style w:type="character" w:customStyle="1" w:styleId="TitleChar">
    <w:name w:val="Title Char"/>
    <w:basedOn w:val="DefaultParagraphFont"/>
    <w:link w:val="Title"/>
    <w:uiPriority w:val="10"/>
    <w:rsid w:val="0087051E"/>
    <w:rPr>
      <w:rFonts w:ascii="Times New Roman" w:hAnsi="Times New Roman" w:eastAsiaTheme="majorEastAsia" w:cs="Times New Roman"/>
      <w:b/>
      <w:bCs/>
      <w:color w:val="1F497D"/>
      <w:spacing w:val="-10"/>
      <w:kern w:val="28"/>
      <w:sz w:val="48"/>
      <w:szCs w:val="48"/>
    </w:rPr>
  </w:style>
  <w:style w:type="paragraph" w:styleId="BodyText">
    <w:name w:val="Body Text"/>
    <w:basedOn w:val="Normal"/>
    <w:link w:val="BodyTextChar"/>
    <w:qFormat/>
    <w:rsid w:val="00636448"/>
    <w:pPr>
      <w:spacing w:before="240" w:after="0" w:line="240" w:lineRule="auto"/>
    </w:pPr>
    <w:rPr>
      <w:rFonts w:eastAsia="Times New Roman" w:cs="Times New Roman"/>
      <w:sz w:val="24"/>
      <w:szCs w:val="24"/>
    </w:rPr>
  </w:style>
  <w:style w:type="character" w:customStyle="1" w:styleId="BodyTextChar">
    <w:name w:val="Body Text Char"/>
    <w:basedOn w:val="DefaultParagraphFont"/>
    <w:link w:val="BodyText"/>
    <w:rsid w:val="00636448"/>
    <w:rPr>
      <w:rFonts w:ascii="Times New Roman" w:eastAsia="Times New Roman" w:hAnsi="Times New Roman" w:cs="Times New Roman"/>
      <w:sz w:val="24"/>
      <w:szCs w:val="24"/>
    </w:rPr>
  </w:style>
  <w:style w:type="character" w:customStyle="1" w:styleId="normaltextrun">
    <w:name w:val="normaltextrun"/>
    <w:basedOn w:val="DefaultParagraphFont"/>
    <w:rsid w:val="00AB6D46"/>
  </w:style>
  <w:style w:type="character" w:customStyle="1" w:styleId="eop">
    <w:name w:val="eop"/>
    <w:basedOn w:val="DefaultParagraphFont"/>
    <w:rsid w:val="00AB6D46"/>
  </w:style>
  <w:style w:type="paragraph" w:customStyle="1" w:styleId="RebidBodyText">
    <w:name w:val="Rebid Body Text"/>
    <w:basedOn w:val="Normal"/>
    <w:link w:val="RebidBodyTextChar"/>
    <w:qFormat/>
    <w:rsid w:val="00C97C9D"/>
    <w:pPr>
      <w:spacing w:after="0" w:line="480" w:lineRule="auto"/>
      <w:ind w:firstLine="360"/>
    </w:pPr>
    <w:rPr>
      <w:rFonts w:ascii="Garamond" w:eastAsia="Garamond" w:hAnsi="Garamond" w:cs="Garamond"/>
      <w:sz w:val="24"/>
      <w:szCs w:val="24"/>
    </w:rPr>
  </w:style>
  <w:style w:type="character" w:customStyle="1" w:styleId="RebidBodyTextChar">
    <w:name w:val="Rebid Body Text Char"/>
    <w:basedOn w:val="DefaultParagraphFont"/>
    <w:link w:val="RebidBodyText"/>
    <w:rsid w:val="00C97C9D"/>
    <w:rPr>
      <w:rFonts w:ascii="Garamond" w:eastAsia="Garamond" w:hAnsi="Garamond" w:cs="Garamond"/>
      <w:sz w:val="24"/>
      <w:szCs w:val="24"/>
    </w:rPr>
  </w:style>
  <w:style w:type="paragraph" w:styleId="Revision">
    <w:name w:val="Revision"/>
    <w:hidden/>
    <w:uiPriority w:val="99"/>
    <w:semiHidden/>
    <w:rsid w:val="008500D7"/>
    <w:pPr>
      <w:spacing w:after="0" w:line="240" w:lineRule="auto"/>
    </w:pPr>
    <w:rPr>
      <w:rFonts w:ascii="Times New Roman" w:hAnsi="Times New Roman"/>
    </w:rPr>
  </w:style>
  <w:style w:type="paragraph" w:styleId="TOCHeading">
    <w:name w:val="TOC Heading"/>
    <w:basedOn w:val="Heading1"/>
    <w:next w:val="Normal"/>
    <w:uiPriority w:val="39"/>
    <w:unhideWhenUsed/>
    <w:qFormat/>
    <w:rsid w:val="004648B6"/>
    <w:pPr>
      <w:keepNext/>
      <w:keepLines/>
      <w:spacing w:before="240" w:after="0" w:line="259" w:lineRule="auto"/>
      <w:outlineLvl w:val="9"/>
    </w:pPr>
    <w:rPr>
      <w:rFonts w:asciiTheme="majorHAnsi" w:eastAsiaTheme="majorEastAsia" w:hAnsiTheme="majorHAnsi" w:cstheme="majorBidi"/>
      <w:b w:val="0"/>
      <w:bCs w:val="0"/>
      <w:color w:val="701423" w:themeColor="accent1" w:themeShade="BF"/>
      <w:sz w:val="32"/>
      <w:szCs w:val="32"/>
    </w:rPr>
  </w:style>
  <w:style w:type="paragraph" w:styleId="TOC1">
    <w:name w:val="toc 1"/>
    <w:basedOn w:val="Normal"/>
    <w:next w:val="Normal"/>
    <w:autoRedefine/>
    <w:uiPriority w:val="39"/>
    <w:unhideWhenUsed/>
    <w:rsid w:val="004648B6"/>
    <w:pPr>
      <w:spacing w:after="100"/>
    </w:pPr>
  </w:style>
  <w:style w:type="paragraph" w:styleId="TOC2">
    <w:name w:val="toc 2"/>
    <w:basedOn w:val="Normal"/>
    <w:next w:val="Normal"/>
    <w:autoRedefine/>
    <w:uiPriority w:val="39"/>
    <w:unhideWhenUsed/>
    <w:rsid w:val="004648B6"/>
    <w:pPr>
      <w:spacing w:after="100"/>
      <w:ind w:left="220"/>
    </w:pPr>
  </w:style>
  <w:style w:type="character" w:styleId="Mention">
    <w:name w:val="Mention"/>
    <w:basedOn w:val="DefaultParagraphFont"/>
    <w:uiPriority w:val="99"/>
    <w:unhideWhenUsed/>
    <w:rsid w:val="00AB63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ies.ed.gov/ncee/wwc/publications_reviews.aspx" TargetMode="External" /><Relationship Id="rId12" Type="http://schemas.openxmlformats.org/officeDocument/2006/relationships/hyperlink" Target="https://portal.ct.gov/-/media/SDE/Performance/Research-Library/EL-DEMOGRAPHICS-10012020.pdf" TargetMode="External" /><Relationship Id="rId13" Type="http://schemas.openxmlformats.org/officeDocument/2006/relationships/hyperlink" Target="https://edsight.ct.gov/SASStoredProcess/guest?_program=%2FCTDOE%2FEdSight%2FRelease%2FReporting%2FPublic%2FReports%2FStoredProcesses%2FConnecticutReportCard&amp;_district=State%20of%20Connecticut&amp;_select=Submit" TargetMode="External" /><Relationship Id="rId14" Type="http://schemas.openxmlformats.org/officeDocument/2006/relationships/hyperlink" Target="https://eric.ed.gov/?id=EJ1295914" TargetMode="External" /><Relationship Id="rId15" Type="http://schemas.openxmlformats.org/officeDocument/2006/relationships/hyperlink" Target="https://ell.stanford.edu/sites/default/files/Moschkovich%20JUME%202013_0.pdf" TargetMode="External" /><Relationship Id="rId16" Type="http://schemas.openxmlformats.org/officeDocument/2006/relationships/hyperlink" Target="http://www.corestandards.org/assets/CCSSI_Math%20Standards.pdf" TargetMode="External" /><Relationship Id="rId17" Type="http://schemas.openxmlformats.org/officeDocument/2006/relationships/hyperlink" Target="http://ies.ed.gov/ncee/wwc/publications_reviews.aspx%23pubsearch/"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theme/theme1.xml><?xml version="1.0" encoding="utf-8"?>
<a:theme xmlns:a="http://schemas.openxmlformats.org/drawingml/2006/main" name="IES_2020">
  <a:themeElements>
    <a:clrScheme name="Custom 3">
      <a:dk1>
        <a:sysClr val="windowText" lastClr="000000"/>
      </a:dk1>
      <a:lt1>
        <a:sysClr val="window" lastClr="FFFFFF"/>
      </a:lt1>
      <a:dk2>
        <a:srgbClr val="576F7F"/>
      </a:dk2>
      <a:lt2>
        <a:srgbClr val="FBB03B"/>
      </a:lt2>
      <a:accent1>
        <a:srgbClr val="971B2F"/>
      </a:accent1>
      <a:accent2>
        <a:srgbClr val="071D49"/>
      </a:accent2>
      <a:accent3>
        <a:srgbClr val="D5CB9F"/>
      </a:accent3>
      <a:accent4>
        <a:srgbClr val="489FDF"/>
      </a:accent4>
      <a:accent5>
        <a:srgbClr val="B4875E"/>
      </a:accent5>
      <a:accent6>
        <a:srgbClr val="009A44"/>
      </a:accent6>
      <a:hlink>
        <a:srgbClr val="003DA5"/>
      </a:hlink>
      <a:folHlink>
        <a:srgbClr val="8432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L-NEI_Document_Template" ma:contentTypeID="0x01010044EF38B95E945E42AF68A52D956FB2460076E0F7804F607845ABDB244ED2472AF9" ma:contentTypeVersion="5" ma:contentTypeDescription="Start with this template for all external-facing REL-NEI documents" ma:contentTypeScope="" ma:versionID="321d9ffc6019ffd1deef5766e7fa82e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DCE2-9E54-45AE-87A6-C1D061FB3725}">
  <ds:schemaRefs>
    <ds:schemaRef ds:uri="http://schemas.microsoft.com/sharepoint/v3/contenttype/forms"/>
  </ds:schemaRefs>
</ds:datastoreItem>
</file>

<file path=customXml/itemProps2.xml><?xml version="1.0" encoding="utf-8"?>
<ds:datastoreItem xmlns:ds="http://schemas.openxmlformats.org/officeDocument/2006/customXml" ds:itemID="{A4D51A00-82BF-46BC-A983-DBB42FB1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27E598-7CC1-47B1-970F-3A30434E5C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501ED5-F78F-4E59-9BCD-8C06FD7E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7234</Words>
  <Characters>41238</Characters>
  <Application>Microsoft Office Word</Application>
  <DocSecurity>0</DocSecurity>
  <Lines>343</Lines>
  <Paragraphs>96</Paragraphs>
  <ScaleCrop>false</ScaleCrop>
  <Company/>
  <LinksUpToDate>false</LinksUpToDate>
  <CharactersWithSpaces>48376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D'Amelio</dc:creator>
  <cp:lastModifiedBy>Sands, Janelle</cp:lastModifiedBy>
  <cp:revision>2</cp:revision>
  <dcterms:created xsi:type="dcterms:W3CDTF">2023-09-28T16:44:00Z</dcterms:created>
  <dcterms:modified xsi:type="dcterms:W3CDTF">2023-09-28T16:44:00Z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0x01010044EF38B95E945E42AF68A52D956FB2460076E0F7804F607845ABDB244ED2472AF9</vt:lpwstr>
  </property>
  <property fmtid="{D5CDD505-2E9C-101B-9397-08002B2CF9AE}" pid="4" name="MediaServiceImageTags">
    <vt:lpwstr/>
  </property>
  <property fmtid="{D5CDD505-2E9C-101B-9397-08002B2CF9AE}" pid="5" name="Order">
    <vt:r8>70500</vt:r8>
  </property>
  <property fmtid="{D5CDD505-2E9C-101B-9397-08002B2CF9AE}" pid="6" name="SharedWithUsers">
    <vt:lpwstr>23;#NT AUTHORITY\authenticated users</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&lt;div class="ExternalClass51734F81F32E420F9D5F3629BC3BE077"&gt;Start with this template for all external-facing REL-NEI documents&lt;/div&gt;</vt:lpwstr>
  </property>
</Properties>
</file>