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772C5" w:rsidRPr="004772C5" w:rsidP="004772C5" w14:paraId="5A9EF9E2" w14:textId="3DCBB51D">
      <w:pPr>
        <w:spacing w:after="100" w:afterAutospacing="1"/>
        <w:jc w:val="center"/>
        <w:rPr>
          <w:b/>
          <w:bCs/>
        </w:rPr>
      </w:pPr>
      <w:r>
        <w:rPr>
          <w:b/>
          <w:bCs/>
        </w:rPr>
        <w:t xml:space="preserve">Supporting Statement </w:t>
      </w:r>
      <w:r w:rsidRPr="004772C5">
        <w:rPr>
          <w:b/>
          <w:bCs/>
        </w:rPr>
        <w:t xml:space="preserve">for </w:t>
      </w:r>
      <w:r w:rsidRPr="006B4EA2" w:rsidR="006B4EA2">
        <w:rPr>
          <w:b/>
          <w:bCs/>
        </w:rPr>
        <w:t>Renewable Fuel Standard (RFS) Program: Standards for 2023-2025 and Other Changes (Proposed Rule)</w:t>
      </w:r>
    </w:p>
    <w:p w:rsidR="00590EB4" w:rsidP="00590EB4" w14:paraId="7F380508" w14:textId="77777777">
      <w:pPr>
        <w:outlineLvl w:val="0"/>
        <w:rPr>
          <w:b/>
        </w:rPr>
      </w:pPr>
      <w:r>
        <w:rPr>
          <w:b/>
        </w:rPr>
        <w:t>1.</w:t>
      </w:r>
      <w:r>
        <w:rPr>
          <w:b/>
        </w:rPr>
        <w:tab/>
      </w:r>
      <w:r>
        <w:rPr>
          <w:b/>
          <w:u w:val="single"/>
        </w:rPr>
        <w:t>Identification of the Information Collection</w:t>
      </w:r>
    </w:p>
    <w:p w:rsidR="00590EB4" w:rsidP="00590EB4" w14:paraId="2325FD98" w14:textId="77777777">
      <w:pPr>
        <w:rPr>
          <w:b/>
        </w:rPr>
      </w:pPr>
    </w:p>
    <w:p w:rsidR="00590EB4" w:rsidP="00590EB4" w14:paraId="037E6319" w14:textId="77777777">
      <w:pPr>
        <w:ind w:firstLine="720"/>
        <w:outlineLvl w:val="1"/>
        <w:rPr>
          <w:b/>
        </w:rPr>
      </w:pPr>
      <w:r>
        <w:rPr>
          <w:b/>
        </w:rPr>
        <w:t>1(a)</w:t>
      </w:r>
      <w:r>
        <w:rPr>
          <w:b/>
        </w:rPr>
        <w:tab/>
        <w:t>Title of the Information Collection</w:t>
      </w:r>
    </w:p>
    <w:p w:rsidR="00590EB4" w:rsidP="00590EB4" w14:paraId="22AC765F" w14:textId="77777777">
      <w:pPr>
        <w:ind w:firstLine="720"/>
      </w:pPr>
    </w:p>
    <w:p w:rsidR="00590EB4" w:rsidP="00590EB4" w14:paraId="4D45EE81" w14:textId="127ADE08">
      <w:pPr>
        <w:ind w:firstLine="720"/>
      </w:pPr>
      <w:r w:rsidRPr="006B4EA2">
        <w:t>Renewable Fuel Standard (RFS) Program: Standards for 2023-2025 and Other Changes (Proposed Rule)</w:t>
      </w:r>
      <w:r w:rsidR="00306CDD">
        <w:t xml:space="preserve">, </w:t>
      </w:r>
      <w:r>
        <w:t xml:space="preserve">EPA ICR No. </w:t>
      </w:r>
      <w:r w:rsidR="00CC2062">
        <w:rPr>
          <w:rFonts w:cs="Times New Roman"/>
          <w:color w:val="000000" w:themeColor="text1"/>
        </w:rPr>
        <w:t>2</w:t>
      </w:r>
      <w:r>
        <w:rPr>
          <w:rFonts w:cs="Times New Roman"/>
          <w:color w:val="000000" w:themeColor="text1"/>
        </w:rPr>
        <w:t>722</w:t>
      </w:r>
      <w:r>
        <w:rPr>
          <w:rFonts w:cs="Times New Roman"/>
          <w:color w:val="000000" w:themeColor="text1"/>
        </w:rPr>
        <w:t>.0</w:t>
      </w:r>
      <w:r>
        <w:rPr>
          <w:rFonts w:cs="Times New Roman"/>
          <w:color w:val="000000" w:themeColor="text1"/>
        </w:rPr>
        <w:t>1</w:t>
      </w:r>
      <w:r>
        <w:t>, OMB Control Number 2060-NEW.</w:t>
      </w:r>
    </w:p>
    <w:p w:rsidR="00590EB4" w:rsidP="00590EB4" w14:paraId="0EDBBC75" w14:textId="77777777">
      <w:pPr>
        <w:ind w:firstLine="720"/>
      </w:pPr>
      <w:r>
        <w:t xml:space="preserve"> </w:t>
      </w:r>
    </w:p>
    <w:p w:rsidR="2A1646D5" w:rsidP="004772C5" w14:paraId="79D6A582" w14:textId="54A961CD">
      <w:pPr>
        <w:spacing w:after="100" w:afterAutospacing="1"/>
        <w:ind w:firstLine="720"/>
        <w:rPr>
          <w:rFonts w:eastAsia="Calibri" w:cs="Arial"/>
          <w:b/>
          <w:bCs/>
          <w:szCs w:val="24"/>
        </w:rPr>
      </w:pPr>
      <w:r w:rsidRPr="2A1646D5">
        <w:rPr>
          <w:b/>
          <w:bCs/>
        </w:rPr>
        <w:t>1(b)</w:t>
      </w:r>
      <w:r>
        <w:tab/>
      </w:r>
      <w:r w:rsidRPr="2A1646D5">
        <w:rPr>
          <w:b/>
          <w:bCs/>
        </w:rPr>
        <w:t>Short characterization:</w:t>
      </w:r>
      <w:r w:rsidRPr="2A1646D5" w:rsidR="00475142">
        <w:rPr>
          <w:b/>
          <w:bCs/>
        </w:rPr>
        <w:t xml:space="preserve"> </w:t>
      </w:r>
    </w:p>
    <w:p w:rsidR="004772C5" w:rsidP="00FA005F" w14:paraId="7B33F383" w14:textId="12AD2595">
      <w:pPr>
        <w:tabs>
          <w:tab w:val="left" w:pos="6840"/>
        </w:tabs>
        <w:spacing w:after="100" w:afterAutospacing="1"/>
        <w:ind w:firstLine="720"/>
      </w:pPr>
      <w:r>
        <w:t xml:space="preserve">This </w:t>
      </w:r>
      <w:r w:rsidR="00F44157">
        <w:t xml:space="preserve">ICR is for a </w:t>
      </w:r>
      <w:r w:rsidR="006B4EA2">
        <w:t xml:space="preserve">proposed rule </w:t>
      </w:r>
      <w:r w:rsidR="00770A77">
        <w:t xml:space="preserve">that describes how </w:t>
      </w:r>
      <w:r w:rsidR="00035B23">
        <w:t xml:space="preserve">RINs </w:t>
      </w:r>
      <w:r w:rsidR="00ED52B1">
        <w:t>from biogas</w:t>
      </w:r>
      <w:r w:rsidR="00BB6FCC">
        <w:t>-derived</w:t>
      </w:r>
      <w:r w:rsidR="00ED52B1">
        <w:t xml:space="preserve"> renewable fuels </w:t>
      </w:r>
      <w:r w:rsidR="00AF74EF">
        <w:t xml:space="preserve">may be generated </w:t>
      </w:r>
      <w:r w:rsidRPr="00FA005F" w:rsidR="00FA005F">
        <w:t xml:space="preserve">under the RFS program. </w:t>
      </w:r>
      <w:r w:rsidR="00AF74EF">
        <w:t>The biogas</w:t>
      </w:r>
      <w:r w:rsidR="00BB6FCC">
        <w:t>-derived</w:t>
      </w:r>
      <w:r w:rsidR="00AF74EF">
        <w:t xml:space="preserve"> renewable fuels </w:t>
      </w:r>
      <w:r w:rsidR="00C27EE9">
        <w:t>include</w:t>
      </w:r>
      <w:r w:rsidR="00C667C2">
        <w:t xml:space="preserve">d in this proposal </w:t>
      </w:r>
      <w:r w:rsidR="0073065F">
        <w:t>are</w:t>
      </w:r>
      <w:r w:rsidR="00C27EE9">
        <w:t xml:space="preserve"> renewable compressed natural gas</w:t>
      </w:r>
      <w:r w:rsidR="00322124">
        <w:t xml:space="preserve"> (CNG)</w:t>
      </w:r>
      <w:r w:rsidR="00C27EE9">
        <w:t>, renewable liquified natural gas</w:t>
      </w:r>
      <w:r w:rsidR="00322124">
        <w:t xml:space="preserve"> (LNG)</w:t>
      </w:r>
      <w:r w:rsidR="00C27EE9">
        <w:t xml:space="preserve">, </w:t>
      </w:r>
      <w:r w:rsidR="00C667C2">
        <w:t>and renewable electricity</w:t>
      </w:r>
      <w:r w:rsidR="00AC171B">
        <w:t xml:space="preserve">. </w:t>
      </w:r>
      <w:r w:rsidRPr="00FA005F" w:rsidR="00FA005F">
        <w:t xml:space="preserve">The regulations we propose address which parties can generate </w:t>
      </w:r>
      <w:r w:rsidR="00F3281D">
        <w:t>RIN</w:t>
      </w:r>
      <w:r w:rsidRPr="00FA005F" w:rsidR="00FA005F">
        <w:t xml:space="preserve">s, </w:t>
      </w:r>
      <w:r w:rsidR="00931095">
        <w:t xml:space="preserve">the </w:t>
      </w:r>
      <w:r w:rsidRPr="00FA005F" w:rsidR="00FA005F">
        <w:t xml:space="preserve">prevention of double-counting, and </w:t>
      </w:r>
      <w:r w:rsidR="00931095">
        <w:t xml:space="preserve">the </w:t>
      </w:r>
      <w:r w:rsidRPr="00FA005F" w:rsidR="00FA005F">
        <w:t xml:space="preserve">data requirements for valid </w:t>
      </w:r>
      <w:r w:rsidR="00F3281D">
        <w:t>RIN</w:t>
      </w:r>
      <w:r w:rsidRPr="00FA005F" w:rsidR="00FA005F">
        <w:t xml:space="preserve"> generation. The proposed changes are intended to provide clarity on how </w:t>
      </w:r>
      <w:r w:rsidR="00931095">
        <w:t xml:space="preserve">renewable </w:t>
      </w:r>
      <w:r w:rsidRPr="00FA005F" w:rsidR="00FA005F">
        <w:t>electricity</w:t>
      </w:r>
      <w:r w:rsidR="00931095">
        <w:t xml:space="preserve"> produced from biogas</w:t>
      </w:r>
      <w:r w:rsidRPr="00FA005F" w:rsidR="00FA005F">
        <w:t xml:space="preserve"> would be incorporated into the RFS so that the existing RIN-generating pathway c</w:t>
      </w:r>
      <w:r w:rsidR="00931095">
        <w:t>ould</w:t>
      </w:r>
      <w:r w:rsidRPr="00FA005F" w:rsidR="00FA005F">
        <w:t xml:space="preserve"> be effectively utilized in a manner that ensures RINs are generated </w:t>
      </w:r>
      <w:r w:rsidR="00931095">
        <w:t xml:space="preserve">consistent with </w:t>
      </w:r>
      <w:r w:rsidR="00C75EB9">
        <w:t>RFS regulatory requirements</w:t>
      </w:r>
      <w:r w:rsidRPr="00FA005F" w:rsidR="00FA005F">
        <w:t xml:space="preserve">.  </w:t>
      </w:r>
    </w:p>
    <w:p w:rsidR="00D5203B" w:rsidRPr="002C4DA7" w:rsidP="00FA005F" w14:paraId="4B7A3CC3" w14:textId="5CEDC7F8">
      <w:pPr>
        <w:tabs>
          <w:tab w:val="left" w:pos="6840"/>
        </w:tabs>
        <w:spacing w:after="100" w:afterAutospacing="1"/>
        <w:ind w:firstLine="720"/>
      </w:pPr>
      <w:r>
        <w:t>Specifically related to this information collection request, we</w:t>
      </w:r>
      <w:r w:rsidRPr="00D5203B">
        <w:t xml:space="preserve"> are proposing compliance provisions necessary to ensure that the production, distribution, and use of biogas, renewable electricity, and </w:t>
      </w:r>
      <w:r w:rsidR="00F3281D">
        <w:t>RIN</w:t>
      </w:r>
      <w:r w:rsidRPr="00D5203B">
        <w:t xml:space="preserve">s are consistent with Clean Air Act requirements under the RFS program. These proposed compliance provisions include registration, reporting, </w:t>
      </w:r>
      <w:r>
        <w:t xml:space="preserve">product transfer </w:t>
      </w:r>
      <w:r w:rsidR="00B77DFA">
        <w:t>d</w:t>
      </w:r>
      <w:r>
        <w:t>ocuments (</w:t>
      </w:r>
      <w:r w:rsidRPr="00D5203B">
        <w:t>PTDs</w:t>
      </w:r>
      <w:r>
        <w:t>)</w:t>
      </w:r>
      <w:r w:rsidRPr="00D5203B">
        <w:t xml:space="preserve">, and recordkeeping requirements. </w:t>
      </w:r>
    </w:p>
    <w:p w:rsidR="003166C3" w:rsidP="003166C3" w14:paraId="61101129" w14:textId="77777777">
      <w:pPr>
        <w:pStyle w:val="Standard"/>
        <w:outlineLvl w:val="0"/>
        <w:rPr>
          <w:b/>
          <w:u w:val="single"/>
        </w:rPr>
      </w:pPr>
      <w:r>
        <w:rPr>
          <w:b/>
        </w:rPr>
        <w:t>2.</w:t>
      </w:r>
      <w:r>
        <w:rPr>
          <w:b/>
        </w:rPr>
        <w:tab/>
      </w:r>
      <w:r>
        <w:rPr>
          <w:b/>
          <w:u w:val="single"/>
        </w:rPr>
        <w:t>Need For, and Use of, the Collection</w:t>
      </w:r>
    </w:p>
    <w:p w:rsidR="003166C3" w:rsidP="003166C3" w14:paraId="406F2F55" w14:textId="77777777">
      <w:pPr>
        <w:pStyle w:val="Standard"/>
        <w:ind w:firstLine="720"/>
        <w:rPr>
          <w:b/>
          <w:u w:val="single"/>
        </w:rPr>
      </w:pPr>
    </w:p>
    <w:p w:rsidR="003166C3" w:rsidP="003166C3" w14:paraId="047796C4" w14:textId="77777777">
      <w:pPr>
        <w:pStyle w:val="Standard"/>
        <w:ind w:firstLine="720"/>
        <w:outlineLvl w:val="1"/>
        <w:rPr>
          <w:b/>
        </w:rPr>
      </w:pPr>
      <w:r>
        <w:rPr>
          <w:b/>
        </w:rPr>
        <w:t>2(a)</w:t>
      </w:r>
      <w:r>
        <w:rPr>
          <w:b/>
        </w:rPr>
        <w:tab/>
        <w:t>Authority for the Collection</w:t>
      </w:r>
    </w:p>
    <w:p w:rsidR="003166C3" w:rsidP="003166C3" w14:paraId="7ADF8A3B" w14:textId="77777777">
      <w:pPr>
        <w:pStyle w:val="Standard"/>
        <w:ind w:left="720"/>
      </w:pPr>
    </w:p>
    <w:p w:rsidR="003166C3" w:rsidP="003166C3" w14:paraId="6CC70001" w14:textId="51071238">
      <w:pPr>
        <w:pStyle w:val="Standard"/>
        <w:ind w:firstLine="720"/>
      </w:pPr>
      <w:r>
        <w:t xml:space="preserve">Sections 114 and 208 of the </w:t>
      </w:r>
      <w:r w:rsidR="00475142">
        <w:t>Clean Air Act (</w:t>
      </w:r>
      <w:r>
        <w:t>CAA</w:t>
      </w:r>
      <w:r w:rsidR="00475142">
        <w:t>)</w:t>
      </w:r>
      <w:r>
        <w:t>, 42 U.S.C. §§ 7414 and 7542, authorize EPA to require recordkeeping and reporting regarding enforcement of the provisions of Title II of the CAA.</w:t>
      </w:r>
    </w:p>
    <w:p w:rsidR="003166C3" w:rsidP="003166C3" w14:paraId="295808E5" w14:textId="77777777">
      <w:pPr>
        <w:pStyle w:val="Standard"/>
        <w:ind w:firstLine="720"/>
      </w:pPr>
    </w:p>
    <w:p w:rsidR="003166C3" w:rsidP="003166C3" w14:paraId="315A0DA3" w14:textId="77777777">
      <w:pPr>
        <w:pStyle w:val="Standard"/>
        <w:ind w:firstLine="720"/>
        <w:outlineLvl w:val="1"/>
        <w:rPr>
          <w:b/>
        </w:rPr>
      </w:pPr>
      <w:r>
        <w:rPr>
          <w:b/>
        </w:rPr>
        <w:t>2(b)</w:t>
      </w:r>
      <w:r>
        <w:rPr>
          <w:b/>
        </w:rPr>
        <w:tab/>
        <w:t>Practical Utility/Uses of the Data</w:t>
      </w:r>
    </w:p>
    <w:p w:rsidR="003166C3" w:rsidP="003166C3" w14:paraId="66C9F4E3" w14:textId="77777777">
      <w:pPr>
        <w:pStyle w:val="Standard"/>
        <w:ind w:firstLine="720"/>
      </w:pPr>
    </w:p>
    <w:p w:rsidR="003166C3" w:rsidP="003166C3" w14:paraId="6CC49E06" w14:textId="4BACF05B">
      <w:pPr>
        <w:pStyle w:val="Standard"/>
        <w:ind w:firstLine="720"/>
      </w:pPr>
      <w:bookmarkStart w:id="0" w:name="_Hlk73611395"/>
      <w:r>
        <w:t xml:space="preserve">The recordkeeping and reporting requirements of this regulation </w:t>
      </w:r>
      <w:r w:rsidR="004D46B5">
        <w:t xml:space="preserve">will </w:t>
      </w:r>
      <w:r>
        <w:t xml:space="preserve">allow EPA to monitor compliance </w:t>
      </w:r>
      <w:r w:rsidR="005A70E0">
        <w:t>under the RFS program</w:t>
      </w:r>
      <w:r>
        <w:t>.</w:t>
      </w:r>
      <w:r w:rsidR="00E11823">
        <w:t xml:space="preserve"> </w:t>
      </w:r>
    </w:p>
    <w:bookmarkEnd w:id="0"/>
    <w:p w:rsidR="003166C3" w:rsidP="003166C3" w14:paraId="4DEF4C28" w14:textId="77777777">
      <w:pPr>
        <w:ind w:firstLine="720"/>
      </w:pPr>
    </w:p>
    <w:p w:rsidR="003166C3" w:rsidP="003166C3" w14:paraId="70497DA9" w14:textId="77777777">
      <w:pPr>
        <w:pStyle w:val="Standard"/>
        <w:outlineLvl w:val="0"/>
        <w:rPr>
          <w:b/>
        </w:rPr>
      </w:pPr>
      <w:r>
        <w:rPr>
          <w:b/>
        </w:rPr>
        <w:t>3.</w:t>
      </w:r>
      <w:r>
        <w:rPr>
          <w:b/>
        </w:rPr>
        <w:tab/>
      </w:r>
      <w:r>
        <w:rPr>
          <w:b/>
          <w:u w:val="single"/>
        </w:rPr>
        <w:t>Non-duplication, Consultation, and other Collection Criteria</w:t>
      </w:r>
    </w:p>
    <w:p w:rsidR="003166C3" w:rsidP="003166C3" w14:paraId="4E66A226" w14:textId="77777777">
      <w:pPr>
        <w:pStyle w:val="Standard"/>
        <w:ind w:firstLine="720"/>
        <w:rPr>
          <w:b/>
          <w:u w:val="single"/>
        </w:rPr>
      </w:pPr>
    </w:p>
    <w:p w:rsidR="003166C3" w:rsidP="003166C3" w14:paraId="5267590E" w14:textId="77777777">
      <w:pPr>
        <w:pStyle w:val="Standard"/>
        <w:ind w:firstLine="720"/>
        <w:outlineLvl w:val="1"/>
        <w:rPr>
          <w:b/>
        </w:rPr>
      </w:pPr>
      <w:r>
        <w:rPr>
          <w:b/>
        </w:rPr>
        <w:t>3(a)</w:t>
      </w:r>
      <w:r>
        <w:rPr>
          <w:b/>
        </w:rPr>
        <w:tab/>
        <w:t>Non-duplication</w:t>
      </w:r>
    </w:p>
    <w:p w:rsidR="003166C3" w:rsidP="003166C3" w14:paraId="61D05257" w14:textId="77777777">
      <w:pPr>
        <w:pStyle w:val="Standard"/>
        <w:ind w:firstLine="720"/>
      </w:pPr>
    </w:p>
    <w:p w:rsidR="003166C3" w:rsidP="003166C3" w14:paraId="0FF3AECC" w14:textId="4157B35A">
      <w:pPr>
        <w:pStyle w:val="Standard"/>
        <w:ind w:firstLine="720"/>
      </w:pPr>
      <w:r>
        <w:t>Efforts have been made to eliminate duplication in this information collection</w:t>
      </w:r>
      <w:r w:rsidR="001D76AF">
        <w:t xml:space="preserve"> and </w:t>
      </w:r>
      <w:r w:rsidR="00836953">
        <w:t xml:space="preserve">EPA is only requesting information necessary </w:t>
      </w:r>
      <w:r w:rsidR="005243B2">
        <w:t>to</w:t>
      </w:r>
      <w:r w:rsidR="00836953">
        <w:t xml:space="preserve"> implement</w:t>
      </w:r>
      <w:r w:rsidR="00C663EC">
        <w:t xml:space="preserve"> the proposed rule</w:t>
      </w:r>
      <w:r w:rsidR="00FC7162">
        <w:t>.</w:t>
      </w:r>
      <w:r w:rsidR="00836953">
        <w:t xml:space="preserve"> We are not </w:t>
      </w:r>
      <w:r w:rsidR="00F34AB3">
        <w:t xml:space="preserve">seeking to collect </w:t>
      </w:r>
      <w:r w:rsidR="00836953">
        <w:t>information readily available to us in any other manner.</w:t>
      </w:r>
      <w:r w:rsidR="00FC7162">
        <w:t xml:space="preserve"> </w:t>
      </w:r>
      <w:r w:rsidR="003167D6">
        <w:t>The information requested is often claimed as confidential business information (CBI) by the submitter</w:t>
      </w:r>
      <w:r w:rsidR="00E603A5">
        <w:t xml:space="preserve"> and, as such, is not </w:t>
      </w:r>
      <w:r w:rsidR="007D3A7D">
        <w:t xml:space="preserve">readily or </w:t>
      </w:r>
      <w:r w:rsidR="00E603A5">
        <w:t>publicly available</w:t>
      </w:r>
      <w:r w:rsidR="007D3A7D">
        <w:t xml:space="preserve">. </w:t>
      </w:r>
    </w:p>
    <w:p w:rsidR="003166C3" w:rsidP="003166C3" w14:paraId="12857DC3" w14:textId="77777777">
      <w:pPr>
        <w:pStyle w:val="Standard"/>
        <w:ind w:firstLine="720"/>
      </w:pPr>
    </w:p>
    <w:p w:rsidR="003166C3" w:rsidP="003166C3" w14:paraId="2636576A" w14:textId="77777777">
      <w:pPr>
        <w:pStyle w:val="Standard"/>
        <w:ind w:firstLine="720"/>
        <w:outlineLvl w:val="1"/>
        <w:rPr>
          <w:b/>
        </w:rPr>
      </w:pPr>
      <w:r>
        <w:rPr>
          <w:b/>
        </w:rPr>
        <w:t>3(b)</w:t>
      </w:r>
      <w:r>
        <w:rPr>
          <w:b/>
        </w:rPr>
        <w:tab/>
        <w:t>Public Notice</w:t>
      </w:r>
    </w:p>
    <w:p w:rsidR="003166C3" w:rsidP="003166C3" w14:paraId="0DC4527B" w14:textId="77777777">
      <w:pPr>
        <w:pStyle w:val="Standard"/>
        <w:ind w:firstLine="720"/>
      </w:pPr>
    </w:p>
    <w:p w:rsidR="003166C3" w:rsidP="003166C3" w14:paraId="3F9CEB69" w14:textId="5D987558">
      <w:pPr>
        <w:ind w:firstLine="720"/>
      </w:pPr>
      <w:r>
        <w:rPr>
          <w:color w:val="000000"/>
        </w:rPr>
        <w:t xml:space="preserve">This ICR accompanies a notice of proposed rulemaking. We are seeking comments on all aspects of the proposed rule, including the information collections associated with it. </w:t>
      </w:r>
      <w:r w:rsidR="00321EC9">
        <w:rPr>
          <w:color w:val="000000"/>
        </w:rPr>
        <w:t xml:space="preserve">Comments related to the design of the program, including recordkeeping and reporting </w:t>
      </w:r>
      <w:r>
        <w:rPr>
          <w:color w:val="000000"/>
        </w:rPr>
        <w:t xml:space="preserve">will be </w:t>
      </w:r>
      <w:r w:rsidR="00321EC9">
        <w:rPr>
          <w:color w:val="000000"/>
        </w:rPr>
        <w:t xml:space="preserve">addressed with the final rule. </w:t>
      </w:r>
    </w:p>
    <w:p w:rsidR="003166C3" w:rsidP="003166C3" w14:paraId="01FFF3DD" w14:textId="77777777">
      <w:pPr>
        <w:pStyle w:val="Standard"/>
        <w:ind w:firstLine="720"/>
      </w:pPr>
    </w:p>
    <w:p w:rsidR="003166C3" w:rsidP="003166C3" w14:paraId="533B1B28" w14:textId="77777777">
      <w:pPr>
        <w:pStyle w:val="Standard"/>
        <w:ind w:firstLine="720"/>
        <w:outlineLvl w:val="1"/>
        <w:rPr>
          <w:b/>
        </w:rPr>
      </w:pPr>
      <w:r>
        <w:rPr>
          <w:b/>
        </w:rPr>
        <w:t>3(c)</w:t>
      </w:r>
      <w:r>
        <w:rPr>
          <w:b/>
        </w:rPr>
        <w:tab/>
        <w:t>Consultations</w:t>
      </w:r>
    </w:p>
    <w:p w:rsidR="003166C3" w:rsidP="003166C3" w14:paraId="1D8DBE61" w14:textId="77777777">
      <w:pPr>
        <w:pStyle w:val="Standard"/>
        <w:ind w:firstLine="720"/>
      </w:pPr>
    </w:p>
    <w:p w:rsidR="003166C3" w:rsidP="003166C3" w14:paraId="1B628E32" w14:textId="1F7C079E">
      <w:pPr>
        <w:pStyle w:val="Standard"/>
        <w:ind w:firstLine="720"/>
      </w:pPr>
      <w:r>
        <w:t>We have drawn up</w:t>
      </w:r>
      <w:r w:rsidR="00404B0C">
        <w:t xml:space="preserve">on the sources cited in </w:t>
      </w:r>
      <w:r w:rsidR="00F05DC1">
        <w:t xml:space="preserve">Appendix A - Detailed Burden Estimates and </w:t>
      </w:r>
      <w:r>
        <w:t xml:space="preserve">our experience with RFS implementation and with similar fuels regulations to develop the estimates in this supporting statement. </w:t>
      </w:r>
      <w:r w:rsidR="33309203">
        <w:t xml:space="preserve">We encourage interested parties and those who may be respondents to this ICR to provide comment on these estimates. </w:t>
      </w:r>
    </w:p>
    <w:p w:rsidR="00C26B49" w:rsidP="003166C3" w14:paraId="28919A5E" w14:textId="77777777">
      <w:pPr>
        <w:pStyle w:val="Standard"/>
        <w:ind w:firstLine="720"/>
      </w:pPr>
    </w:p>
    <w:p w:rsidR="003166C3" w:rsidP="003166C3" w14:paraId="2EF5E324" w14:textId="77777777">
      <w:pPr>
        <w:pStyle w:val="Standard"/>
        <w:ind w:firstLine="720"/>
        <w:outlineLvl w:val="1"/>
        <w:rPr>
          <w:b/>
        </w:rPr>
      </w:pPr>
      <w:r>
        <w:rPr>
          <w:b/>
        </w:rPr>
        <w:t>3(d)</w:t>
      </w:r>
      <w:r>
        <w:rPr>
          <w:b/>
        </w:rPr>
        <w:tab/>
        <w:t>Effects of Less Frequent Data Collection</w:t>
      </w:r>
    </w:p>
    <w:p w:rsidR="003166C3" w:rsidP="003166C3" w14:paraId="2A17A0CA" w14:textId="77777777">
      <w:pPr>
        <w:pStyle w:val="Standard"/>
        <w:ind w:firstLine="720"/>
      </w:pPr>
    </w:p>
    <w:p w:rsidR="003166C3" w:rsidP="003166C3" w14:paraId="67802E83" w14:textId="5E72E01A">
      <w:pPr>
        <w:pStyle w:val="Standard"/>
        <w:ind w:firstLine="720"/>
      </w:pPr>
      <w:r>
        <w:t>We have designed the reporting schedule to coincide</w:t>
      </w:r>
      <w:r w:rsidR="004D3EBC">
        <w:t xml:space="preserve">, to the extent possible, </w:t>
      </w:r>
      <w:r>
        <w:t xml:space="preserve">with existing </w:t>
      </w:r>
      <w:r w:rsidR="00E43C8E">
        <w:t xml:space="preserve">RFS </w:t>
      </w:r>
      <w:r>
        <w:t xml:space="preserve">reporting deadlines applicable </w:t>
      </w:r>
      <w:r w:rsidR="00F74E32">
        <w:t xml:space="preserve">to all parties </w:t>
      </w:r>
      <w:r>
        <w:t xml:space="preserve">regulated under the RFS program. </w:t>
      </w:r>
      <w:r w:rsidR="00F74E32">
        <w:t xml:space="preserve">Compliance reporting is typically quarterly or annual. </w:t>
      </w:r>
      <w:r w:rsidR="004D3EBC">
        <w:t xml:space="preserve">Some proposed reporting is monthly. </w:t>
      </w:r>
      <w:r w:rsidR="00F74E32">
        <w:t>Reporting of transactions within EMTS are done on-occasion/as needed</w:t>
      </w:r>
      <w:r w:rsidR="00D21A53">
        <w:t xml:space="preserve"> to correspond to reportable activity (</w:t>
      </w:r>
      <w:r w:rsidR="008C683E">
        <w:t>e.g.,</w:t>
      </w:r>
      <w:r w:rsidR="00D21A53">
        <w:t xml:space="preserve"> generation of RINs)</w:t>
      </w:r>
      <w:r w:rsidR="00F74E32">
        <w:t>. Initial registration and setting up initial system access</w:t>
      </w:r>
      <w:r w:rsidR="00C75949">
        <w:t xml:space="preserve"> typically </w:t>
      </w:r>
      <w:r w:rsidR="005243B2">
        <w:t>are</w:t>
      </w:r>
      <w:r w:rsidR="00C75949">
        <w:t xml:space="preserve"> a one-time event</w:t>
      </w:r>
      <w:r w:rsidR="00F74E32">
        <w:t>; however, parties are responsible for updating their registrations on-occasion/as needed</w:t>
      </w:r>
      <w:r w:rsidR="00A7516B">
        <w:t xml:space="preserve"> (e.g., if they change their address or the activities they engage in under the program)</w:t>
      </w:r>
      <w:r w:rsidR="00F74E32">
        <w:t xml:space="preserve">. </w:t>
      </w:r>
      <w:r w:rsidR="004464CE">
        <w:t>Engineering</w:t>
      </w:r>
      <w:r w:rsidR="00F74E32">
        <w:t xml:space="preserve"> reviews are initially required and must be updated every three years. </w:t>
      </w:r>
      <w:r>
        <w:t>Less frequent collection of data would make it impossible to carry out the provisions of the CAA.</w:t>
      </w:r>
    </w:p>
    <w:p w:rsidR="003166C3" w:rsidP="003166C3" w14:paraId="3B853C38" w14:textId="77777777">
      <w:pPr>
        <w:pStyle w:val="Standard"/>
        <w:ind w:firstLine="720"/>
      </w:pPr>
    </w:p>
    <w:p w:rsidR="003166C3" w:rsidP="003166C3" w14:paraId="01640804" w14:textId="77777777">
      <w:pPr>
        <w:pStyle w:val="Standard"/>
        <w:ind w:firstLine="720"/>
        <w:outlineLvl w:val="1"/>
        <w:rPr>
          <w:b/>
        </w:rPr>
      </w:pPr>
      <w:r>
        <w:rPr>
          <w:b/>
        </w:rPr>
        <w:t>3(e)</w:t>
      </w:r>
      <w:r>
        <w:rPr>
          <w:b/>
        </w:rPr>
        <w:tab/>
        <w:t>General Guidelines</w:t>
      </w:r>
    </w:p>
    <w:p w:rsidR="003166C3" w:rsidP="003166C3" w14:paraId="7594227E" w14:textId="77777777">
      <w:pPr>
        <w:pStyle w:val="Standard"/>
        <w:ind w:firstLine="720"/>
      </w:pPr>
    </w:p>
    <w:p w:rsidR="003166C3" w:rsidP="003166C3" w14:paraId="4EFC3FF3" w14:textId="16208897">
      <w:pPr>
        <w:ind w:firstLine="720"/>
      </w:pPr>
      <w:r>
        <w:t xml:space="preserve">This information collection activity complies with 5 CFR 1320.6, except respondents </w:t>
      </w:r>
      <w:r w:rsidR="00E33D21">
        <w:t xml:space="preserve">are </w:t>
      </w:r>
      <w:r>
        <w:t xml:space="preserve">required to keep certain records for longer than three years. Specifically, parties would be required to keep product transfer documents (PTDs) and records related to </w:t>
      </w:r>
      <w:r w:rsidR="00E731FC">
        <w:t xml:space="preserve">their participation in the RFS program </w:t>
      </w:r>
      <w:r>
        <w:t xml:space="preserve">for five years, and parties would be required to keep their compliance records (e.g., copies of periodic reports) for five (5) years. Five years is the applicable statute of limitations for other EPA fuels programs. </w:t>
      </w:r>
      <w:r>
        <w:rPr>
          <w:i/>
          <w:iCs/>
        </w:rPr>
        <w:t>See</w:t>
      </w:r>
      <w:r>
        <w:t xml:space="preserve"> 28 U.S.C. 2462. Many records such as PTDs (e.g., bills of lading, invoices, etc.) and fuel production records should be kept by parties under normal business practice. Therefore, the recordkeeping requirements under the requirements </w:t>
      </w:r>
      <w:r w:rsidR="00EA3FE7">
        <w:t xml:space="preserve">of this rule </w:t>
      </w:r>
      <w:r>
        <w:t>should impose little additional burden</w:t>
      </w:r>
      <w:r w:rsidR="00807EE4">
        <w:t xml:space="preserve"> on most parties beyond initial programming of </w:t>
      </w:r>
      <w:r w:rsidR="00302EEB">
        <w:t xml:space="preserve">any statement on PTDs or other changes required </w:t>
      </w:r>
      <w:r w:rsidR="00E731FC">
        <w:t xml:space="preserve">to </w:t>
      </w:r>
      <w:r w:rsidR="00302EEB">
        <w:t xml:space="preserve">participate in the RFS program. </w:t>
      </w:r>
      <w:r>
        <w:t xml:space="preserve"> </w:t>
      </w:r>
    </w:p>
    <w:p w:rsidR="003166C3" w:rsidP="003166C3" w14:paraId="3E2E1C2D" w14:textId="77777777">
      <w:pPr>
        <w:pStyle w:val="Standard"/>
        <w:ind w:firstLine="720"/>
      </w:pPr>
    </w:p>
    <w:p w:rsidR="003166C3" w:rsidP="003166C3" w14:paraId="09FBCE75" w14:textId="77777777">
      <w:pPr>
        <w:pStyle w:val="Standard"/>
        <w:ind w:firstLine="720"/>
        <w:outlineLvl w:val="1"/>
        <w:rPr>
          <w:b/>
        </w:rPr>
      </w:pPr>
      <w:r>
        <w:rPr>
          <w:b/>
        </w:rPr>
        <w:t>3(f)</w:t>
      </w:r>
      <w:r>
        <w:rPr>
          <w:b/>
        </w:rPr>
        <w:tab/>
        <w:t>Confidentiality</w:t>
      </w:r>
    </w:p>
    <w:p w:rsidR="003166C3" w:rsidP="003166C3" w14:paraId="1C2C0565" w14:textId="77777777">
      <w:pPr>
        <w:pStyle w:val="Standard"/>
        <w:ind w:firstLine="720"/>
      </w:pPr>
    </w:p>
    <w:p w:rsidR="003166C3" w:rsidP="003166C3" w14:paraId="5FD7B195" w14:textId="77777777">
      <w:pPr>
        <w:pStyle w:val="Standard"/>
        <w:ind w:firstLine="720"/>
      </w:pPr>
      <w:r>
        <w:t>We inform respondents that they may assert claims of CBI for information they submit. Any information claimed as confidential would be treated in accordance with 40 CFR part 2 and established EPA procedures. Information that is received without a claim of confidentiality may be made available to the public without further notice to the submitter under 40 CFR 2.203.</w:t>
      </w:r>
    </w:p>
    <w:p w:rsidR="003166C3" w:rsidP="003166C3" w14:paraId="70C47C50" w14:textId="77777777">
      <w:pPr>
        <w:ind w:firstLine="720"/>
      </w:pPr>
    </w:p>
    <w:p w:rsidR="003166C3" w:rsidP="003166C3" w14:paraId="3CE20B70" w14:textId="77777777">
      <w:pPr>
        <w:pStyle w:val="Standard"/>
        <w:ind w:firstLine="720"/>
        <w:outlineLvl w:val="1"/>
        <w:rPr>
          <w:b/>
        </w:rPr>
      </w:pPr>
      <w:r>
        <w:rPr>
          <w:b/>
        </w:rPr>
        <w:t>3(g)</w:t>
      </w:r>
      <w:r>
        <w:rPr>
          <w:b/>
        </w:rPr>
        <w:tab/>
        <w:t>Sensitive Information</w:t>
      </w:r>
    </w:p>
    <w:p w:rsidR="003166C3" w:rsidP="003166C3" w14:paraId="46DDA3A0" w14:textId="77777777">
      <w:pPr>
        <w:pStyle w:val="Standard"/>
        <w:ind w:firstLine="720"/>
      </w:pPr>
    </w:p>
    <w:p w:rsidR="003166C3" w:rsidP="003166C3" w14:paraId="3FDB0618" w14:textId="7E712FCC">
      <w:pPr>
        <w:pStyle w:val="Standard"/>
        <w:ind w:firstLine="720"/>
      </w:pPr>
      <w:r>
        <w:t xml:space="preserve">This information collection does not require submission of any sensitive </w:t>
      </w:r>
      <w:r w:rsidR="004D3EBC">
        <w:t xml:space="preserve">or personal </w:t>
      </w:r>
      <w:r>
        <w:t>information (e.g., social security numbers, dates of birth, etc.).</w:t>
      </w:r>
    </w:p>
    <w:p w:rsidR="003166C3" w:rsidP="003166C3" w14:paraId="50859FCF" w14:textId="77777777">
      <w:pPr>
        <w:ind w:firstLine="720"/>
      </w:pPr>
    </w:p>
    <w:p w:rsidR="003166C3" w:rsidP="003166C3" w14:paraId="3150A0EA" w14:textId="77777777">
      <w:pPr>
        <w:pStyle w:val="Standard"/>
        <w:outlineLvl w:val="0"/>
        <w:rPr>
          <w:b/>
          <w:u w:val="single"/>
        </w:rPr>
      </w:pPr>
      <w:r>
        <w:rPr>
          <w:b/>
        </w:rPr>
        <w:t>4.</w:t>
      </w:r>
      <w:r>
        <w:rPr>
          <w:b/>
        </w:rPr>
        <w:tab/>
      </w:r>
      <w:r>
        <w:rPr>
          <w:b/>
          <w:u w:val="single"/>
        </w:rPr>
        <w:t>The Respondents and the Information Requested</w:t>
      </w:r>
    </w:p>
    <w:p w:rsidR="003166C3" w:rsidP="003166C3" w14:paraId="7D3A0D3E" w14:textId="77777777">
      <w:pPr>
        <w:pStyle w:val="Standard"/>
        <w:ind w:firstLine="720"/>
        <w:rPr>
          <w:b/>
        </w:rPr>
      </w:pPr>
    </w:p>
    <w:p w:rsidR="003166C3" w:rsidP="003166C3" w14:paraId="371AF45E" w14:textId="17877DB4">
      <w:pPr>
        <w:pStyle w:val="Standard"/>
        <w:ind w:firstLine="720"/>
        <w:outlineLvl w:val="1"/>
        <w:rPr>
          <w:b/>
        </w:rPr>
      </w:pPr>
      <w:r>
        <w:rPr>
          <w:b/>
        </w:rPr>
        <w:t>4(a)</w:t>
      </w:r>
      <w:r>
        <w:rPr>
          <w:b/>
        </w:rPr>
        <w:tab/>
        <w:t>Respondents with SIC Codes</w:t>
      </w:r>
    </w:p>
    <w:p w:rsidR="003166C3" w:rsidP="003166C3" w14:paraId="201D82E8" w14:textId="77777777">
      <w:pPr>
        <w:pStyle w:val="Standard"/>
        <w:ind w:firstLine="720"/>
      </w:pPr>
    </w:p>
    <w:p w:rsidR="003166C3" w:rsidP="003166C3" w14:paraId="2733C012" w14:textId="2095CE24">
      <w:pPr>
        <w:pStyle w:val="Standard"/>
        <w:ind w:firstLine="720"/>
      </w:pPr>
      <w:r>
        <w:t xml:space="preserve">The respondents to this information collection fall into the following general industry categories: </w:t>
      </w:r>
    </w:p>
    <w:p w:rsidR="00CD3CD1" w:rsidP="00CD3CD1" w14:paraId="5BEEDB2C" w14:textId="77777777">
      <w:pPr>
        <w:pStyle w:val="Standard"/>
        <w:ind w:firstLine="720"/>
      </w:pPr>
    </w:p>
    <w:p w:rsidR="00CD3CD1" w:rsidP="00CD3CD1" w14:paraId="75BC334C" w14:textId="77777777">
      <w:pPr>
        <w:pStyle w:val="Standard"/>
        <w:ind w:firstLine="720"/>
      </w:pPr>
      <w:r>
        <w:t>221210              Distribution of renewable natural gas (RNG)</w:t>
      </w:r>
    </w:p>
    <w:p w:rsidR="00CD3CD1" w:rsidP="00CD3CD1" w14:paraId="417D4D55" w14:textId="5008E56B">
      <w:pPr>
        <w:pStyle w:val="Standard"/>
        <w:ind w:firstLine="720"/>
      </w:pPr>
      <w:r>
        <w:t>221117              Biomass electric power generation</w:t>
      </w:r>
    </w:p>
    <w:p w:rsidR="00CD3CD1" w:rsidP="00CD3CD1" w14:paraId="52C728E0" w14:textId="755B0FE2">
      <w:pPr>
        <w:pStyle w:val="Standard"/>
        <w:ind w:firstLine="720"/>
      </w:pPr>
      <w:r>
        <w:t>324110              Petroleum refineries</w:t>
      </w:r>
    </w:p>
    <w:p w:rsidR="00CD3CD1" w:rsidP="00CD3CD1" w14:paraId="102A488D" w14:textId="25E7AA03">
      <w:pPr>
        <w:pStyle w:val="Standard"/>
        <w:ind w:firstLine="720"/>
      </w:pPr>
      <w:r w:rsidRPr="00CD3CD1">
        <w:t>325120              Biogases, industrial (i.e., compressed, liquefied, solid), manufacturing</w:t>
      </w:r>
    </w:p>
    <w:p w:rsidR="00CD3CD1" w:rsidP="00CD3CD1" w14:paraId="3D77FCF5" w14:textId="77777777">
      <w:pPr>
        <w:pStyle w:val="Standard"/>
        <w:ind w:firstLine="720"/>
      </w:pPr>
      <w:r>
        <w:t>325193              Ethyl alcohol manufacturing</w:t>
      </w:r>
    </w:p>
    <w:p w:rsidR="00CD3CD1" w:rsidP="00CD3CD1" w14:paraId="3F3005D7" w14:textId="10D5935A">
      <w:pPr>
        <w:pStyle w:val="Standard"/>
        <w:ind w:firstLine="720"/>
      </w:pPr>
      <w:r>
        <w:t>325199              Other basic organic chemical manufacturing</w:t>
      </w:r>
    </w:p>
    <w:p w:rsidR="00CD3CD1" w:rsidP="003B4B50" w14:paraId="6C829DD6" w14:textId="361ADAFF">
      <w:pPr>
        <w:ind w:firstLine="720"/>
      </w:pPr>
      <w:r w:rsidRPr="00CD3CD1">
        <w:rPr>
          <w:rFonts w:eastAsia="SimSun" w:cs="Mangal"/>
          <w:kern w:val="3"/>
          <w:szCs w:val="24"/>
          <w:lang w:eastAsia="zh-CN" w:bidi="hi-IN"/>
        </w:rPr>
        <w:t>336110              Electric automobiles for highway use manufacturing</w:t>
      </w:r>
    </w:p>
    <w:p w:rsidR="00CD3CD1" w:rsidP="00CD3CD1" w14:paraId="305CE3D8" w14:textId="77777777">
      <w:pPr>
        <w:pStyle w:val="Standard"/>
        <w:ind w:firstLine="720"/>
      </w:pPr>
      <w:r>
        <w:t>424690              Chemical and allied products merchant wholesalers</w:t>
      </w:r>
    </w:p>
    <w:p w:rsidR="00CD3CD1" w:rsidP="00CD3CD1" w14:paraId="769DAE08" w14:textId="77777777">
      <w:pPr>
        <w:pStyle w:val="Standard"/>
        <w:ind w:firstLine="720"/>
      </w:pPr>
      <w:r>
        <w:t>424710              Petroleum bulk stations and terminals</w:t>
      </w:r>
    </w:p>
    <w:p w:rsidR="00CD3CD1" w:rsidP="00CD3CD1" w14:paraId="1A2A5D92" w14:textId="005608A0">
      <w:pPr>
        <w:pStyle w:val="Standard"/>
        <w:ind w:firstLine="720"/>
      </w:pPr>
      <w:r>
        <w:t>424720              Petroleum and petroleum products merchant wholesalers</w:t>
      </w:r>
    </w:p>
    <w:p w:rsidR="00CD3CD1" w:rsidP="00CD3CD1" w14:paraId="7F9591ED" w14:textId="2ABEABFE">
      <w:pPr>
        <w:pStyle w:val="Standard"/>
        <w:ind w:firstLine="720"/>
      </w:pPr>
      <w:r w:rsidRPr="00CD3CD1">
        <w:t>491101              Electric Companies</w:t>
      </w:r>
    </w:p>
    <w:p w:rsidR="00CD3CD1" w:rsidP="00CD3CD1" w14:paraId="66547CD5" w14:textId="77777777">
      <w:pPr>
        <w:pStyle w:val="Standard"/>
        <w:ind w:firstLine="720"/>
      </w:pPr>
      <w:r>
        <w:t>221210              Manufactured gas production and distribution</w:t>
      </w:r>
    </w:p>
    <w:p w:rsidR="00CD3CD1" w:rsidP="00CD3CD1" w14:paraId="24885BC0" w14:textId="41F46BB4">
      <w:pPr>
        <w:pStyle w:val="Standard"/>
        <w:ind w:firstLine="720"/>
      </w:pPr>
      <w:r>
        <w:t>454319              Other fuel dealers</w:t>
      </w:r>
    </w:p>
    <w:p w:rsidR="00CD3CD1" w:rsidP="00CD3CD1" w14:paraId="0A72779F" w14:textId="387314FE">
      <w:pPr>
        <w:pStyle w:val="Standard"/>
        <w:ind w:firstLine="720"/>
      </w:pPr>
      <w:r>
        <w:t>562212              Landfills</w:t>
      </w:r>
      <w:r w:rsidR="008A761C">
        <w:t xml:space="preserve"> </w:t>
      </w:r>
    </w:p>
    <w:p w:rsidR="003166C3" w:rsidP="003166C3" w14:paraId="075C3873" w14:textId="77777777">
      <w:pPr>
        <w:pStyle w:val="Standard"/>
        <w:ind w:firstLine="720"/>
      </w:pPr>
    </w:p>
    <w:p w:rsidR="003166C3" w:rsidP="003166C3" w14:paraId="77EE594F" w14:textId="56076B66">
      <w:pPr>
        <w:pStyle w:val="Standard"/>
        <w:ind w:firstLine="720"/>
      </w:pPr>
      <w:r>
        <w:t xml:space="preserve">We </w:t>
      </w:r>
      <w:r>
        <w:t>have assumed the following classes of</w:t>
      </w:r>
      <w:r w:rsidR="008848A7">
        <w:t xml:space="preserve"> respondents</w:t>
      </w:r>
      <w:r>
        <w:t>, which are covered by this supporting statement.</w:t>
      </w:r>
    </w:p>
    <w:p w:rsidR="00AE567E" w:rsidP="003166C3" w14:paraId="20507AD4" w14:textId="4A84E16B">
      <w:pPr>
        <w:pStyle w:val="Standard"/>
        <w:ind w:firstLine="720"/>
      </w:pPr>
    </w:p>
    <w:p w:rsidR="004B2BC8" w:rsidP="004B2BC8" w14:paraId="78905081" w14:textId="6B834810">
      <w:pPr>
        <w:pStyle w:val="Standard"/>
        <w:numPr>
          <w:ilvl w:val="0"/>
          <w:numId w:val="10"/>
        </w:numPr>
      </w:pPr>
      <w:r w:rsidRPr="00E6373A">
        <w:rPr>
          <w:u w:val="single"/>
        </w:rPr>
        <w:t>Biogas producer</w:t>
      </w:r>
      <w:r w:rsidRPr="00E6373A" w:rsidR="00020090">
        <w:rPr>
          <w:u w:val="single"/>
        </w:rPr>
        <w:t>s</w:t>
      </w:r>
      <w:r w:rsidR="005B1C4C">
        <w:t xml:space="preserve">: These are parties </w:t>
      </w:r>
      <w:r w:rsidR="00E6373A">
        <w:t xml:space="preserve">who </w:t>
      </w:r>
      <w:r w:rsidRPr="0065616E" w:rsidR="0065616E">
        <w:t>own, lease, operate, control, or supervise a biogas production facility.</w:t>
      </w:r>
      <w:r w:rsidR="0065616E">
        <w:t xml:space="preserve"> A biogas production </w:t>
      </w:r>
      <w:r w:rsidR="005B1C4C">
        <w:t xml:space="preserve">facility is </w:t>
      </w:r>
      <w:r w:rsidRPr="005B1C4C" w:rsidR="005B1C4C">
        <w:t>where biogas is produced from renewable biomass under an approved pathway</w:t>
      </w:r>
      <w:r w:rsidR="005B1C4C">
        <w:t xml:space="preserve">. </w:t>
      </w:r>
      <w:r w:rsidR="00C614B0">
        <w:t xml:space="preserve">These are shown in Table I of Appendix A. </w:t>
      </w:r>
    </w:p>
    <w:p w:rsidR="004B2BC8" w:rsidP="004B2BC8" w14:paraId="536D67FD" w14:textId="2019BB03">
      <w:pPr>
        <w:pStyle w:val="Standard"/>
        <w:numPr>
          <w:ilvl w:val="0"/>
          <w:numId w:val="10"/>
        </w:numPr>
      </w:pPr>
      <w:r w:rsidRPr="00C614B0">
        <w:rPr>
          <w:u w:val="single"/>
        </w:rPr>
        <w:t>Renewable electricity generators</w:t>
      </w:r>
      <w:r w:rsidR="00C614B0">
        <w:t xml:space="preserve">: </w:t>
      </w:r>
      <w:r w:rsidR="005B1C4C">
        <w:t xml:space="preserve"> </w:t>
      </w:r>
      <w:r w:rsidR="00383FA0">
        <w:t xml:space="preserve">These are parties </w:t>
      </w:r>
      <w:r w:rsidRPr="00383FA0" w:rsidR="00383FA0">
        <w:t>who own, lease, operate, control, or supervises a renewable electricity generation facility.</w:t>
      </w:r>
      <w:r w:rsidR="00383FA0">
        <w:t xml:space="preserve"> </w:t>
      </w:r>
      <w:r w:rsidR="00856765">
        <w:t>A r</w:t>
      </w:r>
      <w:r w:rsidRPr="00856765" w:rsidR="00856765">
        <w:t xml:space="preserve">enewable electricity generation where renewable electricity is produced from biogas or </w:t>
      </w:r>
      <w:r w:rsidR="00F7621D">
        <w:t>renewable natural gas (</w:t>
      </w:r>
      <w:r w:rsidRPr="00856765" w:rsidR="00856765">
        <w:t>RNG</w:t>
      </w:r>
      <w:r w:rsidR="00F7621D">
        <w:t>)</w:t>
      </w:r>
      <w:r w:rsidRPr="00856765" w:rsidR="00856765">
        <w:t xml:space="preserve">. </w:t>
      </w:r>
      <w:r w:rsidR="00E8427C">
        <w:t xml:space="preserve">These are shown in Table II of Appendix A. </w:t>
      </w:r>
    </w:p>
    <w:p w:rsidR="004B2BC8" w:rsidRPr="00E8427C" w:rsidP="004B2BC8" w14:paraId="273B29F5" w14:textId="7BC9E820">
      <w:pPr>
        <w:pStyle w:val="Standard"/>
        <w:numPr>
          <w:ilvl w:val="0"/>
          <w:numId w:val="10"/>
        </w:numPr>
        <w:rPr>
          <w:u w:val="single"/>
        </w:rPr>
      </w:pPr>
      <w:r w:rsidRPr="00E8427C">
        <w:rPr>
          <w:u w:val="single"/>
        </w:rPr>
        <w:t>Renewable electricity RIN generators (</w:t>
      </w:r>
      <w:r w:rsidRPr="00E8427C">
        <w:rPr>
          <w:u w:val="single"/>
        </w:rPr>
        <w:t>RERGs</w:t>
      </w:r>
      <w:r w:rsidRPr="00E8427C">
        <w:rPr>
          <w:u w:val="single"/>
        </w:rPr>
        <w:t>)</w:t>
      </w:r>
      <w:r w:rsidRPr="00E44E06" w:rsidR="00E8427C">
        <w:t>:</w:t>
      </w:r>
      <w:r w:rsidR="00E8427C">
        <w:t xml:space="preserve"> </w:t>
      </w:r>
      <w:r w:rsidRPr="006001BB" w:rsidR="006001BB">
        <w:t xml:space="preserve">These are original equipment manufacturers (OEMs) of light-duty vehicles or light-duty trucks registered to </w:t>
      </w:r>
      <w:r w:rsidRPr="006001BB" w:rsidR="006001BB">
        <w:t>generate RINs for renewable electricity.  These are shown in Table I</w:t>
      </w:r>
      <w:r w:rsidR="006001BB">
        <w:t>I</w:t>
      </w:r>
      <w:r w:rsidRPr="006001BB" w:rsidR="006001BB">
        <w:t>I of Appendix A.</w:t>
      </w:r>
    </w:p>
    <w:p w:rsidR="003B28EC" w:rsidP="004B2BC8" w14:paraId="0B6DC385" w14:textId="41D9C763">
      <w:pPr>
        <w:pStyle w:val="Standard"/>
        <w:numPr>
          <w:ilvl w:val="0"/>
          <w:numId w:val="10"/>
        </w:numPr>
      </w:pPr>
      <w:r w:rsidRPr="006C23CE">
        <w:rPr>
          <w:u w:val="single"/>
        </w:rPr>
        <w:t xml:space="preserve">RNG </w:t>
      </w:r>
      <w:r w:rsidRPr="006C23CE" w:rsidR="004B2BC8">
        <w:rPr>
          <w:u w:val="single"/>
        </w:rPr>
        <w:t xml:space="preserve">producers, RNG importers, and </w:t>
      </w:r>
      <w:r w:rsidR="004D3EBC">
        <w:rPr>
          <w:u w:val="single"/>
        </w:rPr>
        <w:t xml:space="preserve">RIN generators of </w:t>
      </w:r>
      <w:r w:rsidRPr="006C23CE" w:rsidR="004B2BC8">
        <w:rPr>
          <w:u w:val="single"/>
        </w:rPr>
        <w:t xml:space="preserve">biogas-derived renewable fuel in a closed </w:t>
      </w:r>
      <w:r w:rsidRPr="006C23CE" w:rsidR="00525736">
        <w:rPr>
          <w:u w:val="single"/>
        </w:rPr>
        <w:t xml:space="preserve">distribution </w:t>
      </w:r>
      <w:r w:rsidRPr="006C23CE" w:rsidR="004B2BC8">
        <w:rPr>
          <w:u w:val="single"/>
        </w:rPr>
        <w:t>system</w:t>
      </w:r>
      <w:r w:rsidR="00732E35">
        <w:rPr>
          <w:u w:val="single"/>
        </w:rPr>
        <w:t xml:space="preserve">; and proposed provisions for separated food waste (SFW) </w:t>
      </w:r>
      <w:r w:rsidR="006C23CE">
        <w:t>:</w:t>
      </w:r>
    </w:p>
    <w:p w:rsidR="004B2BC8" w:rsidP="003B28EC" w14:paraId="23C555B3" w14:textId="569DA724">
      <w:pPr>
        <w:pStyle w:val="Standard"/>
        <w:numPr>
          <w:ilvl w:val="1"/>
          <w:numId w:val="10"/>
        </w:numPr>
      </w:pPr>
      <w:r>
        <w:t xml:space="preserve">RNG producers </w:t>
      </w:r>
      <w:r w:rsidRPr="003B28EC" w:rsidR="003B28EC">
        <w:t>own, lease, operate, control, or supervise an RNG production facility.</w:t>
      </w:r>
      <w:r w:rsidR="003B28EC">
        <w:t xml:space="preserve"> And RNG production facility is </w:t>
      </w:r>
      <w:r w:rsidR="009B0716">
        <w:t>a location where biogas is upgraded to RNG.</w:t>
      </w:r>
    </w:p>
    <w:p w:rsidR="009B0716" w:rsidP="003B28EC" w14:paraId="79220078" w14:textId="7178CD0A">
      <w:pPr>
        <w:pStyle w:val="Standard"/>
        <w:numPr>
          <w:ilvl w:val="1"/>
          <w:numId w:val="10"/>
        </w:numPr>
      </w:pPr>
      <w:r>
        <w:t xml:space="preserve">RNG importers </w:t>
      </w:r>
      <w:r w:rsidRPr="00E670BF" w:rsidR="00E670BF">
        <w:t xml:space="preserve">import RNG into </w:t>
      </w:r>
      <w:r w:rsidR="00E670BF">
        <w:t xml:space="preserve">a </w:t>
      </w:r>
      <w:r w:rsidRPr="00E670BF" w:rsidR="00E670BF">
        <w:t>covered location and generates RINs for the RNG</w:t>
      </w:r>
      <w:r w:rsidR="005D653E">
        <w:t xml:space="preserve"> under the proposed regulation</w:t>
      </w:r>
      <w:r w:rsidRPr="00E670BF" w:rsidR="00E670BF">
        <w:t>.</w:t>
      </w:r>
    </w:p>
    <w:p w:rsidR="00DC2960" w:rsidP="003B28EC" w14:paraId="32CCCB22" w14:textId="5AC2E84C">
      <w:pPr>
        <w:pStyle w:val="Standard"/>
        <w:numPr>
          <w:ilvl w:val="1"/>
          <w:numId w:val="10"/>
        </w:numPr>
      </w:pPr>
      <w:r>
        <w:t>A b</w:t>
      </w:r>
      <w:r w:rsidRPr="00DC2960">
        <w:t>iogas closed distribution system means the infrastructure contained between when biogas is produced, used to produce a biogas-derived renewable fuel, and when the biogas-derived renewable fuel is used as transportation fuel within a discrete location or series of locations that does not include placement of biogas or RNG on a natural gas commercial pipeline system.</w:t>
      </w:r>
    </w:p>
    <w:p w:rsidR="00732E35" w:rsidRPr="00DC2960" w:rsidP="003B28EC" w14:paraId="02568275" w14:textId="62CF4701">
      <w:pPr>
        <w:pStyle w:val="Standard"/>
        <w:numPr>
          <w:ilvl w:val="1"/>
          <w:numId w:val="10"/>
        </w:numPr>
      </w:pPr>
      <w:r>
        <w:t xml:space="preserve">The proposed SFW provisions are for alternative recordkeeping requirements that have both recordkeeping and reporting aspects, as described in proposed </w:t>
      </w:r>
      <w:r>
        <w:rPr>
          <w:rFonts w:cs="Times New Roman"/>
        </w:rPr>
        <w:t>§</w:t>
      </w:r>
      <w:r>
        <w:t xml:space="preserve">80.1479 and as estimated in Appendix A. </w:t>
      </w:r>
    </w:p>
    <w:p w:rsidR="00525736" w:rsidP="003B28EC" w14:paraId="329C0022" w14:textId="3A03CF0D">
      <w:pPr>
        <w:pStyle w:val="Standard"/>
        <w:numPr>
          <w:ilvl w:val="1"/>
          <w:numId w:val="10"/>
        </w:numPr>
      </w:pPr>
      <w:r>
        <w:t xml:space="preserve">These parties are shown in Table IV of Appendix A. </w:t>
      </w:r>
    </w:p>
    <w:p w:rsidR="004D3EBC" w:rsidP="004D3EBC" w14:paraId="3F2AFCB7" w14:textId="3BDE0E8B">
      <w:pPr>
        <w:pStyle w:val="Standard"/>
        <w:numPr>
          <w:ilvl w:val="0"/>
          <w:numId w:val="10"/>
        </w:numPr>
      </w:pPr>
      <w:r w:rsidRPr="004D3EBC">
        <w:rPr>
          <w:u w:val="single"/>
        </w:rPr>
        <w:t>QAP Providers</w:t>
      </w:r>
      <w:r>
        <w:t xml:space="preserve">: These parties who provide Quality Assurance Plan services are reflected in Table V of Appendix A. </w:t>
      </w:r>
    </w:p>
    <w:p w:rsidR="004B2BC8" w:rsidRPr="00E44E06" w:rsidP="00BD6826" w14:paraId="2450F786" w14:textId="1B201CF6">
      <w:pPr>
        <w:pStyle w:val="Standard"/>
        <w:numPr>
          <w:ilvl w:val="0"/>
          <w:numId w:val="10"/>
        </w:numPr>
        <w:rPr>
          <w:u w:val="single"/>
        </w:rPr>
      </w:pPr>
      <w:r w:rsidRPr="00E44E06">
        <w:rPr>
          <w:u w:val="single"/>
        </w:rPr>
        <w:t>RNG RIN separators</w:t>
      </w:r>
      <w:r w:rsidR="00E44E06">
        <w:rPr>
          <w:u w:val="single"/>
        </w:rPr>
        <w:t>:</w:t>
      </w:r>
      <w:r w:rsidR="00E44E06">
        <w:t xml:space="preserve"> </w:t>
      </w:r>
      <w:r w:rsidR="004401EC">
        <w:t xml:space="preserve">These are parties who register to separate RNG RINs under the proposed regulation. </w:t>
      </w:r>
      <w:r w:rsidR="002A5805">
        <w:t>They are reflected in Table V</w:t>
      </w:r>
      <w:r w:rsidR="004D3EBC">
        <w:t>I</w:t>
      </w:r>
      <w:r w:rsidR="002A5805">
        <w:t xml:space="preserve"> of Appendix A. </w:t>
      </w:r>
    </w:p>
    <w:p w:rsidR="00AE567E" w:rsidP="00BD6826" w14:paraId="5BFD5083" w14:textId="47278BCF">
      <w:pPr>
        <w:pStyle w:val="Standard"/>
        <w:numPr>
          <w:ilvl w:val="0"/>
          <w:numId w:val="10"/>
        </w:numPr>
      </w:pPr>
      <w:r w:rsidRPr="004D3EBC">
        <w:rPr>
          <w:u w:val="single"/>
        </w:rPr>
        <w:t>Third parties</w:t>
      </w:r>
      <w:r>
        <w:t>, including third party engineers</w:t>
      </w:r>
      <w:r w:rsidR="00A06C59">
        <w:t xml:space="preserve">, </w:t>
      </w:r>
      <w:r>
        <w:t>attest auditor</w:t>
      </w:r>
      <w:r w:rsidR="002846FD">
        <w:t xml:space="preserve">s, </w:t>
      </w:r>
      <w:r w:rsidR="007D1C4C">
        <w:t>and independent parties</w:t>
      </w:r>
      <w:r w:rsidR="00797E33">
        <w:t xml:space="preserve"> who provide purchased professional services to the parties listed above.</w:t>
      </w:r>
      <w:r w:rsidR="002A5805">
        <w:t xml:space="preserve"> </w:t>
      </w:r>
      <w:r w:rsidR="00732E35">
        <w:t xml:space="preserve">These parties must register and associate with parties for whom they perform services, and they bill the hourly/monetary cost of their services to their clients. </w:t>
      </w:r>
      <w:r w:rsidR="002A5805">
        <w:t>These are shown in Table VI</w:t>
      </w:r>
      <w:r w:rsidR="004D3EBC">
        <w:t>I</w:t>
      </w:r>
      <w:r w:rsidR="002A5805">
        <w:t xml:space="preserve"> of Appendix A. </w:t>
      </w:r>
    </w:p>
    <w:p w:rsidR="009759FF" w:rsidP="009759FF" w14:paraId="1E7BDBA2" w14:textId="77777777">
      <w:pPr>
        <w:pStyle w:val="Standard"/>
        <w:ind w:left="720"/>
      </w:pPr>
    </w:p>
    <w:p w:rsidR="003166C3" w:rsidP="003166C3" w14:paraId="0DE51B1F" w14:textId="77777777">
      <w:pPr>
        <w:pStyle w:val="Standard"/>
        <w:ind w:firstLine="720"/>
      </w:pPr>
    </w:p>
    <w:p w:rsidR="003166C3" w:rsidP="003166C3" w14:paraId="280833EC" w14:textId="77777777">
      <w:pPr>
        <w:pStyle w:val="Standard"/>
        <w:ind w:firstLine="720"/>
      </w:pPr>
    </w:p>
    <w:p w:rsidR="003166C3" w:rsidP="6AB033C2" w14:paraId="5DBCBF79" w14:textId="59F40E26">
      <w:pPr>
        <w:pStyle w:val="Standard"/>
        <w:ind w:firstLine="720"/>
        <w:outlineLvl w:val="1"/>
        <w:rPr>
          <w:b/>
          <w:bCs/>
        </w:rPr>
      </w:pPr>
      <w:r w:rsidRPr="798239CD">
        <w:rPr>
          <w:b/>
          <w:bCs/>
        </w:rPr>
        <w:t>4(b)</w:t>
      </w:r>
      <w:r>
        <w:tab/>
      </w:r>
      <w:r w:rsidRPr="798239CD">
        <w:rPr>
          <w:b/>
          <w:bCs/>
        </w:rPr>
        <w:t>Information Requested</w:t>
      </w:r>
    </w:p>
    <w:p w:rsidR="008848A7" w:rsidP="798239CD" w14:paraId="0D2C611E" w14:textId="77777777">
      <w:pPr>
        <w:pStyle w:val="Standard"/>
        <w:ind w:firstLine="720"/>
        <w:outlineLvl w:val="1"/>
        <w:rPr>
          <w:b/>
          <w:bCs/>
        </w:rPr>
      </w:pPr>
    </w:p>
    <w:p w:rsidR="00D17BF4" w:rsidP="798239CD" w14:paraId="71E15AC4" w14:textId="5FA0F453">
      <w:pPr>
        <w:pStyle w:val="Standard"/>
        <w:ind w:firstLine="720"/>
        <w:outlineLvl w:val="1"/>
      </w:pPr>
      <w:r>
        <w:t>The information requested is listed in detail in</w:t>
      </w:r>
      <w:r w:rsidR="00AF0B80">
        <w:t xml:space="preserve"> </w:t>
      </w:r>
      <w:r>
        <w:t xml:space="preserve"> Appendix A</w:t>
      </w:r>
      <w:r w:rsidR="00171C9B">
        <w:t xml:space="preserve">. </w:t>
      </w:r>
      <w:r w:rsidRPr="00171C9B" w:rsidR="00171C9B">
        <w:t xml:space="preserve">All </w:t>
      </w:r>
      <w:r w:rsidR="008A236D">
        <w:t xml:space="preserve">items of information </w:t>
      </w:r>
      <w:r w:rsidRPr="00171C9B" w:rsidR="00171C9B">
        <w:t xml:space="preserve">are listed with regulatory citations </w:t>
      </w:r>
      <w:r w:rsidR="008A236D">
        <w:t xml:space="preserve">and forms </w:t>
      </w:r>
      <w:r w:rsidRPr="00171C9B" w:rsidR="00171C9B">
        <w:t>in Appendix A</w:t>
      </w:r>
      <w:r w:rsidR="00171C9B">
        <w:t>.</w:t>
      </w:r>
      <w:r w:rsidR="008A236D">
        <w:t xml:space="preserve"> Forms have been docketed with the proposed rule. </w:t>
      </w:r>
      <w:r w:rsidR="00171C9B">
        <w:t>Information to be collected may</w:t>
      </w:r>
      <w:r>
        <w:t xml:space="preserve"> be summarized, by respondent, as follows: </w:t>
      </w:r>
    </w:p>
    <w:p w:rsidR="00D17BF4" w:rsidP="798239CD" w14:paraId="39AF886D" w14:textId="1E117DBD">
      <w:pPr>
        <w:pStyle w:val="Standard"/>
        <w:ind w:firstLine="720"/>
        <w:outlineLvl w:val="1"/>
      </w:pPr>
    </w:p>
    <w:p w:rsidR="00D17BF4" w:rsidRPr="00CC24D7" w:rsidP="798239CD" w14:paraId="201181B8" w14:textId="7849E91B">
      <w:pPr>
        <w:pStyle w:val="Standard"/>
        <w:ind w:firstLine="720"/>
        <w:outlineLvl w:val="1"/>
      </w:pPr>
      <w:r w:rsidRPr="0EE4E124">
        <w:rPr>
          <w:i/>
          <w:iCs/>
        </w:rPr>
        <w:t xml:space="preserve"> </w:t>
      </w:r>
      <w:r w:rsidRPr="0EE4E124" w:rsidR="00D1228B">
        <w:rPr>
          <w:i/>
          <w:iCs/>
        </w:rPr>
        <w:t>Biog</w:t>
      </w:r>
      <w:r w:rsidRPr="0EE4E124" w:rsidR="00171C9B">
        <w:rPr>
          <w:i/>
          <w:iCs/>
        </w:rPr>
        <w:t xml:space="preserve">as Producers </w:t>
      </w:r>
      <w:r w:rsidRPr="0EE4E124">
        <w:rPr>
          <w:i/>
          <w:iCs/>
        </w:rPr>
        <w:t xml:space="preserve">(Table </w:t>
      </w:r>
      <w:r w:rsidRPr="0EE4E124" w:rsidR="00B72645">
        <w:rPr>
          <w:i/>
          <w:iCs/>
        </w:rPr>
        <w:t>I</w:t>
      </w:r>
      <w:r w:rsidRPr="0EE4E124">
        <w:rPr>
          <w:i/>
          <w:iCs/>
        </w:rPr>
        <w:t xml:space="preserve">) </w:t>
      </w:r>
      <w:r w:rsidR="00CC24D7">
        <w:t xml:space="preserve">We estimate </w:t>
      </w:r>
      <w:r w:rsidR="003B4B50">
        <w:t xml:space="preserve">176 </w:t>
      </w:r>
      <w:r w:rsidR="00CC24D7">
        <w:t xml:space="preserve">domestic biogas producers and </w:t>
      </w:r>
      <w:r w:rsidR="003B4B50">
        <w:t xml:space="preserve">20 </w:t>
      </w:r>
      <w:r w:rsidR="00CC24D7">
        <w:t xml:space="preserve"> foreign biogas producers who will participate in activities under this information collection. </w:t>
      </w:r>
    </w:p>
    <w:p w:rsidR="00D17BF4" w:rsidP="798239CD" w14:paraId="35CB4F6D" w14:textId="53B2E5A8">
      <w:pPr>
        <w:pStyle w:val="Standard"/>
        <w:ind w:firstLine="720"/>
        <w:outlineLvl w:val="1"/>
        <w:rPr>
          <w:i/>
          <w:iCs/>
        </w:rPr>
      </w:pPr>
    </w:p>
    <w:p w:rsidR="00210075" w:rsidP="00210075" w14:paraId="75C8409C" w14:textId="30DCF79C">
      <w:pPr>
        <w:pStyle w:val="Standard"/>
        <w:numPr>
          <w:ilvl w:val="0"/>
          <w:numId w:val="13"/>
        </w:numPr>
        <w:outlineLvl w:val="1"/>
      </w:pPr>
      <w:r>
        <w:t>Reporting requirements</w:t>
      </w:r>
      <w:r w:rsidR="00B76EEB">
        <w:t>,</w:t>
      </w:r>
      <w:r>
        <w:t xml:space="preserve"> including </w:t>
      </w:r>
      <w:r w:rsidR="00B76EEB">
        <w:t xml:space="preserve">registration with EPA under §§80.145, 80.1450(b), and 40 CFR part 1090, subpart I, as applicable. </w:t>
      </w:r>
      <w:r w:rsidR="006B62DE">
        <w:t xml:space="preserve">Registration consists of both </w:t>
      </w:r>
      <w:r w:rsidR="00737A17">
        <w:t xml:space="preserve">submission of basic, overhead information necessary to set up access for registration and reporting and </w:t>
      </w:r>
      <w:r w:rsidR="00034F14">
        <w:t xml:space="preserve">submission of more detailed program information. Appendix A breaks out these burdens for its estimates. </w:t>
      </w:r>
      <w:r w:rsidR="00B76EEB">
        <w:t xml:space="preserve">A biogas producer must </w:t>
      </w:r>
      <w:r w:rsidR="00B76EEB">
        <w:t>submit periodic compliance reports to EPA under §§80.150 and 80.1451.</w:t>
      </w:r>
      <w:r w:rsidR="00D879C4">
        <w:t xml:space="preserve"> </w:t>
      </w:r>
      <w:r w:rsidR="00E4579F">
        <w:t xml:space="preserve">A biogas producer must </w:t>
      </w:r>
      <w:r w:rsidR="00490473">
        <w:t xml:space="preserve">submit an </w:t>
      </w:r>
      <w:r w:rsidR="00E4579F">
        <w:t>annual attest engagement report to EPA under §§80.175 and 80.1464, using procedures specified in 40 CFR 1090.1800 and 1090.1805</w:t>
      </w:r>
      <w:r w:rsidR="00ED05AC">
        <w:t xml:space="preserve">. </w:t>
      </w:r>
      <w:r w:rsidR="00CA393F">
        <w:t xml:space="preserve">If </w:t>
      </w:r>
      <w:r w:rsidR="00845759">
        <w:t>a party wants to generate verified RINs under a quality assurance plan (QAP)</w:t>
      </w:r>
      <w:r w:rsidR="00E4579F">
        <w:t xml:space="preserve">, </w:t>
      </w:r>
      <w:r w:rsidR="00845759">
        <w:t>the</w:t>
      </w:r>
      <w:r w:rsidR="00E4579F">
        <w:t xml:space="preserve"> biogas producer must have an approved </w:t>
      </w:r>
      <w:r w:rsidR="00ED05AC">
        <w:t>quality assurance plan (</w:t>
      </w:r>
      <w:r w:rsidR="00E4579F">
        <w:t>QAP</w:t>
      </w:r>
      <w:r w:rsidR="00ED05AC">
        <w:t>)</w:t>
      </w:r>
      <w:r w:rsidR="00E4579F">
        <w:t xml:space="preserve"> under §80.180 and the independent third-party auditor must have conducted a site visit of the biogas production facility under §80.1472.</w:t>
      </w:r>
    </w:p>
    <w:p w:rsidR="0068503F" w:rsidRPr="00210075" w:rsidP="00210075" w14:paraId="01304D99" w14:textId="44FE95DE">
      <w:pPr>
        <w:pStyle w:val="Standard"/>
        <w:numPr>
          <w:ilvl w:val="0"/>
          <w:numId w:val="13"/>
        </w:numPr>
        <w:outlineLvl w:val="1"/>
      </w:pPr>
      <w:r w:rsidRPr="00210075">
        <w:t>Recordkeeping requirements</w:t>
      </w:r>
      <w:r w:rsidRPr="00210075" w:rsidR="00450D2F">
        <w:t>, includ</w:t>
      </w:r>
      <w:r w:rsidRPr="00210075" w:rsidR="006B2744">
        <w:t>ing  assigning a number (the “batch number”) to each batch of biogas consisting of their</w:t>
      </w:r>
      <w:r w:rsidRPr="006B2744" w:rsidR="006B2744">
        <w:t xml:space="preserve"> EPA-issued company registration number, the EPA-issued facility registration number, the last two digits of the calendar year in which the batch was produced, and a unique number for the batch, beginning with the number one for the first batch produced each calendar year and each subsequent batch during the calendar year being assigned the next sequential number (e.g., 4321-54321-23-000001, 4321-54321-23-000002, etc.).</w:t>
      </w:r>
      <w:r w:rsidR="00450D2F">
        <w:t xml:space="preserve"> </w:t>
      </w:r>
      <w:r w:rsidR="00606F7E">
        <w:t xml:space="preserve">These respondents are responsible for </w:t>
      </w:r>
      <w:r>
        <w:t xml:space="preserve">keeping copies of all records that support </w:t>
      </w:r>
      <w:r w:rsidR="00B76EEB">
        <w:t xml:space="preserve">information contained in registration and in </w:t>
      </w:r>
      <w:r>
        <w:t>compliance reports</w:t>
      </w:r>
      <w:r w:rsidR="00B76EEB">
        <w:t>,</w:t>
      </w:r>
      <w:r>
        <w:t xml:space="preserve"> and the use and retention of product transfer documents (PTDs).</w:t>
      </w:r>
      <w:r w:rsidR="00760DF8">
        <w:t xml:space="preserve"> Biogas producers must retain</w:t>
      </w:r>
      <w:r w:rsidR="00CD4E9A">
        <w:t xml:space="preserve"> results of </w:t>
      </w:r>
      <w:r w:rsidRPr="00210075" w:rsidR="00CD4E9A">
        <w:t xml:space="preserve">their sampling, testing, and measurement of biogas in accordance with §80.165. </w:t>
      </w:r>
    </w:p>
    <w:p w:rsidR="00F41EB1" w:rsidRPr="0068503F" w:rsidP="00F41EB1" w14:paraId="7FE6192E" w14:textId="77777777">
      <w:pPr>
        <w:pStyle w:val="ListParagraph"/>
        <w:rPr>
          <w:sz w:val="20"/>
          <w:szCs w:val="20"/>
        </w:rPr>
      </w:pPr>
    </w:p>
    <w:p w:rsidR="00F41EB1" w:rsidRPr="00573E8D" w:rsidP="00F41EB1" w14:paraId="05BEB302" w14:textId="77777777">
      <w:pPr>
        <w:ind w:left="1080"/>
      </w:pPr>
    </w:p>
    <w:p w:rsidR="00797E33" w:rsidRPr="00B004D1" w:rsidP="798239CD" w14:paraId="227422E3" w14:textId="1E6B6F09">
      <w:pPr>
        <w:pStyle w:val="Standard"/>
        <w:ind w:firstLine="720"/>
        <w:outlineLvl w:val="1"/>
      </w:pPr>
      <w:r w:rsidRPr="0EE4E124">
        <w:rPr>
          <w:i/>
          <w:iCs/>
        </w:rPr>
        <w:t>Renewable Electricity Generator</w:t>
      </w:r>
      <w:r w:rsidRPr="0EE4E124" w:rsidR="00D17BF4">
        <w:rPr>
          <w:i/>
          <w:iCs/>
        </w:rPr>
        <w:t>s</w:t>
      </w:r>
      <w:r w:rsidRPr="0EE4E124" w:rsidR="00A65BC6">
        <w:rPr>
          <w:i/>
          <w:iCs/>
        </w:rPr>
        <w:t xml:space="preserve"> (Table</w:t>
      </w:r>
      <w:r w:rsidRPr="0EE4E124" w:rsidR="00B72645">
        <w:rPr>
          <w:i/>
          <w:iCs/>
        </w:rPr>
        <w:t xml:space="preserve"> I</w:t>
      </w:r>
      <w:r w:rsidRPr="0EE4E124">
        <w:rPr>
          <w:i/>
          <w:iCs/>
        </w:rPr>
        <w:t>I</w:t>
      </w:r>
      <w:r w:rsidRPr="0EE4E124" w:rsidR="00B72645">
        <w:rPr>
          <w:i/>
          <w:iCs/>
        </w:rPr>
        <w:t xml:space="preserve"> </w:t>
      </w:r>
      <w:r w:rsidRPr="0EE4E124" w:rsidR="00A65BC6">
        <w:rPr>
          <w:i/>
          <w:iCs/>
        </w:rPr>
        <w:t>)</w:t>
      </w:r>
      <w:r w:rsidR="00B004D1">
        <w:t xml:space="preserve"> We estimate </w:t>
      </w:r>
      <w:r w:rsidR="003B4B50">
        <w:t xml:space="preserve">176 </w:t>
      </w:r>
      <w:r w:rsidR="009A52F0">
        <w:t xml:space="preserve"> domestic and </w:t>
      </w:r>
      <w:r w:rsidR="003B4B50">
        <w:t xml:space="preserve">20 </w:t>
      </w:r>
      <w:r w:rsidR="002F12AC">
        <w:t xml:space="preserve"> </w:t>
      </w:r>
      <w:r w:rsidR="00A61F94">
        <w:t xml:space="preserve">foreign </w:t>
      </w:r>
      <w:r w:rsidR="00FC2D01">
        <w:t>renewable electricity generators</w:t>
      </w:r>
    </w:p>
    <w:p w:rsidR="00A65BC6" w:rsidP="798239CD" w14:paraId="65F5D02E" w14:textId="77777777">
      <w:pPr>
        <w:pStyle w:val="Standard"/>
        <w:ind w:firstLine="720"/>
        <w:outlineLvl w:val="1"/>
        <w:rPr>
          <w:i/>
          <w:iCs/>
        </w:rPr>
      </w:pPr>
    </w:p>
    <w:p w:rsidR="002F12AC" w:rsidP="0EE4E124" w14:paraId="46F43D97" w14:textId="7B1DF78C">
      <w:pPr>
        <w:pStyle w:val="ListParagraph"/>
        <w:numPr>
          <w:ilvl w:val="0"/>
          <w:numId w:val="14"/>
        </w:numPr>
        <w:outlineLvl w:val="1"/>
        <w:rPr>
          <w:rFonts w:eastAsia="SimSun" w:cs="Mangal"/>
          <w:kern w:val="3"/>
          <w:lang w:eastAsia="zh-CN" w:bidi="hi-IN"/>
        </w:rPr>
      </w:pPr>
      <w:r>
        <w:t>Reporting requirements, including</w:t>
      </w:r>
      <w:r w:rsidRPr="00EB29A1">
        <w:t xml:space="preserve"> </w:t>
      </w:r>
      <w:r w:rsidR="005E7842">
        <w:t xml:space="preserve">registration with </w:t>
      </w:r>
      <w:r>
        <w:t xml:space="preserve">EPA under §§80.145, 80.1450(b), and 40 CFR part 1090, subpart I, as applicable. </w:t>
      </w:r>
      <w:r w:rsidRPr="00930AA9" w:rsidR="00930AA9">
        <w:t xml:space="preserve">Registration consists of both submission of basic, overhead information necessary to set up access for registration and reporting and submission of more detailed program information. Appendix A breaks out these burdens for its estimates. </w:t>
      </w:r>
      <w:r>
        <w:t>A renewable electricity generator must submit reports to EPA under §80.150.</w:t>
      </w:r>
      <w:r w:rsidRPr="00815896" w:rsidR="00815896">
        <w:t xml:space="preserve"> </w:t>
      </w:r>
      <w:r w:rsidRPr="0EE4E124" w:rsidR="00815896">
        <w:rPr>
          <w:rFonts w:eastAsia="SimSun" w:cs="Mangal"/>
          <w:kern w:val="3"/>
          <w:lang w:eastAsia="zh-CN" w:bidi="hi-IN"/>
        </w:rPr>
        <w:t>A renewable electricity generator must submit annual attest engagement reports to EPA under §80.175 using procedures specified in 40 CFR 1090.1800 and 1090.1805.</w:t>
      </w:r>
      <w:r w:rsidRPr="005E7842" w:rsidR="005E7842">
        <w:t xml:space="preserve"> </w:t>
      </w:r>
      <w:r w:rsidR="00A4309E">
        <w:t xml:space="preserve">Association with an auditor must </w:t>
      </w:r>
      <w:r w:rsidR="00D2749B">
        <w:t xml:space="preserve">be performed as part of registration. </w:t>
      </w:r>
      <w:r w:rsidRPr="0EE4E124" w:rsidR="005E7842">
        <w:rPr>
          <w:rFonts w:eastAsia="SimSun" w:cs="Mangal"/>
          <w:kern w:val="3"/>
          <w:lang w:eastAsia="zh-CN" w:bidi="hi-IN"/>
        </w:rPr>
        <w:t xml:space="preserve">Prior to the </w:t>
      </w:r>
    </w:p>
    <w:p w:rsidR="002F12AC" w:rsidP="0EE4E124" w14:paraId="6288853A" w14:textId="77777777">
      <w:pPr>
        <w:pStyle w:val="ListParagraph"/>
        <w:numPr>
          <w:ilvl w:val="0"/>
          <w:numId w:val="14"/>
        </w:numPr>
        <w:outlineLvl w:val="1"/>
        <w:rPr>
          <w:kern w:val="3"/>
          <w:lang w:eastAsia="zh-CN" w:bidi="hi-IN"/>
        </w:rPr>
      </w:pPr>
      <w:r w:rsidRPr="0EE4E124">
        <w:rPr>
          <w:rFonts w:eastAsia="SimSun" w:cs="Mangal"/>
          <w:kern w:val="3"/>
          <w:lang w:eastAsia="zh-CN" w:bidi="hi-IN"/>
        </w:rPr>
        <w:t>generation of Q-RINs for a biogas-derived renewable fuel, a renewable electricity generator must have an approved QAP under §80.180 and the independent third-party auditor must have conducted a site visit of the renewable electricity generation facility under §80.1472.</w:t>
      </w:r>
    </w:p>
    <w:p w:rsidR="00AF59C3" w:rsidRPr="002F12AC" w:rsidP="0EE4E124" w14:paraId="7351BDFA" w14:textId="480AD48A">
      <w:pPr>
        <w:pStyle w:val="ListParagraph"/>
        <w:numPr>
          <w:ilvl w:val="0"/>
          <w:numId w:val="14"/>
        </w:numPr>
        <w:outlineLvl w:val="1"/>
        <w:rPr>
          <w:rFonts w:eastAsia="SimSun" w:cs="Mangal"/>
          <w:kern w:val="3"/>
          <w:lang w:eastAsia="zh-CN" w:bidi="hi-IN"/>
        </w:rPr>
      </w:pPr>
      <w:r>
        <w:t>Recordkeeping requirements</w:t>
      </w:r>
      <w:r w:rsidR="005E7842">
        <w:t>, including</w:t>
      </w:r>
      <w:r w:rsidRPr="00782138" w:rsidR="00782138">
        <w:t xml:space="preserve"> </w:t>
      </w:r>
      <w:r w:rsidRPr="0EE4E124" w:rsidR="00782138">
        <w:rPr>
          <w:rFonts w:eastAsia="SimSun" w:cs="Mangal"/>
          <w:kern w:val="3"/>
          <w:lang w:eastAsia="zh-CN" w:bidi="hi-IN"/>
        </w:rPr>
        <w:t>assigning a number to each batch of renewable electricity consisting of their EPA-issued company registration number, the EPA-issued facility registration number, the last two digits of the calendar year in which the batch was produced, and a unique number for the batch, beginning with the number one for the first batch produced each calendar year and each subsequent batch during the calendar year being assigned the next sequential number (e.g., 4321-54321-23-000001, 4321-54321-23-000002, etc.).</w:t>
      </w:r>
      <w:r w:rsidRPr="0EE4E124" w:rsidR="00602C6E">
        <w:rPr>
          <w:rFonts w:eastAsia="SimSun" w:cs="Mangal"/>
          <w:kern w:val="3"/>
          <w:lang w:eastAsia="zh-CN" w:bidi="hi-IN"/>
        </w:rPr>
        <w:t xml:space="preserve"> </w:t>
      </w:r>
      <w:r w:rsidRPr="0EE4E124" w:rsidR="008F4308">
        <w:rPr>
          <w:rFonts w:eastAsia="SimSun" w:cs="Mangal"/>
          <w:kern w:val="3"/>
          <w:lang w:eastAsia="zh-CN" w:bidi="hi-IN"/>
        </w:rPr>
        <w:t xml:space="preserve"> </w:t>
      </w:r>
      <w:r>
        <w:t>A renewable electricity generator must create and maintain records under §80.155.</w:t>
      </w:r>
      <w:r w:rsidR="008F4308">
        <w:t xml:space="preserve"> </w:t>
      </w:r>
      <w:r>
        <w:t xml:space="preserve">On each occasion when a renewable electricity generator transfers RIN generation allotment to a RIN generator, the transferor must provide to the transferee PTDs </w:t>
      </w:r>
      <w:r>
        <w:t>under §80.160.</w:t>
      </w:r>
      <w:r w:rsidR="00A94CB1">
        <w:t xml:space="preserve"> </w:t>
      </w:r>
      <w:r>
        <w:t>A renewable electricity generator must measure renewable electricity in accordance with §80.165.</w:t>
      </w:r>
      <w:r w:rsidRPr="000E4374" w:rsidR="000E4374">
        <w:t xml:space="preserve"> </w:t>
      </w:r>
      <w:r w:rsidR="00625D6F">
        <w:t xml:space="preserve">A renewable energy generator must perform the </w:t>
      </w:r>
      <w:r w:rsidRPr="000E4374" w:rsidR="000E4374">
        <w:t>calculations in proposed regulation to determine RINs for batches of renewable electricity by D-Code.</w:t>
      </w:r>
    </w:p>
    <w:p w:rsidR="00D17BF4" w:rsidP="00625D6F" w14:paraId="0B6C33DD" w14:textId="270EF26B">
      <w:pPr>
        <w:pStyle w:val="Standard"/>
        <w:ind w:left="1440"/>
        <w:outlineLvl w:val="1"/>
      </w:pPr>
    </w:p>
    <w:p w:rsidR="001B178D" w:rsidP="00511D27" w14:paraId="0376B51D" w14:textId="6B2EDAEF">
      <w:pPr>
        <w:pStyle w:val="Standard"/>
        <w:ind w:firstLine="720"/>
        <w:outlineLvl w:val="1"/>
      </w:pPr>
      <w:r w:rsidRPr="001B178D">
        <w:rPr>
          <w:i/>
          <w:iCs/>
        </w:rPr>
        <w:t>Renewable Electricity RIN Generators (RERGS) (Table III)</w:t>
      </w:r>
      <w:r w:rsidR="00BE71AD">
        <w:rPr>
          <w:i/>
          <w:iCs/>
        </w:rPr>
        <w:t xml:space="preserve"> </w:t>
      </w:r>
      <w:r w:rsidRPr="002F12AC" w:rsidR="00511D27">
        <w:t>We estimate 50 respondents, to correspond to the number of original equipment manufacturers (OEMs) who sell vehicles to the U.S. market.</w:t>
      </w:r>
      <w:r w:rsidRPr="002F12AC" w:rsidR="003D2885">
        <w:t xml:space="preserve"> We do not know if there will be any foreign RERG</w:t>
      </w:r>
      <w:r w:rsidR="00C53077">
        <w:t xml:space="preserve">s </w:t>
      </w:r>
      <w:r w:rsidRPr="002F12AC" w:rsidR="003522CA">
        <w:t xml:space="preserve"> and have estimated </w:t>
      </w:r>
      <w:r w:rsidR="002F12AC">
        <w:t>one (</w:t>
      </w:r>
      <w:r w:rsidRPr="002F12AC" w:rsidR="003522CA">
        <w:t>1</w:t>
      </w:r>
      <w:r w:rsidR="002F12AC">
        <w:t>) foreign</w:t>
      </w:r>
      <w:r w:rsidRPr="002F12AC" w:rsidR="003522CA">
        <w:t xml:space="preserve"> respondent for purposes of these estimates.</w:t>
      </w:r>
      <w:r w:rsidR="003522CA">
        <w:t xml:space="preserve"> </w:t>
      </w:r>
    </w:p>
    <w:p w:rsidR="00B6069A" w:rsidRPr="00862D89" w:rsidP="00511D27" w14:paraId="584659EF" w14:textId="77777777">
      <w:pPr>
        <w:pStyle w:val="Standard"/>
        <w:ind w:firstLine="720"/>
        <w:outlineLvl w:val="1"/>
      </w:pPr>
    </w:p>
    <w:p w:rsidR="002F12AC" w:rsidP="000415A8" w14:paraId="5E517985" w14:textId="77777777">
      <w:pPr>
        <w:pStyle w:val="ListParagraph"/>
        <w:numPr>
          <w:ilvl w:val="0"/>
          <w:numId w:val="15"/>
        </w:numPr>
        <w:rPr>
          <w:rFonts w:eastAsia="SimSun" w:cs="Mangal"/>
          <w:kern w:val="3"/>
          <w:szCs w:val="24"/>
          <w:lang w:eastAsia="zh-CN" w:bidi="hi-IN"/>
        </w:rPr>
      </w:pPr>
      <w:r>
        <w:t xml:space="preserve">Reporting requirements, include registration under </w:t>
      </w:r>
      <w:r w:rsidRPr="002F12AC" w:rsidR="00251638">
        <w:rPr>
          <w:rFonts w:eastAsia="SimSun" w:cs="Mangal"/>
          <w:kern w:val="3"/>
          <w:szCs w:val="24"/>
          <w:lang w:eastAsia="zh-CN" w:bidi="hi-IN"/>
        </w:rPr>
        <w:t>§§80.145, 80.1450, and 40 CFR part 1090, subpart I, as applicable.</w:t>
      </w:r>
      <w:r w:rsidRPr="00F230BA" w:rsidR="00F230BA">
        <w:t xml:space="preserve"> </w:t>
      </w:r>
      <w:r w:rsidRPr="00930AA9" w:rsidR="00930AA9">
        <w:t xml:space="preserve">Registration consists of both submission of basic, overhead information necessary to set up access for registration and reporting and submission of more detailed program information. Appendix A breaks out these burdens for its estimates. </w:t>
      </w:r>
      <w:r w:rsidRPr="002F12AC" w:rsidR="00F230BA">
        <w:rPr>
          <w:rFonts w:eastAsia="SimSun" w:cs="Mangal"/>
          <w:kern w:val="3"/>
          <w:szCs w:val="24"/>
          <w:lang w:eastAsia="zh-CN" w:bidi="hi-IN"/>
        </w:rPr>
        <w:t>A RERG must submit reports to EPA under §§80.150</w:t>
      </w:r>
      <w:r w:rsidRPr="002F12AC" w:rsidR="009B30C5">
        <w:rPr>
          <w:rFonts w:eastAsia="SimSun" w:cs="Mangal"/>
          <w:kern w:val="3"/>
          <w:szCs w:val="24"/>
          <w:lang w:eastAsia="zh-CN" w:bidi="hi-IN"/>
        </w:rPr>
        <w:t xml:space="preserve">, </w:t>
      </w:r>
      <w:r w:rsidRPr="002F12AC" w:rsidR="00F230BA">
        <w:rPr>
          <w:rFonts w:eastAsia="SimSun" w:cs="Mangal"/>
          <w:kern w:val="3"/>
          <w:szCs w:val="24"/>
          <w:lang w:eastAsia="zh-CN" w:bidi="hi-IN"/>
        </w:rPr>
        <w:t>80.1451</w:t>
      </w:r>
      <w:r w:rsidRPr="002F12AC" w:rsidR="00B91930">
        <w:rPr>
          <w:rFonts w:eastAsia="SimSun" w:cs="Mangal"/>
          <w:kern w:val="3"/>
          <w:szCs w:val="24"/>
          <w:lang w:eastAsia="zh-CN" w:bidi="hi-IN"/>
        </w:rPr>
        <w:t>, and 80.1452</w:t>
      </w:r>
      <w:r w:rsidRPr="002F12AC" w:rsidR="00F230BA">
        <w:rPr>
          <w:rFonts w:eastAsia="SimSun" w:cs="Mangal"/>
          <w:kern w:val="3"/>
          <w:szCs w:val="24"/>
          <w:lang w:eastAsia="zh-CN" w:bidi="hi-IN"/>
        </w:rPr>
        <w:t>.</w:t>
      </w:r>
      <w:r w:rsidRPr="00C46DA2" w:rsidR="00C46DA2">
        <w:t xml:space="preserve"> </w:t>
      </w:r>
      <w:r w:rsidR="008D6451">
        <w:t xml:space="preserve">A RERG must enter RIN transactions in EMTS. </w:t>
      </w:r>
      <w:r w:rsidRPr="002F12AC" w:rsidR="00C46DA2">
        <w:rPr>
          <w:rFonts w:eastAsia="SimSun" w:cs="Mangal"/>
          <w:kern w:val="3"/>
          <w:szCs w:val="24"/>
          <w:lang w:eastAsia="zh-CN" w:bidi="hi-IN"/>
        </w:rPr>
        <w:t>A RERG must submit annual attest engagement reports to EPA under §§80.175 and 80.1464 using procedures specified in 40 CFR 1090.1800 and 1090.1805.</w:t>
      </w:r>
      <w:r w:rsidRPr="0038181B" w:rsidR="0038181B">
        <w:t xml:space="preserve"> </w:t>
      </w:r>
      <w:r w:rsidRPr="00D2749B" w:rsidR="00D2749B">
        <w:t xml:space="preserve">Association with an auditor must be performed as part of registration. </w:t>
      </w:r>
      <w:r w:rsidRPr="002F12AC" w:rsidR="0038181B">
        <w:rPr>
          <w:rFonts w:eastAsia="SimSun" w:cs="Mangal"/>
          <w:kern w:val="3"/>
          <w:szCs w:val="24"/>
          <w:lang w:eastAsia="zh-CN" w:bidi="hi-IN"/>
        </w:rPr>
        <w:t>Prior to the generation of a Q-RIN from renewable electricity, a RERG must have an approved QAP under §80.180.</w:t>
      </w:r>
    </w:p>
    <w:p w:rsidR="003B425A" w:rsidRPr="002F12AC" w:rsidP="000415A8" w14:paraId="203AA6B3" w14:textId="57973177">
      <w:pPr>
        <w:pStyle w:val="ListParagraph"/>
        <w:numPr>
          <w:ilvl w:val="0"/>
          <w:numId w:val="15"/>
        </w:numPr>
        <w:rPr>
          <w:rFonts w:eastAsia="SimSun" w:cs="Mangal"/>
          <w:kern w:val="3"/>
          <w:szCs w:val="24"/>
          <w:lang w:eastAsia="zh-CN" w:bidi="hi-IN"/>
        </w:rPr>
      </w:pPr>
      <w:r w:rsidRPr="002F12AC">
        <w:rPr>
          <w:rFonts w:eastAsia="SimSun" w:cs="Mangal"/>
          <w:kern w:val="3"/>
          <w:szCs w:val="24"/>
          <w:lang w:eastAsia="zh-CN" w:bidi="hi-IN"/>
        </w:rPr>
        <w:t>Recordkeeping</w:t>
      </w:r>
      <w:r w:rsidRPr="002F12AC" w:rsidR="009E3D0A">
        <w:rPr>
          <w:rFonts w:eastAsia="SimSun" w:cs="Mangal"/>
          <w:kern w:val="3"/>
          <w:szCs w:val="24"/>
          <w:lang w:eastAsia="zh-CN" w:bidi="hi-IN"/>
        </w:rPr>
        <w:t xml:space="preserve"> requirements</w:t>
      </w:r>
      <w:r w:rsidRPr="002F12AC">
        <w:rPr>
          <w:rFonts w:eastAsia="SimSun" w:cs="Mangal"/>
          <w:kern w:val="3"/>
          <w:szCs w:val="24"/>
          <w:lang w:eastAsia="zh-CN" w:bidi="hi-IN"/>
        </w:rPr>
        <w:t xml:space="preserve">, including </w:t>
      </w:r>
      <w:r w:rsidRPr="002F12AC" w:rsidR="00D02F62">
        <w:rPr>
          <w:rFonts w:eastAsia="SimSun" w:cs="Mangal"/>
          <w:kern w:val="3"/>
          <w:szCs w:val="24"/>
          <w:lang w:eastAsia="zh-CN" w:bidi="hi-IN"/>
        </w:rPr>
        <w:t>creating and maintaining records under §§80.155 and 80.1454. On each occasion when a RERG transfers RINs to another party, the transferor must provide to the transferee PTDs under §§80.160 and 80.1453.</w:t>
      </w:r>
    </w:p>
    <w:p w:rsidR="00BE71AD" w:rsidRPr="00B6069A" w:rsidP="00B6069A" w14:paraId="0958FFA2" w14:textId="77777777">
      <w:pPr>
        <w:ind w:left="720"/>
        <w:rPr>
          <w:rFonts w:eastAsia="SimSun" w:cs="Mangal"/>
          <w:kern w:val="3"/>
          <w:szCs w:val="24"/>
          <w:lang w:eastAsia="zh-CN" w:bidi="hi-IN"/>
        </w:rPr>
      </w:pPr>
    </w:p>
    <w:p w:rsidR="002F12AC" w:rsidP="002F12AC" w14:paraId="0E7B9C6C" w14:textId="33AC3342">
      <w:pPr>
        <w:ind w:firstLine="720"/>
        <w:rPr>
          <w:color w:val="FF0000"/>
        </w:rPr>
      </w:pPr>
      <w:r w:rsidRPr="00B6069A">
        <w:rPr>
          <w:i/>
          <w:iCs/>
        </w:rPr>
        <w:t>RNG producers, RNG importers, and producers of biogas-derived renewable fuel in a closed system</w:t>
      </w:r>
      <w:r w:rsidR="002A0680">
        <w:rPr>
          <w:i/>
          <w:iCs/>
        </w:rPr>
        <w:t xml:space="preserve">; Separated Food Waste (SFW) Provisions </w:t>
      </w:r>
      <w:r w:rsidRPr="00B6069A">
        <w:rPr>
          <w:i/>
          <w:iCs/>
        </w:rPr>
        <w:t xml:space="preserve"> (Table IV)</w:t>
      </w:r>
      <w:r>
        <w:t xml:space="preserve"> </w:t>
      </w:r>
      <w:r>
        <w:t xml:space="preserve">- we assume </w:t>
      </w:r>
      <w:r w:rsidR="00B86EE8">
        <w:t xml:space="preserve">176 existing and 90 new respondents, total, as explained in detail in Appendix A. </w:t>
      </w:r>
    </w:p>
    <w:p w:rsidR="002F12AC" w:rsidP="00B72CBA" w14:paraId="7C1BEF03" w14:textId="77777777">
      <w:pPr>
        <w:pStyle w:val="ListParagraph"/>
        <w:numPr>
          <w:ilvl w:val="0"/>
          <w:numId w:val="16"/>
        </w:numPr>
        <w:rPr>
          <w:color w:val="000000" w:themeColor="text1"/>
        </w:rPr>
      </w:pPr>
      <w:r w:rsidRPr="002F12AC">
        <w:rPr>
          <w:color w:val="000000" w:themeColor="text1"/>
        </w:rPr>
        <w:t xml:space="preserve">Reporting requirements, including </w:t>
      </w:r>
      <w:r w:rsidRPr="002F12AC" w:rsidR="00350B68">
        <w:rPr>
          <w:color w:val="000000" w:themeColor="text1"/>
        </w:rPr>
        <w:t xml:space="preserve">registration with EPA under §§80.145, 80.1450, and 40 CFR part 1090, subpart I, as applicable. </w:t>
      </w:r>
      <w:r w:rsidRPr="002F12AC" w:rsidR="00A4309E">
        <w:rPr>
          <w:color w:val="000000" w:themeColor="text1"/>
        </w:rPr>
        <w:t xml:space="preserve">Registration consists of both submission of basic, overhead information necessary to set up access for registration and reporting and submission of more detailed program information. Appendix A breaks out these burdens for its estimates. </w:t>
      </w:r>
      <w:r w:rsidRPr="002F12AC" w:rsidR="00350B68">
        <w:rPr>
          <w:color w:val="000000" w:themeColor="text1"/>
        </w:rPr>
        <w:t>Submitting reports to EPA under §§80.150</w:t>
      </w:r>
      <w:r w:rsidRPr="002F12AC" w:rsidR="009B30C5">
        <w:rPr>
          <w:color w:val="000000" w:themeColor="text1"/>
        </w:rPr>
        <w:t xml:space="preserve">, </w:t>
      </w:r>
      <w:r w:rsidRPr="002F12AC" w:rsidR="00350B68">
        <w:rPr>
          <w:color w:val="000000" w:themeColor="text1"/>
        </w:rPr>
        <w:t>80.1451</w:t>
      </w:r>
      <w:r w:rsidRPr="002F12AC" w:rsidR="009B30C5">
        <w:rPr>
          <w:color w:val="000000" w:themeColor="text1"/>
        </w:rPr>
        <w:t xml:space="preserve"> and 80.1452</w:t>
      </w:r>
      <w:r w:rsidRPr="002F12AC" w:rsidR="00350B68">
        <w:rPr>
          <w:color w:val="000000" w:themeColor="text1"/>
        </w:rPr>
        <w:t>.</w:t>
      </w:r>
      <w:r w:rsidRPr="007B1ED8" w:rsidR="007B1ED8">
        <w:t xml:space="preserve"> </w:t>
      </w:r>
      <w:bookmarkStart w:id="1" w:name="_Hlk110347669"/>
      <w:r w:rsidRPr="002F12AC" w:rsidR="007B1ED8">
        <w:rPr>
          <w:color w:val="000000" w:themeColor="text1"/>
        </w:rPr>
        <w:t>Respondents must assign a number (the “batch number”) to each batch of RNG consisting of their EPA-issued company registration number, the EPA-issued facility registration number, the last two digits of the calendar year in which the batch was produced, and a unique number for the batch, beginning with the number one for the first batch produced each calendar year and each subsequent batch during the calendar year being assigned the next sequential number (e.g., 4321-54321-23-000001, 4321-54321-23-000002, etc.).</w:t>
      </w:r>
      <w:r w:rsidRPr="002F12AC" w:rsidR="00B07349">
        <w:rPr>
          <w:color w:val="000000" w:themeColor="text1"/>
        </w:rPr>
        <w:t xml:space="preserve"> </w:t>
      </w:r>
      <w:bookmarkEnd w:id="1"/>
      <w:r w:rsidRPr="002F12AC" w:rsidR="00B07349">
        <w:rPr>
          <w:color w:val="000000" w:themeColor="text1"/>
        </w:rPr>
        <w:t>The respondent must submit annual attest engagement reports to EPA under §§80.175 and 80.1464 using procedures specified in 40 CFR 1090.1800 and 1090.1805.</w:t>
      </w:r>
      <w:r w:rsidRPr="00823D4E" w:rsidR="00823D4E">
        <w:t xml:space="preserve"> </w:t>
      </w:r>
      <w:r w:rsidRPr="00D2749B" w:rsidR="00D2749B">
        <w:t xml:space="preserve">Association with an auditor must be performed as part of registration. </w:t>
      </w:r>
      <w:r w:rsidRPr="002F12AC" w:rsidR="00823D4E">
        <w:rPr>
          <w:color w:val="000000" w:themeColor="text1"/>
        </w:rPr>
        <w:t xml:space="preserve">Prior to the generation of a Q-RIN for RNG, an RNG producer or foreign RNG producer must have an approved QAP under §80.180 if the RNG </w:t>
      </w:r>
      <w:r w:rsidRPr="002F12AC" w:rsidR="00823D4E">
        <w:rPr>
          <w:color w:val="000000" w:themeColor="text1"/>
        </w:rPr>
        <w:t>producer’s or foreign RNG producer’s RNG is intended for use to make renewable electricity or to be used as a biointermediate.</w:t>
      </w:r>
    </w:p>
    <w:p w:rsidR="002A0680" w:rsidRPr="002A0680" w:rsidP="00AC723C" w14:paraId="10D7065C" w14:textId="77777777">
      <w:pPr>
        <w:pStyle w:val="ListParagraph"/>
        <w:numPr>
          <w:ilvl w:val="0"/>
          <w:numId w:val="16"/>
        </w:numPr>
        <w:ind w:left="720"/>
        <w:rPr>
          <w:color w:val="000000" w:themeColor="text1"/>
        </w:rPr>
      </w:pPr>
      <w:r w:rsidRPr="002A0680">
        <w:rPr>
          <w:color w:val="000000" w:themeColor="text1"/>
        </w:rPr>
        <w:t xml:space="preserve">Recordkeeping requirements, including Respondents </w:t>
      </w:r>
      <w:r w:rsidRPr="002A0680" w:rsidR="008F4308">
        <w:rPr>
          <w:color w:val="000000" w:themeColor="text1"/>
        </w:rPr>
        <w:t xml:space="preserve">assigning a </w:t>
      </w:r>
      <w:r w:rsidRPr="002A0680">
        <w:rPr>
          <w:color w:val="000000" w:themeColor="text1"/>
        </w:rPr>
        <w:t>number (the “batch number”) to each batch of RNG consisting of their EPA-issued company registration number, the EPA-issued facility registration number, the last two digits of the calendar year in which the batch was produced, and a unique number for the batch, beginning with the number one for the first batch produced each calendar year and each subsequent batch during the calendar year being assigned the next sequential number (e.g., 4321-54321-23-000001, 4321-54321-23-000002, etc.).</w:t>
      </w:r>
      <w:r w:rsidRPr="002A0680" w:rsidR="008F4308">
        <w:rPr>
          <w:color w:val="000000" w:themeColor="text1"/>
        </w:rPr>
        <w:t xml:space="preserve"> </w:t>
      </w:r>
      <w:r w:rsidRPr="002A0680" w:rsidR="0024372F">
        <w:rPr>
          <w:color w:val="000000" w:themeColor="text1"/>
        </w:rPr>
        <w:t xml:space="preserve">The party must create and maintain records under §§80.155 and 80.1454. </w:t>
      </w:r>
      <w:r w:rsidRPr="002A0680" w:rsidR="00F93A04">
        <w:rPr>
          <w:color w:val="000000" w:themeColor="text1"/>
        </w:rPr>
        <w:t>On each occasion when the party transfers RNG, renewable fuel, or RINs to another party, the transferor must provide to the transferee PTDs under §§80.160 and 80.1453.</w:t>
      </w:r>
      <w:r w:rsidRPr="00B375BE" w:rsidR="00B375BE">
        <w:t xml:space="preserve"> </w:t>
      </w:r>
    </w:p>
    <w:p w:rsidR="002A0680" w:rsidRPr="002A0680" w:rsidP="00AC723C" w14:paraId="505AF09F" w14:textId="3F8FF5D7">
      <w:pPr>
        <w:pStyle w:val="ListParagraph"/>
        <w:numPr>
          <w:ilvl w:val="0"/>
          <w:numId w:val="16"/>
        </w:numPr>
        <w:ind w:left="720"/>
        <w:rPr>
          <w:color w:val="000000" w:themeColor="text1"/>
        </w:rPr>
      </w:pPr>
      <w:r w:rsidRPr="002A0680">
        <w:rPr>
          <w:color w:val="000000" w:themeColor="text1"/>
        </w:rPr>
        <w:t xml:space="preserve">For the proposed SFW provisions, there are both recordkeeping and reporting burdens calculated in this table. This proposed burden is related to alternative recordkeeping provisions and are proposed in </w:t>
      </w:r>
      <w:r w:rsidRPr="002A0680">
        <w:rPr>
          <w:rFonts w:cs="Times New Roman"/>
          <w:color w:val="000000" w:themeColor="text1"/>
        </w:rPr>
        <w:t>§</w:t>
      </w:r>
      <w:r w:rsidRPr="002A0680">
        <w:rPr>
          <w:color w:val="000000" w:themeColor="text1"/>
        </w:rPr>
        <w:t xml:space="preserve">80.1479 in the NPRM. </w:t>
      </w:r>
    </w:p>
    <w:p w:rsidR="00C467C2" w:rsidP="00C467C2" w14:paraId="7BF76C8D" w14:textId="77777777">
      <w:pPr>
        <w:ind w:left="720"/>
        <w:rPr>
          <w:color w:val="000000" w:themeColor="text1"/>
        </w:rPr>
      </w:pPr>
    </w:p>
    <w:p w:rsidR="00C53077" w:rsidRPr="00C53077" w:rsidP="00501432" w14:paraId="1D408FAD" w14:textId="086033EC">
      <w:pPr>
        <w:ind w:left="720"/>
        <w:rPr>
          <w:color w:val="000000" w:themeColor="text1"/>
        </w:rPr>
      </w:pPr>
      <w:r w:rsidRPr="00C467C2">
        <w:rPr>
          <w:i/>
          <w:iCs/>
          <w:color w:val="000000" w:themeColor="text1"/>
        </w:rPr>
        <w:t xml:space="preserve">QAP Providers (Table V) </w:t>
      </w:r>
      <w:r>
        <w:rPr>
          <w:color w:val="000000" w:themeColor="text1"/>
        </w:rPr>
        <w:t xml:space="preserve">We estimate </w:t>
      </w:r>
      <w:r>
        <w:rPr>
          <w:color w:val="000000" w:themeColor="text1"/>
        </w:rPr>
        <w:t xml:space="preserve">three (3) respondents. </w:t>
      </w:r>
      <w:r w:rsidR="00F168F2">
        <w:rPr>
          <w:color w:val="000000" w:themeColor="text1"/>
        </w:rPr>
        <w:t xml:space="preserve">We do not anticipate new QAP providers registering </w:t>
      </w:r>
      <w:r w:rsidR="007E56D7">
        <w:rPr>
          <w:color w:val="000000" w:themeColor="text1"/>
        </w:rPr>
        <w:t xml:space="preserve">under </w:t>
      </w:r>
      <w:r w:rsidR="00F168F2">
        <w:rPr>
          <w:color w:val="000000" w:themeColor="text1"/>
        </w:rPr>
        <w:t xml:space="preserve">this </w:t>
      </w:r>
      <w:r w:rsidR="00501432">
        <w:rPr>
          <w:color w:val="000000" w:themeColor="text1"/>
        </w:rPr>
        <w:t>proposed regulation. QAP providers will have Reporting</w:t>
      </w:r>
      <w:r w:rsidR="007E56D7">
        <w:rPr>
          <w:color w:val="000000" w:themeColor="text1"/>
        </w:rPr>
        <w:t xml:space="preserve"> requirements </w:t>
      </w:r>
      <w:r w:rsidR="008C683E">
        <w:rPr>
          <w:color w:val="000000" w:themeColor="text1"/>
        </w:rPr>
        <w:t>like</w:t>
      </w:r>
      <w:r w:rsidR="007E56D7">
        <w:rPr>
          <w:color w:val="000000" w:themeColor="text1"/>
        </w:rPr>
        <w:t xml:space="preserve"> those that already exist under the RFS program</w:t>
      </w:r>
      <w:r w:rsidR="00501432">
        <w:rPr>
          <w:color w:val="000000" w:themeColor="text1"/>
        </w:rPr>
        <w:t xml:space="preserve">, including </w:t>
      </w:r>
      <w:r w:rsidR="007E56D7">
        <w:rPr>
          <w:color w:val="000000" w:themeColor="text1"/>
        </w:rPr>
        <w:t>batch and RIN verification, and related to potentially invalid</w:t>
      </w:r>
      <w:r w:rsidR="00AA672C">
        <w:rPr>
          <w:color w:val="000000" w:themeColor="text1"/>
        </w:rPr>
        <w:t xml:space="preserve"> RINs</w:t>
      </w:r>
      <w:r w:rsidR="007E56D7">
        <w:rPr>
          <w:color w:val="000000" w:themeColor="text1"/>
        </w:rPr>
        <w:t xml:space="preserve">. </w:t>
      </w:r>
    </w:p>
    <w:p w:rsidR="007B1ED8" w:rsidP="00823D4E" w14:paraId="652A6532" w14:textId="24B8BE47">
      <w:pPr>
        <w:pStyle w:val="ListParagraph"/>
        <w:ind w:left="1440"/>
        <w:rPr>
          <w:color w:val="000000" w:themeColor="text1"/>
        </w:rPr>
      </w:pPr>
    </w:p>
    <w:p w:rsidR="001135B3" w:rsidP="001135B3" w14:paraId="04F7345C" w14:textId="77777777">
      <w:pPr>
        <w:pStyle w:val="ListParagraph"/>
        <w:ind w:left="0" w:firstLine="720"/>
        <w:rPr>
          <w:color w:val="000000" w:themeColor="text1"/>
        </w:rPr>
      </w:pPr>
      <w:r w:rsidRPr="009F50D7">
        <w:rPr>
          <w:i/>
          <w:iCs/>
          <w:color w:val="000000" w:themeColor="text1"/>
        </w:rPr>
        <w:t xml:space="preserve">RNG RIN Separators (Table V) </w:t>
      </w:r>
      <w:r>
        <w:rPr>
          <w:color w:val="000000" w:themeColor="text1"/>
        </w:rPr>
        <w:t xml:space="preserve">We anticipate 300 existing, and 150 new, respondents for a total of 450 respondents. </w:t>
      </w:r>
    </w:p>
    <w:p w:rsidR="001135B3" w:rsidP="00D57716" w14:paraId="6E076BCE" w14:textId="196BFA1D">
      <w:pPr>
        <w:pStyle w:val="ListParagraph"/>
        <w:numPr>
          <w:ilvl w:val="0"/>
          <w:numId w:val="17"/>
        </w:numPr>
        <w:rPr>
          <w:color w:val="000000" w:themeColor="text1"/>
        </w:rPr>
      </w:pPr>
      <w:r w:rsidRPr="001135B3">
        <w:rPr>
          <w:color w:val="000000" w:themeColor="text1"/>
        </w:rPr>
        <w:t>Reporting, including</w:t>
      </w:r>
      <w:r w:rsidRPr="00FC148A">
        <w:t xml:space="preserve"> </w:t>
      </w:r>
      <w:r w:rsidRPr="001135B3">
        <w:rPr>
          <w:color w:val="000000" w:themeColor="text1"/>
        </w:rPr>
        <w:t xml:space="preserve">registration with EPA under §§80.145, 80.1450, and 40 CFR part 1090, subpart I, as applicable. </w:t>
      </w:r>
      <w:r w:rsidRPr="001135B3" w:rsidR="00A4309E">
        <w:rPr>
          <w:color w:val="000000" w:themeColor="text1"/>
        </w:rPr>
        <w:t xml:space="preserve">Registration consists of both submission of basic, overhead information necessary to set up access for registration and reporting and submission of more detailed program information. Appendix A breaks out these burdens for its estimates. </w:t>
      </w:r>
      <w:r w:rsidRPr="001135B3">
        <w:rPr>
          <w:color w:val="000000" w:themeColor="text1"/>
        </w:rPr>
        <w:t>An RNG separator must submit reports to EPA under §§80.150</w:t>
      </w:r>
      <w:r w:rsidRPr="001135B3" w:rsidR="00D879C4">
        <w:rPr>
          <w:color w:val="000000" w:themeColor="text1"/>
        </w:rPr>
        <w:t xml:space="preserve">, </w:t>
      </w:r>
      <w:r w:rsidRPr="001135B3">
        <w:rPr>
          <w:color w:val="000000" w:themeColor="text1"/>
        </w:rPr>
        <w:t>80.145</w:t>
      </w:r>
      <w:r w:rsidR="00D13DC4">
        <w:rPr>
          <w:color w:val="000000" w:themeColor="text1"/>
        </w:rPr>
        <w:t xml:space="preserve">1. </w:t>
      </w:r>
      <w:r w:rsidRPr="001135B3" w:rsidR="00DB474A">
        <w:rPr>
          <w:color w:val="000000" w:themeColor="text1"/>
        </w:rPr>
        <w:t>Respondents must submit annual attest engagement reports to EPA under §§80.175 and 80.1464 using procedures specified in 40 CFR 1090.1800 and 1090.1805.</w:t>
      </w:r>
      <w:r w:rsidRPr="00D2749B" w:rsidR="00D2749B">
        <w:t xml:space="preserve"> </w:t>
      </w:r>
      <w:r w:rsidRPr="001135B3" w:rsidR="00D2749B">
        <w:rPr>
          <w:color w:val="000000" w:themeColor="text1"/>
        </w:rPr>
        <w:t>Association with an auditor must be performed as part of registration.</w:t>
      </w:r>
    </w:p>
    <w:p w:rsidR="001059D0" w:rsidRPr="001135B3" w:rsidP="00D57716" w14:paraId="137EC357" w14:textId="48728FE7">
      <w:pPr>
        <w:pStyle w:val="ListParagraph"/>
        <w:numPr>
          <w:ilvl w:val="0"/>
          <w:numId w:val="17"/>
        </w:numPr>
        <w:rPr>
          <w:color w:val="000000" w:themeColor="text1"/>
        </w:rPr>
      </w:pPr>
      <w:r w:rsidRPr="001135B3">
        <w:rPr>
          <w:color w:val="000000" w:themeColor="text1"/>
        </w:rPr>
        <w:t xml:space="preserve">Recordkeeping, including </w:t>
      </w:r>
      <w:r w:rsidRPr="001135B3" w:rsidR="00A45C93">
        <w:rPr>
          <w:color w:val="000000" w:themeColor="text1"/>
        </w:rPr>
        <w:t>transfers title of the biogas-derived renewable fuel to another party, the transferor must provide to the transferee PTDs under §§80.160 and 80.1453.</w:t>
      </w:r>
      <w:r w:rsidRPr="001135B3">
        <w:rPr>
          <w:color w:val="000000" w:themeColor="text1"/>
        </w:rPr>
        <w:t xml:space="preserve"> RIN Separators must create and maintain records under §§80.155 and 80.1454.</w:t>
      </w:r>
    </w:p>
    <w:p w:rsidR="001059D0" w:rsidRPr="001059D0" w:rsidP="001059D0" w14:paraId="5C388B2C" w14:textId="77777777">
      <w:pPr>
        <w:pStyle w:val="ListParagraph"/>
        <w:rPr>
          <w:color w:val="000000" w:themeColor="text1"/>
        </w:rPr>
      </w:pPr>
    </w:p>
    <w:p w:rsidR="001059D0" w:rsidRPr="001059D0" w:rsidP="001059D0" w14:paraId="20404234" w14:textId="77777777">
      <w:pPr>
        <w:pStyle w:val="ListParagraph"/>
        <w:ind w:left="1440"/>
        <w:rPr>
          <w:color w:val="000000" w:themeColor="text1"/>
        </w:rPr>
      </w:pPr>
    </w:p>
    <w:p w:rsidR="00477B29" w:rsidRPr="009F50D7" w:rsidP="00A94CB1" w14:paraId="4AE1DBD2" w14:textId="33C21ABD">
      <w:pPr>
        <w:pStyle w:val="ListParagraph"/>
        <w:ind w:left="0"/>
        <w:rPr>
          <w:color w:val="000000" w:themeColor="text1"/>
        </w:rPr>
      </w:pPr>
      <w:r>
        <w:rPr>
          <w:color w:val="000000" w:themeColor="text1"/>
        </w:rPr>
        <w:t>Specific requirements for foreign entities are contained in §80.</w:t>
      </w:r>
      <w:r w:rsidR="00E47F31">
        <w:rPr>
          <w:color w:val="000000" w:themeColor="text1"/>
        </w:rPr>
        <w:t>170; items of recordkeeping and reporting are estimated</w:t>
      </w:r>
      <w:r w:rsidR="00B443AA">
        <w:rPr>
          <w:color w:val="000000" w:themeColor="text1"/>
        </w:rPr>
        <w:t xml:space="preserve">, with citations and </w:t>
      </w:r>
      <w:r w:rsidR="006A0141">
        <w:rPr>
          <w:color w:val="000000" w:themeColor="text1"/>
        </w:rPr>
        <w:t xml:space="preserve">forms </w:t>
      </w:r>
      <w:r w:rsidR="00E47F31">
        <w:rPr>
          <w:color w:val="000000" w:themeColor="text1"/>
        </w:rPr>
        <w:t>in Appendix A.</w:t>
      </w:r>
      <w:r w:rsidR="00AF529C">
        <w:rPr>
          <w:color w:val="000000" w:themeColor="text1"/>
        </w:rPr>
        <w:t xml:space="preserve"> </w:t>
      </w:r>
      <w:r w:rsidR="006A0141">
        <w:rPr>
          <w:color w:val="000000" w:themeColor="text1"/>
        </w:rPr>
        <w:t xml:space="preserve">All proposed forms have been docketed with the proposed rule. </w:t>
      </w:r>
    </w:p>
    <w:p w:rsidR="00B6069A" w:rsidRPr="00B6069A" w:rsidP="00BE71AD" w14:paraId="5E28AA16" w14:textId="77777777">
      <w:pPr>
        <w:ind w:firstLine="720"/>
        <w:rPr>
          <w:color w:val="000000" w:themeColor="text1"/>
        </w:rPr>
      </w:pPr>
    </w:p>
    <w:p w:rsidR="00B6069A" w:rsidRPr="00013D7B" w:rsidP="00BE71AD" w14:paraId="1B12BB69" w14:textId="77777777">
      <w:pPr>
        <w:ind w:firstLine="720"/>
        <w:rPr>
          <w:rFonts w:eastAsia="SimSun" w:cs="Mangal"/>
          <w:kern w:val="3"/>
          <w:szCs w:val="24"/>
          <w:lang w:eastAsia="zh-CN" w:bidi="hi-IN"/>
        </w:rPr>
      </w:pPr>
    </w:p>
    <w:p w:rsidR="003B425A" w:rsidRPr="003B425A" w:rsidP="003B425A" w14:paraId="0519F613" w14:textId="77777777">
      <w:pPr>
        <w:widowControl w:val="0"/>
        <w:suppressAutoHyphens/>
        <w:autoSpaceDN w:val="0"/>
        <w:ind w:left="720" w:hanging="720"/>
        <w:outlineLvl w:val="0"/>
        <w:rPr>
          <w:rFonts w:eastAsia="SimSun" w:cs="Mangal"/>
          <w:b/>
          <w:kern w:val="3"/>
          <w:szCs w:val="24"/>
          <w:u w:val="single"/>
          <w:lang w:eastAsia="zh-CN" w:bidi="hi-IN"/>
        </w:rPr>
      </w:pPr>
      <w:r w:rsidRPr="003B425A">
        <w:rPr>
          <w:rFonts w:eastAsia="SimSun" w:cs="Mangal"/>
          <w:b/>
          <w:kern w:val="3"/>
          <w:szCs w:val="24"/>
          <w:lang w:eastAsia="zh-CN" w:bidi="hi-IN"/>
        </w:rPr>
        <w:t>5.</w:t>
      </w:r>
      <w:r w:rsidRPr="003B425A">
        <w:rPr>
          <w:rFonts w:eastAsia="SimSun" w:cs="Mangal"/>
          <w:b/>
          <w:kern w:val="3"/>
          <w:szCs w:val="24"/>
          <w:lang w:eastAsia="zh-CN" w:bidi="hi-IN"/>
        </w:rPr>
        <w:tab/>
      </w:r>
      <w:r w:rsidRPr="003B425A">
        <w:rPr>
          <w:rFonts w:eastAsia="SimSun" w:cs="Mangal"/>
          <w:b/>
          <w:kern w:val="3"/>
          <w:szCs w:val="24"/>
          <w:u w:val="single"/>
          <w:lang w:eastAsia="zh-CN" w:bidi="hi-IN"/>
        </w:rPr>
        <w:t>The Information Collected, Agency Activities, Collection Methodology, and Information Management</w:t>
      </w:r>
    </w:p>
    <w:p w:rsidR="003B425A" w:rsidRPr="003B425A" w:rsidP="003B425A" w14:paraId="5001F099" w14:textId="77777777">
      <w:pPr>
        <w:widowControl w:val="0"/>
        <w:suppressAutoHyphens/>
        <w:autoSpaceDN w:val="0"/>
        <w:ind w:firstLine="720"/>
        <w:rPr>
          <w:rFonts w:eastAsia="SimSun" w:cs="Mangal"/>
          <w:b/>
          <w:kern w:val="3"/>
          <w:szCs w:val="24"/>
          <w:lang w:eastAsia="zh-CN" w:bidi="hi-IN"/>
        </w:rPr>
      </w:pPr>
    </w:p>
    <w:p w:rsidR="003B425A" w:rsidRPr="003B425A" w:rsidP="003B425A" w14:paraId="7577F22C" w14:textId="77777777">
      <w:pPr>
        <w:widowControl w:val="0"/>
        <w:suppressAutoHyphens/>
        <w:autoSpaceDN w:val="0"/>
        <w:ind w:firstLine="720"/>
        <w:outlineLvl w:val="1"/>
        <w:rPr>
          <w:rFonts w:eastAsia="SimSun" w:cs="Mangal"/>
          <w:b/>
          <w:kern w:val="3"/>
          <w:szCs w:val="24"/>
          <w:lang w:eastAsia="zh-CN" w:bidi="hi-IN"/>
        </w:rPr>
      </w:pPr>
      <w:r w:rsidRPr="003B425A">
        <w:rPr>
          <w:rFonts w:eastAsia="SimSun" w:cs="Mangal"/>
          <w:b/>
          <w:kern w:val="3"/>
          <w:szCs w:val="24"/>
          <w:lang w:eastAsia="zh-CN" w:bidi="hi-IN"/>
        </w:rPr>
        <w:t>5(a)</w:t>
      </w:r>
      <w:r w:rsidRPr="003B425A">
        <w:rPr>
          <w:rFonts w:eastAsia="SimSun" w:cs="Mangal"/>
          <w:b/>
          <w:kern w:val="3"/>
          <w:szCs w:val="24"/>
          <w:lang w:eastAsia="zh-CN" w:bidi="hi-IN"/>
        </w:rPr>
        <w:tab/>
        <w:t>Agency Activities</w:t>
      </w:r>
    </w:p>
    <w:p w:rsidR="003B425A" w:rsidRPr="003B425A" w:rsidP="003B425A" w14:paraId="159284F6" w14:textId="77777777">
      <w:pPr>
        <w:widowControl w:val="0"/>
        <w:suppressAutoHyphens/>
        <w:autoSpaceDN w:val="0"/>
        <w:ind w:firstLine="720"/>
        <w:rPr>
          <w:rFonts w:eastAsia="SimSun" w:cs="Mangal"/>
          <w:kern w:val="3"/>
          <w:szCs w:val="24"/>
          <w:lang w:eastAsia="zh-CN" w:bidi="hi-IN"/>
        </w:rPr>
      </w:pPr>
    </w:p>
    <w:p w:rsidR="003B425A" w:rsidRPr="003B425A" w:rsidP="003B425A" w14:paraId="31039853" w14:textId="77777777">
      <w:pPr>
        <w:widowControl w:val="0"/>
        <w:numPr>
          <w:ilvl w:val="0"/>
          <w:numId w:val="8"/>
        </w:numPr>
        <w:suppressAutoHyphens/>
        <w:autoSpaceDN w:val="0"/>
        <w:ind w:left="1080"/>
        <w:rPr>
          <w:rFonts w:eastAsia="SimSun" w:cs="Mangal"/>
          <w:kern w:val="3"/>
          <w:szCs w:val="24"/>
          <w:lang w:eastAsia="zh-CN" w:bidi="hi-IN"/>
        </w:rPr>
      </w:pPr>
      <w:r w:rsidRPr="003B425A">
        <w:rPr>
          <w:rFonts w:eastAsia="SimSun" w:cs="Mangal"/>
          <w:kern w:val="3"/>
          <w:szCs w:val="24"/>
          <w:lang w:eastAsia="zh-CN" w:bidi="hi-IN"/>
        </w:rPr>
        <w:t>All reports and registrations will be reviewed by the EPA for completeness and for potential violations.</w:t>
      </w:r>
    </w:p>
    <w:p w:rsidR="003B425A" w:rsidRPr="003B425A" w:rsidP="003B425A" w14:paraId="71F78283" w14:textId="77777777">
      <w:pPr>
        <w:widowControl w:val="0"/>
        <w:numPr>
          <w:ilvl w:val="0"/>
          <w:numId w:val="8"/>
        </w:numPr>
        <w:suppressAutoHyphens/>
        <w:autoSpaceDN w:val="0"/>
        <w:ind w:left="1080"/>
        <w:rPr>
          <w:rFonts w:eastAsia="SimSun" w:cs="Mangal"/>
          <w:kern w:val="3"/>
          <w:szCs w:val="24"/>
          <w:lang w:eastAsia="zh-CN" w:bidi="hi-IN"/>
        </w:rPr>
      </w:pPr>
      <w:r w:rsidRPr="003B425A">
        <w:rPr>
          <w:rFonts w:eastAsia="SimSun" w:cs="Mangal"/>
          <w:kern w:val="3"/>
          <w:szCs w:val="24"/>
          <w:lang w:eastAsia="zh-CN" w:bidi="hi-IN"/>
        </w:rPr>
        <w:t>Potential violations will be referred to enforcement personnel.</w:t>
      </w:r>
    </w:p>
    <w:p w:rsidR="003B425A" w:rsidRPr="003B425A" w:rsidP="003B425A" w14:paraId="3F56DE0A" w14:textId="77777777">
      <w:pPr>
        <w:widowControl w:val="0"/>
        <w:numPr>
          <w:ilvl w:val="0"/>
          <w:numId w:val="8"/>
        </w:numPr>
        <w:suppressAutoHyphens/>
        <w:autoSpaceDN w:val="0"/>
        <w:ind w:left="1080"/>
        <w:rPr>
          <w:rFonts w:eastAsia="SimSun" w:cs="Mangal"/>
          <w:kern w:val="3"/>
          <w:szCs w:val="24"/>
          <w:lang w:eastAsia="zh-CN" w:bidi="hi-IN"/>
        </w:rPr>
      </w:pPr>
      <w:r w:rsidRPr="003B425A">
        <w:rPr>
          <w:rFonts w:eastAsia="SimSun" w:cs="Mangal"/>
          <w:kern w:val="3"/>
          <w:szCs w:val="24"/>
          <w:lang w:eastAsia="zh-CN" w:bidi="hi-IN"/>
        </w:rPr>
        <w:t xml:space="preserve">Registration numbers will be issued for new registrants. </w:t>
      </w:r>
    </w:p>
    <w:p w:rsidR="003B425A" w:rsidRPr="003B425A" w:rsidP="003B425A" w14:paraId="0291089E" w14:textId="77777777">
      <w:pPr>
        <w:widowControl w:val="0"/>
        <w:numPr>
          <w:ilvl w:val="0"/>
          <w:numId w:val="8"/>
        </w:numPr>
        <w:suppressAutoHyphens/>
        <w:autoSpaceDN w:val="0"/>
        <w:ind w:left="1080"/>
        <w:rPr>
          <w:rFonts w:eastAsia="SimSun" w:cs="Mangal"/>
          <w:kern w:val="3"/>
          <w:szCs w:val="24"/>
          <w:lang w:eastAsia="zh-CN" w:bidi="hi-IN"/>
        </w:rPr>
      </w:pPr>
      <w:r w:rsidRPr="003B425A">
        <w:rPr>
          <w:rFonts w:eastAsia="SimSun" w:cs="Mangal"/>
          <w:kern w:val="3"/>
          <w:szCs w:val="24"/>
          <w:lang w:eastAsia="zh-CN" w:bidi="hi-IN"/>
        </w:rPr>
        <w:t>The EPA will contact reporting parties if there is a problem with their submission.</w:t>
      </w:r>
    </w:p>
    <w:p w:rsidR="003B425A" w:rsidRPr="003B425A" w:rsidP="003B425A" w14:paraId="110446DB" w14:textId="77777777">
      <w:pPr>
        <w:widowControl w:val="0"/>
        <w:suppressAutoHyphens/>
        <w:autoSpaceDN w:val="0"/>
        <w:ind w:firstLine="720"/>
        <w:rPr>
          <w:rFonts w:eastAsia="SimSun" w:cs="Mangal"/>
          <w:kern w:val="3"/>
          <w:szCs w:val="24"/>
          <w:lang w:eastAsia="zh-CN" w:bidi="hi-IN"/>
        </w:rPr>
      </w:pPr>
    </w:p>
    <w:p w:rsidR="003B425A" w:rsidRPr="003B425A" w:rsidP="003B425A" w14:paraId="6C1EEE8A" w14:textId="77777777">
      <w:pPr>
        <w:widowControl w:val="0"/>
        <w:suppressAutoHyphens/>
        <w:autoSpaceDN w:val="0"/>
        <w:ind w:firstLine="720"/>
        <w:outlineLvl w:val="1"/>
        <w:rPr>
          <w:rFonts w:eastAsia="SimSun" w:cs="Mangal"/>
          <w:b/>
          <w:kern w:val="3"/>
          <w:szCs w:val="24"/>
          <w:lang w:eastAsia="zh-CN" w:bidi="hi-IN"/>
        </w:rPr>
      </w:pPr>
      <w:r w:rsidRPr="003B425A">
        <w:rPr>
          <w:rFonts w:eastAsia="SimSun" w:cs="Mangal"/>
          <w:b/>
          <w:kern w:val="3"/>
          <w:szCs w:val="24"/>
          <w:lang w:eastAsia="zh-CN" w:bidi="hi-IN"/>
        </w:rPr>
        <w:t xml:space="preserve">5(b) </w:t>
      </w:r>
      <w:r w:rsidRPr="003B425A">
        <w:rPr>
          <w:rFonts w:eastAsia="SimSun" w:cs="Mangal"/>
          <w:b/>
          <w:kern w:val="3"/>
          <w:szCs w:val="24"/>
          <w:lang w:eastAsia="zh-CN" w:bidi="hi-IN"/>
        </w:rPr>
        <w:tab/>
        <w:t>Collection Methodology and Management</w:t>
      </w:r>
    </w:p>
    <w:p w:rsidR="003B425A" w:rsidRPr="003B425A" w:rsidP="003B425A" w14:paraId="79B210B3" w14:textId="77777777">
      <w:pPr>
        <w:suppressAutoHyphens/>
        <w:autoSpaceDN w:val="0"/>
        <w:ind w:firstLine="720"/>
        <w:rPr>
          <w:rFonts w:eastAsia="SimSun" w:cs="Mangal"/>
          <w:kern w:val="3"/>
          <w:szCs w:val="24"/>
          <w:lang w:eastAsia="zh-CN" w:bidi="hi-IN"/>
        </w:rPr>
      </w:pPr>
    </w:p>
    <w:p w:rsidR="003B425A" w:rsidRPr="003B425A" w:rsidP="003B425A" w14:paraId="3F37AADF" w14:textId="648B904A">
      <w:pPr>
        <w:autoSpaceDE w:val="0"/>
        <w:autoSpaceDN w:val="0"/>
        <w:adjustRightInd w:val="0"/>
        <w:ind w:firstLine="720"/>
        <w:rPr>
          <w:rFonts w:eastAsia="SimSun" w:cs="Times New Roman"/>
          <w:kern w:val="3"/>
          <w:szCs w:val="24"/>
          <w:lang w:eastAsia="zh-CN" w:bidi="hi-IN"/>
        </w:rPr>
      </w:pPr>
      <w:r w:rsidRPr="003B425A">
        <w:rPr>
          <w:rFonts w:eastAsia="SimSun" w:cs="Mangal"/>
          <w:kern w:val="3"/>
          <w:szCs w:val="24"/>
          <w:lang w:eastAsia="zh-CN" w:bidi="hi-IN"/>
        </w:rPr>
        <w:t>The EPA will</w:t>
      </w:r>
      <w:r w:rsidR="00B44D58">
        <w:rPr>
          <w:rFonts w:eastAsia="SimSun" w:cs="Mangal"/>
          <w:kern w:val="3"/>
          <w:szCs w:val="24"/>
          <w:lang w:eastAsia="zh-CN" w:bidi="hi-IN"/>
        </w:rPr>
        <w:t xml:space="preserve"> </w:t>
      </w:r>
      <w:r w:rsidRPr="003B425A">
        <w:rPr>
          <w:rFonts w:eastAsia="SimSun" w:cs="Mangal"/>
          <w:kern w:val="3"/>
          <w:szCs w:val="24"/>
          <w:lang w:eastAsia="zh-CN" w:bidi="hi-IN"/>
        </w:rPr>
        <w:t>continue to receive all reports, registrations, initial registrations, and updates</w:t>
      </w:r>
      <w:r w:rsidR="00B44D58">
        <w:rPr>
          <w:rFonts w:eastAsia="SimSun" w:cs="Mangal"/>
          <w:kern w:val="3"/>
          <w:szCs w:val="24"/>
          <w:lang w:eastAsia="zh-CN" w:bidi="hi-IN"/>
        </w:rPr>
        <w:t xml:space="preserve"> via existing reporting systems, which are grouped under the name of TeRRA and include DCFUEL and EMTS modules</w:t>
      </w:r>
      <w:r w:rsidRPr="003B425A">
        <w:rPr>
          <w:rFonts w:eastAsia="SimSun" w:cs="Mangal"/>
          <w:kern w:val="3"/>
          <w:szCs w:val="24"/>
          <w:lang w:eastAsia="zh-CN" w:bidi="hi-IN"/>
        </w:rPr>
        <w:t>.</w:t>
      </w:r>
      <w:r w:rsidR="00B44D58">
        <w:rPr>
          <w:rFonts w:eastAsia="SimSun" w:cs="Mangal"/>
          <w:kern w:val="3"/>
          <w:szCs w:val="24"/>
          <w:lang w:eastAsia="zh-CN" w:bidi="hi-IN"/>
        </w:rPr>
        <w:t xml:space="preserve"> EPA utilizes the Central Data Exchange (CDX), which is a secure portal, for many submissions.</w:t>
      </w:r>
      <w:r w:rsidRPr="003B425A">
        <w:rPr>
          <w:rFonts w:eastAsia="SimSun" w:cs="Mangal"/>
          <w:kern w:val="3"/>
          <w:szCs w:val="24"/>
          <w:lang w:eastAsia="zh-CN" w:bidi="hi-IN"/>
        </w:rPr>
        <w:t xml:space="preserve"> Information claimed as CBI will be stored in appropriately controlled areas. The </w:t>
      </w:r>
      <w:r w:rsidRPr="003B425A">
        <w:rPr>
          <w:rFonts w:eastAsia="SimSun" w:cs="Times New Roman"/>
          <w:szCs w:val="24"/>
          <w:lang w:eastAsia="zh-CN"/>
        </w:rPr>
        <w:t xml:space="preserve">EPA will provide Guidance Documents, Report Instructions, and Report Templates at: </w:t>
      </w:r>
      <w:r w:rsidRPr="003B425A">
        <w:rPr>
          <w:rFonts w:eastAsia="SimSun" w:cs="Times New Roman"/>
          <w:szCs w:val="24"/>
          <w:u w:val="single"/>
          <w:lang w:eastAsia="zh-CN"/>
        </w:rPr>
        <w:t>https://www.epa.gov/fuels-registration-reporting-and-compliance-help/list-all-quarterly-and-annual-reports-renewable</w:t>
      </w:r>
      <w:r w:rsidRPr="003B425A">
        <w:rPr>
          <w:rFonts w:eastAsia="SimSun" w:cs="Times New Roman"/>
          <w:szCs w:val="24"/>
          <w:lang w:eastAsia="zh-CN"/>
        </w:rPr>
        <w:t>.</w:t>
      </w:r>
    </w:p>
    <w:p w:rsidR="003B425A" w:rsidRPr="003B425A" w:rsidP="003B425A" w14:paraId="55A312FD" w14:textId="77777777">
      <w:pPr>
        <w:widowControl w:val="0"/>
        <w:suppressAutoHyphens/>
        <w:autoSpaceDN w:val="0"/>
        <w:ind w:firstLine="720"/>
        <w:rPr>
          <w:rFonts w:eastAsia="SimSun" w:cs="Mangal"/>
          <w:kern w:val="3"/>
          <w:szCs w:val="24"/>
          <w:lang w:eastAsia="zh-CN" w:bidi="hi-IN"/>
        </w:rPr>
      </w:pPr>
    </w:p>
    <w:p w:rsidR="003B425A" w:rsidRPr="003B425A" w:rsidP="003B425A" w14:paraId="6C1C55EA" w14:textId="77777777">
      <w:pPr>
        <w:widowControl w:val="0"/>
        <w:suppressAutoHyphens/>
        <w:autoSpaceDN w:val="0"/>
        <w:ind w:firstLine="720"/>
        <w:outlineLvl w:val="1"/>
        <w:rPr>
          <w:rFonts w:eastAsia="SimSun" w:cs="Mangal"/>
          <w:b/>
          <w:kern w:val="3"/>
          <w:szCs w:val="24"/>
          <w:lang w:eastAsia="zh-CN" w:bidi="hi-IN"/>
        </w:rPr>
      </w:pPr>
      <w:r w:rsidRPr="003B425A">
        <w:rPr>
          <w:rFonts w:eastAsia="SimSun" w:cs="Mangal"/>
          <w:b/>
          <w:kern w:val="3"/>
          <w:szCs w:val="24"/>
          <w:lang w:eastAsia="zh-CN" w:bidi="hi-IN"/>
        </w:rPr>
        <w:t>5(c)</w:t>
      </w:r>
      <w:r w:rsidRPr="003B425A">
        <w:rPr>
          <w:rFonts w:eastAsia="SimSun" w:cs="Mangal"/>
          <w:b/>
          <w:kern w:val="3"/>
          <w:szCs w:val="24"/>
          <w:lang w:eastAsia="zh-CN" w:bidi="hi-IN"/>
        </w:rPr>
        <w:tab/>
        <w:t>Small Entity Flexibility</w:t>
      </w:r>
    </w:p>
    <w:p w:rsidR="003B425A" w:rsidRPr="003B425A" w:rsidP="003B425A" w14:paraId="1618E254" w14:textId="77777777">
      <w:pPr>
        <w:widowControl w:val="0"/>
        <w:suppressAutoHyphens/>
        <w:autoSpaceDN w:val="0"/>
        <w:ind w:firstLine="720"/>
        <w:rPr>
          <w:rFonts w:eastAsia="SimSun" w:cs="Mangal"/>
          <w:kern w:val="3"/>
          <w:szCs w:val="24"/>
          <w:lang w:eastAsia="zh-CN" w:bidi="hi-IN"/>
        </w:rPr>
      </w:pPr>
    </w:p>
    <w:p w:rsidR="003B4B50" w:rsidP="003B425A" w14:paraId="4CBB6BE1" w14:textId="2C91D2F7">
      <w:pPr>
        <w:widowControl w:val="0"/>
        <w:suppressAutoHyphens/>
        <w:autoSpaceDN w:val="0"/>
        <w:ind w:firstLine="720"/>
        <w:rPr>
          <w:rStyle w:val="eop"/>
          <w:color w:val="000000"/>
          <w:shd w:val="clear" w:color="auto" w:fill="FFFFFF"/>
        </w:rPr>
      </w:pPr>
      <w:r>
        <w:rPr>
          <w:rStyle w:val="normaltextrun"/>
          <w:color w:val="000000"/>
          <w:shd w:val="clear" w:color="auto" w:fill="FFFFFF"/>
        </w:rPr>
        <w:t>The proposed rule would not change the compliance flexibilities currently offered to small entities under the RFS program and available information shows that the impact on small entities from implementation of this rule will not be significant.</w:t>
      </w:r>
      <w:r>
        <w:rPr>
          <w:rStyle w:val="eop"/>
          <w:color w:val="000000"/>
          <w:shd w:val="clear" w:color="auto" w:fill="FFFFFF"/>
        </w:rPr>
        <w:t xml:space="preserve"> Existing flexibilities available to small entities under the RFS program </w:t>
      </w:r>
      <w:r w:rsidRPr="00C9212F">
        <w:rPr>
          <w:rStyle w:val="eop"/>
          <w:color w:val="000000"/>
          <w:shd w:val="clear" w:color="auto" w:fill="FFFFFF"/>
        </w:rPr>
        <w:t xml:space="preserve">include being able to comply through RIN trading rather than renewable fuel blending, 20 percent RIN rollover allowance (up to 20 percent of an obligated party’s </w:t>
      </w:r>
      <w:r>
        <w:rPr>
          <w:rStyle w:val="eop"/>
          <w:color w:val="000000"/>
          <w:shd w:val="clear" w:color="auto" w:fill="FFFFFF"/>
        </w:rPr>
        <w:t>renewable volume obligation (</w:t>
      </w:r>
      <w:r w:rsidRPr="00C9212F">
        <w:rPr>
          <w:rStyle w:val="eop"/>
          <w:color w:val="000000"/>
          <w:shd w:val="clear" w:color="auto" w:fill="FFFFFF"/>
        </w:rPr>
        <w:t>RVO</w:t>
      </w:r>
      <w:r>
        <w:rPr>
          <w:rStyle w:val="eop"/>
          <w:color w:val="000000"/>
          <w:shd w:val="clear" w:color="auto" w:fill="FFFFFF"/>
        </w:rPr>
        <w:t>)</w:t>
      </w:r>
      <w:r w:rsidRPr="00C9212F">
        <w:rPr>
          <w:rStyle w:val="eop"/>
          <w:color w:val="000000"/>
          <w:shd w:val="clear" w:color="auto" w:fill="FFFFFF"/>
        </w:rPr>
        <w:t xml:space="preserve"> can be met using previous-year RINs), and deficit carry-forward (the ability to carry over a deficit from a given year into the following year, provided that the deficit is satisfied together with the next year’s RVO).</w:t>
      </w:r>
    </w:p>
    <w:p w:rsidR="00C9212F" w:rsidRPr="00E731FC" w:rsidP="003B425A" w14:paraId="27E0EB33" w14:textId="77777777">
      <w:pPr>
        <w:widowControl w:val="0"/>
        <w:suppressAutoHyphens/>
        <w:autoSpaceDN w:val="0"/>
        <w:ind w:firstLine="720"/>
        <w:rPr>
          <w:rFonts w:eastAsia="SimSun" w:cs="Mangal"/>
          <w:kern w:val="3"/>
          <w:sz w:val="20"/>
          <w:szCs w:val="20"/>
          <w:lang w:eastAsia="zh-CN" w:bidi="hi-IN"/>
        </w:rPr>
      </w:pPr>
    </w:p>
    <w:p w:rsidR="003B425A" w:rsidRPr="003B425A" w:rsidP="003B425A" w14:paraId="1F7A2590" w14:textId="77777777">
      <w:pPr>
        <w:widowControl w:val="0"/>
        <w:suppressAutoHyphens/>
        <w:autoSpaceDN w:val="0"/>
        <w:ind w:firstLine="720"/>
        <w:outlineLvl w:val="1"/>
        <w:rPr>
          <w:rFonts w:eastAsia="SimSun" w:cs="Mangal"/>
          <w:b/>
          <w:kern w:val="3"/>
          <w:szCs w:val="24"/>
          <w:lang w:eastAsia="zh-CN" w:bidi="hi-IN"/>
        </w:rPr>
      </w:pPr>
      <w:r w:rsidRPr="003B425A">
        <w:rPr>
          <w:rFonts w:eastAsia="SimSun" w:cs="Mangal"/>
          <w:b/>
          <w:kern w:val="3"/>
          <w:szCs w:val="24"/>
          <w:lang w:eastAsia="zh-CN" w:bidi="hi-IN"/>
        </w:rPr>
        <w:t>5(d)</w:t>
      </w:r>
      <w:r w:rsidRPr="003B425A">
        <w:rPr>
          <w:rFonts w:eastAsia="SimSun" w:cs="Mangal"/>
          <w:b/>
          <w:kern w:val="3"/>
          <w:szCs w:val="24"/>
          <w:lang w:eastAsia="zh-CN" w:bidi="hi-IN"/>
        </w:rPr>
        <w:tab/>
        <w:t>Collection Schedule</w:t>
      </w:r>
    </w:p>
    <w:p w:rsidR="003B425A" w:rsidRPr="003B425A" w:rsidP="003B425A" w14:paraId="2BFFBCC3" w14:textId="77777777">
      <w:pPr>
        <w:widowControl w:val="0"/>
        <w:suppressAutoHyphens/>
        <w:autoSpaceDN w:val="0"/>
        <w:ind w:firstLine="720"/>
        <w:rPr>
          <w:rFonts w:eastAsia="SimSun" w:cs="Mangal"/>
          <w:kern w:val="3"/>
          <w:szCs w:val="24"/>
          <w:lang w:eastAsia="zh-CN" w:bidi="hi-IN"/>
        </w:rPr>
      </w:pPr>
    </w:p>
    <w:p w:rsidR="003B425A" w:rsidRPr="003B425A" w:rsidP="003B425A" w14:paraId="0CF94834" w14:textId="00B685A6">
      <w:pPr>
        <w:suppressAutoHyphens/>
        <w:autoSpaceDN w:val="0"/>
        <w:ind w:firstLine="720"/>
        <w:rPr>
          <w:rFonts w:eastAsia="SimSun" w:cs="Mangal"/>
          <w:kern w:val="3"/>
          <w:szCs w:val="24"/>
          <w:lang w:eastAsia="zh-CN" w:bidi="hi-IN"/>
        </w:rPr>
      </w:pPr>
      <w:r w:rsidRPr="003B425A">
        <w:rPr>
          <w:rFonts w:eastAsia="SimSun" w:cs="Mangal"/>
          <w:kern w:val="3"/>
          <w:szCs w:val="24"/>
          <w:lang w:eastAsia="zh-CN" w:bidi="hi-IN"/>
        </w:rPr>
        <w:t xml:space="preserve">Registrations are received on a rolling basis. Updates may be sent in at any time after initial registration. New parties may enter the regulated industry at any time, </w:t>
      </w:r>
      <w:r w:rsidRPr="003B425A" w:rsidR="004464CE">
        <w:rPr>
          <w:rFonts w:eastAsia="SimSun" w:cs="Mangal"/>
          <w:kern w:val="3"/>
          <w:szCs w:val="24"/>
          <w:lang w:eastAsia="zh-CN" w:bidi="hi-IN"/>
        </w:rPr>
        <w:t>trigg</w:t>
      </w:r>
      <w:r w:rsidR="004464CE">
        <w:rPr>
          <w:rFonts w:eastAsia="SimSun" w:cs="Mangal"/>
          <w:kern w:val="3"/>
          <w:szCs w:val="24"/>
          <w:lang w:eastAsia="zh-CN" w:bidi="hi-IN"/>
        </w:rPr>
        <w:t>eri</w:t>
      </w:r>
      <w:r w:rsidRPr="003B425A" w:rsidR="004464CE">
        <w:rPr>
          <w:rFonts w:eastAsia="SimSun" w:cs="Mangal"/>
          <w:kern w:val="3"/>
          <w:szCs w:val="24"/>
          <w:lang w:eastAsia="zh-CN" w:bidi="hi-IN"/>
        </w:rPr>
        <w:t>ng</w:t>
      </w:r>
      <w:r w:rsidRPr="003B425A">
        <w:rPr>
          <w:rFonts w:eastAsia="SimSun" w:cs="Mangal"/>
          <w:kern w:val="3"/>
          <w:szCs w:val="24"/>
          <w:lang w:eastAsia="zh-CN" w:bidi="hi-IN"/>
        </w:rPr>
        <w:t xml:space="preserve"> registration requirements. Reports are submitted to the EPA as needed </w:t>
      </w:r>
      <w:r w:rsidR="00CB3AB0">
        <w:rPr>
          <w:rFonts w:eastAsia="SimSun" w:cs="Mangal"/>
          <w:kern w:val="3"/>
          <w:szCs w:val="24"/>
          <w:lang w:eastAsia="zh-CN" w:bidi="hi-IN"/>
        </w:rPr>
        <w:t xml:space="preserve">or on </w:t>
      </w:r>
      <w:r w:rsidRPr="003B425A">
        <w:rPr>
          <w:rFonts w:eastAsia="SimSun" w:cs="Mangal"/>
          <w:kern w:val="3"/>
          <w:szCs w:val="24"/>
          <w:lang w:eastAsia="zh-CN" w:bidi="hi-IN"/>
        </w:rPr>
        <w:t>quarterly</w:t>
      </w:r>
      <w:r w:rsidR="00CB3AB0">
        <w:rPr>
          <w:rFonts w:eastAsia="SimSun" w:cs="Mangal"/>
          <w:kern w:val="3"/>
          <w:szCs w:val="24"/>
          <w:lang w:eastAsia="zh-CN" w:bidi="hi-IN"/>
        </w:rPr>
        <w:t xml:space="preserve"> and </w:t>
      </w:r>
      <w:r w:rsidRPr="003B425A">
        <w:rPr>
          <w:rFonts w:eastAsia="SimSun" w:cs="Mangal"/>
          <w:kern w:val="3"/>
          <w:szCs w:val="24"/>
          <w:lang w:eastAsia="zh-CN" w:bidi="hi-IN"/>
        </w:rPr>
        <w:t>annual basis.</w:t>
      </w:r>
    </w:p>
    <w:p w:rsidR="003B425A" w:rsidRPr="003B425A" w:rsidP="003B425A" w14:paraId="5253B1AE" w14:textId="77777777">
      <w:pPr>
        <w:widowControl w:val="0"/>
        <w:suppressAutoHyphens/>
        <w:autoSpaceDE w:val="0"/>
        <w:autoSpaceDN w:val="0"/>
        <w:adjustRightInd w:val="0"/>
        <w:ind w:firstLine="720"/>
        <w:rPr>
          <w:rFonts w:eastAsia="SimSun" w:cs="Mangal"/>
          <w:kern w:val="3"/>
          <w:szCs w:val="24"/>
          <w:lang w:eastAsia="zh-CN" w:bidi="hi-IN"/>
        </w:rPr>
      </w:pPr>
    </w:p>
    <w:p w:rsidR="003B425A" w:rsidRPr="003B425A" w:rsidP="003B425A" w14:paraId="6FD4424A" w14:textId="77777777">
      <w:pPr>
        <w:widowControl w:val="0"/>
        <w:suppressAutoHyphens/>
        <w:autoSpaceDN w:val="0"/>
        <w:outlineLvl w:val="0"/>
        <w:rPr>
          <w:rFonts w:eastAsia="SimSun" w:cs="Mangal"/>
          <w:b/>
          <w:kern w:val="3"/>
          <w:szCs w:val="24"/>
          <w:lang w:eastAsia="zh-CN" w:bidi="hi-IN"/>
        </w:rPr>
      </w:pPr>
      <w:r w:rsidRPr="003B425A">
        <w:rPr>
          <w:rFonts w:eastAsia="SimSun" w:cs="Mangal"/>
          <w:b/>
          <w:kern w:val="3"/>
          <w:szCs w:val="24"/>
          <w:lang w:eastAsia="zh-CN" w:bidi="hi-IN"/>
        </w:rPr>
        <w:t>6.</w:t>
      </w:r>
      <w:r w:rsidRPr="003B425A">
        <w:rPr>
          <w:rFonts w:eastAsia="SimSun" w:cs="Mangal"/>
          <w:b/>
          <w:kern w:val="3"/>
          <w:szCs w:val="24"/>
          <w:lang w:eastAsia="zh-CN" w:bidi="hi-IN"/>
        </w:rPr>
        <w:tab/>
      </w:r>
      <w:r w:rsidRPr="003B425A">
        <w:rPr>
          <w:rFonts w:eastAsia="SimSun" w:cs="Mangal"/>
          <w:b/>
          <w:kern w:val="3"/>
          <w:szCs w:val="24"/>
          <w:u w:val="single"/>
          <w:lang w:eastAsia="zh-CN" w:bidi="hi-IN"/>
        </w:rPr>
        <w:t>Estimating the Burden and Cost of Collection</w:t>
      </w:r>
    </w:p>
    <w:p w:rsidR="003B425A" w:rsidRPr="003B425A" w:rsidP="003B425A" w14:paraId="3D00082B" w14:textId="77777777">
      <w:pPr>
        <w:widowControl w:val="0"/>
        <w:suppressAutoHyphens/>
        <w:autoSpaceDN w:val="0"/>
        <w:ind w:firstLine="720"/>
        <w:rPr>
          <w:rFonts w:eastAsia="SimSun" w:cs="Mangal"/>
          <w:b/>
          <w:kern w:val="3"/>
          <w:szCs w:val="24"/>
          <w:lang w:eastAsia="zh-CN" w:bidi="hi-IN"/>
        </w:rPr>
      </w:pPr>
    </w:p>
    <w:p w:rsidR="003B425A" w:rsidRPr="003B425A" w:rsidP="003B425A" w14:paraId="45463A0E" w14:textId="77777777">
      <w:pPr>
        <w:widowControl w:val="0"/>
        <w:suppressAutoHyphens/>
        <w:autoSpaceDN w:val="0"/>
        <w:ind w:firstLine="720"/>
        <w:outlineLvl w:val="1"/>
        <w:rPr>
          <w:rFonts w:eastAsia="SimSun" w:cs="Mangal"/>
          <w:b/>
          <w:kern w:val="3"/>
          <w:szCs w:val="24"/>
          <w:lang w:eastAsia="zh-CN" w:bidi="hi-IN"/>
        </w:rPr>
      </w:pPr>
      <w:r w:rsidRPr="003B425A">
        <w:rPr>
          <w:rFonts w:eastAsia="SimSun" w:cs="Mangal"/>
          <w:b/>
          <w:kern w:val="3"/>
          <w:szCs w:val="24"/>
          <w:lang w:eastAsia="zh-CN" w:bidi="hi-IN"/>
        </w:rPr>
        <w:t>6(a)</w:t>
      </w:r>
      <w:r w:rsidRPr="003B425A">
        <w:rPr>
          <w:rFonts w:eastAsia="SimSun" w:cs="Mangal"/>
          <w:b/>
          <w:kern w:val="3"/>
          <w:szCs w:val="24"/>
          <w:lang w:eastAsia="zh-CN" w:bidi="hi-IN"/>
        </w:rPr>
        <w:tab/>
        <w:t xml:space="preserve">Estimating the Respondent Universe </w:t>
      </w:r>
    </w:p>
    <w:p w:rsidR="003B425A" w:rsidRPr="003B425A" w:rsidP="003B425A" w14:paraId="322DFC29" w14:textId="77777777">
      <w:pPr>
        <w:widowControl w:val="0"/>
        <w:suppressAutoHyphens/>
        <w:autoSpaceDN w:val="0"/>
        <w:ind w:firstLine="720"/>
        <w:rPr>
          <w:rFonts w:eastAsia="SimSun" w:cs="Mangal"/>
          <w:kern w:val="3"/>
          <w:szCs w:val="24"/>
          <w:lang w:eastAsia="zh-CN" w:bidi="hi-IN"/>
        </w:rPr>
      </w:pPr>
    </w:p>
    <w:p w:rsidR="003B425A" w:rsidP="003B425A" w14:paraId="292F78E7" w14:textId="781D4B16">
      <w:pPr>
        <w:widowControl w:val="0"/>
        <w:suppressAutoHyphens/>
        <w:autoSpaceDN w:val="0"/>
        <w:ind w:firstLine="720"/>
        <w:rPr>
          <w:rFonts w:eastAsia="SimSun" w:cs="Mangal"/>
          <w:kern w:val="3"/>
          <w:szCs w:val="24"/>
          <w:lang w:eastAsia="zh-CN" w:bidi="hi-IN"/>
        </w:rPr>
      </w:pPr>
      <w:r w:rsidRPr="003B425A">
        <w:rPr>
          <w:rFonts w:eastAsia="SimSun" w:cs="Mangal"/>
          <w:kern w:val="3"/>
          <w:szCs w:val="24"/>
          <w:lang w:eastAsia="zh-CN" w:bidi="hi-IN"/>
        </w:rPr>
        <w:t xml:space="preserve">We drew upon experience implementing similar regulations among the same entities to develop estimates of the burden associated with this collection. </w:t>
      </w:r>
      <w:r w:rsidR="00E12F66">
        <w:rPr>
          <w:rFonts w:eastAsia="SimSun" w:cs="Mangal"/>
          <w:kern w:val="3"/>
          <w:szCs w:val="24"/>
          <w:lang w:eastAsia="zh-CN" w:bidi="hi-IN"/>
        </w:rPr>
        <w:t xml:space="preserve">Detailed burden estimates for each party </w:t>
      </w:r>
      <w:r w:rsidR="00573E8D">
        <w:rPr>
          <w:rFonts w:eastAsia="SimSun" w:cs="Mangal"/>
          <w:kern w:val="3"/>
          <w:szCs w:val="24"/>
          <w:lang w:eastAsia="zh-CN" w:bidi="hi-IN"/>
        </w:rPr>
        <w:t>are in</w:t>
      </w:r>
      <w:r w:rsidR="00E12F66">
        <w:rPr>
          <w:rFonts w:eastAsia="SimSun" w:cs="Mangal"/>
          <w:kern w:val="3"/>
          <w:szCs w:val="24"/>
          <w:lang w:eastAsia="zh-CN" w:bidi="hi-IN"/>
        </w:rPr>
        <w:t xml:space="preserve"> Appendix A. </w:t>
      </w:r>
    </w:p>
    <w:p w:rsidR="001059D0" w:rsidRPr="003B425A" w:rsidP="003B425A" w14:paraId="16D69504" w14:textId="77777777">
      <w:pPr>
        <w:widowControl w:val="0"/>
        <w:suppressAutoHyphens/>
        <w:autoSpaceDN w:val="0"/>
        <w:ind w:firstLine="720"/>
        <w:rPr>
          <w:rFonts w:eastAsia="SimSun" w:cs="Mangal"/>
          <w:kern w:val="3"/>
          <w:szCs w:val="24"/>
          <w:lang w:eastAsia="zh-CN" w:bidi="hi-IN"/>
        </w:rPr>
      </w:pPr>
    </w:p>
    <w:p w:rsidR="00B114DE" w:rsidP="00573E8D" w14:paraId="17A13A2F" w14:textId="662F04DC">
      <w:pPr>
        <w:widowControl w:val="0"/>
        <w:suppressAutoHyphens/>
        <w:autoSpaceDN w:val="0"/>
        <w:ind w:firstLine="720"/>
        <w:rPr>
          <w:rFonts w:eastAsia="SimSun" w:cs="Mangal"/>
          <w:kern w:val="3"/>
          <w:szCs w:val="24"/>
          <w:lang w:eastAsia="zh-CN" w:bidi="hi-IN"/>
        </w:rPr>
      </w:pPr>
      <w:r>
        <w:rPr>
          <w:rFonts w:eastAsia="SimSun" w:cs="Mangal"/>
          <w:kern w:val="3"/>
          <w:szCs w:val="24"/>
          <w:lang w:eastAsia="zh-CN" w:bidi="hi-IN"/>
        </w:rPr>
        <w:t xml:space="preserve">To </w:t>
      </w:r>
      <w:r>
        <w:rPr>
          <w:rFonts w:eastAsia="SimSun" w:cs="Mangal"/>
          <w:kern w:val="3"/>
          <w:szCs w:val="24"/>
          <w:lang w:eastAsia="zh-CN" w:bidi="hi-IN"/>
        </w:rPr>
        <w:t xml:space="preserve">assign the costs to the parties who </w:t>
      </w:r>
      <w:r w:rsidR="00035FA6">
        <w:rPr>
          <w:rFonts w:eastAsia="SimSun" w:cs="Mangal"/>
          <w:kern w:val="3"/>
          <w:szCs w:val="24"/>
          <w:lang w:eastAsia="zh-CN" w:bidi="hi-IN"/>
        </w:rPr>
        <w:t xml:space="preserve">bear them, and to avoid </w:t>
      </w:r>
      <w:r w:rsidR="00D16F0B">
        <w:rPr>
          <w:rFonts w:eastAsia="SimSun" w:cs="Mangal"/>
          <w:kern w:val="3"/>
          <w:szCs w:val="24"/>
          <w:lang w:eastAsia="zh-CN" w:bidi="hi-IN"/>
        </w:rPr>
        <w:t>double counting</w:t>
      </w:r>
      <w:r w:rsidR="00035FA6">
        <w:rPr>
          <w:rFonts w:eastAsia="SimSun" w:cs="Mangal"/>
          <w:kern w:val="3"/>
          <w:szCs w:val="24"/>
          <w:lang w:eastAsia="zh-CN" w:bidi="hi-IN"/>
        </w:rPr>
        <w:t xml:space="preserve">, this ICR assigns the responses, hours, and costs to the respondents </w:t>
      </w:r>
      <w:r w:rsidR="001059D0">
        <w:rPr>
          <w:rFonts w:eastAsia="SimSun" w:cs="Mangal"/>
          <w:kern w:val="3"/>
          <w:szCs w:val="24"/>
          <w:lang w:eastAsia="zh-CN" w:bidi="hi-IN"/>
        </w:rPr>
        <w:t>in Tables I-</w:t>
      </w:r>
      <w:r w:rsidR="00D434E9">
        <w:rPr>
          <w:rFonts w:eastAsia="SimSun" w:cs="Mangal"/>
          <w:kern w:val="3"/>
          <w:szCs w:val="24"/>
          <w:lang w:eastAsia="zh-CN" w:bidi="hi-IN"/>
        </w:rPr>
        <w:t>VI</w:t>
      </w:r>
      <w:r w:rsidR="00572F69">
        <w:rPr>
          <w:rFonts w:eastAsia="SimSun" w:cs="Mangal"/>
          <w:kern w:val="3"/>
          <w:szCs w:val="24"/>
          <w:lang w:eastAsia="zh-CN" w:bidi="hi-IN"/>
        </w:rPr>
        <w:t xml:space="preserve"> </w:t>
      </w:r>
      <w:r w:rsidR="00035FA6">
        <w:rPr>
          <w:rFonts w:eastAsia="SimSun" w:cs="Mangal"/>
          <w:kern w:val="3"/>
          <w:szCs w:val="24"/>
          <w:lang w:eastAsia="zh-CN" w:bidi="hi-IN"/>
        </w:rPr>
        <w:t xml:space="preserve">who engage the services </w:t>
      </w:r>
      <w:r w:rsidR="00035FA6">
        <w:rPr>
          <w:rFonts w:eastAsia="SimSun" w:cs="Mangal"/>
          <w:kern w:val="3"/>
          <w:szCs w:val="24"/>
          <w:lang w:eastAsia="zh-CN" w:bidi="hi-IN"/>
        </w:rPr>
        <w:t xml:space="preserve">of third parties to submit information on their behalf (and who purchase those services). However, </w:t>
      </w:r>
      <w:r w:rsidR="004A1AB4">
        <w:rPr>
          <w:rFonts w:eastAsia="SimSun" w:cs="Mangal"/>
          <w:kern w:val="3"/>
          <w:szCs w:val="24"/>
          <w:lang w:eastAsia="zh-CN" w:bidi="hi-IN"/>
        </w:rPr>
        <w:t xml:space="preserve">to </w:t>
      </w:r>
      <w:r w:rsidR="00035FA6">
        <w:rPr>
          <w:rFonts w:eastAsia="SimSun" w:cs="Mangal"/>
          <w:kern w:val="3"/>
          <w:szCs w:val="24"/>
          <w:lang w:eastAsia="zh-CN" w:bidi="hi-IN"/>
        </w:rPr>
        <w:t xml:space="preserve">properly count all respondents, Table </w:t>
      </w:r>
      <w:r w:rsidR="00D434E9">
        <w:rPr>
          <w:rFonts w:eastAsia="SimSun" w:cs="Mangal"/>
          <w:kern w:val="3"/>
          <w:szCs w:val="24"/>
          <w:lang w:eastAsia="zh-CN" w:bidi="hi-IN"/>
        </w:rPr>
        <w:t>VII i</w:t>
      </w:r>
      <w:r w:rsidR="00035FA6">
        <w:rPr>
          <w:rFonts w:eastAsia="SimSun" w:cs="Mangal"/>
          <w:kern w:val="3"/>
          <w:szCs w:val="24"/>
          <w:lang w:eastAsia="zh-CN" w:bidi="hi-IN"/>
        </w:rPr>
        <w:t xml:space="preserve">ncludes the third parties in the </w:t>
      </w:r>
      <w:r w:rsidR="005C60E4">
        <w:rPr>
          <w:rFonts w:eastAsia="SimSun" w:cs="Mangal"/>
          <w:kern w:val="3"/>
          <w:szCs w:val="24"/>
          <w:lang w:eastAsia="zh-CN" w:bidi="hi-IN"/>
        </w:rPr>
        <w:t xml:space="preserve">total </w:t>
      </w:r>
      <w:r w:rsidR="00035FA6">
        <w:rPr>
          <w:rFonts w:eastAsia="SimSun" w:cs="Mangal"/>
          <w:kern w:val="3"/>
          <w:szCs w:val="24"/>
          <w:lang w:eastAsia="zh-CN" w:bidi="hi-IN"/>
        </w:rPr>
        <w:t xml:space="preserve">number of respondents. </w:t>
      </w:r>
      <w:r w:rsidR="005C60E4">
        <w:rPr>
          <w:rFonts w:eastAsia="SimSun" w:cs="Mangal"/>
          <w:kern w:val="3"/>
          <w:szCs w:val="24"/>
          <w:lang w:eastAsia="zh-CN" w:bidi="hi-IN"/>
        </w:rPr>
        <w:t xml:space="preserve">Please refer to Appendix A for the detailed estimates and explanations. </w:t>
      </w:r>
    </w:p>
    <w:p w:rsidR="003B425A" w:rsidRPr="003B425A" w:rsidP="003B425A" w14:paraId="005360FB" w14:textId="77777777">
      <w:pPr>
        <w:widowControl w:val="0"/>
        <w:suppressAutoHyphens/>
        <w:autoSpaceDN w:val="0"/>
        <w:ind w:firstLine="720"/>
        <w:rPr>
          <w:rFonts w:eastAsia="SimSun" w:cs="Mangal"/>
          <w:kern w:val="3"/>
          <w:szCs w:val="24"/>
          <w:lang w:eastAsia="zh-CN" w:bidi="hi-IN"/>
        </w:rPr>
      </w:pPr>
    </w:p>
    <w:p w:rsidR="003B425A" w:rsidRPr="003B425A" w:rsidP="003B425A" w14:paraId="19BC3382" w14:textId="77777777">
      <w:pPr>
        <w:widowControl w:val="0"/>
        <w:suppressAutoHyphens/>
        <w:autoSpaceDN w:val="0"/>
        <w:ind w:firstLine="720"/>
        <w:outlineLvl w:val="1"/>
        <w:rPr>
          <w:rFonts w:eastAsia="SimSun" w:cs="Mangal"/>
          <w:b/>
          <w:kern w:val="3"/>
          <w:szCs w:val="24"/>
          <w:lang w:eastAsia="zh-CN" w:bidi="hi-IN"/>
        </w:rPr>
      </w:pPr>
      <w:r w:rsidRPr="003B425A">
        <w:rPr>
          <w:rFonts w:eastAsia="SimSun" w:cs="Mangal"/>
          <w:b/>
          <w:kern w:val="3"/>
          <w:szCs w:val="24"/>
          <w:lang w:eastAsia="zh-CN" w:bidi="hi-IN"/>
        </w:rPr>
        <w:t>6(b)</w:t>
      </w:r>
      <w:r w:rsidRPr="003B425A">
        <w:rPr>
          <w:rFonts w:eastAsia="SimSun" w:cs="Mangal"/>
          <w:b/>
          <w:kern w:val="3"/>
          <w:szCs w:val="24"/>
          <w:lang w:eastAsia="zh-CN" w:bidi="hi-IN"/>
        </w:rPr>
        <w:tab/>
        <w:t>Estimating the Respondent Burden and Cost</w:t>
      </w:r>
    </w:p>
    <w:p w:rsidR="003B425A" w:rsidRPr="003B425A" w:rsidP="003B425A" w14:paraId="6410D027" w14:textId="77777777">
      <w:pPr>
        <w:widowControl w:val="0"/>
        <w:suppressAutoHyphens/>
        <w:autoSpaceDN w:val="0"/>
        <w:ind w:firstLine="720"/>
        <w:rPr>
          <w:rFonts w:eastAsia="SimSun" w:cs="Mangal"/>
          <w:kern w:val="3"/>
          <w:szCs w:val="24"/>
          <w:lang w:eastAsia="zh-CN" w:bidi="hi-IN"/>
        </w:rPr>
      </w:pPr>
    </w:p>
    <w:p w:rsidR="00C346C0" w:rsidRPr="00C346C0" w:rsidP="00C346C0" w14:paraId="7FFAEBFD" w14:textId="1B846527">
      <w:pPr>
        <w:suppressAutoHyphens/>
        <w:autoSpaceDN w:val="0"/>
        <w:ind w:firstLine="720"/>
        <w:rPr>
          <w:rFonts w:eastAsia="SimSun" w:cs="Mangal"/>
          <w:kern w:val="3"/>
          <w:szCs w:val="24"/>
          <w:lang w:eastAsia="zh-CN" w:bidi="hi-IN"/>
        </w:rPr>
      </w:pPr>
      <w:r>
        <w:rPr>
          <w:rFonts w:eastAsia="SimSun" w:cs="Mangal"/>
          <w:kern w:val="3"/>
          <w:szCs w:val="24"/>
          <w:lang w:eastAsia="zh-CN" w:bidi="hi-IN"/>
        </w:rPr>
        <w:t xml:space="preserve">The </w:t>
      </w:r>
      <w:r w:rsidR="00496B12">
        <w:rPr>
          <w:rFonts w:eastAsia="SimSun" w:cs="Mangal"/>
          <w:kern w:val="3"/>
          <w:szCs w:val="24"/>
          <w:lang w:eastAsia="zh-CN" w:bidi="hi-IN"/>
        </w:rPr>
        <w:t xml:space="preserve">detailed </w:t>
      </w:r>
      <w:r>
        <w:rPr>
          <w:rFonts w:eastAsia="SimSun" w:cs="Mangal"/>
          <w:kern w:val="3"/>
          <w:szCs w:val="24"/>
          <w:lang w:eastAsia="zh-CN" w:bidi="hi-IN"/>
        </w:rPr>
        <w:t xml:space="preserve">burden estimates are provided in Appendix A. </w:t>
      </w:r>
      <w:r w:rsidR="00496B12">
        <w:rPr>
          <w:rFonts w:eastAsia="SimSun" w:cs="Mangal"/>
          <w:kern w:val="3"/>
          <w:szCs w:val="24"/>
          <w:lang w:eastAsia="zh-CN" w:bidi="hi-IN"/>
        </w:rPr>
        <w:t xml:space="preserve">For </w:t>
      </w:r>
      <w:r w:rsidR="007753FB">
        <w:rPr>
          <w:rFonts w:eastAsia="SimSun" w:cs="Mangal"/>
          <w:kern w:val="3"/>
          <w:szCs w:val="24"/>
          <w:lang w:eastAsia="zh-CN" w:bidi="hi-IN"/>
        </w:rPr>
        <w:t>these estimates</w:t>
      </w:r>
      <w:r w:rsidR="00496B12">
        <w:rPr>
          <w:rFonts w:eastAsia="SimSun" w:cs="Mangal"/>
          <w:kern w:val="3"/>
          <w:szCs w:val="24"/>
          <w:lang w:eastAsia="zh-CN" w:bidi="hi-IN"/>
        </w:rPr>
        <w:t>, f</w:t>
      </w:r>
      <w:r w:rsidRPr="001008F3" w:rsidR="003B425A">
        <w:rPr>
          <w:rFonts w:eastAsia="SimSun" w:cs="Mangal"/>
          <w:kern w:val="3"/>
          <w:szCs w:val="24"/>
          <w:lang w:eastAsia="zh-CN" w:bidi="hi-IN"/>
        </w:rPr>
        <w:t>our labor categories are</w:t>
      </w:r>
      <w:r w:rsidR="00496B12">
        <w:rPr>
          <w:rFonts w:eastAsia="SimSun" w:cs="Mangal"/>
          <w:kern w:val="3"/>
          <w:szCs w:val="24"/>
          <w:lang w:eastAsia="zh-CN" w:bidi="hi-IN"/>
        </w:rPr>
        <w:t xml:space="preserve"> used</w:t>
      </w:r>
      <w:r w:rsidRPr="001008F3" w:rsidR="003B425A">
        <w:rPr>
          <w:rFonts w:eastAsia="SimSun" w:cs="Mangal"/>
          <w:kern w:val="3"/>
          <w:szCs w:val="24"/>
          <w:lang w:eastAsia="zh-CN" w:bidi="hi-IN"/>
        </w:rPr>
        <w:t xml:space="preserve">: managerial, technical, clerical, and legal. </w:t>
      </w:r>
      <w:r>
        <w:rPr>
          <w:rFonts w:eastAsia="SimSun" w:cs="Mangal"/>
          <w:kern w:val="3"/>
          <w:szCs w:val="24"/>
          <w:lang w:eastAsia="zh-CN" w:bidi="hi-IN"/>
        </w:rPr>
        <w:t xml:space="preserve">The source of the estimates is U.S. Bureau of Labor Statistics. </w:t>
      </w:r>
      <w:r w:rsidRPr="00C346C0">
        <w:rPr>
          <w:rFonts w:eastAsia="SimSun" w:cs="Mangal"/>
          <w:kern w:val="3"/>
          <w:szCs w:val="24"/>
          <w:lang w:eastAsia="zh-CN" w:bidi="hi-IN"/>
        </w:rPr>
        <w:t xml:space="preserve">“May 2021 National Industry-Specific Occupational Employment and Wage Estimates for NAICS 324000 - Petroleum and Coal Products Manufacturing” </w:t>
      </w:r>
      <w:r>
        <w:rPr>
          <w:rFonts w:eastAsia="SimSun" w:cs="Mangal"/>
          <w:kern w:val="3"/>
          <w:szCs w:val="24"/>
          <w:lang w:eastAsia="zh-CN" w:bidi="hi-IN"/>
        </w:rPr>
        <w:t>[</w:t>
      </w:r>
      <w:r w:rsidRPr="00C346C0">
        <w:rPr>
          <w:rFonts w:eastAsia="SimSun" w:cs="Mangal"/>
          <w:kern w:val="3"/>
          <w:szCs w:val="24"/>
          <w:lang w:eastAsia="zh-CN" w:bidi="hi-IN"/>
        </w:rPr>
        <w:t>See: https://www.bls.gov/oes/current/naics3_324000.htm (accessed May 2, 2022).</w:t>
      </w:r>
      <w:r>
        <w:rPr>
          <w:rFonts w:eastAsia="SimSun" w:cs="Mangal"/>
          <w:kern w:val="3"/>
          <w:szCs w:val="24"/>
          <w:lang w:eastAsia="zh-CN" w:bidi="hi-IN"/>
        </w:rPr>
        <w:t>]</w:t>
      </w:r>
      <w:r w:rsidR="005D39AC">
        <w:rPr>
          <w:rFonts w:eastAsia="SimSun" w:cs="Mangal"/>
          <w:kern w:val="3"/>
          <w:szCs w:val="24"/>
          <w:lang w:eastAsia="zh-CN" w:bidi="hi-IN"/>
        </w:rPr>
        <w:t xml:space="preserve"> </w:t>
      </w:r>
      <w:r w:rsidRPr="00C346C0">
        <w:rPr>
          <w:rFonts w:eastAsia="SimSun" w:cs="Mangal"/>
          <w:kern w:val="3"/>
          <w:szCs w:val="24"/>
          <w:lang w:eastAsia="zh-CN" w:bidi="hi-IN"/>
        </w:rPr>
        <w:t>For each labor category, mean hourly wage was selected</w:t>
      </w:r>
      <w:r w:rsidR="00A634B6">
        <w:rPr>
          <w:rFonts w:eastAsia="SimSun" w:cs="Mangal"/>
          <w:kern w:val="3"/>
          <w:szCs w:val="24"/>
          <w:lang w:eastAsia="zh-CN" w:bidi="hi-IN"/>
        </w:rPr>
        <w:t xml:space="preserve">, as follows: </w:t>
      </w:r>
    </w:p>
    <w:p w:rsidR="005676D7" w:rsidP="00C346C0" w14:paraId="024A576D" w14:textId="1D491E37">
      <w:pPr>
        <w:suppressAutoHyphens/>
        <w:autoSpaceDN w:val="0"/>
        <w:ind w:firstLine="720"/>
        <w:rPr>
          <w:rFonts w:eastAsia="SimSun" w:cs="Mangal"/>
          <w:kern w:val="3"/>
          <w:szCs w:val="24"/>
          <w:lang w:eastAsia="zh-CN" w:bidi="hi-IN"/>
        </w:rPr>
      </w:pPr>
    </w:p>
    <w:p w:rsidR="005676D7" w:rsidP="00591902" w14:paraId="593DF916" w14:textId="77777777">
      <w:pPr>
        <w:suppressAutoHyphens/>
        <w:autoSpaceDN w:val="0"/>
        <w:ind w:firstLine="720"/>
        <w:rPr>
          <w:rFonts w:eastAsia="SimSun" w:cs="Mangal"/>
          <w:kern w:val="3"/>
          <w:szCs w:val="24"/>
          <w:lang w:eastAsia="zh-CN" w:bidi="hi-IN"/>
        </w:rPr>
      </w:pPr>
    </w:p>
    <w:tbl>
      <w:tblPr>
        <w:tblW w:w="9360" w:type="dxa"/>
        <w:tblLook w:val="04A0"/>
      </w:tblPr>
      <w:tblGrid>
        <w:gridCol w:w="2231"/>
        <w:gridCol w:w="1236"/>
        <w:gridCol w:w="1237"/>
        <w:gridCol w:w="1363"/>
        <w:gridCol w:w="1237"/>
        <w:gridCol w:w="917"/>
        <w:gridCol w:w="917"/>
        <w:gridCol w:w="222"/>
      </w:tblGrid>
      <w:tr w14:paraId="70A43C46" w14:textId="77777777" w:rsidTr="005676D7">
        <w:tblPrEx>
          <w:tblW w:w="9360" w:type="dxa"/>
          <w:tblLook w:val="04A0"/>
        </w:tblPrEx>
        <w:trPr>
          <w:gridAfter w:val="1"/>
          <w:wAfter w:w="34" w:type="dxa"/>
          <w:trHeight w:val="300"/>
        </w:trPr>
        <w:tc>
          <w:tcPr>
            <w:tcW w:w="2282" w:type="dxa"/>
            <w:tcBorders>
              <w:top w:val="nil"/>
              <w:left w:val="nil"/>
              <w:bottom w:val="nil"/>
              <w:right w:val="nil"/>
            </w:tcBorders>
            <w:shd w:val="clear" w:color="auto" w:fill="auto"/>
            <w:noWrap/>
            <w:vAlign w:val="bottom"/>
            <w:hideMark/>
          </w:tcPr>
          <w:p w:rsidR="005676D7" w:rsidRPr="005676D7" w:rsidP="005676D7" w14:paraId="648A5757" w14:textId="77777777">
            <w:pPr>
              <w:rPr>
                <w:rFonts w:eastAsia="Times New Roman" w:cs="Times New Roman"/>
                <w:sz w:val="20"/>
                <w:szCs w:val="24"/>
              </w:rPr>
            </w:pPr>
          </w:p>
        </w:tc>
        <w:tc>
          <w:tcPr>
            <w:tcW w:w="1261" w:type="dxa"/>
            <w:tcBorders>
              <w:top w:val="nil"/>
              <w:left w:val="nil"/>
              <w:bottom w:val="nil"/>
              <w:right w:val="nil"/>
            </w:tcBorders>
            <w:shd w:val="clear" w:color="auto" w:fill="auto"/>
            <w:noWrap/>
            <w:vAlign w:val="bottom"/>
            <w:hideMark/>
          </w:tcPr>
          <w:p w:rsidR="005676D7" w:rsidRPr="005676D7" w:rsidP="005676D7" w14:paraId="2A459B25" w14:textId="77777777">
            <w:pPr>
              <w:rPr>
                <w:rFonts w:eastAsia="Times New Roman" w:cs="Times New Roman"/>
                <w:sz w:val="20"/>
                <w:szCs w:val="20"/>
              </w:rPr>
            </w:pPr>
          </w:p>
        </w:tc>
        <w:tc>
          <w:tcPr>
            <w:tcW w:w="1262" w:type="dxa"/>
            <w:tcBorders>
              <w:top w:val="nil"/>
              <w:left w:val="nil"/>
              <w:bottom w:val="nil"/>
              <w:right w:val="nil"/>
            </w:tcBorders>
            <w:shd w:val="clear" w:color="auto" w:fill="auto"/>
            <w:noWrap/>
            <w:vAlign w:val="bottom"/>
            <w:hideMark/>
          </w:tcPr>
          <w:p w:rsidR="005676D7" w:rsidRPr="005676D7" w:rsidP="005676D7" w14:paraId="4B5D9B8E" w14:textId="77777777">
            <w:pPr>
              <w:rPr>
                <w:rFonts w:eastAsia="Times New Roman" w:cs="Times New Roman"/>
                <w:sz w:val="20"/>
                <w:szCs w:val="20"/>
              </w:rPr>
            </w:pPr>
          </w:p>
        </w:tc>
        <w:tc>
          <w:tcPr>
            <w:tcW w:w="1391" w:type="dxa"/>
            <w:tcBorders>
              <w:top w:val="nil"/>
              <w:left w:val="nil"/>
              <w:bottom w:val="nil"/>
              <w:right w:val="nil"/>
            </w:tcBorders>
            <w:shd w:val="clear" w:color="auto" w:fill="auto"/>
            <w:noWrap/>
            <w:vAlign w:val="bottom"/>
            <w:hideMark/>
          </w:tcPr>
          <w:p w:rsidR="005676D7" w:rsidRPr="005676D7" w:rsidP="005676D7" w14:paraId="61256A81" w14:textId="77777777">
            <w:pPr>
              <w:rPr>
                <w:rFonts w:eastAsia="Times New Roman" w:cs="Times New Roman"/>
                <w:sz w:val="20"/>
                <w:szCs w:val="20"/>
              </w:rPr>
            </w:pPr>
          </w:p>
        </w:tc>
        <w:tc>
          <w:tcPr>
            <w:tcW w:w="1262" w:type="dxa"/>
            <w:tcBorders>
              <w:top w:val="nil"/>
              <w:left w:val="nil"/>
              <w:bottom w:val="nil"/>
              <w:right w:val="nil"/>
            </w:tcBorders>
            <w:shd w:val="clear" w:color="auto" w:fill="auto"/>
            <w:noWrap/>
            <w:vAlign w:val="bottom"/>
            <w:hideMark/>
          </w:tcPr>
          <w:p w:rsidR="005676D7" w:rsidRPr="005676D7" w:rsidP="005676D7" w14:paraId="7373C17C" w14:textId="77777777">
            <w:pPr>
              <w:rPr>
                <w:rFonts w:eastAsia="Times New Roman" w:cs="Times New Roman"/>
                <w:sz w:val="20"/>
                <w:szCs w:val="20"/>
              </w:rPr>
            </w:pPr>
          </w:p>
        </w:tc>
        <w:tc>
          <w:tcPr>
            <w:tcW w:w="934" w:type="dxa"/>
            <w:tcBorders>
              <w:top w:val="nil"/>
              <w:left w:val="nil"/>
              <w:bottom w:val="nil"/>
              <w:right w:val="nil"/>
            </w:tcBorders>
            <w:shd w:val="clear" w:color="auto" w:fill="auto"/>
            <w:noWrap/>
            <w:vAlign w:val="bottom"/>
            <w:hideMark/>
          </w:tcPr>
          <w:p w:rsidR="005676D7" w:rsidRPr="005676D7" w:rsidP="005676D7" w14:paraId="3AD29E18" w14:textId="77777777">
            <w:pPr>
              <w:rPr>
                <w:rFonts w:eastAsia="Times New Roman" w:cs="Times New Roman"/>
                <w:sz w:val="20"/>
                <w:szCs w:val="20"/>
              </w:rPr>
            </w:pPr>
          </w:p>
        </w:tc>
        <w:tc>
          <w:tcPr>
            <w:tcW w:w="934" w:type="dxa"/>
            <w:tcBorders>
              <w:top w:val="nil"/>
              <w:left w:val="nil"/>
              <w:bottom w:val="nil"/>
              <w:right w:val="nil"/>
            </w:tcBorders>
            <w:shd w:val="clear" w:color="auto" w:fill="auto"/>
            <w:noWrap/>
            <w:vAlign w:val="bottom"/>
            <w:hideMark/>
          </w:tcPr>
          <w:p w:rsidR="005676D7" w:rsidRPr="005676D7" w:rsidP="005676D7" w14:paraId="3D07D5DC" w14:textId="77777777">
            <w:pPr>
              <w:rPr>
                <w:rFonts w:eastAsia="Times New Roman" w:cs="Times New Roman"/>
                <w:sz w:val="20"/>
                <w:szCs w:val="20"/>
              </w:rPr>
            </w:pPr>
          </w:p>
        </w:tc>
      </w:tr>
      <w:tr w14:paraId="60BF76A6" w14:textId="77777777" w:rsidTr="005676D7">
        <w:tblPrEx>
          <w:tblW w:w="9360" w:type="dxa"/>
          <w:tblLook w:val="04A0"/>
        </w:tblPrEx>
        <w:trPr>
          <w:gridAfter w:val="1"/>
          <w:wAfter w:w="34" w:type="dxa"/>
          <w:trHeight w:val="380"/>
        </w:trPr>
        <w:tc>
          <w:tcPr>
            <w:tcW w:w="7458"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676D7" w:rsidRPr="005676D7" w:rsidP="005676D7" w14:paraId="67A94416" w14:textId="77777777">
            <w:pPr>
              <w:jc w:val="center"/>
              <w:rPr>
                <w:rFonts w:eastAsia="Times New Roman" w:cs="Times New Roman"/>
                <w:b/>
                <w:bCs/>
                <w:color w:val="000000"/>
                <w:szCs w:val="24"/>
              </w:rPr>
            </w:pPr>
            <w:r w:rsidRPr="005676D7">
              <w:rPr>
                <w:rFonts w:eastAsia="Times New Roman" w:cs="Times New Roman"/>
                <w:b/>
                <w:bCs/>
                <w:color w:val="000000"/>
                <w:szCs w:val="24"/>
              </w:rPr>
              <w:t>Labor Costs</w:t>
            </w:r>
          </w:p>
        </w:tc>
        <w:tc>
          <w:tcPr>
            <w:tcW w:w="934" w:type="dxa"/>
            <w:tcBorders>
              <w:top w:val="nil"/>
              <w:left w:val="nil"/>
              <w:bottom w:val="nil"/>
              <w:right w:val="nil"/>
            </w:tcBorders>
            <w:shd w:val="clear" w:color="auto" w:fill="auto"/>
            <w:noWrap/>
            <w:vAlign w:val="bottom"/>
            <w:hideMark/>
          </w:tcPr>
          <w:p w:rsidR="005676D7" w:rsidRPr="005676D7" w:rsidP="005676D7" w14:paraId="63A5E72B" w14:textId="77777777">
            <w:pPr>
              <w:jc w:val="center"/>
              <w:rPr>
                <w:rFonts w:eastAsia="Times New Roman" w:cs="Times New Roman"/>
                <w:b/>
                <w:bCs/>
                <w:color w:val="000000"/>
                <w:szCs w:val="24"/>
              </w:rPr>
            </w:pPr>
          </w:p>
        </w:tc>
        <w:tc>
          <w:tcPr>
            <w:tcW w:w="934" w:type="dxa"/>
            <w:tcBorders>
              <w:top w:val="nil"/>
              <w:left w:val="nil"/>
              <w:bottom w:val="nil"/>
              <w:right w:val="nil"/>
            </w:tcBorders>
            <w:shd w:val="clear" w:color="auto" w:fill="auto"/>
            <w:noWrap/>
            <w:vAlign w:val="bottom"/>
            <w:hideMark/>
          </w:tcPr>
          <w:p w:rsidR="005676D7" w:rsidRPr="005676D7" w:rsidP="005676D7" w14:paraId="6EA23B07" w14:textId="77777777">
            <w:pPr>
              <w:rPr>
                <w:rFonts w:eastAsia="Times New Roman" w:cs="Times New Roman"/>
                <w:szCs w:val="24"/>
              </w:rPr>
            </w:pPr>
          </w:p>
        </w:tc>
      </w:tr>
      <w:tr w14:paraId="564E1974" w14:textId="77777777" w:rsidTr="005676D7">
        <w:tblPrEx>
          <w:tblW w:w="9360" w:type="dxa"/>
          <w:tblLook w:val="04A0"/>
        </w:tblPrEx>
        <w:trPr>
          <w:gridAfter w:val="1"/>
          <w:wAfter w:w="34" w:type="dxa"/>
          <w:trHeight w:val="910"/>
        </w:trPr>
        <w:tc>
          <w:tcPr>
            <w:tcW w:w="2282" w:type="dxa"/>
            <w:tcBorders>
              <w:top w:val="nil"/>
              <w:left w:val="single" w:sz="8" w:space="0" w:color="auto"/>
              <w:bottom w:val="single" w:sz="4" w:space="0" w:color="auto"/>
              <w:right w:val="single" w:sz="4" w:space="0" w:color="auto"/>
            </w:tcBorders>
            <w:shd w:val="clear" w:color="auto" w:fill="auto"/>
            <w:noWrap/>
            <w:vAlign w:val="bottom"/>
            <w:hideMark/>
          </w:tcPr>
          <w:p w:rsidR="005676D7" w:rsidRPr="005676D7" w:rsidP="005676D7" w14:paraId="2C37A8EE" w14:textId="77777777">
            <w:pPr>
              <w:jc w:val="center"/>
              <w:rPr>
                <w:rFonts w:eastAsia="Times New Roman" w:cs="Times New Roman"/>
                <w:i/>
                <w:iCs/>
                <w:color w:val="000000"/>
                <w:szCs w:val="24"/>
              </w:rPr>
            </w:pPr>
            <w:r w:rsidRPr="005676D7">
              <w:rPr>
                <w:rFonts w:eastAsia="Times New Roman" w:cs="Times New Roman"/>
                <w:i/>
                <w:iCs/>
                <w:color w:val="000000"/>
                <w:szCs w:val="24"/>
              </w:rPr>
              <w:t>Labor Type</w:t>
            </w:r>
          </w:p>
        </w:tc>
        <w:tc>
          <w:tcPr>
            <w:tcW w:w="1261" w:type="dxa"/>
            <w:tcBorders>
              <w:top w:val="nil"/>
              <w:left w:val="nil"/>
              <w:bottom w:val="single" w:sz="4" w:space="0" w:color="auto"/>
              <w:right w:val="single" w:sz="4" w:space="0" w:color="auto"/>
            </w:tcBorders>
            <w:shd w:val="clear" w:color="auto" w:fill="auto"/>
            <w:vAlign w:val="bottom"/>
            <w:hideMark/>
          </w:tcPr>
          <w:p w:rsidR="005676D7" w:rsidRPr="005676D7" w:rsidP="005676D7" w14:paraId="6E587824" w14:textId="77777777">
            <w:pPr>
              <w:jc w:val="center"/>
              <w:rPr>
                <w:rFonts w:eastAsia="Times New Roman" w:cs="Times New Roman"/>
                <w:i/>
                <w:iCs/>
                <w:color w:val="000000"/>
                <w:szCs w:val="24"/>
              </w:rPr>
            </w:pPr>
            <w:r w:rsidRPr="005676D7">
              <w:rPr>
                <w:rFonts w:eastAsia="Times New Roman" w:cs="Times New Roman"/>
                <w:i/>
                <w:iCs/>
                <w:color w:val="000000"/>
                <w:szCs w:val="24"/>
              </w:rPr>
              <w:t>Labor Cost/hour</w:t>
            </w:r>
          </w:p>
        </w:tc>
        <w:tc>
          <w:tcPr>
            <w:tcW w:w="1262" w:type="dxa"/>
            <w:tcBorders>
              <w:top w:val="nil"/>
              <w:left w:val="nil"/>
              <w:bottom w:val="single" w:sz="4" w:space="0" w:color="auto"/>
              <w:right w:val="single" w:sz="4" w:space="0" w:color="auto"/>
            </w:tcBorders>
            <w:shd w:val="clear" w:color="auto" w:fill="auto"/>
            <w:vAlign w:val="bottom"/>
            <w:hideMark/>
          </w:tcPr>
          <w:p w:rsidR="005676D7" w:rsidRPr="005676D7" w:rsidP="005676D7" w14:paraId="5305FA6F" w14:textId="77777777">
            <w:pPr>
              <w:jc w:val="center"/>
              <w:rPr>
                <w:rFonts w:eastAsia="Times New Roman" w:cs="Times New Roman"/>
                <w:i/>
                <w:iCs/>
                <w:color w:val="000000"/>
                <w:szCs w:val="24"/>
              </w:rPr>
            </w:pPr>
            <w:r w:rsidRPr="005676D7">
              <w:rPr>
                <w:rFonts w:eastAsia="Times New Roman" w:cs="Times New Roman"/>
                <w:i/>
                <w:iCs/>
                <w:color w:val="000000"/>
                <w:szCs w:val="24"/>
              </w:rPr>
              <w:t>Labor + Overhead/ hour</w:t>
            </w:r>
            <w:r w:rsidRPr="005676D7">
              <w:rPr>
                <w:rFonts w:eastAsia="Times New Roman" w:cs="Times New Roman"/>
                <w:i/>
                <w:iCs/>
                <w:color w:val="000000"/>
                <w:szCs w:val="24"/>
                <w:vertAlign w:val="superscript"/>
              </w:rPr>
              <w:t>a</w:t>
            </w:r>
          </w:p>
        </w:tc>
        <w:tc>
          <w:tcPr>
            <w:tcW w:w="1391" w:type="dxa"/>
            <w:tcBorders>
              <w:top w:val="nil"/>
              <w:left w:val="nil"/>
              <w:bottom w:val="single" w:sz="4" w:space="0" w:color="auto"/>
              <w:right w:val="single" w:sz="4" w:space="0" w:color="auto"/>
            </w:tcBorders>
            <w:shd w:val="clear" w:color="auto" w:fill="auto"/>
            <w:vAlign w:val="bottom"/>
            <w:hideMark/>
          </w:tcPr>
          <w:p w:rsidR="005676D7" w:rsidRPr="005676D7" w:rsidP="005676D7" w14:paraId="276549D2" w14:textId="77777777">
            <w:pPr>
              <w:jc w:val="center"/>
              <w:rPr>
                <w:rFonts w:eastAsia="Times New Roman" w:cs="Times New Roman"/>
                <w:i/>
                <w:iCs/>
                <w:color w:val="000000"/>
                <w:sz w:val="18"/>
                <w:szCs w:val="18"/>
              </w:rPr>
            </w:pPr>
            <w:r w:rsidRPr="005676D7">
              <w:rPr>
                <w:rFonts w:eastAsia="Times New Roman" w:cs="Times New Roman"/>
                <w:i/>
                <w:iCs/>
                <w:color w:val="000000"/>
                <w:sz w:val="18"/>
                <w:szCs w:val="18"/>
              </w:rPr>
              <w:t>Portion attributed/hour</w:t>
            </w:r>
          </w:p>
        </w:tc>
        <w:tc>
          <w:tcPr>
            <w:tcW w:w="1262" w:type="dxa"/>
            <w:tcBorders>
              <w:top w:val="nil"/>
              <w:left w:val="nil"/>
              <w:bottom w:val="single" w:sz="4" w:space="0" w:color="auto"/>
              <w:right w:val="single" w:sz="8" w:space="0" w:color="auto"/>
            </w:tcBorders>
            <w:shd w:val="clear" w:color="auto" w:fill="auto"/>
            <w:vAlign w:val="bottom"/>
            <w:hideMark/>
          </w:tcPr>
          <w:p w:rsidR="005676D7" w:rsidRPr="005676D7" w:rsidP="005676D7" w14:paraId="73CDBA6D" w14:textId="77777777">
            <w:pPr>
              <w:jc w:val="center"/>
              <w:rPr>
                <w:rFonts w:eastAsia="Times New Roman" w:cs="Times New Roman"/>
                <w:i/>
                <w:iCs/>
                <w:color w:val="000000"/>
                <w:szCs w:val="24"/>
              </w:rPr>
            </w:pPr>
            <w:r w:rsidRPr="005676D7">
              <w:rPr>
                <w:rFonts w:eastAsia="Times New Roman" w:cs="Times New Roman"/>
                <w:i/>
                <w:iCs/>
                <w:color w:val="000000"/>
                <w:szCs w:val="24"/>
              </w:rPr>
              <w:t>Employer Cost/hour</w:t>
            </w:r>
          </w:p>
        </w:tc>
        <w:tc>
          <w:tcPr>
            <w:tcW w:w="934" w:type="dxa"/>
            <w:tcBorders>
              <w:top w:val="nil"/>
              <w:left w:val="nil"/>
              <w:bottom w:val="nil"/>
              <w:right w:val="nil"/>
            </w:tcBorders>
            <w:shd w:val="clear" w:color="auto" w:fill="auto"/>
            <w:noWrap/>
            <w:vAlign w:val="bottom"/>
            <w:hideMark/>
          </w:tcPr>
          <w:p w:rsidR="005676D7" w:rsidRPr="005676D7" w:rsidP="005676D7" w14:paraId="3675F031" w14:textId="77777777">
            <w:pPr>
              <w:jc w:val="center"/>
              <w:rPr>
                <w:rFonts w:eastAsia="Times New Roman" w:cs="Times New Roman"/>
                <w:i/>
                <w:iCs/>
                <w:color w:val="000000"/>
                <w:szCs w:val="24"/>
              </w:rPr>
            </w:pPr>
          </w:p>
        </w:tc>
        <w:tc>
          <w:tcPr>
            <w:tcW w:w="934" w:type="dxa"/>
            <w:tcBorders>
              <w:top w:val="nil"/>
              <w:left w:val="nil"/>
              <w:bottom w:val="nil"/>
              <w:right w:val="nil"/>
            </w:tcBorders>
            <w:shd w:val="clear" w:color="auto" w:fill="auto"/>
            <w:noWrap/>
            <w:vAlign w:val="bottom"/>
            <w:hideMark/>
          </w:tcPr>
          <w:p w:rsidR="005676D7" w:rsidRPr="005676D7" w:rsidP="005676D7" w14:paraId="658C66BC" w14:textId="77777777">
            <w:pPr>
              <w:rPr>
                <w:rFonts w:eastAsia="Times New Roman" w:cs="Times New Roman"/>
                <w:szCs w:val="24"/>
              </w:rPr>
            </w:pPr>
          </w:p>
        </w:tc>
      </w:tr>
      <w:tr w14:paraId="1511B216" w14:textId="77777777" w:rsidTr="005676D7">
        <w:tblPrEx>
          <w:tblW w:w="9360" w:type="dxa"/>
          <w:tblLook w:val="04A0"/>
        </w:tblPrEx>
        <w:trPr>
          <w:gridAfter w:val="1"/>
          <w:wAfter w:w="34" w:type="dxa"/>
          <w:trHeight w:val="580"/>
        </w:trPr>
        <w:tc>
          <w:tcPr>
            <w:tcW w:w="2282" w:type="dxa"/>
            <w:tcBorders>
              <w:top w:val="nil"/>
              <w:left w:val="single" w:sz="8" w:space="0" w:color="auto"/>
              <w:bottom w:val="single" w:sz="4" w:space="0" w:color="auto"/>
              <w:right w:val="single" w:sz="4" w:space="0" w:color="auto"/>
            </w:tcBorders>
            <w:shd w:val="clear" w:color="auto" w:fill="auto"/>
            <w:vAlign w:val="bottom"/>
            <w:hideMark/>
          </w:tcPr>
          <w:p w:rsidR="005676D7" w:rsidRPr="005676D7" w:rsidP="005676D7" w14:paraId="0D336B35" w14:textId="77777777">
            <w:pPr>
              <w:rPr>
                <w:rFonts w:eastAsia="Times New Roman" w:cs="Times New Roman"/>
                <w:color w:val="000000"/>
                <w:sz w:val="20"/>
                <w:szCs w:val="20"/>
              </w:rPr>
            </w:pPr>
            <w:r w:rsidRPr="005676D7">
              <w:rPr>
                <w:rFonts w:eastAsia="Times New Roman" w:cs="Times New Roman"/>
                <w:color w:val="000000"/>
                <w:sz w:val="20"/>
                <w:szCs w:val="20"/>
              </w:rPr>
              <w:t>Managerial (CEO - 11-1011)</w:t>
            </w:r>
          </w:p>
        </w:tc>
        <w:tc>
          <w:tcPr>
            <w:tcW w:w="1261" w:type="dxa"/>
            <w:tcBorders>
              <w:top w:val="nil"/>
              <w:left w:val="nil"/>
              <w:bottom w:val="single" w:sz="4" w:space="0" w:color="auto"/>
              <w:right w:val="single" w:sz="4" w:space="0" w:color="auto"/>
            </w:tcBorders>
            <w:shd w:val="clear" w:color="auto" w:fill="auto"/>
            <w:noWrap/>
            <w:vAlign w:val="bottom"/>
            <w:hideMark/>
          </w:tcPr>
          <w:p w:rsidR="005676D7" w:rsidRPr="005676D7" w:rsidP="005676D7" w14:paraId="08A49198" w14:textId="77777777">
            <w:pPr>
              <w:rPr>
                <w:rFonts w:eastAsia="Times New Roman" w:cs="Times New Roman"/>
                <w:color w:val="000000"/>
                <w:szCs w:val="24"/>
              </w:rPr>
            </w:pPr>
            <w:r w:rsidRPr="005676D7">
              <w:rPr>
                <w:rFonts w:eastAsia="Times New Roman" w:cs="Times New Roman"/>
                <w:color w:val="000000"/>
                <w:szCs w:val="24"/>
              </w:rPr>
              <w:t>126.33</w:t>
            </w:r>
          </w:p>
        </w:tc>
        <w:tc>
          <w:tcPr>
            <w:tcW w:w="1262" w:type="dxa"/>
            <w:tcBorders>
              <w:top w:val="nil"/>
              <w:left w:val="nil"/>
              <w:bottom w:val="single" w:sz="4" w:space="0" w:color="auto"/>
              <w:right w:val="single" w:sz="4" w:space="0" w:color="auto"/>
            </w:tcBorders>
            <w:shd w:val="clear" w:color="auto" w:fill="auto"/>
            <w:noWrap/>
            <w:vAlign w:val="bottom"/>
            <w:hideMark/>
          </w:tcPr>
          <w:p w:rsidR="005676D7" w:rsidRPr="005676D7" w:rsidP="005676D7" w14:paraId="2C7236AF" w14:textId="77777777">
            <w:pPr>
              <w:rPr>
                <w:rFonts w:eastAsia="Times New Roman" w:cs="Times New Roman"/>
                <w:color w:val="000000"/>
                <w:szCs w:val="24"/>
              </w:rPr>
            </w:pPr>
            <w:r w:rsidRPr="005676D7">
              <w:rPr>
                <w:rFonts w:eastAsia="Times New Roman" w:cs="Times New Roman"/>
                <w:color w:val="000000"/>
                <w:szCs w:val="24"/>
              </w:rPr>
              <w:t>253.00</w:t>
            </w:r>
          </w:p>
        </w:tc>
        <w:tc>
          <w:tcPr>
            <w:tcW w:w="1391" w:type="dxa"/>
            <w:tcBorders>
              <w:top w:val="nil"/>
              <w:left w:val="nil"/>
              <w:bottom w:val="single" w:sz="4" w:space="0" w:color="auto"/>
              <w:right w:val="single" w:sz="4" w:space="0" w:color="auto"/>
            </w:tcBorders>
            <w:shd w:val="clear" w:color="auto" w:fill="auto"/>
            <w:noWrap/>
            <w:vAlign w:val="bottom"/>
            <w:hideMark/>
          </w:tcPr>
          <w:p w:rsidR="005676D7" w:rsidRPr="005676D7" w:rsidP="005676D7" w14:paraId="34A88F79" w14:textId="77777777">
            <w:pPr>
              <w:rPr>
                <w:rFonts w:eastAsia="Times New Roman" w:cs="Times New Roman"/>
                <w:color w:val="000000"/>
                <w:szCs w:val="24"/>
              </w:rPr>
            </w:pPr>
            <w:r w:rsidRPr="005676D7">
              <w:rPr>
                <w:rFonts w:eastAsia="Times New Roman" w:cs="Times New Roman"/>
                <w:color w:val="000000"/>
                <w:szCs w:val="24"/>
              </w:rPr>
              <w:t>0.05</w:t>
            </w:r>
          </w:p>
        </w:tc>
        <w:tc>
          <w:tcPr>
            <w:tcW w:w="1262" w:type="dxa"/>
            <w:tcBorders>
              <w:top w:val="nil"/>
              <w:left w:val="nil"/>
              <w:bottom w:val="single" w:sz="4" w:space="0" w:color="auto"/>
              <w:right w:val="single" w:sz="8" w:space="0" w:color="auto"/>
            </w:tcBorders>
            <w:shd w:val="clear" w:color="auto" w:fill="auto"/>
            <w:noWrap/>
            <w:vAlign w:val="bottom"/>
            <w:hideMark/>
          </w:tcPr>
          <w:p w:rsidR="005676D7" w:rsidRPr="005676D7" w:rsidP="005676D7" w14:paraId="4194DBC4" w14:textId="77777777">
            <w:pPr>
              <w:jc w:val="center"/>
              <w:rPr>
                <w:rFonts w:eastAsia="Times New Roman" w:cs="Times New Roman"/>
                <w:color w:val="000000"/>
                <w:szCs w:val="24"/>
              </w:rPr>
            </w:pPr>
            <w:r w:rsidRPr="005676D7">
              <w:rPr>
                <w:rFonts w:eastAsia="Times New Roman" w:cs="Times New Roman"/>
                <w:color w:val="000000"/>
                <w:szCs w:val="24"/>
              </w:rPr>
              <w:t>12.65</w:t>
            </w:r>
          </w:p>
        </w:tc>
        <w:tc>
          <w:tcPr>
            <w:tcW w:w="934" w:type="dxa"/>
            <w:tcBorders>
              <w:top w:val="nil"/>
              <w:left w:val="nil"/>
              <w:bottom w:val="nil"/>
              <w:right w:val="nil"/>
            </w:tcBorders>
            <w:shd w:val="clear" w:color="auto" w:fill="auto"/>
            <w:noWrap/>
            <w:vAlign w:val="bottom"/>
            <w:hideMark/>
          </w:tcPr>
          <w:p w:rsidR="005676D7" w:rsidRPr="005676D7" w:rsidP="005676D7" w14:paraId="06BFBAA2" w14:textId="77777777">
            <w:pPr>
              <w:jc w:val="center"/>
              <w:rPr>
                <w:rFonts w:eastAsia="Times New Roman" w:cs="Times New Roman"/>
                <w:color w:val="000000"/>
                <w:szCs w:val="24"/>
              </w:rPr>
            </w:pPr>
          </w:p>
        </w:tc>
        <w:tc>
          <w:tcPr>
            <w:tcW w:w="934" w:type="dxa"/>
            <w:tcBorders>
              <w:top w:val="nil"/>
              <w:left w:val="nil"/>
              <w:bottom w:val="nil"/>
              <w:right w:val="nil"/>
            </w:tcBorders>
            <w:shd w:val="clear" w:color="auto" w:fill="auto"/>
            <w:noWrap/>
            <w:vAlign w:val="bottom"/>
            <w:hideMark/>
          </w:tcPr>
          <w:p w:rsidR="005676D7" w:rsidRPr="005676D7" w:rsidP="005676D7" w14:paraId="046796D2" w14:textId="77777777">
            <w:pPr>
              <w:rPr>
                <w:rFonts w:eastAsia="Times New Roman" w:cs="Times New Roman"/>
                <w:szCs w:val="24"/>
              </w:rPr>
            </w:pPr>
          </w:p>
        </w:tc>
      </w:tr>
      <w:tr w14:paraId="66CF8C3F" w14:textId="77777777" w:rsidTr="005676D7">
        <w:tblPrEx>
          <w:tblW w:w="9360" w:type="dxa"/>
          <w:tblLook w:val="04A0"/>
        </w:tblPrEx>
        <w:trPr>
          <w:gridAfter w:val="1"/>
          <w:wAfter w:w="34" w:type="dxa"/>
          <w:trHeight w:val="870"/>
        </w:trPr>
        <w:tc>
          <w:tcPr>
            <w:tcW w:w="2282" w:type="dxa"/>
            <w:tcBorders>
              <w:top w:val="nil"/>
              <w:left w:val="single" w:sz="8" w:space="0" w:color="auto"/>
              <w:bottom w:val="single" w:sz="4" w:space="0" w:color="auto"/>
              <w:right w:val="single" w:sz="4" w:space="0" w:color="auto"/>
            </w:tcBorders>
            <w:shd w:val="clear" w:color="auto" w:fill="auto"/>
            <w:vAlign w:val="bottom"/>
            <w:hideMark/>
          </w:tcPr>
          <w:p w:rsidR="005676D7" w:rsidRPr="005676D7" w:rsidP="005676D7" w14:paraId="62E9A785" w14:textId="77777777">
            <w:pPr>
              <w:rPr>
                <w:rFonts w:eastAsia="Times New Roman" w:cs="Times New Roman"/>
                <w:color w:val="000000"/>
                <w:sz w:val="20"/>
                <w:szCs w:val="20"/>
              </w:rPr>
            </w:pPr>
            <w:r w:rsidRPr="005676D7">
              <w:rPr>
                <w:rFonts w:eastAsia="Times New Roman" w:cs="Times New Roman"/>
                <w:color w:val="000000"/>
                <w:sz w:val="20"/>
                <w:szCs w:val="20"/>
              </w:rPr>
              <w:t>Professional/Technical (Refinery Operators - 51-8093)</w:t>
            </w:r>
          </w:p>
        </w:tc>
        <w:tc>
          <w:tcPr>
            <w:tcW w:w="1261" w:type="dxa"/>
            <w:tcBorders>
              <w:top w:val="nil"/>
              <w:left w:val="nil"/>
              <w:bottom w:val="single" w:sz="4" w:space="0" w:color="auto"/>
              <w:right w:val="single" w:sz="4" w:space="0" w:color="auto"/>
            </w:tcBorders>
            <w:shd w:val="clear" w:color="auto" w:fill="auto"/>
            <w:noWrap/>
            <w:vAlign w:val="bottom"/>
            <w:hideMark/>
          </w:tcPr>
          <w:p w:rsidR="005676D7" w:rsidRPr="005676D7" w:rsidP="005676D7" w14:paraId="38CC75A1" w14:textId="77777777">
            <w:pPr>
              <w:rPr>
                <w:rFonts w:eastAsia="Times New Roman" w:cs="Times New Roman"/>
                <w:color w:val="000000"/>
                <w:szCs w:val="24"/>
              </w:rPr>
            </w:pPr>
            <w:r w:rsidRPr="005676D7">
              <w:rPr>
                <w:rFonts w:eastAsia="Times New Roman" w:cs="Times New Roman"/>
                <w:color w:val="000000"/>
                <w:szCs w:val="24"/>
              </w:rPr>
              <w:t>41.32</w:t>
            </w:r>
          </w:p>
        </w:tc>
        <w:tc>
          <w:tcPr>
            <w:tcW w:w="1262" w:type="dxa"/>
            <w:tcBorders>
              <w:top w:val="nil"/>
              <w:left w:val="nil"/>
              <w:bottom w:val="single" w:sz="4" w:space="0" w:color="auto"/>
              <w:right w:val="single" w:sz="4" w:space="0" w:color="auto"/>
            </w:tcBorders>
            <w:shd w:val="clear" w:color="auto" w:fill="auto"/>
            <w:noWrap/>
            <w:vAlign w:val="bottom"/>
            <w:hideMark/>
          </w:tcPr>
          <w:p w:rsidR="005676D7" w:rsidRPr="005676D7" w:rsidP="005676D7" w14:paraId="16C972F0" w14:textId="77777777">
            <w:pPr>
              <w:rPr>
                <w:rFonts w:eastAsia="Times New Roman" w:cs="Times New Roman"/>
                <w:color w:val="000000"/>
                <w:szCs w:val="24"/>
              </w:rPr>
            </w:pPr>
            <w:r w:rsidRPr="005676D7">
              <w:rPr>
                <w:rFonts w:eastAsia="Times New Roman" w:cs="Times New Roman"/>
                <w:color w:val="000000"/>
                <w:szCs w:val="24"/>
              </w:rPr>
              <w:t>83.00</w:t>
            </w:r>
          </w:p>
        </w:tc>
        <w:tc>
          <w:tcPr>
            <w:tcW w:w="1391" w:type="dxa"/>
            <w:tcBorders>
              <w:top w:val="nil"/>
              <w:left w:val="nil"/>
              <w:bottom w:val="single" w:sz="4" w:space="0" w:color="auto"/>
              <w:right w:val="single" w:sz="4" w:space="0" w:color="auto"/>
            </w:tcBorders>
            <w:shd w:val="clear" w:color="auto" w:fill="auto"/>
            <w:noWrap/>
            <w:vAlign w:val="bottom"/>
            <w:hideMark/>
          </w:tcPr>
          <w:p w:rsidR="005676D7" w:rsidRPr="005676D7" w:rsidP="005676D7" w14:paraId="494B25AC" w14:textId="77777777">
            <w:pPr>
              <w:rPr>
                <w:rFonts w:eastAsia="Times New Roman" w:cs="Times New Roman"/>
                <w:color w:val="000000"/>
                <w:szCs w:val="24"/>
              </w:rPr>
            </w:pPr>
            <w:r w:rsidRPr="005676D7">
              <w:rPr>
                <w:rFonts w:eastAsia="Times New Roman" w:cs="Times New Roman"/>
                <w:color w:val="000000"/>
                <w:szCs w:val="24"/>
              </w:rPr>
              <w:t>0.7</w:t>
            </w:r>
          </w:p>
        </w:tc>
        <w:tc>
          <w:tcPr>
            <w:tcW w:w="1262" w:type="dxa"/>
            <w:tcBorders>
              <w:top w:val="nil"/>
              <w:left w:val="nil"/>
              <w:bottom w:val="single" w:sz="4" w:space="0" w:color="auto"/>
              <w:right w:val="single" w:sz="8" w:space="0" w:color="auto"/>
            </w:tcBorders>
            <w:shd w:val="clear" w:color="auto" w:fill="auto"/>
            <w:noWrap/>
            <w:vAlign w:val="bottom"/>
            <w:hideMark/>
          </w:tcPr>
          <w:p w:rsidR="005676D7" w:rsidRPr="005676D7" w:rsidP="005676D7" w14:paraId="62F11212" w14:textId="77777777">
            <w:pPr>
              <w:jc w:val="center"/>
              <w:rPr>
                <w:rFonts w:eastAsia="Times New Roman" w:cs="Times New Roman"/>
                <w:color w:val="000000"/>
                <w:szCs w:val="24"/>
              </w:rPr>
            </w:pPr>
            <w:r w:rsidRPr="005676D7">
              <w:rPr>
                <w:rFonts w:eastAsia="Times New Roman" w:cs="Times New Roman"/>
                <w:color w:val="000000"/>
                <w:szCs w:val="24"/>
              </w:rPr>
              <w:t>58.10</w:t>
            </w:r>
          </w:p>
        </w:tc>
        <w:tc>
          <w:tcPr>
            <w:tcW w:w="934" w:type="dxa"/>
            <w:tcBorders>
              <w:top w:val="nil"/>
              <w:left w:val="nil"/>
              <w:bottom w:val="nil"/>
              <w:right w:val="nil"/>
            </w:tcBorders>
            <w:shd w:val="clear" w:color="auto" w:fill="auto"/>
            <w:noWrap/>
            <w:vAlign w:val="bottom"/>
            <w:hideMark/>
          </w:tcPr>
          <w:p w:rsidR="005676D7" w:rsidRPr="005676D7" w:rsidP="005676D7" w14:paraId="554F2D88" w14:textId="77777777">
            <w:pPr>
              <w:jc w:val="center"/>
              <w:rPr>
                <w:rFonts w:eastAsia="Times New Roman" w:cs="Times New Roman"/>
                <w:color w:val="000000"/>
                <w:szCs w:val="24"/>
              </w:rPr>
            </w:pPr>
          </w:p>
        </w:tc>
        <w:tc>
          <w:tcPr>
            <w:tcW w:w="934" w:type="dxa"/>
            <w:tcBorders>
              <w:top w:val="nil"/>
              <w:left w:val="nil"/>
              <w:bottom w:val="nil"/>
              <w:right w:val="nil"/>
            </w:tcBorders>
            <w:shd w:val="clear" w:color="auto" w:fill="auto"/>
            <w:noWrap/>
            <w:vAlign w:val="bottom"/>
            <w:hideMark/>
          </w:tcPr>
          <w:p w:rsidR="005676D7" w:rsidRPr="005676D7" w:rsidP="005676D7" w14:paraId="599290F2" w14:textId="77777777">
            <w:pPr>
              <w:rPr>
                <w:rFonts w:eastAsia="Times New Roman" w:cs="Times New Roman"/>
                <w:szCs w:val="24"/>
              </w:rPr>
            </w:pPr>
          </w:p>
        </w:tc>
      </w:tr>
      <w:tr w14:paraId="5DE3FA85" w14:textId="77777777" w:rsidTr="005676D7">
        <w:tblPrEx>
          <w:tblW w:w="9360" w:type="dxa"/>
          <w:tblLook w:val="04A0"/>
        </w:tblPrEx>
        <w:trPr>
          <w:gridAfter w:val="1"/>
          <w:wAfter w:w="34" w:type="dxa"/>
          <w:trHeight w:val="870"/>
        </w:trPr>
        <w:tc>
          <w:tcPr>
            <w:tcW w:w="2282" w:type="dxa"/>
            <w:tcBorders>
              <w:top w:val="nil"/>
              <w:left w:val="single" w:sz="8" w:space="0" w:color="auto"/>
              <w:bottom w:val="single" w:sz="4" w:space="0" w:color="auto"/>
              <w:right w:val="single" w:sz="4" w:space="0" w:color="auto"/>
            </w:tcBorders>
            <w:shd w:val="clear" w:color="auto" w:fill="auto"/>
            <w:vAlign w:val="bottom"/>
            <w:hideMark/>
          </w:tcPr>
          <w:p w:rsidR="005676D7" w:rsidRPr="005676D7" w:rsidP="005676D7" w14:paraId="43444226" w14:textId="77777777">
            <w:pPr>
              <w:rPr>
                <w:rFonts w:eastAsia="Times New Roman" w:cs="Times New Roman"/>
                <w:color w:val="000000"/>
                <w:sz w:val="20"/>
                <w:szCs w:val="20"/>
              </w:rPr>
            </w:pPr>
            <w:r w:rsidRPr="005676D7">
              <w:rPr>
                <w:rFonts w:eastAsia="Times New Roman" w:cs="Times New Roman"/>
                <w:color w:val="000000"/>
                <w:sz w:val="20"/>
                <w:szCs w:val="20"/>
              </w:rPr>
              <w:t>Clerical (Secretaries and Administrative Assistants 43-6010)</w:t>
            </w:r>
          </w:p>
        </w:tc>
        <w:tc>
          <w:tcPr>
            <w:tcW w:w="1261" w:type="dxa"/>
            <w:tcBorders>
              <w:top w:val="nil"/>
              <w:left w:val="nil"/>
              <w:bottom w:val="single" w:sz="4" w:space="0" w:color="auto"/>
              <w:right w:val="single" w:sz="4" w:space="0" w:color="auto"/>
            </w:tcBorders>
            <w:shd w:val="clear" w:color="auto" w:fill="auto"/>
            <w:noWrap/>
            <w:vAlign w:val="bottom"/>
            <w:hideMark/>
          </w:tcPr>
          <w:p w:rsidR="005676D7" w:rsidRPr="005676D7" w:rsidP="005676D7" w14:paraId="2CAA8FE9" w14:textId="77777777">
            <w:pPr>
              <w:rPr>
                <w:rFonts w:eastAsia="Times New Roman" w:cs="Times New Roman"/>
                <w:color w:val="000000"/>
                <w:szCs w:val="24"/>
              </w:rPr>
            </w:pPr>
            <w:r w:rsidRPr="005676D7">
              <w:rPr>
                <w:rFonts w:eastAsia="Times New Roman" w:cs="Times New Roman"/>
                <w:color w:val="000000"/>
                <w:szCs w:val="24"/>
              </w:rPr>
              <w:t>26.88</w:t>
            </w:r>
          </w:p>
        </w:tc>
        <w:tc>
          <w:tcPr>
            <w:tcW w:w="1262" w:type="dxa"/>
            <w:tcBorders>
              <w:top w:val="nil"/>
              <w:left w:val="nil"/>
              <w:bottom w:val="single" w:sz="4" w:space="0" w:color="auto"/>
              <w:right w:val="single" w:sz="4" w:space="0" w:color="auto"/>
            </w:tcBorders>
            <w:shd w:val="clear" w:color="auto" w:fill="auto"/>
            <w:noWrap/>
            <w:vAlign w:val="bottom"/>
            <w:hideMark/>
          </w:tcPr>
          <w:p w:rsidR="005676D7" w:rsidRPr="005676D7" w:rsidP="005676D7" w14:paraId="265FAAE6" w14:textId="77777777">
            <w:pPr>
              <w:rPr>
                <w:rFonts w:eastAsia="Times New Roman" w:cs="Times New Roman"/>
                <w:color w:val="000000"/>
                <w:szCs w:val="24"/>
              </w:rPr>
            </w:pPr>
            <w:r w:rsidRPr="005676D7">
              <w:rPr>
                <w:rFonts w:eastAsia="Times New Roman" w:cs="Times New Roman"/>
                <w:color w:val="000000"/>
                <w:szCs w:val="24"/>
              </w:rPr>
              <w:t>54.00</w:t>
            </w:r>
          </w:p>
        </w:tc>
        <w:tc>
          <w:tcPr>
            <w:tcW w:w="1391" w:type="dxa"/>
            <w:tcBorders>
              <w:top w:val="nil"/>
              <w:left w:val="nil"/>
              <w:bottom w:val="single" w:sz="4" w:space="0" w:color="auto"/>
              <w:right w:val="single" w:sz="4" w:space="0" w:color="auto"/>
            </w:tcBorders>
            <w:shd w:val="clear" w:color="auto" w:fill="auto"/>
            <w:noWrap/>
            <w:vAlign w:val="bottom"/>
            <w:hideMark/>
          </w:tcPr>
          <w:p w:rsidR="005676D7" w:rsidRPr="005676D7" w:rsidP="005676D7" w14:paraId="3F2BF772" w14:textId="77777777">
            <w:pPr>
              <w:rPr>
                <w:rFonts w:eastAsia="Times New Roman" w:cs="Times New Roman"/>
                <w:color w:val="000000"/>
                <w:szCs w:val="24"/>
              </w:rPr>
            </w:pPr>
            <w:r w:rsidRPr="005676D7">
              <w:rPr>
                <w:rFonts w:eastAsia="Times New Roman" w:cs="Times New Roman"/>
                <w:color w:val="000000"/>
                <w:szCs w:val="24"/>
              </w:rPr>
              <w:t>0.2</w:t>
            </w:r>
          </w:p>
        </w:tc>
        <w:tc>
          <w:tcPr>
            <w:tcW w:w="1262" w:type="dxa"/>
            <w:tcBorders>
              <w:top w:val="nil"/>
              <w:left w:val="nil"/>
              <w:bottom w:val="single" w:sz="4" w:space="0" w:color="auto"/>
              <w:right w:val="single" w:sz="8" w:space="0" w:color="auto"/>
            </w:tcBorders>
            <w:shd w:val="clear" w:color="auto" w:fill="auto"/>
            <w:noWrap/>
            <w:vAlign w:val="bottom"/>
            <w:hideMark/>
          </w:tcPr>
          <w:p w:rsidR="005676D7" w:rsidRPr="005676D7" w:rsidP="005676D7" w14:paraId="14C0AB9B" w14:textId="77777777">
            <w:pPr>
              <w:jc w:val="center"/>
              <w:rPr>
                <w:rFonts w:eastAsia="Times New Roman" w:cs="Times New Roman"/>
                <w:color w:val="000000"/>
                <w:szCs w:val="24"/>
              </w:rPr>
            </w:pPr>
            <w:r w:rsidRPr="005676D7">
              <w:rPr>
                <w:rFonts w:eastAsia="Times New Roman" w:cs="Times New Roman"/>
                <w:color w:val="000000"/>
                <w:szCs w:val="24"/>
              </w:rPr>
              <w:t>10.80</w:t>
            </w:r>
          </w:p>
        </w:tc>
        <w:tc>
          <w:tcPr>
            <w:tcW w:w="934" w:type="dxa"/>
            <w:tcBorders>
              <w:top w:val="nil"/>
              <w:left w:val="nil"/>
              <w:bottom w:val="nil"/>
              <w:right w:val="nil"/>
            </w:tcBorders>
            <w:shd w:val="clear" w:color="auto" w:fill="auto"/>
            <w:noWrap/>
            <w:vAlign w:val="bottom"/>
            <w:hideMark/>
          </w:tcPr>
          <w:p w:rsidR="005676D7" w:rsidRPr="005676D7" w:rsidP="005676D7" w14:paraId="3E840EF5" w14:textId="77777777">
            <w:pPr>
              <w:jc w:val="center"/>
              <w:rPr>
                <w:rFonts w:eastAsia="Times New Roman" w:cs="Times New Roman"/>
                <w:color w:val="000000"/>
                <w:szCs w:val="24"/>
              </w:rPr>
            </w:pPr>
          </w:p>
        </w:tc>
        <w:tc>
          <w:tcPr>
            <w:tcW w:w="934" w:type="dxa"/>
            <w:tcBorders>
              <w:top w:val="nil"/>
              <w:left w:val="nil"/>
              <w:bottom w:val="nil"/>
              <w:right w:val="nil"/>
            </w:tcBorders>
            <w:shd w:val="clear" w:color="auto" w:fill="auto"/>
            <w:noWrap/>
            <w:vAlign w:val="bottom"/>
            <w:hideMark/>
          </w:tcPr>
          <w:p w:rsidR="005676D7" w:rsidRPr="005676D7" w:rsidP="005676D7" w14:paraId="6B3EA8F0" w14:textId="77777777">
            <w:pPr>
              <w:rPr>
                <w:rFonts w:eastAsia="Times New Roman" w:cs="Times New Roman"/>
                <w:szCs w:val="24"/>
              </w:rPr>
            </w:pPr>
          </w:p>
        </w:tc>
      </w:tr>
      <w:tr w14:paraId="0E4D0C94" w14:textId="77777777" w:rsidTr="005676D7">
        <w:tblPrEx>
          <w:tblW w:w="9360" w:type="dxa"/>
          <w:tblLook w:val="04A0"/>
        </w:tblPrEx>
        <w:trPr>
          <w:gridAfter w:val="1"/>
          <w:wAfter w:w="34" w:type="dxa"/>
          <w:trHeight w:val="300"/>
        </w:trPr>
        <w:tc>
          <w:tcPr>
            <w:tcW w:w="2282" w:type="dxa"/>
            <w:tcBorders>
              <w:top w:val="nil"/>
              <w:left w:val="single" w:sz="8" w:space="0" w:color="auto"/>
              <w:bottom w:val="single" w:sz="8" w:space="0" w:color="auto"/>
              <w:right w:val="single" w:sz="4" w:space="0" w:color="auto"/>
            </w:tcBorders>
            <w:shd w:val="clear" w:color="auto" w:fill="auto"/>
            <w:noWrap/>
            <w:vAlign w:val="bottom"/>
            <w:hideMark/>
          </w:tcPr>
          <w:p w:rsidR="005676D7" w:rsidRPr="005676D7" w:rsidP="005676D7" w14:paraId="0E0E998F" w14:textId="77777777">
            <w:pPr>
              <w:rPr>
                <w:rFonts w:eastAsia="Times New Roman" w:cs="Times New Roman"/>
                <w:color w:val="000000"/>
                <w:sz w:val="20"/>
                <w:szCs w:val="20"/>
              </w:rPr>
            </w:pPr>
            <w:r w:rsidRPr="005676D7">
              <w:rPr>
                <w:rFonts w:eastAsia="Times New Roman" w:cs="Times New Roman"/>
                <w:color w:val="000000"/>
                <w:sz w:val="20"/>
                <w:szCs w:val="20"/>
              </w:rPr>
              <w:t>Legal (Lawyer 23-1011)</w:t>
            </w:r>
          </w:p>
        </w:tc>
        <w:tc>
          <w:tcPr>
            <w:tcW w:w="1261" w:type="dxa"/>
            <w:tcBorders>
              <w:top w:val="nil"/>
              <w:left w:val="nil"/>
              <w:bottom w:val="single" w:sz="8" w:space="0" w:color="auto"/>
              <w:right w:val="single" w:sz="4" w:space="0" w:color="auto"/>
            </w:tcBorders>
            <w:shd w:val="clear" w:color="auto" w:fill="auto"/>
            <w:noWrap/>
            <w:vAlign w:val="bottom"/>
            <w:hideMark/>
          </w:tcPr>
          <w:p w:rsidR="005676D7" w:rsidRPr="005676D7" w:rsidP="005676D7" w14:paraId="6125C33C" w14:textId="77777777">
            <w:pPr>
              <w:rPr>
                <w:rFonts w:eastAsia="Times New Roman" w:cs="Times New Roman"/>
                <w:color w:val="000000"/>
                <w:szCs w:val="24"/>
              </w:rPr>
            </w:pPr>
            <w:r w:rsidRPr="005676D7">
              <w:rPr>
                <w:rFonts w:eastAsia="Times New Roman" w:cs="Times New Roman"/>
                <w:color w:val="000000"/>
                <w:szCs w:val="24"/>
              </w:rPr>
              <w:t>98.36</w:t>
            </w:r>
          </w:p>
        </w:tc>
        <w:tc>
          <w:tcPr>
            <w:tcW w:w="1262" w:type="dxa"/>
            <w:tcBorders>
              <w:top w:val="nil"/>
              <w:left w:val="nil"/>
              <w:bottom w:val="single" w:sz="4" w:space="0" w:color="auto"/>
              <w:right w:val="single" w:sz="4" w:space="0" w:color="auto"/>
            </w:tcBorders>
            <w:shd w:val="clear" w:color="auto" w:fill="auto"/>
            <w:noWrap/>
            <w:vAlign w:val="bottom"/>
            <w:hideMark/>
          </w:tcPr>
          <w:p w:rsidR="005676D7" w:rsidRPr="005676D7" w:rsidP="005676D7" w14:paraId="00BFCF29" w14:textId="77777777">
            <w:pPr>
              <w:rPr>
                <w:rFonts w:eastAsia="Times New Roman" w:cs="Times New Roman"/>
                <w:color w:val="000000"/>
                <w:szCs w:val="24"/>
              </w:rPr>
            </w:pPr>
            <w:r w:rsidRPr="005676D7">
              <w:rPr>
                <w:rFonts w:eastAsia="Times New Roman" w:cs="Times New Roman"/>
                <w:color w:val="000000"/>
                <w:szCs w:val="24"/>
              </w:rPr>
              <w:t>197.00</w:t>
            </w:r>
          </w:p>
        </w:tc>
        <w:tc>
          <w:tcPr>
            <w:tcW w:w="1391" w:type="dxa"/>
            <w:tcBorders>
              <w:top w:val="nil"/>
              <w:left w:val="nil"/>
              <w:bottom w:val="single" w:sz="8" w:space="0" w:color="auto"/>
              <w:right w:val="single" w:sz="4" w:space="0" w:color="auto"/>
            </w:tcBorders>
            <w:shd w:val="clear" w:color="auto" w:fill="auto"/>
            <w:noWrap/>
            <w:vAlign w:val="bottom"/>
            <w:hideMark/>
          </w:tcPr>
          <w:p w:rsidR="005676D7" w:rsidRPr="005676D7" w:rsidP="005676D7" w14:paraId="597AFCC2" w14:textId="77777777">
            <w:pPr>
              <w:rPr>
                <w:rFonts w:eastAsia="Times New Roman" w:cs="Times New Roman"/>
                <w:color w:val="000000"/>
                <w:szCs w:val="24"/>
              </w:rPr>
            </w:pPr>
            <w:r w:rsidRPr="005676D7">
              <w:rPr>
                <w:rFonts w:eastAsia="Times New Roman" w:cs="Times New Roman"/>
                <w:color w:val="000000"/>
                <w:szCs w:val="24"/>
              </w:rPr>
              <w:t>0.05</w:t>
            </w:r>
          </w:p>
        </w:tc>
        <w:tc>
          <w:tcPr>
            <w:tcW w:w="1262" w:type="dxa"/>
            <w:tcBorders>
              <w:top w:val="nil"/>
              <w:left w:val="nil"/>
              <w:bottom w:val="single" w:sz="8" w:space="0" w:color="auto"/>
              <w:right w:val="single" w:sz="8" w:space="0" w:color="auto"/>
            </w:tcBorders>
            <w:shd w:val="clear" w:color="auto" w:fill="auto"/>
            <w:noWrap/>
            <w:vAlign w:val="bottom"/>
            <w:hideMark/>
          </w:tcPr>
          <w:p w:rsidR="005676D7" w:rsidRPr="005676D7" w:rsidP="005676D7" w14:paraId="5E3F8667" w14:textId="77777777">
            <w:pPr>
              <w:jc w:val="center"/>
              <w:rPr>
                <w:rFonts w:eastAsia="Times New Roman" w:cs="Times New Roman"/>
                <w:color w:val="000000"/>
                <w:szCs w:val="24"/>
              </w:rPr>
            </w:pPr>
            <w:r w:rsidRPr="005676D7">
              <w:rPr>
                <w:rFonts w:eastAsia="Times New Roman" w:cs="Times New Roman"/>
                <w:color w:val="000000"/>
                <w:szCs w:val="24"/>
              </w:rPr>
              <w:t>9.85</w:t>
            </w:r>
          </w:p>
        </w:tc>
        <w:tc>
          <w:tcPr>
            <w:tcW w:w="934" w:type="dxa"/>
            <w:tcBorders>
              <w:top w:val="nil"/>
              <w:left w:val="nil"/>
              <w:bottom w:val="nil"/>
              <w:right w:val="nil"/>
            </w:tcBorders>
            <w:shd w:val="clear" w:color="auto" w:fill="auto"/>
            <w:noWrap/>
            <w:vAlign w:val="bottom"/>
            <w:hideMark/>
          </w:tcPr>
          <w:p w:rsidR="005676D7" w:rsidRPr="005676D7" w:rsidP="005676D7" w14:paraId="46140040" w14:textId="77777777">
            <w:pPr>
              <w:jc w:val="center"/>
              <w:rPr>
                <w:rFonts w:eastAsia="Times New Roman" w:cs="Times New Roman"/>
                <w:color w:val="000000"/>
                <w:szCs w:val="24"/>
              </w:rPr>
            </w:pPr>
          </w:p>
        </w:tc>
        <w:tc>
          <w:tcPr>
            <w:tcW w:w="934" w:type="dxa"/>
            <w:tcBorders>
              <w:top w:val="nil"/>
              <w:left w:val="nil"/>
              <w:bottom w:val="nil"/>
              <w:right w:val="nil"/>
            </w:tcBorders>
            <w:shd w:val="clear" w:color="auto" w:fill="auto"/>
            <w:noWrap/>
            <w:vAlign w:val="bottom"/>
            <w:hideMark/>
          </w:tcPr>
          <w:p w:rsidR="005676D7" w:rsidRPr="005676D7" w:rsidP="005676D7" w14:paraId="085A6122" w14:textId="77777777">
            <w:pPr>
              <w:rPr>
                <w:rFonts w:eastAsia="Times New Roman" w:cs="Times New Roman"/>
                <w:szCs w:val="24"/>
              </w:rPr>
            </w:pPr>
          </w:p>
        </w:tc>
      </w:tr>
      <w:tr w14:paraId="2539E298" w14:textId="77777777" w:rsidTr="005676D7">
        <w:tblPrEx>
          <w:tblW w:w="9360" w:type="dxa"/>
          <w:tblLook w:val="04A0"/>
        </w:tblPrEx>
        <w:trPr>
          <w:gridAfter w:val="1"/>
          <w:wAfter w:w="34" w:type="dxa"/>
          <w:trHeight w:val="290"/>
        </w:trPr>
        <w:tc>
          <w:tcPr>
            <w:tcW w:w="6196" w:type="dxa"/>
            <w:gridSpan w:val="4"/>
            <w:tcBorders>
              <w:top w:val="single" w:sz="8" w:space="0" w:color="auto"/>
              <w:left w:val="single" w:sz="8" w:space="0" w:color="auto"/>
              <w:bottom w:val="nil"/>
              <w:right w:val="single" w:sz="4" w:space="0" w:color="000000"/>
            </w:tcBorders>
            <w:shd w:val="clear" w:color="auto" w:fill="auto"/>
            <w:noWrap/>
            <w:vAlign w:val="bottom"/>
            <w:hideMark/>
          </w:tcPr>
          <w:p w:rsidR="005676D7" w:rsidRPr="005676D7" w:rsidP="005676D7" w14:paraId="3CE83839" w14:textId="77777777">
            <w:pPr>
              <w:rPr>
                <w:rFonts w:eastAsia="Times New Roman" w:cs="Times New Roman"/>
                <w:szCs w:val="24"/>
              </w:rPr>
            </w:pPr>
            <w:r w:rsidRPr="005676D7">
              <w:rPr>
                <w:rFonts w:eastAsia="Times New Roman" w:cs="Times New Roman"/>
                <w:szCs w:val="24"/>
              </w:rPr>
              <w:t>Total Employer Cost/hour</w:t>
            </w:r>
          </w:p>
        </w:tc>
        <w:tc>
          <w:tcPr>
            <w:tcW w:w="1262" w:type="dxa"/>
            <w:tcBorders>
              <w:top w:val="nil"/>
              <w:left w:val="nil"/>
              <w:bottom w:val="nil"/>
              <w:right w:val="single" w:sz="8" w:space="0" w:color="auto"/>
            </w:tcBorders>
            <w:shd w:val="clear" w:color="auto" w:fill="auto"/>
            <w:noWrap/>
            <w:vAlign w:val="bottom"/>
            <w:hideMark/>
          </w:tcPr>
          <w:p w:rsidR="005676D7" w:rsidRPr="005676D7" w:rsidP="005676D7" w14:paraId="33C1ADDC" w14:textId="77777777">
            <w:pPr>
              <w:jc w:val="center"/>
              <w:rPr>
                <w:rFonts w:eastAsia="Times New Roman" w:cs="Times New Roman"/>
                <w:szCs w:val="24"/>
              </w:rPr>
            </w:pPr>
            <w:r w:rsidRPr="005676D7">
              <w:rPr>
                <w:rFonts w:eastAsia="Times New Roman" w:cs="Times New Roman"/>
                <w:szCs w:val="24"/>
              </w:rPr>
              <w:t>92.00</w:t>
            </w:r>
          </w:p>
        </w:tc>
        <w:tc>
          <w:tcPr>
            <w:tcW w:w="934" w:type="dxa"/>
            <w:tcBorders>
              <w:top w:val="nil"/>
              <w:left w:val="nil"/>
              <w:bottom w:val="nil"/>
              <w:right w:val="nil"/>
            </w:tcBorders>
            <w:shd w:val="clear" w:color="auto" w:fill="auto"/>
            <w:noWrap/>
            <w:vAlign w:val="bottom"/>
            <w:hideMark/>
          </w:tcPr>
          <w:p w:rsidR="005676D7" w:rsidRPr="005676D7" w:rsidP="005676D7" w14:paraId="2837B1E2" w14:textId="77777777">
            <w:pPr>
              <w:jc w:val="center"/>
              <w:rPr>
                <w:rFonts w:eastAsia="Times New Roman" w:cs="Times New Roman"/>
                <w:color w:val="8497B0"/>
                <w:szCs w:val="24"/>
              </w:rPr>
            </w:pPr>
          </w:p>
        </w:tc>
        <w:tc>
          <w:tcPr>
            <w:tcW w:w="934" w:type="dxa"/>
            <w:tcBorders>
              <w:top w:val="nil"/>
              <w:left w:val="nil"/>
              <w:bottom w:val="nil"/>
              <w:right w:val="nil"/>
            </w:tcBorders>
            <w:shd w:val="clear" w:color="auto" w:fill="auto"/>
            <w:noWrap/>
            <w:vAlign w:val="bottom"/>
            <w:hideMark/>
          </w:tcPr>
          <w:p w:rsidR="005676D7" w:rsidRPr="005676D7" w:rsidP="005676D7" w14:paraId="7BAFE039" w14:textId="77777777">
            <w:pPr>
              <w:rPr>
                <w:rFonts w:eastAsia="Times New Roman" w:cs="Times New Roman"/>
                <w:szCs w:val="24"/>
              </w:rPr>
            </w:pPr>
          </w:p>
        </w:tc>
      </w:tr>
      <w:tr w14:paraId="4B848819" w14:textId="77777777" w:rsidTr="005676D7">
        <w:tblPrEx>
          <w:tblW w:w="9360" w:type="dxa"/>
          <w:tblLook w:val="04A0"/>
        </w:tblPrEx>
        <w:trPr>
          <w:gridAfter w:val="1"/>
          <w:wAfter w:w="34" w:type="dxa"/>
          <w:trHeight w:val="340"/>
        </w:trPr>
        <w:tc>
          <w:tcPr>
            <w:tcW w:w="6196" w:type="dxa"/>
            <w:gridSpan w:val="4"/>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5676D7" w:rsidRPr="005676D7" w:rsidP="005676D7" w14:paraId="38B6ACAC" w14:textId="77777777">
            <w:pPr>
              <w:rPr>
                <w:rFonts w:eastAsia="Times New Roman" w:cs="Times New Roman"/>
                <w:szCs w:val="24"/>
              </w:rPr>
            </w:pPr>
            <w:r w:rsidRPr="005676D7">
              <w:rPr>
                <w:rFonts w:eastAsia="Times New Roman" w:cs="Times New Roman"/>
                <w:szCs w:val="24"/>
              </w:rPr>
              <w:t>Purchased Services</w:t>
            </w:r>
            <w:r w:rsidRPr="005676D7">
              <w:rPr>
                <w:rFonts w:eastAsia="Times New Roman" w:cs="Times New Roman"/>
                <w:szCs w:val="24"/>
                <w:vertAlign w:val="superscript"/>
              </w:rPr>
              <w:t>b</w:t>
            </w:r>
          </w:p>
        </w:tc>
        <w:tc>
          <w:tcPr>
            <w:tcW w:w="1262" w:type="dxa"/>
            <w:tcBorders>
              <w:top w:val="single" w:sz="4" w:space="0" w:color="auto"/>
              <w:left w:val="nil"/>
              <w:bottom w:val="single" w:sz="8" w:space="0" w:color="auto"/>
              <w:right w:val="single" w:sz="8" w:space="0" w:color="auto"/>
            </w:tcBorders>
            <w:shd w:val="clear" w:color="auto" w:fill="auto"/>
            <w:noWrap/>
            <w:vAlign w:val="bottom"/>
            <w:hideMark/>
          </w:tcPr>
          <w:p w:rsidR="005676D7" w:rsidRPr="005676D7" w:rsidP="005676D7" w14:paraId="530B18F3" w14:textId="77777777">
            <w:pPr>
              <w:jc w:val="center"/>
              <w:rPr>
                <w:rFonts w:eastAsia="Times New Roman" w:cs="Times New Roman"/>
                <w:szCs w:val="24"/>
              </w:rPr>
            </w:pPr>
            <w:r w:rsidRPr="005676D7">
              <w:rPr>
                <w:rFonts w:eastAsia="Times New Roman" w:cs="Times New Roman"/>
                <w:szCs w:val="24"/>
              </w:rPr>
              <w:t>230.00</w:t>
            </w:r>
          </w:p>
        </w:tc>
        <w:tc>
          <w:tcPr>
            <w:tcW w:w="934" w:type="dxa"/>
            <w:tcBorders>
              <w:top w:val="nil"/>
              <w:left w:val="nil"/>
              <w:bottom w:val="nil"/>
              <w:right w:val="nil"/>
            </w:tcBorders>
            <w:shd w:val="clear" w:color="auto" w:fill="auto"/>
            <w:noWrap/>
            <w:vAlign w:val="bottom"/>
            <w:hideMark/>
          </w:tcPr>
          <w:p w:rsidR="005676D7" w:rsidRPr="005676D7" w:rsidP="005676D7" w14:paraId="6BC913A4" w14:textId="77777777">
            <w:pPr>
              <w:jc w:val="center"/>
              <w:rPr>
                <w:rFonts w:eastAsia="Times New Roman" w:cs="Times New Roman"/>
                <w:color w:val="8497B0"/>
                <w:szCs w:val="24"/>
              </w:rPr>
            </w:pPr>
          </w:p>
        </w:tc>
        <w:tc>
          <w:tcPr>
            <w:tcW w:w="934" w:type="dxa"/>
            <w:tcBorders>
              <w:top w:val="nil"/>
              <w:left w:val="nil"/>
              <w:bottom w:val="nil"/>
              <w:right w:val="nil"/>
            </w:tcBorders>
            <w:shd w:val="clear" w:color="auto" w:fill="auto"/>
            <w:noWrap/>
            <w:vAlign w:val="bottom"/>
            <w:hideMark/>
          </w:tcPr>
          <w:p w:rsidR="005676D7" w:rsidRPr="005676D7" w:rsidP="005676D7" w14:paraId="1C0373F7" w14:textId="77777777">
            <w:pPr>
              <w:rPr>
                <w:rFonts w:eastAsia="Times New Roman" w:cs="Times New Roman"/>
                <w:szCs w:val="24"/>
              </w:rPr>
            </w:pPr>
          </w:p>
        </w:tc>
      </w:tr>
      <w:tr w14:paraId="00E25F0F" w14:textId="77777777" w:rsidTr="005676D7">
        <w:tblPrEx>
          <w:tblW w:w="9360" w:type="dxa"/>
          <w:tblLook w:val="04A0"/>
        </w:tblPrEx>
        <w:trPr>
          <w:gridAfter w:val="1"/>
          <w:wAfter w:w="34" w:type="dxa"/>
          <w:trHeight w:val="458"/>
        </w:trPr>
        <w:tc>
          <w:tcPr>
            <w:tcW w:w="9326" w:type="dxa"/>
            <w:gridSpan w:val="7"/>
            <w:vMerge w:val="restart"/>
            <w:tcBorders>
              <w:top w:val="nil"/>
              <w:left w:val="nil"/>
              <w:bottom w:val="nil"/>
              <w:right w:val="nil"/>
            </w:tcBorders>
            <w:shd w:val="clear" w:color="000000" w:fill="FFFFFF"/>
            <w:vAlign w:val="bottom"/>
            <w:hideMark/>
          </w:tcPr>
          <w:p w:rsidR="005676D7" w:rsidRPr="005676D7" w:rsidP="005676D7" w14:paraId="3665F7DB" w14:textId="77777777">
            <w:pPr>
              <w:rPr>
                <w:rFonts w:eastAsia="Times New Roman" w:cs="Times New Roman"/>
                <w:color w:val="000000"/>
                <w:szCs w:val="24"/>
              </w:rPr>
            </w:pPr>
            <w:r w:rsidRPr="005676D7">
              <w:rPr>
                <w:rFonts w:eastAsia="Times New Roman" w:cs="Times New Roman"/>
                <w:color w:val="000000"/>
                <w:szCs w:val="24"/>
                <w:vertAlign w:val="superscript"/>
              </w:rPr>
              <w:t xml:space="preserve">a </w:t>
            </w:r>
            <w:r w:rsidRPr="005676D7">
              <w:rPr>
                <w:rFonts w:eastAsia="Times New Roman" w:cs="Times New Roman"/>
                <w:color w:val="000000"/>
                <w:sz w:val="20"/>
                <w:szCs w:val="20"/>
              </w:rPr>
              <w:t>Overhead is calculated to be equal to the cost of labor; i.e. 2x labor cost, rounded up.</w:t>
            </w:r>
          </w:p>
        </w:tc>
      </w:tr>
      <w:tr w14:paraId="2574433A" w14:textId="77777777" w:rsidTr="005676D7">
        <w:tblPrEx>
          <w:tblW w:w="9360" w:type="dxa"/>
          <w:tblLook w:val="04A0"/>
        </w:tblPrEx>
        <w:trPr>
          <w:trHeight w:val="290"/>
        </w:trPr>
        <w:tc>
          <w:tcPr>
            <w:tcW w:w="9326" w:type="dxa"/>
            <w:gridSpan w:val="7"/>
            <w:vMerge/>
            <w:tcBorders>
              <w:top w:val="nil"/>
              <w:left w:val="nil"/>
              <w:bottom w:val="nil"/>
              <w:right w:val="nil"/>
            </w:tcBorders>
            <w:vAlign w:val="center"/>
            <w:hideMark/>
          </w:tcPr>
          <w:p w:rsidR="005676D7" w:rsidRPr="005676D7" w:rsidP="005676D7" w14:paraId="07657567" w14:textId="77777777">
            <w:pPr>
              <w:rPr>
                <w:rFonts w:eastAsia="Times New Roman" w:cs="Times New Roman"/>
                <w:color w:val="000000"/>
                <w:szCs w:val="24"/>
              </w:rPr>
            </w:pPr>
          </w:p>
        </w:tc>
        <w:tc>
          <w:tcPr>
            <w:tcW w:w="34" w:type="dxa"/>
            <w:tcBorders>
              <w:top w:val="nil"/>
              <w:left w:val="nil"/>
              <w:bottom w:val="nil"/>
              <w:right w:val="nil"/>
            </w:tcBorders>
            <w:shd w:val="clear" w:color="auto" w:fill="auto"/>
            <w:noWrap/>
            <w:vAlign w:val="bottom"/>
            <w:hideMark/>
          </w:tcPr>
          <w:p w:rsidR="005676D7" w:rsidRPr="005676D7" w:rsidP="005676D7" w14:paraId="5A55B7AD" w14:textId="77777777">
            <w:pPr>
              <w:rPr>
                <w:rFonts w:eastAsia="Times New Roman" w:cs="Times New Roman"/>
                <w:color w:val="000000"/>
                <w:szCs w:val="24"/>
              </w:rPr>
            </w:pPr>
          </w:p>
        </w:tc>
      </w:tr>
      <w:tr w14:paraId="154D3B54" w14:textId="77777777" w:rsidTr="005676D7">
        <w:tblPrEx>
          <w:tblW w:w="9360" w:type="dxa"/>
          <w:tblLook w:val="04A0"/>
        </w:tblPrEx>
        <w:trPr>
          <w:trHeight w:val="290"/>
        </w:trPr>
        <w:tc>
          <w:tcPr>
            <w:tcW w:w="9326" w:type="dxa"/>
            <w:gridSpan w:val="7"/>
            <w:vMerge w:val="restart"/>
            <w:tcBorders>
              <w:top w:val="nil"/>
              <w:left w:val="nil"/>
              <w:bottom w:val="nil"/>
              <w:right w:val="nil"/>
            </w:tcBorders>
            <w:shd w:val="clear" w:color="000000" w:fill="FFFFFF"/>
            <w:vAlign w:val="bottom"/>
            <w:hideMark/>
          </w:tcPr>
          <w:p w:rsidR="005676D7" w:rsidRPr="005676D7" w:rsidP="005676D7" w14:paraId="7843BBEB" w14:textId="6FC32DD4">
            <w:pPr>
              <w:rPr>
                <w:rFonts w:eastAsia="Times New Roman" w:cs="Times New Roman"/>
                <w:sz w:val="20"/>
                <w:szCs w:val="20"/>
              </w:rPr>
            </w:pPr>
            <w:r w:rsidRPr="005676D7">
              <w:rPr>
                <w:rFonts w:eastAsia="Times New Roman" w:cs="Times New Roman"/>
                <w:sz w:val="20"/>
                <w:szCs w:val="20"/>
                <w:vertAlign w:val="superscript"/>
              </w:rPr>
              <w:t>b</w:t>
            </w:r>
            <w:r w:rsidRPr="005676D7">
              <w:rPr>
                <w:rFonts w:eastAsia="Times New Roman" w:cs="Times New Roman"/>
                <w:sz w:val="20"/>
                <w:szCs w:val="20"/>
              </w:rPr>
              <w:t xml:space="preserve"> The cost of purchased services (for example, cost of attest auditors) is calculated at 2.5 times the Total Employer Cost. Increased from 2 times (</w:t>
            </w:r>
            <w:r w:rsidRPr="005676D7" w:rsidR="008D27FF">
              <w:rPr>
                <w:rFonts w:eastAsia="Times New Roman" w:cs="Times New Roman"/>
                <w:sz w:val="20"/>
                <w:szCs w:val="20"/>
              </w:rPr>
              <w:t>because of</w:t>
            </w:r>
            <w:r w:rsidRPr="005676D7">
              <w:rPr>
                <w:rFonts w:eastAsia="Times New Roman" w:cs="Times New Roman"/>
                <w:sz w:val="20"/>
                <w:szCs w:val="20"/>
              </w:rPr>
              <w:t xml:space="preserve"> </w:t>
            </w:r>
            <w:r w:rsidRPr="00531E95" w:rsidR="009F35CE">
              <w:rPr>
                <w:rFonts w:eastAsia="Times New Roman" w:cs="Times New Roman"/>
                <w:sz w:val="20"/>
                <w:szCs w:val="20"/>
              </w:rPr>
              <w:t xml:space="preserve">recent </w:t>
            </w:r>
            <w:r w:rsidRPr="005676D7">
              <w:rPr>
                <w:rFonts w:eastAsia="Times New Roman" w:cs="Times New Roman"/>
                <w:sz w:val="20"/>
                <w:szCs w:val="20"/>
              </w:rPr>
              <w:t>industry consultation/comment</w:t>
            </w:r>
            <w:r w:rsidRPr="00531E95" w:rsidR="009F35CE">
              <w:rPr>
                <w:rFonts w:eastAsia="Times New Roman" w:cs="Times New Roman"/>
                <w:sz w:val="20"/>
                <w:szCs w:val="20"/>
              </w:rPr>
              <w:t xml:space="preserve"> on related RFS ICR, under OMB control number 2060-0725. </w:t>
            </w:r>
          </w:p>
        </w:tc>
        <w:tc>
          <w:tcPr>
            <w:tcW w:w="34" w:type="dxa"/>
            <w:vAlign w:val="center"/>
            <w:hideMark/>
          </w:tcPr>
          <w:p w:rsidR="005676D7" w:rsidRPr="005676D7" w:rsidP="005676D7" w14:paraId="598D1AE2" w14:textId="77777777">
            <w:pPr>
              <w:rPr>
                <w:rFonts w:eastAsia="Times New Roman" w:cs="Times New Roman"/>
                <w:szCs w:val="24"/>
              </w:rPr>
            </w:pPr>
          </w:p>
        </w:tc>
      </w:tr>
      <w:tr w14:paraId="643F0459" w14:textId="77777777" w:rsidTr="005676D7">
        <w:tblPrEx>
          <w:tblW w:w="9360" w:type="dxa"/>
          <w:tblLook w:val="04A0"/>
        </w:tblPrEx>
        <w:trPr>
          <w:trHeight w:val="290"/>
        </w:trPr>
        <w:tc>
          <w:tcPr>
            <w:tcW w:w="9326" w:type="dxa"/>
            <w:gridSpan w:val="7"/>
            <w:vMerge/>
            <w:tcBorders>
              <w:top w:val="nil"/>
              <w:left w:val="nil"/>
              <w:bottom w:val="nil"/>
              <w:right w:val="nil"/>
            </w:tcBorders>
            <w:vAlign w:val="center"/>
            <w:hideMark/>
          </w:tcPr>
          <w:p w:rsidR="005676D7" w:rsidRPr="005676D7" w:rsidP="005676D7" w14:paraId="4EE9B638" w14:textId="77777777">
            <w:pPr>
              <w:rPr>
                <w:rFonts w:eastAsia="Times New Roman" w:cs="Times New Roman"/>
                <w:color w:val="000000"/>
                <w:szCs w:val="24"/>
              </w:rPr>
            </w:pPr>
          </w:p>
        </w:tc>
        <w:tc>
          <w:tcPr>
            <w:tcW w:w="34" w:type="dxa"/>
            <w:tcBorders>
              <w:top w:val="nil"/>
              <w:left w:val="nil"/>
              <w:bottom w:val="nil"/>
              <w:right w:val="nil"/>
            </w:tcBorders>
            <w:shd w:val="clear" w:color="auto" w:fill="auto"/>
            <w:noWrap/>
            <w:vAlign w:val="bottom"/>
            <w:hideMark/>
          </w:tcPr>
          <w:p w:rsidR="005676D7" w:rsidRPr="005676D7" w:rsidP="005676D7" w14:paraId="77005EBA" w14:textId="77777777">
            <w:pPr>
              <w:rPr>
                <w:rFonts w:eastAsia="Times New Roman" w:cs="Times New Roman"/>
                <w:color w:val="000000"/>
                <w:szCs w:val="24"/>
              </w:rPr>
            </w:pPr>
          </w:p>
        </w:tc>
      </w:tr>
      <w:tr w14:paraId="7518D297" w14:textId="77777777" w:rsidTr="005676D7">
        <w:tblPrEx>
          <w:tblW w:w="9360" w:type="dxa"/>
          <w:tblLook w:val="04A0"/>
        </w:tblPrEx>
        <w:trPr>
          <w:trHeight w:val="290"/>
        </w:trPr>
        <w:tc>
          <w:tcPr>
            <w:tcW w:w="2282" w:type="dxa"/>
            <w:tcBorders>
              <w:top w:val="nil"/>
              <w:left w:val="nil"/>
              <w:bottom w:val="nil"/>
              <w:right w:val="nil"/>
            </w:tcBorders>
            <w:shd w:val="clear" w:color="000000" w:fill="FFFFFF"/>
            <w:noWrap/>
            <w:vAlign w:val="bottom"/>
            <w:hideMark/>
          </w:tcPr>
          <w:p w:rsidR="005676D7" w:rsidRPr="005676D7" w:rsidP="005676D7" w14:paraId="6096B10F" w14:textId="77777777">
            <w:pPr>
              <w:rPr>
                <w:rFonts w:eastAsia="Times New Roman" w:cs="Times New Roman"/>
                <w:color w:val="000000"/>
                <w:szCs w:val="24"/>
              </w:rPr>
            </w:pPr>
            <w:r w:rsidRPr="005676D7">
              <w:rPr>
                <w:rFonts w:eastAsia="Times New Roman" w:cs="Times New Roman"/>
                <w:color w:val="000000"/>
                <w:szCs w:val="24"/>
              </w:rPr>
              <w:t> </w:t>
            </w:r>
          </w:p>
        </w:tc>
        <w:tc>
          <w:tcPr>
            <w:tcW w:w="1261" w:type="dxa"/>
            <w:tcBorders>
              <w:top w:val="nil"/>
              <w:left w:val="nil"/>
              <w:bottom w:val="nil"/>
              <w:right w:val="nil"/>
            </w:tcBorders>
            <w:shd w:val="clear" w:color="000000" w:fill="FFFFFF"/>
            <w:noWrap/>
            <w:vAlign w:val="bottom"/>
            <w:hideMark/>
          </w:tcPr>
          <w:p w:rsidR="005676D7" w:rsidRPr="005676D7" w:rsidP="005676D7" w14:paraId="1013676A" w14:textId="77777777">
            <w:pPr>
              <w:rPr>
                <w:rFonts w:eastAsia="Times New Roman" w:cs="Times New Roman"/>
                <w:color w:val="000000"/>
                <w:szCs w:val="24"/>
              </w:rPr>
            </w:pPr>
            <w:r w:rsidRPr="005676D7">
              <w:rPr>
                <w:rFonts w:eastAsia="Times New Roman" w:cs="Times New Roman"/>
                <w:color w:val="000000"/>
                <w:szCs w:val="24"/>
              </w:rPr>
              <w:t> </w:t>
            </w:r>
          </w:p>
        </w:tc>
        <w:tc>
          <w:tcPr>
            <w:tcW w:w="1262" w:type="dxa"/>
            <w:tcBorders>
              <w:top w:val="nil"/>
              <w:left w:val="nil"/>
              <w:bottom w:val="nil"/>
              <w:right w:val="nil"/>
            </w:tcBorders>
            <w:shd w:val="clear" w:color="000000" w:fill="FFFFFF"/>
            <w:noWrap/>
            <w:vAlign w:val="bottom"/>
            <w:hideMark/>
          </w:tcPr>
          <w:p w:rsidR="005676D7" w:rsidRPr="005676D7" w:rsidP="005676D7" w14:paraId="5373149D" w14:textId="77777777">
            <w:pPr>
              <w:rPr>
                <w:rFonts w:eastAsia="Times New Roman" w:cs="Times New Roman"/>
                <w:color w:val="000000"/>
                <w:szCs w:val="24"/>
              </w:rPr>
            </w:pPr>
            <w:r w:rsidRPr="005676D7">
              <w:rPr>
                <w:rFonts w:eastAsia="Times New Roman" w:cs="Times New Roman"/>
                <w:color w:val="000000"/>
                <w:szCs w:val="24"/>
              </w:rPr>
              <w:t> </w:t>
            </w:r>
          </w:p>
        </w:tc>
        <w:tc>
          <w:tcPr>
            <w:tcW w:w="1391" w:type="dxa"/>
            <w:tcBorders>
              <w:top w:val="nil"/>
              <w:left w:val="nil"/>
              <w:bottom w:val="nil"/>
              <w:right w:val="nil"/>
            </w:tcBorders>
            <w:shd w:val="clear" w:color="000000" w:fill="FFFFFF"/>
            <w:noWrap/>
            <w:vAlign w:val="bottom"/>
            <w:hideMark/>
          </w:tcPr>
          <w:p w:rsidR="005676D7" w:rsidRPr="005676D7" w:rsidP="005676D7" w14:paraId="00EAB357" w14:textId="77777777">
            <w:pPr>
              <w:rPr>
                <w:rFonts w:eastAsia="Times New Roman" w:cs="Times New Roman"/>
                <w:color w:val="000000"/>
                <w:szCs w:val="24"/>
              </w:rPr>
            </w:pPr>
            <w:r w:rsidRPr="005676D7">
              <w:rPr>
                <w:rFonts w:eastAsia="Times New Roman" w:cs="Times New Roman"/>
                <w:color w:val="000000"/>
                <w:szCs w:val="24"/>
              </w:rPr>
              <w:t> </w:t>
            </w:r>
          </w:p>
        </w:tc>
        <w:tc>
          <w:tcPr>
            <w:tcW w:w="1262" w:type="dxa"/>
            <w:tcBorders>
              <w:top w:val="nil"/>
              <w:left w:val="nil"/>
              <w:bottom w:val="nil"/>
              <w:right w:val="nil"/>
            </w:tcBorders>
            <w:shd w:val="clear" w:color="000000" w:fill="FFFFFF"/>
            <w:noWrap/>
            <w:vAlign w:val="bottom"/>
            <w:hideMark/>
          </w:tcPr>
          <w:p w:rsidR="005676D7" w:rsidRPr="005676D7" w:rsidP="005676D7" w14:paraId="46EEBE16" w14:textId="77777777">
            <w:pPr>
              <w:rPr>
                <w:rFonts w:eastAsia="Times New Roman" w:cs="Times New Roman"/>
                <w:color w:val="000000"/>
                <w:szCs w:val="24"/>
              </w:rPr>
            </w:pPr>
            <w:r w:rsidRPr="005676D7">
              <w:rPr>
                <w:rFonts w:eastAsia="Times New Roman" w:cs="Times New Roman"/>
                <w:color w:val="000000"/>
                <w:szCs w:val="24"/>
              </w:rPr>
              <w:t> </w:t>
            </w:r>
          </w:p>
        </w:tc>
        <w:tc>
          <w:tcPr>
            <w:tcW w:w="934" w:type="dxa"/>
            <w:tcBorders>
              <w:top w:val="nil"/>
              <w:left w:val="nil"/>
              <w:bottom w:val="nil"/>
              <w:right w:val="nil"/>
            </w:tcBorders>
            <w:shd w:val="clear" w:color="000000" w:fill="FFFFFF"/>
            <w:noWrap/>
            <w:vAlign w:val="bottom"/>
            <w:hideMark/>
          </w:tcPr>
          <w:p w:rsidR="005676D7" w:rsidRPr="005676D7" w:rsidP="005676D7" w14:paraId="4FFF35A6" w14:textId="77777777">
            <w:pPr>
              <w:rPr>
                <w:rFonts w:eastAsia="Times New Roman" w:cs="Times New Roman"/>
                <w:color w:val="000000"/>
                <w:szCs w:val="24"/>
              </w:rPr>
            </w:pPr>
            <w:r w:rsidRPr="005676D7">
              <w:rPr>
                <w:rFonts w:eastAsia="Times New Roman" w:cs="Times New Roman"/>
                <w:color w:val="000000"/>
                <w:szCs w:val="24"/>
              </w:rPr>
              <w:t> </w:t>
            </w:r>
          </w:p>
        </w:tc>
        <w:tc>
          <w:tcPr>
            <w:tcW w:w="934" w:type="dxa"/>
            <w:tcBorders>
              <w:top w:val="nil"/>
              <w:left w:val="nil"/>
              <w:bottom w:val="nil"/>
              <w:right w:val="nil"/>
            </w:tcBorders>
            <w:shd w:val="clear" w:color="000000" w:fill="FFFFFF"/>
            <w:noWrap/>
            <w:vAlign w:val="bottom"/>
            <w:hideMark/>
          </w:tcPr>
          <w:p w:rsidR="005676D7" w:rsidRPr="005676D7" w:rsidP="005676D7" w14:paraId="0CB9F694" w14:textId="77777777">
            <w:pPr>
              <w:rPr>
                <w:rFonts w:eastAsia="Times New Roman" w:cs="Times New Roman"/>
                <w:color w:val="000000"/>
                <w:szCs w:val="24"/>
              </w:rPr>
            </w:pPr>
            <w:r w:rsidRPr="005676D7">
              <w:rPr>
                <w:rFonts w:eastAsia="Times New Roman" w:cs="Times New Roman"/>
                <w:color w:val="000000"/>
                <w:szCs w:val="24"/>
              </w:rPr>
              <w:t> </w:t>
            </w:r>
          </w:p>
        </w:tc>
        <w:tc>
          <w:tcPr>
            <w:tcW w:w="34" w:type="dxa"/>
            <w:vAlign w:val="center"/>
            <w:hideMark/>
          </w:tcPr>
          <w:p w:rsidR="005676D7" w:rsidRPr="005676D7" w:rsidP="005676D7" w14:paraId="55353400" w14:textId="77777777">
            <w:pPr>
              <w:rPr>
                <w:rFonts w:eastAsia="Times New Roman" w:cs="Times New Roman"/>
                <w:szCs w:val="24"/>
              </w:rPr>
            </w:pPr>
          </w:p>
        </w:tc>
      </w:tr>
      <w:tr w14:paraId="0C4B9B59" w14:textId="77777777" w:rsidTr="005676D7">
        <w:tblPrEx>
          <w:tblW w:w="9360" w:type="dxa"/>
          <w:tblLook w:val="04A0"/>
        </w:tblPrEx>
        <w:trPr>
          <w:trHeight w:val="290"/>
        </w:trPr>
        <w:tc>
          <w:tcPr>
            <w:tcW w:w="2282" w:type="dxa"/>
            <w:tcBorders>
              <w:top w:val="nil"/>
              <w:left w:val="nil"/>
              <w:bottom w:val="nil"/>
              <w:right w:val="nil"/>
            </w:tcBorders>
            <w:shd w:val="clear" w:color="000000" w:fill="FFFFFF"/>
            <w:noWrap/>
            <w:vAlign w:val="bottom"/>
            <w:hideMark/>
          </w:tcPr>
          <w:p w:rsidR="005676D7" w:rsidRPr="005676D7" w:rsidP="005676D7" w14:paraId="5453EEF4" w14:textId="77777777">
            <w:pPr>
              <w:rPr>
                <w:rFonts w:eastAsia="Times New Roman" w:cs="Times New Roman"/>
                <w:color w:val="000000"/>
                <w:szCs w:val="24"/>
              </w:rPr>
            </w:pPr>
            <w:r w:rsidRPr="005676D7">
              <w:rPr>
                <w:rFonts w:eastAsia="Times New Roman" w:cs="Times New Roman"/>
                <w:color w:val="000000"/>
                <w:szCs w:val="24"/>
              </w:rPr>
              <w:t> </w:t>
            </w:r>
          </w:p>
        </w:tc>
        <w:tc>
          <w:tcPr>
            <w:tcW w:w="1261" w:type="dxa"/>
            <w:tcBorders>
              <w:top w:val="nil"/>
              <w:left w:val="nil"/>
              <w:bottom w:val="nil"/>
              <w:right w:val="nil"/>
            </w:tcBorders>
            <w:shd w:val="clear" w:color="000000" w:fill="FFFFFF"/>
            <w:noWrap/>
            <w:vAlign w:val="bottom"/>
            <w:hideMark/>
          </w:tcPr>
          <w:p w:rsidR="005676D7" w:rsidRPr="005676D7" w:rsidP="005676D7" w14:paraId="3302E979" w14:textId="77777777">
            <w:pPr>
              <w:rPr>
                <w:rFonts w:eastAsia="Times New Roman" w:cs="Times New Roman"/>
                <w:color w:val="000000"/>
                <w:szCs w:val="24"/>
              </w:rPr>
            </w:pPr>
            <w:r w:rsidRPr="005676D7">
              <w:rPr>
                <w:rFonts w:eastAsia="Times New Roman" w:cs="Times New Roman"/>
                <w:color w:val="000000"/>
                <w:szCs w:val="24"/>
              </w:rPr>
              <w:t> </w:t>
            </w:r>
          </w:p>
        </w:tc>
        <w:tc>
          <w:tcPr>
            <w:tcW w:w="1262" w:type="dxa"/>
            <w:tcBorders>
              <w:top w:val="nil"/>
              <w:left w:val="nil"/>
              <w:bottom w:val="nil"/>
              <w:right w:val="nil"/>
            </w:tcBorders>
            <w:shd w:val="clear" w:color="000000" w:fill="FFFFFF"/>
            <w:noWrap/>
            <w:vAlign w:val="bottom"/>
            <w:hideMark/>
          </w:tcPr>
          <w:p w:rsidR="005676D7" w:rsidRPr="005676D7" w:rsidP="005676D7" w14:paraId="11C390D7" w14:textId="77777777">
            <w:pPr>
              <w:rPr>
                <w:rFonts w:eastAsia="Times New Roman" w:cs="Times New Roman"/>
                <w:color w:val="000000"/>
                <w:szCs w:val="24"/>
              </w:rPr>
            </w:pPr>
            <w:r w:rsidRPr="005676D7">
              <w:rPr>
                <w:rFonts w:eastAsia="Times New Roman" w:cs="Times New Roman"/>
                <w:color w:val="000000"/>
                <w:szCs w:val="24"/>
              </w:rPr>
              <w:t> </w:t>
            </w:r>
          </w:p>
        </w:tc>
        <w:tc>
          <w:tcPr>
            <w:tcW w:w="1391" w:type="dxa"/>
            <w:tcBorders>
              <w:top w:val="nil"/>
              <w:left w:val="nil"/>
              <w:bottom w:val="nil"/>
              <w:right w:val="nil"/>
            </w:tcBorders>
            <w:shd w:val="clear" w:color="000000" w:fill="FFFFFF"/>
            <w:noWrap/>
            <w:vAlign w:val="bottom"/>
            <w:hideMark/>
          </w:tcPr>
          <w:p w:rsidR="005676D7" w:rsidRPr="005676D7" w:rsidP="005676D7" w14:paraId="16983F55" w14:textId="77777777">
            <w:pPr>
              <w:rPr>
                <w:rFonts w:eastAsia="Times New Roman" w:cs="Times New Roman"/>
                <w:color w:val="000000"/>
                <w:szCs w:val="24"/>
              </w:rPr>
            </w:pPr>
            <w:r w:rsidRPr="005676D7">
              <w:rPr>
                <w:rFonts w:eastAsia="Times New Roman" w:cs="Times New Roman"/>
                <w:color w:val="000000"/>
                <w:szCs w:val="24"/>
              </w:rPr>
              <w:t> </w:t>
            </w:r>
          </w:p>
        </w:tc>
        <w:tc>
          <w:tcPr>
            <w:tcW w:w="1262" w:type="dxa"/>
            <w:tcBorders>
              <w:top w:val="nil"/>
              <w:left w:val="nil"/>
              <w:bottom w:val="nil"/>
              <w:right w:val="nil"/>
            </w:tcBorders>
            <w:shd w:val="clear" w:color="000000" w:fill="FFFFFF"/>
            <w:noWrap/>
            <w:vAlign w:val="bottom"/>
            <w:hideMark/>
          </w:tcPr>
          <w:p w:rsidR="005676D7" w:rsidRPr="005676D7" w:rsidP="005676D7" w14:paraId="69C24E55" w14:textId="77777777">
            <w:pPr>
              <w:rPr>
                <w:rFonts w:eastAsia="Times New Roman" w:cs="Times New Roman"/>
                <w:color w:val="000000"/>
                <w:szCs w:val="24"/>
              </w:rPr>
            </w:pPr>
            <w:r w:rsidRPr="005676D7">
              <w:rPr>
                <w:rFonts w:eastAsia="Times New Roman" w:cs="Times New Roman"/>
                <w:color w:val="000000"/>
                <w:szCs w:val="24"/>
              </w:rPr>
              <w:t> </w:t>
            </w:r>
          </w:p>
        </w:tc>
        <w:tc>
          <w:tcPr>
            <w:tcW w:w="934" w:type="dxa"/>
            <w:tcBorders>
              <w:top w:val="nil"/>
              <w:left w:val="nil"/>
              <w:bottom w:val="nil"/>
              <w:right w:val="nil"/>
            </w:tcBorders>
            <w:shd w:val="clear" w:color="000000" w:fill="FFFFFF"/>
            <w:noWrap/>
            <w:vAlign w:val="bottom"/>
            <w:hideMark/>
          </w:tcPr>
          <w:p w:rsidR="005676D7" w:rsidRPr="005676D7" w:rsidP="005676D7" w14:paraId="5E440465" w14:textId="77777777">
            <w:pPr>
              <w:rPr>
                <w:rFonts w:eastAsia="Times New Roman" w:cs="Times New Roman"/>
                <w:color w:val="000000"/>
                <w:szCs w:val="24"/>
              </w:rPr>
            </w:pPr>
            <w:r w:rsidRPr="005676D7">
              <w:rPr>
                <w:rFonts w:eastAsia="Times New Roman" w:cs="Times New Roman"/>
                <w:color w:val="000000"/>
                <w:szCs w:val="24"/>
              </w:rPr>
              <w:t> </w:t>
            </w:r>
          </w:p>
        </w:tc>
        <w:tc>
          <w:tcPr>
            <w:tcW w:w="934" w:type="dxa"/>
            <w:tcBorders>
              <w:top w:val="nil"/>
              <w:left w:val="nil"/>
              <w:bottom w:val="nil"/>
              <w:right w:val="nil"/>
            </w:tcBorders>
            <w:shd w:val="clear" w:color="000000" w:fill="FFFFFF"/>
            <w:noWrap/>
            <w:vAlign w:val="bottom"/>
            <w:hideMark/>
          </w:tcPr>
          <w:p w:rsidR="005676D7" w:rsidRPr="005676D7" w:rsidP="005676D7" w14:paraId="726977A5" w14:textId="77777777">
            <w:pPr>
              <w:rPr>
                <w:rFonts w:eastAsia="Times New Roman" w:cs="Times New Roman"/>
                <w:color w:val="000000"/>
                <w:szCs w:val="24"/>
              </w:rPr>
            </w:pPr>
            <w:r w:rsidRPr="005676D7">
              <w:rPr>
                <w:rFonts w:eastAsia="Times New Roman" w:cs="Times New Roman"/>
                <w:color w:val="000000"/>
                <w:szCs w:val="24"/>
              </w:rPr>
              <w:t> </w:t>
            </w:r>
          </w:p>
        </w:tc>
        <w:tc>
          <w:tcPr>
            <w:tcW w:w="34" w:type="dxa"/>
            <w:vAlign w:val="center"/>
            <w:hideMark/>
          </w:tcPr>
          <w:p w:rsidR="005676D7" w:rsidRPr="005676D7" w:rsidP="005676D7" w14:paraId="531FF6CB" w14:textId="77777777">
            <w:pPr>
              <w:rPr>
                <w:rFonts w:eastAsia="Times New Roman" w:cs="Times New Roman"/>
                <w:szCs w:val="24"/>
              </w:rPr>
            </w:pPr>
          </w:p>
        </w:tc>
      </w:tr>
      <w:tr w14:paraId="1D4C273A" w14:textId="77777777" w:rsidTr="00C346C0">
        <w:tblPrEx>
          <w:tblW w:w="9360" w:type="dxa"/>
          <w:tblLook w:val="04A0"/>
        </w:tblPrEx>
        <w:trPr>
          <w:trHeight w:val="290"/>
        </w:trPr>
        <w:tc>
          <w:tcPr>
            <w:tcW w:w="9326" w:type="dxa"/>
            <w:gridSpan w:val="7"/>
            <w:tcBorders>
              <w:top w:val="nil"/>
              <w:left w:val="nil"/>
              <w:bottom w:val="nil"/>
              <w:right w:val="nil"/>
            </w:tcBorders>
            <w:shd w:val="clear" w:color="000000" w:fill="FFFFFF"/>
            <w:noWrap/>
            <w:vAlign w:val="bottom"/>
          </w:tcPr>
          <w:p w:rsidR="005676D7" w:rsidRPr="005676D7" w:rsidP="005676D7" w14:paraId="4B935164" w14:textId="6DC8DEA2">
            <w:pPr>
              <w:rPr>
                <w:rFonts w:eastAsia="Times New Roman" w:cs="Times New Roman"/>
                <w:color w:val="000000"/>
                <w:szCs w:val="24"/>
              </w:rPr>
            </w:pPr>
          </w:p>
        </w:tc>
        <w:tc>
          <w:tcPr>
            <w:tcW w:w="34" w:type="dxa"/>
            <w:vAlign w:val="center"/>
            <w:hideMark/>
          </w:tcPr>
          <w:p w:rsidR="005676D7" w:rsidRPr="005676D7" w:rsidP="005676D7" w14:paraId="6DA63BAC" w14:textId="77777777">
            <w:pPr>
              <w:rPr>
                <w:rFonts w:eastAsia="Times New Roman" w:cs="Times New Roman"/>
                <w:szCs w:val="24"/>
              </w:rPr>
            </w:pPr>
          </w:p>
        </w:tc>
      </w:tr>
      <w:tr w14:paraId="612BFA58" w14:textId="77777777" w:rsidTr="00C346C0">
        <w:tblPrEx>
          <w:tblW w:w="9360" w:type="dxa"/>
          <w:tblLook w:val="04A0"/>
        </w:tblPrEx>
        <w:trPr>
          <w:trHeight w:val="290"/>
        </w:trPr>
        <w:tc>
          <w:tcPr>
            <w:tcW w:w="3543" w:type="dxa"/>
            <w:gridSpan w:val="2"/>
            <w:tcBorders>
              <w:top w:val="nil"/>
              <w:left w:val="nil"/>
              <w:bottom w:val="nil"/>
              <w:right w:val="nil"/>
            </w:tcBorders>
            <w:shd w:val="clear" w:color="000000" w:fill="FFFFFF"/>
            <w:noWrap/>
            <w:vAlign w:val="bottom"/>
          </w:tcPr>
          <w:p w:rsidR="005676D7" w:rsidRPr="005676D7" w:rsidP="005676D7" w14:paraId="0D89ABB9" w14:textId="1C9E336D">
            <w:pPr>
              <w:rPr>
                <w:rFonts w:eastAsia="Times New Roman" w:cs="Times New Roman"/>
                <w:color w:val="000000"/>
                <w:szCs w:val="24"/>
              </w:rPr>
            </w:pPr>
          </w:p>
        </w:tc>
        <w:tc>
          <w:tcPr>
            <w:tcW w:w="1262" w:type="dxa"/>
            <w:tcBorders>
              <w:top w:val="nil"/>
              <w:left w:val="nil"/>
              <w:bottom w:val="nil"/>
              <w:right w:val="nil"/>
            </w:tcBorders>
            <w:shd w:val="clear" w:color="000000" w:fill="FFFFFF"/>
            <w:noWrap/>
            <w:vAlign w:val="bottom"/>
          </w:tcPr>
          <w:p w:rsidR="005676D7" w:rsidRPr="005676D7" w:rsidP="005676D7" w14:paraId="758D8EE7" w14:textId="4E11D17B">
            <w:pPr>
              <w:rPr>
                <w:rFonts w:eastAsia="Times New Roman" w:cs="Times New Roman"/>
                <w:color w:val="000000"/>
                <w:szCs w:val="24"/>
              </w:rPr>
            </w:pPr>
          </w:p>
        </w:tc>
        <w:tc>
          <w:tcPr>
            <w:tcW w:w="1391" w:type="dxa"/>
            <w:tcBorders>
              <w:top w:val="nil"/>
              <w:left w:val="nil"/>
              <w:bottom w:val="nil"/>
              <w:right w:val="nil"/>
            </w:tcBorders>
            <w:shd w:val="clear" w:color="000000" w:fill="FFFFFF"/>
            <w:noWrap/>
            <w:vAlign w:val="bottom"/>
            <w:hideMark/>
          </w:tcPr>
          <w:p w:rsidR="005676D7" w:rsidRPr="005676D7" w:rsidP="005676D7" w14:paraId="52B024AF" w14:textId="77777777">
            <w:pPr>
              <w:rPr>
                <w:rFonts w:eastAsia="Times New Roman" w:cs="Times New Roman"/>
                <w:color w:val="000000"/>
                <w:szCs w:val="24"/>
              </w:rPr>
            </w:pPr>
            <w:r w:rsidRPr="005676D7">
              <w:rPr>
                <w:rFonts w:eastAsia="Times New Roman" w:cs="Times New Roman"/>
                <w:color w:val="000000"/>
                <w:szCs w:val="24"/>
              </w:rPr>
              <w:t> </w:t>
            </w:r>
          </w:p>
        </w:tc>
        <w:tc>
          <w:tcPr>
            <w:tcW w:w="1262" w:type="dxa"/>
            <w:tcBorders>
              <w:top w:val="nil"/>
              <w:left w:val="nil"/>
              <w:bottom w:val="nil"/>
              <w:right w:val="nil"/>
            </w:tcBorders>
            <w:shd w:val="clear" w:color="000000" w:fill="FFFFFF"/>
            <w:noWrap/>
            <w:vAlign w:val="bottom"/>
            <w:hideMark/>
          </w:tcPr>
          <w:p w:rsidR="005676D7" w:rsidRPr="005676D7" w:rsidP="005676D7" w14:paraId="4A7C35A6" w14:textId="77777777">
            <w:pPr>
              <w:rPr>
                <w:rFonts w:eastAsia="Times New Roman" w:cs="Times New Roman"/>
                <w:color w:val="000000"/>
                <w:szCs w:val="24"/>
              </w:rPr>
            </w:pPr>
            <w:r w:rsidRPr="005676D7">
              <w:rPr>
                <w:rFonts w:eastAsia="Times New Roman" w:cs="Times New Roman"/>
                <w:color w:val="000000"/>
                <w:szCs w:val="24"/>
              </w:rPr>
              <w:t> </w:t>
            </w:r>
          </w:p>
        </w:tc>
        <w:tc>
          <w:tcPr>
            <w:tcW w:w="934" w:type="dxa"/>
            <w:tcBorders>
              <w:top w:val="nil"/>
              <w:left w:val="nil"/>
              <w:bottom w:val="nil"/>
              <w:right w:val="nil"/>
            </w:tcBorders>
            <w:shd w:val="clear" w:color="000000" w:fill="FFFFFF"/>
            <w:noWrap/>
            <w:vAlign w:val="bottom"/>
            <w:hideMark/>
          </w:tcPr>
          <w:p w:rsidR="005676D7" w:rsidRPr="005676D7" w:rsidP="005676D7" w14:paraId="1A23069C" w14:textId="77777777">
            <w:pPr>
              <w:rPr>
                <w:rFonts w:eastAsia="Times New Roman" w:cs="Times New Roman"/>
                <w:color w:val="000000"/>
                <w:szCs w:val="24"/>
              </w:rPr>
            </w:pPr>
            <w:r w:rsidRPr="005676D7">
              <w:rPr>
                <w:rFonts w:eastAsia="Times New Roman" w:cs="Times New Roman"/>
                <w:color w:val="000000"/>
                <w:szCs w:val="24"/>
              </w:rPr>
              <w:t> </w:t>
            </w:r>
          </w:p>
        </w:tc>
        <w:tc>
          <w:tcPr>
            <w:tcW w:w="934" w:type="dxa"/>
            <w:tcBorders>
              <w:top w:val="nil"/>
              <w:left w:val="nil"/>
              <w:bottom w:val="nil"/>
              <w:right w:val="nil"/>
            </w:tcBorders>
            <w:shd w:val="clear" w:color="000000" w:fill="FFFFFF"/>
            <w:noWrap/>
            <w:vAlign w:val="bottom"/>
            <w:hideMark/>
          </w:tcPr>
          <w:p w:rsidR="005676D7" w:rsidRPr="005676D7" w:rsidP="005676D7" w14:paraId="4CC15853" w14:textId="77777777">
            <w:pPr>
              <w:rPr>
                <w:rFonts w:eastAsia="Times New Roman" w:cs="Times New Roman"/>
                <w:color w:val="000000"/>
                <w:szCs w:val="24"/>
              </w:rPr>
            </w:pPr>
            <w:r w:rsidRPr="005676D7">
              <w:rPr>
                <w:rFonts w:eastAsia="Times New Roman" w:cs="Times New Roman"/>
                <w:color w:val="000000"/>
                <w:szCs w:val="24"/>
              </w:rPr>
              <w:t> </w:t>
            </w:r>
          </w:p>
        </w:tc>
        <w:tc>
          <w:tcPr>
            <w:tcW w:w="34" w:type="dxa"/>
            <w:vAlign w:val="center"/>
            <w:hideMark/>
          </w:tcPr>
          <w:p w:rsidR="005676D7" w:rsidRPr="005676D7" w:rsidP="005676D7" w14:paraId="30665733" w14:textId="77777777">
            <w:pPr>
              <w:rPr>
                <w:rFonts w:eastAsia="Times New Roman" w:cs="Times New Roman"/>
                <w:szCs w:val="24"/>
              </w:rPr>
            </w:pPr>
          </w:p>
        </w:tc>
      </w:tr>
      <w:tr w14:paraId="26306B8C" w14:textId="77777777" w:rsidTr="00C346C0">
        <w:tblPrEx>
          <w:tblW w:w="9360" w:type="dxa"/>
          <w:tblLook w:val="04A0"/>
        </w:tblPrEx>
        <w:trPr>
          <w:trHeight w:val="290"/>
        </w:trPr>
        <w:tc>
          <w:tcPr>
            <w:tcW w:w="8392" w:type="dxa"/>
            <w:gridSpan w:val="6"/>
            <w:tcBorders>
              <w:top w:val="nil"/>
              <w:left w:val="nil"/>
              <w:bottom w:val="nil"/>
              <w:right w:val="nil"/>
            </w:tcBorders>
            <w:shd w:val="clear" w:color="000000" w:fill="FFFFFF"/>
            <w:noWrap/>
            <w:vAlign w:val="bottom"/>
          </w:tcPr>
          <w:p w:rsidR="005676D7" w:rsidRPr="005676D7" w:rsidP="005676D7" w14:paraId="6F2FF25C" w14:textId="726FEAE0">
            <w:pPr>
              <w:rPr>
                <w:rFonts w:eastAsia="Times New Roman" w:cs="Times New Roman"/>
                <w:color w:val="000000"/>
                <w:szCs w:val="24"/>
              </w:rPr>
            </w:pPr>
          </w:p>
        </w:tc>
        <w:tc>
          <w:tcPr>
            <w:tcW w:w="934" w:type="dxa"/>
            <w:tcBorders>
              <w:top w:val="nil"/>
              <w:left w:val="nil"/>
              <w:bottom w:val="nil"/>
              <w:right w:val="nil"/>
            </w:tcBorders>
            <w:shd w:val="clear" w:color="000000" w:fill="FFFFFF"/>
            <w:noWrap/>
            <w:vAlign w:val="bottom"/>
            <w:hideMark/>
          </w:tcPr>
          <w:p w:rsidR="005676D7" w:rsidRPr="005676D7" w:rsidP="005676D7" w14:paraId="1D719EF2" w14:textId="77777777">
            <w:pPr>
              <w:rPr>
                <w:rFonts w:eastAsia="Times New Roman" w:cs="Times New Roman"/>
                <w:color w:val="000000"/>
                <w:szCs w:val="24"/>
              </w:rPr>
            </w:pPr>
            <w:r w:rsidRPr="005676D7">
              <w:rPr>
                <w:rFonts w:eastAsia="Times New Roman" w:cs="Times New Roman"/>
                <w:color w:val="000000"/>
                <w:szCs w:val="24"/>
              </w:rPr>
              <w:t> </w:t>
            </w:r>
          </w:p>
        </w:tc>
        <w:tc>
          <w:tcPr>
            <w:tcW w:w="34" w:type="dxa"/>
            <w:vAlign w:val="center"/>
            <w:hideMark/>
          </w:tcPr>
          <w:p w:rsidR="005676D7" w:rsidRPr="005676D7" w:rsidP="005676D7" w14:paraId="2AEB7691" w14:textId="77777777">
            <w:pPr>
              <w:rPr>
                <w:rFonts w:eastAsia="Times New Roman" w:cs="Times New Roman"/>
                <w:szCs w:val="24"/>
              </w:rPr>
            </w:pPr>
          </w:p>
        </w:tc>
      </w:tr>
      <w:tr w14:paraId="3BA3A8C6" w14:textId="77777777" w:rsidTr="00C346C0">
        <w:tblPrEx>
          <w:tblW w:w="9360" w:type="dxa"/>
          <w:tblLook w:val="04A0"/>
        </w:tblPrEx>
        <w:trPr>
          <w:trHeight w:val="290"/>
        </w:trPr>
        <w:tc>
          <w:tcPr>
            <w:tcW w:w="6196" w:type="dxa"/>
            <w:gridSpan w:val="4"/>
            <w:tcBorders>
              <w:top w:val="nil"/>
              <w:left w:val="nil"/>
              <w:bottom w:val="nil"/>
              <w:right w:val="nil"/>
            </w:tcBorders>
            <w:shd w:val="clear" w:color="000000" w:fill="FFFFFF"/>
            <w:noWrap/>
            <w:vAlign w:val="bottom"/>
          </w:tcPr>
          <w:p w:rsidR="005676D7" w:rsidRPr="005676D7" w:rsidP="005676D7" w14:paraId="2A9AAFA7" w14:textId="4A928FFB">
            <w:pPr>
              <w:rPr>
                <w:rFonts w:eastAsia="Times New Roman" w:cs="Times New Roman"/>
                <w:color w:val="000000"/>
                <w:szCs w:val="24"/>
              </w:rPr>
            </w:pPr>
          </w:p>
        </w:tc>
        <w:tc>
          <w:tcPr>
            <w:tcW w:w="1262" w:type="dxa"/>
            <w:tcBorders>
              <w:top w:val="nil"/>
              <w:left w:val="nil"/>
              <w:bottom w:val="nil"/>
              <w:right w:val="nil"/>
            </w:tcBorders>
            <w:shd w:val="clear" w:color="000000" w:fill="FFFFFF"/>
            <w:noWrap/>
            <w:vAlign w:val="bottom"/>
            <w:hideMark/>
          </w:tcPr>
          <w:p w:rsidR="005676D7" w:rsidRPr="005676D7" w:rsidP="005676D7" w14:paraId="0B5172B0" w14:textId="77777777">
            <w:pPr>
              <w:rPr>
                <w:rFonts w:eastAsia="Times New Roman" w:cs="Times New Roman"/>
                <w:color w:val="000000"/>
                <w:szCs w:val="24"/>
              </w:rPr>
            </w:pPr>
            <w:r w:rsidRPr="005676D7">
              <w:rPr>
                <w:rFonts w:eastAsia="Times New Roman" w:cs="Times New Roman"/>
                <w:color w:val="000000"/>
                <w:szCs w:val="24"/>
              </w:rPr>
              <w:t> </w:t>
            </w:r>
          </w:p>
        </w:tc>
        <w:tc>
          <w:tcPr>
            <w:tcW w:w="934" w:type="dxa"/>
            <w:tcBorders>
              <w:top w:val="nil"/>
              <w:left w:val="nil"/>
              <w:bottom w:val="nil"/>
              <w:right w:val="nil"/>
            </w:tcBorders>
            <w:shd w:val="clear" w:color="000000" w:fill="FFFFFF"/>
            <w:noWrap/>
            <w:vAlign w:val="bottom"/>
            <w:hideMark/>
          </w:tcPr>
          <w:p w:rsidR="005676D7" w:rsidRPr="005676D7" w:rsidP="005676D7" w14:paraId="4EA97552" w14:textId="77777777">
            <w:pPr>
              <w:rPr>
                <w:rFonts w:eastAsia="Times New Roman" w:cs="Times New Roman"/>
                <w:color w:val="000000"/>
                <w:szCs w:val="24"/>
              </w:rPr>
            </w:pPr>
            <w:r w:rsidRPr="005676D7">
              <w:rPr>
                <w:rFonts w:eastAsia="Times New Roman" w:cs="Times New Roman"/>
                <w:color w:val="000000"/>
                <w:szCs w:val="24"/>
              </w:rPr>
              <w:t> </w:t>
            </w:r>
          </w:p>
        </w:tc>
        <w:tc>
          <w:tcPr>
            <w:tcW w:w="934" w:type="dxa"/>
            <w:tcBorders>
              <w:top w:val="nil"/>
              <w:left w:val="nil"/>
              <w:bottom w:val="nil"/>
              <w:right w:val="nil"/>
            </w:tcBorders>
            <w:shd w:val="clear" w:color="000000" w:fill="FFFFFF"/>
            <w:noWrap/>
            <w:vAlign w:val="bottom"/>
            <w:hideMark/>
          </w:tcPr>
          <w:p w:rsidR="005676D7" w:rsidRPr="005676D7" w:rsidP="005676D7" w14:paraId="5606AB25" w14:textId="77777777">
            <w:pPr>
              <w:rPr>
                <w:rFonts w:eastAsia="Times New Roman" w:cs="Times New Roman"/>
                <w:color w:val="000000"/>
                <w:szCs w:val="24"/>
              </w:rPr>
            </w:pPr>
            <w:r w:rsidRPr="005676D7">
              <w:rPr>
                <w:rFonts w:eastAsia="Times New Roman" w:cs="Times New Roman"/>
                <w:color w:val="000000"/>
                <w:szCs w:val="24"/>
              </w:rPr>
              <w:t> </w:t>
            </w:r>
          </w:p>
        </w:tc>
        <w:tc>
          <w:tcPr>
            <w:tcW w:w="34" w:type="dxa"/>
            <w:vAlign w:val="center"/>
            <w:hideMark/>
          </w:tcPr>
          <w:p w:rsidR="005676D7" w:rsidRPr="005676D7" w:rsidP="005676D7" w14:paraId="58E09AE8" w14:textId="77777777">
            <w:pPr>
              <w:rPr>
                <w:rFonts w:eastAsia="Times New Roman" w:cs="Times New Roman"/>
                <w:szCs w:val="24"/>
              </w:rPr>
            </w:pPr>
          </w:p>
        </w:tc>
      </w:tr>
      <w:tr w14:paraId="2F9CE439" w14:textId="77777777" w:rsidTr="005676D7">
        <w:tblPrEx>
          <w:tblW w:w="9360" w:type="dxa"/>
          <w:tblLook w:val="04A0"/>
        </w:tblPrEx>
        <w:trPr>
          <w:trHeight w:val="290"/>
        </w:trPr>
        <w:tc>
          <w:tcPr>
            <w:tcW w:w="2282" w:type="dxa"/>
            <w:tcBorders>
              <w:top w:val="nil"/>
              <w:left w:val="nil"/>
              <w:bottom w:val="nil"/>
              <w:right w:val="nil"/>
            </w:tcBorders>
            <w:shd w:val="clear" w:color="000000" w:fill="FFFFFF"/>
            <w:noWrap/>
            <w:vAlign w:val="bottom"/>
            <w:hideMark/>
          </w:tcPr>
          <w:p w:rsidR="005676D7" w:rsidRPr="005676D7" w:rsidP="005676D7" w14:paraId="108E7C63" w14:textId="77777777">
            <w:pPr>
              <w:rPr>
                <w:rFonts w:eastAsia="Times New Roman" w:cs="Times New Roman"/>
                <w:color w:val="000000"/>
                <w:szCs w:val="24"/>
              </w:rPr>
            </w:pPr>
            <w:r w:rsidRPr="005676D7">
              <w:rPr>
                <w:rFonts w:eastAsia="Times New Roman" w:cs="Times New Roman"/>
                <w:color w:val="000000"/>
                <w:szCs w:val="24"/>
              </w:rPr>
              <w:t> </w:t>
            </w:r>
          </w:p>
        </w:tc>
        <w:tc>
          <w:tcPr>
            <w:tcW w:w="1261" w:type="dxa"/>
            <w:tcBorders>
              <w:top w:val="nil"/>
              <w:left w:val="nil"/>
              <w:bottom w:val="nil"/>
              <w:right w:val="nil"/>
            </w:tcBorders>
            <w:shd w:val="clear" w:color="000000" w:fill="FFFFFF"/>
            <w:noWrap/>
            <w:vAlign w:val="bottom"/>
            <w:hideMark/>
          </w:tcPr>
          <w:p w:rsidR="005676D7" w:rsidRPr="005676D7" w:rsidP="005676D7" w14:paraId="4546AE3E" w14:textId="77777777">
            <w:pPr>
              <w:rPr>
                <w:rFonts w:eastAsia="Times New Roman" w:cs="Times New Roman"/>
                <w:color w:val="000000"/>
                <w:szCs w:val="24"/>
              </w:rPr>
            </w:pPr>
            <w:r w:rsidRPr="005676D7">
              <w:rPr>
                <w:rFonts w:eastAsia="Times New Roman" w:cs="Times New Roman"/>
                <w:color w:val="000000"/>
                <w:szCs w:val="24"/>
              </w:rPr>
              <w:t> </w:t>
            </w:r>
          </w:p>
        </w:tc>
        <w:tc>
          <w:tcPr>
            <w:tcW w:w="1262" w:type="dxa"/>
            <w:tcBorders>
              <w:top w:val="nil"/>
              <w:left w:val="nil"/>
              <w:bottom w:val="nil"/>
              <w:right w:val="nil"/>
            </w:tcBorders>
            <w:shd w:val="clear" w:color="000000" w:fill="FFFFFF"/>
            <w:noWrap/>
            <w:vAlign w:val="bottom"/>
            <w:hideMark/>
          </w:tcPr>
          <w:p w:rsidR="005676D7" w:rsidRPr="005676D7" w:rsidP="005676D7" w14:paraId="439756EA" w14:textId="77777777">
            <w:pPr>
              <w:rPr>
                <w:rFonts w:eastAsia="Times New Roman" w:cs="Times New Roman"/>
                <w:color w:val="000000"/>
                <w:szCs w:val="24"/>
              </w:rPr>
            </w:pPr>
            <w:r w:rsidRPr="005676D7">
              <w:rPr>
                <w:rFonts w:eastAsia="Times New Roman" w:cs="Times New Roman"/>
                <w:color w:val="000000"/>
                <w:szCs w:val="24"/>
              </w:rPr>
              <w:t> </w:t>
            </w:r>
          </w:p>
        </w:tc>
        <w:tc>
          <w:tcPr>
            <w:tcW w:w="1391" w:type="dxa"/>
            <w:tcBorders>
              <w:top w:val="nil"/>
              <w:left w:val="nil"/>
              <w:bottom w:val="nil"/>
              <w:right w:val="nil"/>
            </w:tcBorders>
            <w:shd w:val="clear" w:color="000000" w:fill="FFFFFF"/>
            <w:noWrap/>
            <w:vAlign w:val="bottom"/>
            <w:hideMark/>
          </w:tcPr>
          <w:p w:rsidR="005676D7" w:rsidRPr="005676D7" w:rsidP="005676D7" w14:paraId="1FEE3969" w14:textId="77777777">
            <w:pPr>
              <w:rPr>
                <w:rFonts w:eastAsia="Times New Roman" w:cs="Times New Roman"/>
                <w:color w:val="000000"/>
                <w:szCs w:val="24"/>
              </w:rPr>
            </w:pPr>
            <w:r w:rsidRPr="005676D7">
              <w:rPr>
                <w:rFonts w:eastAsia="Times New Roman" w:cs="Times New Roman"/>
                <w:color w:val="000000"/>
                <w:szCs w:val="24"/>
              </w:rPr>
              <w:t> </w:t>
            </w:r>
          </w:p>
        </w:tc>
        <w:tc>
          <w:tcPr>
            <w:tcW w:w="1262" w:type="dxa"/>
            <w:tcBorders>
              <w:top w:val="nil"/>
              <w:left w:val="nil"/>
              <w:bottom w:val="nil"/>
              <w:right w:val="nil"/>
            </w:tcBorders>
            <w:shd w:val="clear" w:color="000000" w:fill="FFFFFF"/>
            <w:noWrap/>
            <w:vAlign w:val="bottom"/>
            <w:hideMark/>
          </w:tcPr>
          <w:p w:rsidR="005676D7" w:rsidRPr="005676D7" w:rsidP="005676D7" w14:paraId="111D21ED" w14:textId="77777777">
            <w:pPr>
              <w:rPr>
                <w:rFonts w:eastAsia="Times New Roman" w:cs="Times New Roman"/>
                <w:color w:val="000000"/>
                <w:szCs w:val="24"/>
              </w:rPr>
            </w:pPr>
            <w:r w:rsidRPr="005676D7">
              <w:rPr>
                <w:rFonts w:eastAsia="Times New Roman" w:cs="Times New Roman"/>
                <w:color w:val="000000"/>
                <w:szCs w:val="24"/>
              </w:rPr>
              <w:t> </w:t>
            </w:r>
          </w:p>
        </w:tc>
        <w:tc>
          <w:tcPr>
            <w:tcW w:w="934" w:type="dxa"/>
            <w:tcBorders>
              <w:top w:val="nil"/>
              <w:left w:val="nil"/>
              <w:bottom w:val="nil"/>
              <w:right w:val="nil"/>
            </w:tcBorders>
            <w:shd w:val="clear" w:color="000000" w:fill="FFFFFF"/>
            <w:noWrap/>
            <w:vAlign w:val="bottom"/>
            <w:hideMark/>
          </w:tcPr>
          <w:p w:rsidR="005676D7" w:rsidRPr="005676D7" w:rsidP="005676D7" w14:paraId="25AB3E17" w14:textId="77777777">
            <w:pPr>
              <w:rPr>
                <w:rFonts w:eastAsia="Times New Roman" w:cs="Times New Roman"/>
                <w:color w:val="000000"/>
                <w:szCs w:val="24"/>
              </w:rPr>
            </w:pPr>
            <w:r w:rsidRPr="005676D7">
              <w:rPr>
                <w:rFonts w:eastAsia="Times New Roman" w:cs="Times New Roman"/>
                <w:color w:val="000000"/>
                <w:szCs w:val="24"/>
              </w:rPr>
              <w:t> </w:t>
            </w:r>
          </w:p>
        </w:tc>
        <w:tc>
          <w:tcPr>
            <w:tcW w:w="934" w:type="dxa"/>
            <w:tcBorders>
              <w:top w:val="nil"/>
              <w:left w:val="nil"/>
              <w:bottom w:val="nil"/>
              <w:right w:val="nil"/>
            </w:tcBorders>
            <w:shd w:val="clear" w:color="000000" w:fill="FFFFFF"/>
            <w:noWrap/>
            <w:vAlign w:val="bottom"/>
            <w:hideMark/>
          </w:tcPr>
          <w:p w:rsidR="005676D7" w:rsidRPr="005676D7" w:rsidP="005676D7" w14:paraId="3579CCA7" w14:textId="77777777">
            <w:pPr>
              <w:rPr>
                <w:rFonts w:eastAsia="Times New Roman" w:cs="Times New Roman"/>
                <w:color w:val="000000"/>
                <w:szCs w:val="24"/>
              </w:rPr>
            </w:pPr>
            <w:r w:rsidRPr="005676D7">
              <w:rPr>
                <w:rFonts w:eastAsia="Times New Roman" w:cs="Times New Roman"/>
                <w:color w:val="000000"/>
                <w:szCs w:val="24"/>
              </w:rPr>
              <w:t> </w:t>
            </w:r>
          </w:p>
        </w:tc>
        <w:tc>
          <w:tcPr>
            <w:tcW w:w="34" w:type="dxa"/>
            <w:vAlign w:val="center"/>
            <w:hideMark/>
          </w:tcPr>
          <w:p w:rsidR="005676D7" w:rsidRPr="005676D7" w:rsidP="005676D7" w14:paraId="1CACE369" w14:textId="77777777">
            <w:pPr>
              <w:rPr>
                <w:rFonts w:eastAsia="Times New Roman" w:cs="Times New Roman"/>
                <w:szCs w:val="24"/>
              </w:rPr>
            </w:pPr>
          </w:p>
        </w:tc>
      </w:tr>
    </w:tbl>
    <w:p w:rsidR="005676D7" w:rsidRPr="005676D7" w:rsidP="00591902" w14:paraId="728686B3" w14:textId="77777777">
      <w:pPr>
        <w:suppressAutoHyphens/>
        <w:autoSpaceDN w:val="0"/>
        <w:ind w:firstLine="720"/>
        <w:rPr>
          <w:rFonts w:eastAsia="SimSun" w:cs="Times New Roman"/>
          <w:kern w:val="3"/>
          <w:szCs w:val="24"/>
          <w:lang w:eastAsia="zh-CN" w:bidi="hi-IN"/>
        </w:rPr>
      </w:pPr>
    </w:p>
    <w:p w:rsidR="005676D7" w:rsidRPr="005676D7" w:rsidP="00591902" w14:paraId="1564691A" w14:textId="77777777">
      <w:pPr>
        <w:suppressAutoHyphens/>
        <w:autoSpaceDN w:val="0"/>
        <w:ind w:firstLine="720"/>
        <w:rPr>
          <w:rFonts w:eastAsia="SimSun" w:cs="Times New Roman"/>
          <w:kern w:val="3"/>
          <w:szCs w:val="24"/>
          <w:lang w:eastAsia="zh-CN" w:bidi="hi-IN"/>
        </w:rPr>
      </w:pPr>
    </w:p>
    <w:p w:rsidR="005676D7" w:rsidRPr="005676D7" w:rsidP="00591902" w14:paraId="2C22ACE6" w14:textId="77777777">
      <w:pPr>
        <w:suppressAutoHyphens/>
        <w:autoSpaceDN w:val="0"/>
        <w:ind w:firstLine="720"/>
        <w:rPr>
          <w:rFonts w:eastAsia="SimSun" w:cs="Times New Roman"/>
          <w:kern w:val="3"/>
          <w:szCs w:val="24"/>
          <w:lang w:eastAsia="zh-CN" w:bidi="hi-IN"/>
        </w:rPr>
      </w:pPr>
    </w:p>
    <w:tbl>
      <w:tblPr>
        <w:tblW w:w="9340" w:type="dxa"/>
        <w:tblCellMar>
          <w:top w:w="15" w:type="dxa"/>
        </w:tblCellMar>
        <w:tblLook w:val="04A0"/>
      </w:tblPr>
      <w:tblGrid>
        <w:gridCol w:w="9118"/>
        <w:gridCol w:w="222"/>
      </w:tblGrid>
      <w:tr w14:paraId="34308B15" w14:textId="77777777" w:rsidTr="005D39AC">
        <w:tblPrEx>
          <w:tblW w:w="9340" w:type="dxa"/>
          <w:tblCellMar>
            <w:top w:w="15" w:type="dxa"/>
          </w:tblCellMar>
          <w:tblLook w:val="04A0"/>
        </w:tblPrEx>
        <w:trPr>
          <w:trHeight w:val="290"/>
        </w:trPr>
        <w:tc>
          <w:tcPr>
            <w:tcW w:w="9118" w:type="dxa"/>
            <w:tcBorders>
              <w:top w:val="nil"/>
              <w:left w:val="nil"/>
              <w:bottom w:val="nil"/>
              <w:right w:val="nil"/>
            </w:tcBorders>
            <w:vAlign w:val="center"/>
            <w:hideMark/>
          </w:tcPr>
          <w:p w:rsidR="00576385" w:rsidRPr="00576385" w:rsidP="005D39AC" w14:paraId="73EF8B0C" w14:textId="77777777">
            <w:pPr>
              <w:spacing w:after="160" w:line="259" w:lineRule="auto"/>
              <w:rPr>
                <w:rFonts w:eastAsia="Times New Roman" w:cs="Times New Roman"/>
                <w:color w:val="000000"/>
                <w:sz w:val="18"/>
                <w:szCs w:val="18"/>
              </w:rPr>
            </w:pPr>
          </w:p>
        </w:tc>
        <w:tc>
          <w:tcPr>
            <w:tcW w:w="222" w:type="dxa"/>
            <w:tcBorders>
              <w:top w:val="nil"/>
              <w:left w:val="nil"/>
              <w:bottom w:val="nil"/>
              <w:right w:val="nil"/>
            </w:tcBorders>
            <w:shd w:val="clear" w:color="auto" w:fill="auto"/>
            <w:noWrap/>
            <w:vAlign w:val="bottom"/>
            <w:hideMark/>
          </w:tcPr>
          <w:p w:rsidR="00576385" w:rsidRPr="00576385" w:rsidP="00576385" w14:paraId="47B63588" w14:textId="77777777">
            <w:pPr>
              <w:rPr>
                <w:rFonts w:eastAsia="Times New Roman" w:cs="Times New Roman"/>
                <w:color w:val="000000"/>
                <w:sz w:val="18"/>
                <w:szCs w:val="18"/>
              </w:rPr>
            </w:pPr>
          </w:p>
        </w:tc>
      </w:tr>
    </w:tbl>
    <w:p w:rsidR="003B425A" w:rsidP="003B425A" w14:paraId="26E58E16" w14:textId="2CD5592E">
      <w:pPr>
        <w:suppressAutoHyphens/>
        <w:autoSpaceDN w:val="0"/>
        <w:ind w:firstLine="720"/>
        <w:rPr>
          <w:rFonts w:eastAsia="SimSun" w:cs="Times New Roman"/>
          <w:strike/>
          <w:kern w:val="3"/>
          <w:sz w:val="18"/>
          <w:szCs w:val="18"/>
          <w:lang w:eastAsia="zh-CN" w:bidi="hi-IN"/>
        </w:rPr>
      </w:pPr>
    </w:p>
    <w:p w:rsidR="00A43F6E" w:rsidRPr="00875303" w:rsidP="00A43F6E" w14:paraId="3258E5DC" w14:textId="4F25E29F">
      <w:pPr>
        <w:outlineLvl w:val="1"/>
        <w:rPr>
          <w:bCs/>
          <w:color w:val="FF0000"/>
          <w:szCs w:val="24"/>
        </w:rPr>
      </w:pPr>
      <w:r>
        <w:rPr>
          <w:b/>
        </w:rPr>
        <w:t>6(c)</w:t>
      </w:r>
      <w:r>
        <w:rPr>
          <w:b/>
        </w:rPr>
        <w:tab/>
        <w:t xml:space="preserve">Estimating the Agency Burden and Costs </w:t>
      </w:r>
    </w:p>
    <w:p w:rsidR="00A43F6E" w:rsidP="00A43F6E" w14:paraId="1776F93F" w14:textId="77777777">
      <w:pPr>
        <w:ind w:firstLine="720"/>
      </w:pPr>
    </w:p>
    <w:p w:rsidR="00A43F6E" w:rsidP="00A43F6E" w14:paraId="4A44B4F0" w14:textId="1CEE2799">
      <w:pPr>
        <w:ind w:firstLine="720"/>
      </w:pPr>
      <w:r>
        <w:t xml:space="preserve">EPA would generate company and facility registration number(s) for new registrants and notify them of these numbers, which would appear on reports. </w:t>
      </w:r>
      <w:r w:rsidR="002062B5">
        <w:t xml:space="preserve">EPA would also process and examine registration materials, such as </w:t>
      </w:r>
      <w:r w:rsidR="004464CE">
        <w:t>engineering</w:t>
      </w:r>
      <w:r w:rsidR="002062B5">
        <w:t xml:space="preserve"> reviews</w:t>
      </w:r>
      <w:r w:rsidR="00B33DBA">
        <w:t xml:space="preserve"> and QAP plans</w:t>
      </w:r>
      <w:r w:rsidR="002062B5">
        <w:t xml:space="preserve">. </w:t>
      </w:r>
    </w:p>
    <w:p w:rsidR="00A43F6E" w:rsidP="00A43F6E" w14:paraId="48DE26DD" w14:textId="77777777">
      <w:pPr>
        <w:ind w:firstLine="720"/>
      </w:pPr>
      <w:r>
        <w:t xml:space="preserve"> </w:t>
      </w:r>
    </w:p>
    <w:p w:rsidR="00A43F6E" w:rsidP="00A43F6E" w14:paraId="0D85D7A9" w14:textId="23A50C6E">
      <w:pPr>
        <w:ind w:firstLine="720"/>
      </w:pPr>
      <w:r>
        <w:t xml:space="preserve">This supporting statement considers EPA costs associated with accepting new registrants and new reports associated with the rule. Using the RFS-related ICRs as a guide in developing these initial estimates, we anticipate that the rule </w:t>
      </w:r>
      <w:r w:rsidR="00EA3FE7">
        <w:t xml:space="preserve">will </w:t>
      </w:r>
      <w:r>
        <w:t xml:space="preserve">require the equivalent labor of </w:t>
      </w:r>
      <w:r w:rsidR="00A97E9F">
        <w:t xml:space="preserve">the equivalent </w:t>
      </w:r>
      <w:r w:rsidR="00134931">
        <w:t xml:space="preserve">of </w:t>
      </w:r>
      <w:r w:rsidR="003B2EC6">
        <w:t xml:space="preserve">1.5 </w:t>
      </w:r>
      <w:r w:rsidR="00A97E9F">
        <w:t xml:space="preserve">full-time </w:t>
      </w:r>
      <w:r w:rsidR="00134931">
        <w:t xml:space="preserve">GS-13 </w:t>
      </w:r>
      <w:r>
        <w:t xml:space="preserve">technical </w:t>
      </w:r>
      <w:r w:rsidR="00521B23">
        <w:t xml:space="preserve">employee </w:t>
      </w:r>
      <w:r w:rsidR="001601CA">
        <w:t xml:space="preserve">at </w:t>
      </w:r>
      <w:r>
        <w:t>$</w:t>
      </w:r>
      <w:r w:rsidR="003B2EC6">
        <w:t>331,500</w:t>
      </w:r>
      <w:r w:rsidR="00B35F07">
        <w:t xml:space="preserve"> </w:t>
      </w:r>
      <w:r w:rsidR="00751DF5">
        <w:t xml:space="preserve">labor cost </w:t>
      </w:r>
      <w:r>
        <w:t xml:space="preserve">and </w:t>
      </w:r>
      <w:r w:rsidR="00521B23">
        <w:t>one-</w:t>
      </w:r>
      <w:r w:rsidR="003B2EC6">
        <w:t>quarter</w:t>
      </w:r>
      <w:r w:rsidR="00521B23">
        <w:t xml:space="preserve"> of a GS-15 management employee </w:t>
      </w:r>
      <w:r w:rsidR="001601CA">
        <w:t xml:space="preserve">at </w:t>
      </w:r>
      <w:r>
        <w:t>$</w:t>
      </w:r>
      <w:r w:rsidR="003B2EC6">
        <w:t>70,500</w:t>
      </w:r>
      <w:r w:rsidR="00751DF5">
        <w:t xml:space="preserve"> labor cost</w:t>
      </w:r>
      <w:r>
        <w:t>.</w:t>
      </w:r>
      <w:r>
        <w:rPr>
          <w:rStyle w:val="FootnoteReference"/>
        </w:rPr>
        <w:footnoteReference w:id="3"/>
      </w:r>
      <w:r w:rsidR="003B2EC6">
        <w:t xml:space="preserve"> </w:t>
      </w:r>
    </w:p>
    <w:p w:rsidR="003B2EC6" w:rsidP="003B2EC6" w14:paraId="47DA0C65" w14:textId="77777777"/>
    <w:p w:rsidR="00A43F6E" w:rsidP="00A43F6E" w14:paraId="755F8669" w14:textId="48217D8B">
      <w:pPr>
        <w:ind w:firstLine="720"/>
      </w:pPr>
      <w:r>
        <w:t xml:space="preserve">Adding the following values results in an annual estimated EPA burden </w:t>
      </w:r>
      <w:r w:rsidR="00F166B3">
        <w:t xml:space="preserve">associated with this information collection, </w:t>
      </w:r>
      <w:r>
        <w:t>as follows:</w:t>
      </w:r>
    </w:p>
    <w:p w:rsidR="00A43F6E" w:rsidP="00A43F6E" w14:paraId="6CB469AC" w14:textId="77777777">
      <w:pPr>
        <w:ind w:firstLine="720"/>
      </w:pPr>
    </w:p>
    <w:p w:rsidR="00A43F6E" w:rsidP="00A43F6E" w14:paraId="6046CB51" w14:textId="04F2503E">
      <w:pPr>
        <w:pStyle w:val="Standard"/>
        <w:keepNext/>
        <w:tabs>
          <w:tab w:val="left" w:pos="5400"/>
          <w:tab w:val="right" w:pos="6480"/>
        </w:tabs>
        <w:suppressAutoHyphens w:val="0"/>
        <w:ind w:firstLine="720"/>
      </w:pPr>
      <w:r w:rsidRPr="003B2EC6">
        <w:t>1.5</w:t>
      </w:r>
      <w:r>
        <w:t xml:space="preserve"> </w:t>
      </w:r>
      <w:r>
        <w:t>GS-13 technical employee</w:t>
      </w:r>
      <w:r w:rsidR="00E81EAA">
        <w:t>s</w:t>
      </w:r>
      <w:r>
        <w:t xml:space="preserve"> (</w:t>
      </w:r>
      <w:r w:rsidR="007D04D2">
        <w:t>full-</w:t>
      </w:r>
      <w:r w:rsidR="00134931">
        <w:t>time</w:t>
      </w:r>
      <w:r>
        <w:t xml:space="preserve">) = </w:t>
      </w:r>
      <w:r w:rsidR="003D0ADE">
        <w:t xml:space="preserve">  </w:t>
      </w:r>
      <w:r>
        <w:t>$</w:t>
      </w:r>
      <w:r w:rsidR="007D04D2">
        <w:tab/>
      </w:r>
      <w:r w:rsidR="003B2EC6">
        <w:t xml:space="preserve">       331,500</w:t>
      </w:r>
    </w:p>
    <w:p w:rsidR="00A43F6E" w:rsidP="00A43F6E" w14:paraId="7B04B92A" w14:textId="20EB1730">
      <w:pPr>
        <w:pStyle w:val="Standard"/>
        <w:keepNext/>
        <w:tabs>
          <w:tab w:val="right" w:pos="6480"/>
        </w:tabs>
        <w:suppressAutoHyphens w:val="0"/>
        <w:ind w:firstLine="720"/>
      </w:pPr>
      <w:r>
        <w:t>One GS-15 manager (</w:t>
      </w:r>
      <w:r w:rsidRPr="003B2EC6">
        <w:t>1/</w:t>
      </w:r>
      <w:r w:rsidRPr="003B2EC6" w:rsidR="00F11007">
        <w:t>4</w:t>
      </w:r>
      <w:r>
        <w:t xml:space="preserve"> time) = </w:t>
      </w:r>
      <w:r w:rsidR="00D63BDC">
        <w:t xml:space="preserve">                             </w:t>
      </w:r>
      <w:r w:rsidR="003B2EC6">
        <w:t xml:space="preserve">    70,500</w:t>
      </w:r>
    </w:p>
    <w:p w:rsidR="00A43F6E" w:rsidP="0EE4E124" w14:paraId="685A5660" w14:textId="1854B6B7">
      <w:pPr>
        <w:pStyle w:val="Standard"/>
        <w:keepNext/>
        <w:tabs>
          <w:tab w:val="left" w:pos="5400"/>
          <w:tab w:val="right" w:pos="6480"/>
        </w:tabs>
        <w:suppressAutoHyphens w:val="0"/>
        <w:ind w:firstLine="720"/>
        <w:rPr>
          <w:b/>
          <w:bCs/>
        </w:rPr>
      </w:pPr>
      <w:r w:rsidRPr="77BB08C4">
        <w:rPr>
          <w:b/>
          <w:bCs/>
        </w:rPr>
        <w:t xml:space="preserve">TOTAL = </w:t>
      </w:r>
      <w:r>
        <w:tab/>
      </w:r>
      <w:r w:rsidRPr="77BB08C4" w:rsidR="000D4108">
        <w:rPr>
          <w:b/>
          <w:bCs/>
        </w:rPr>
        <w:t xml:space="preserve">   </w:t>
      </w:r>
      <w:r w:rsidR="003B2EC6">
        <w:rPr>
          <w:b/>
          <w:bCs/>
        </w:rPr>
        <w:t xml:space="preserve">    402,000</w:t>
      </w:r>
    </w:p>
    <w:p w:rsidR="00A43F6E" w:rsidP="00A43F6E" w14:paraId="6CB07E4F" w14:textId="77777777">
      <w:pPr>
        <w:ind w:firstLine="720"/>
      </w:pPr>
    </w:p>
    <w:p w:rsidR="00815C78" w:rsidP="00A43F6E" w14:paraId="0E7A771D" w14:textId="77777777">
      <w:pPr>
        <w:ind w:firstLine="720"/>
      </w:pPr>
      <w:r>
        <w:t xml:space="preserve">As with all items in this supporting statement, we strongly encourage comment on the estimated EPA burden and on </w:t>
      </w:r>
      <w:r w:rsidR="00B731FD">
        <w:t xml:space="preserve">EPA </w:t>
      </w:r>
      <w:r>
        <w:t>activities associated with this information collection.</w:t>
      </w:r>
      <w:r w:rsidR="003B2EC6">
        <w:t xml:space="preserve"> </w:t>
      </w:r>
    </w:p>
    <w:p w:rsidR="00815C78" w:rsidP="00A43F6E" w14:paraId="083FD8D1" w14:textId="77777777">
      <w:pPr>
        <w:ind w:firstLine="720"/>
      </w:pPr>
    </w:p>
    <w:p w:rsidR="00A43F6E" w:rsidP="00A43F6E" w14:paraId="49EA89F2" w14:textId="0B3841C5">
      <w:pPr>
        <w:ind w:firstLine="720"/>
      </w:pPr>
      <w:r>
        <w:t>Please note that system costs and contractor support costs</w:t>
      </w:r>
      <w:r w:rsidR="0006672B">
        <w:t xml:space="preserve"> are addressed in</w:t>
      </w:r>
      <w:r>
        <w:t xml:space="preserve"> the following RFS-related ICRs: 2060-0725</w:t>
      </w:r>
      <w:r w:rsidR="0006672B">
        <w:t xml:space="preserve"> and</w:t>
      </w:r>
      <w:r>
        <w:t xml:space="preserve"> 2060-0740. </w:t>
      </w:r>
    </w:p>
    <w:p w:rsidR="00A43F6E" w:rsidP="00A43F6E" w14:paraId="45BADC76" w14:textId="77777777">
      <w:pPr>
        <w:ind w:firstLine="720"/>
      </w:pPr>
    </w:p>
    <w:p w:rsidR="00A43F6E" w:rsidP="00A43F6E" w14:paraId="2CA862A6" w14:textId="77777777">
      <w:pPr>
        <w:ind w:firstLine="720"/>
        <w:outlineLvl w:val="1"/>
        <w:rPr>
          <w:b/>
        </w:rPr>
      </w:pPr>
      <w:r>
        <w:rPr>
          <w:b/>
        </w:rPr>
        <w:t>6(d)</w:t>
      </w:r>
      <w:r>
        <w:rPr>
          <w:b/>
        </w:rPr>
        <w:tab/>
        <w:t xml:space="preserve">Estimating the Respondent Universe </w:t>
      </w:r>
    </w:p>
    <w:p w:rsidR="00A43F6E" w:rsidP="00A43F6E" w14:paraId="52DD5498" w14:textId="77777777">
      <w:pPr>
        <w:ind w:firstLine="720"/>
      </w:pPr>
    </w:p>
    <w:p w:rsidR="00A43F6E" w:rsidP="00A43F6E" w14:paraId="10032057" w14:textId="6C8C6489">
      <w:pPr>
        <w:ind w:firstLine="720"/>
      </w:pPr>
      <w:r>
        <w:t>We estimated the number of regulated entities for this ICR by drawing upon our experience regulating the same or similar entities under the RFS program. Where possible, we used estimates based on parties that have expressed interest in a particular portion of the rule.</w:t>
      </w:r>
    </w:p>
    <w:p w:rsidR="00A43F6E" w:rsidP="00A43F6E" w14:paraId="62FC6A44" w14:textId="77777777">
      <w:pPr>
        <w:ind w:firstLine="720"/>
      </w:pPr>
    </w:p>
    <w:p w:rsidR="00A43F6E" w:rsidP="00A43F6E" w14:paraId="0885A98B" w14:textId="77777777">
      <w:pPr>
        <w:ind w:firstLine="720"/>
        <w:outlineLvl w:val="1"/>
        <w:rPr>
          <w:b/>
        </w:rPr>
      </w:pPr>
      <w:r>
        <w:rPr>
          <w:b/>
        </w:rPr>
        <w:t>6(e)</w:t>
      </w:r>
      <w:r>
        <w:rPr>
          <w:b/>
        </w:rPr>
        <w:tab/>
        <w:t>Bottom Line Burden Hours and Costs</w:t>
      </w:r>
    </w:p>
    <w:p w:rsidR="00A43F6E" w:rsidP="00A43F6E" w14:paraId="0AC5F01F" w14:textId="77777777">
      <w:pPr>
        <w:ind w:firstLine="720"/>
      </w:pPr>
    </w:p>
    <w:p w:rsidR="00A43F6E" w:rsidP="00A43F6E" w14:paraId="669998B2" w14:textId="200B1E79">
      <w:pPr>
        <w:ind w:firstLine="720"/>
      </w:pPr>
      <w:r>
        <w:t>From the tables, we estimate the following annual totals:</w:t>
      </w:r>
    </w:p>
    <w:tbl>
      <w:tblPr>
        <w:tblStyle w:val="TableGrid"/>
        <w:tblW w:w="0" w:type="auto"/>
        <w:tblInd w:w="0" w:type="dxa"/>
        <w:tblLook w:val="04A0"/>
      </w:tblPr>
      <w:tblGrid>
        <w:gridCol w:w="4675"/>
        <w:gridCol w:w="4675"/>
      </w:tblGrid>
      <w:tr w14:paraId="23A713F6" w14:textId="77777777" w:rsidTr="006B0010">
        <w:tblPrEx>
          <w:tblW w:w="0" w:type="auto"/>
          <w:tblInd w:w="0" w:type="dxa"/>
          <w:tblLook w:val="04A0"/>
        </w:tblPrEx>
        <w:tc>
          <w:tcPr>
            <w:tcW w:w="4675" w:type="dxa"/>
          </w:tcPr>
          <w:p w:rsidR="006B0010" w:rsidP="00A43F6E" w14:paraId="1C710088" w14:textId="6659821B">
            <w:r>
              <w:t>TOTAL NUMBER OF RESPONDENTS</w:t>
            </w:r>
          </w:p>
        </w:tc>
        <w:tc>
          <w:tcPr>
            <w:tcW w:w="4675" w:type="dxa"/>
          </w:tcPr>
          <w:p w:rsidR="006B0010" w:rsidP="00A43F6E" w14:paraId="362E2751" w14:textId="364AF704">
            <w:r>
              <w:t>10,454</w:t>
            </w:r>
          </w:p>
        </w:tc>
      </w:tr>
      <w:tr w14:paraId="02293DFC" w14:textId="77777777" w:rsidTr="006B0010">
        <w:tblPrEx>
          <w:tblW w:w="0" w:type="auto"/>
          <w:tblInd w:w="0" w:type="dxa"/>
          <w:tblLook w:val="04A0"/>
        </w:tblPrEx>
        <w:tc>
          <w:tcPr>
            <w:tcW w:w="4675" w:type="dxa"/>
          </w:tcPr>
          <w:p w:rsidR="006B0010" w:rsidP="00A43F6E" w14:paraId="5BB58D6C" w14:textId="7BFD9AC1">
            <w:r>
              <w:t>TOTAL NUMBER OF RESPONSES</w:t>
            </w:r>
          </w:p>
        </w:tc>
        <w:tc>
          <w:tcPr>
            <w:tcW w:w="4675" w:type="dxa"/>
          </w:tcPr>
          <w:p w:rsidR="006B0010" w:rsidP="00A43F6E" w14:paraId="5EFF45E5" w14:textId="1DEA45E1">
            <w:r>
              <w:t>144,</w:t>
            </w:r>
            <w:r w:rsidR="00212B6A">
              <w:t>020</w:t>
            </w:r>
          </w:p>
        </w:tc>
      </w:tr>
      <w:tr w14:paraId="4839E407" w14:textId="77777777" w:rsidTr="006B0010">
        <w:tblPrEx>
          <w:tblW w:w="0" w:type="auto"/>
          <w:tblInd w:w="0" w:type="dxa"/>
          <w:tblLook w:val="04A0"/>
        </w:tblPrEx>
        <w:tc>
          <w:tcPr>
            <w:tcW w:w="4675" w:type="dxa"/>
          </w:tcPr>
          <w:p w:rsidR="006B0010" w:rsidP="00A43F6E" w14:paraId="033B8D38" w14:textId="70DC5C37">
            <w:r>
              <w:t>TOTAL BURDEN HOURS</w:t>
            </w:r>
          </w:p>
        </w:tc>
        <w:tc>
          <w:tcPr>
            <w:tcW w:w="4675" w:type="dxa"/>
          </w:tcPr>
          <w:p w:rsidR="006B0010" w:rsidP="00A43F6E" w14:paraId="1EA55851" w14:textId="754CFA03">
            <w:r>
              <w:t>181,</w:t>
            </w:r>
            <w:r w:rsidR="00212B6A">
              <w:t>010</w:t>
            </w:r>
          </w:p>
        </w:tc>
      </w:tr>
      <w:tr w14:paraId="6A861E7F" w14:textId="77777777" w:rsidTr="006B0010">
        <w:tblPrEx>
          <w:tblW w:w="0" w:type="auto"/>
          <w:tblInd w:w="0" w:type="dxa"/>
          <w:tblLook w:val="04A0"/>
        </w:tblPrEx>
        <w:tc>
          <w:tcPr>
            <w:tcW w:w="4675" w:type="dxa"/>
          </w:tcPr>
          <w:p w:rsidR="006B0010" w:rsidP="00A43F6E" w14:paraId="6FEDB31D" w14:textId="44CF3CC7">
            <w:r>
              <w:t>TOTAL COST TO RESPONDENTS</w:t>
            </w:r>
            <w:r>
              <w:rPr>
                <w:rStyle w:val="FootnoteReference"/>
              </w:rPr>
              <w:footnoteReference w:id="4"/>
            </w:r>
          </w:p>
        </w:tc>
        <w:tc>
          <w:tcPr>
            <w:tcW w:w="4675" w:type="dxa"/>
          </w:tcPr>
          <w:p w:rsidR="006B0010" w:rsidP="00A43F6E" w14:paraId="0CFD3FD2" w14:textId="35174897">
            <w:r>
              <w:t>$</w:t>
            </w:r>
            <w:r w:rsidR="0084172B">
              <w:t>22,422,240</w:t>
            </w:r>
          </w:p>
        </w:tc>
      </w:tr>
    </w:tbl>
    <w:p w:rsidR="006B0010" w:rsidP="00A43F6E" w14:paraId="659CB98F" w14:textId="77777777">
      <w:pPr>
        <w:ind w:firstLine="720"/>
      </w:pPr>
    </w:p>
    <w:p w:rsidR="00A43F6E" w:rsidP="00A43F6E" w14:paraId="2D83D0C9" w14:textId="77777777">
      <w:pPr>
        <w:ind w:firstLine="720"/>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55"/>
      </w:tblGrid>
      <w:tr w14:paraId="5BA42D98" w14:textId="77777777" w:rsidTr="0085779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6"/>
        </w:trPr>
        <w:tc>
          <w:tcPr>
            <w:tcW w:w="2155" w:type="dxa"/>
          </w:tcPr>
          <w:p w:rsidR="002810F2" w:rsidRPr="002E122F" w:rsidP="00FD4583" w14:paraId="18464A7C" w14:textId="68D27B4F">
            <w:pPr>
              <w:rPr>
                <w:bCs/>
              </w:rPr>
            </w:pPr>
          </w:p>
        </w:tc>
      </w:tr>
      <w:tr w14:paraId="3D459888" w14:textId="77777777" w:rsidTr="00857796">
        <w:tblPrEx>
          <w:tblW w:w="0" w:type="auto"/>
          <w:tblInd w:w="0" w:type="dxa"/>
          <w:tblLook w:val="04A0"/>
        </w:tblPrEx>
        <w:trPr>
          <w:trHeight w:val="305"/>
        </w:trPr>
        <w:tc>
          <w:tcPr>
            <w:tcW w:w="2155" w:type="dxa"/>
          </w:tcPr>
          <w:p w:rsidR="002810F2" w:rsidRPr="002E122F" w:rsidP="00F209B4" w14:paraId="7E5FD399" w14:textId="6DD169A7">
            <w:pPr>
              <w:rPr>
                <w:bCs/>
              </w:rPr>
            </w:pPr>
          </w:p>
        </w:tc>
      </w:tr>
      <w:tr w14:paraId="059F3F8F" w14:textId="77777777" w:rsidTr="00857796">
        <w:tblPrEx>
          <w:tblW w:w="0" w:type="auto"/>
          <w:tblInd w:w="0" w:type="dxa"/>
          <w:tblLook w:val="04A0"/>
        </w:tblPrEx>
        <w:trPr>
          <w:trHeight w:val="316"/>
        </w:trPr>
        <w:tc>
          <w:tcPr>
            <w:tcW w:w="2155" w:type="dxa"/>
          </w:tcPr>
          <w:p w:rsidR="002810F2" w:rsidRPr="002E122F" w:rsidP="00F209B4" w14:paraId="49095218" w14:textId="15CF1159">
            <w:pPr>
              <w:rPr>
                <w:bCs/>
              </w:rPr>
            </w:pPr>
          </w:p>
        </w:tc>
      </w:tr>
      <w:tr w14:paraId="7B62AA80" w14:textId="77777777" w:rsidTr="00857796">
        <w:tblPrEx>
          <w:tblW w:w="0" w:type="auto"/>
          <w:tblInd w:w="0" w:type="dxa"/>
          <w:tblLook w:val="04A0"/>
        </w:tblPrEx>
        <w:trPr>
          <w:trHeight w:val="448"/>
        </w:trPr>
        <w:tc>
          <w:tcPr>
            <w:tcW w:w="2155" w:type="dxa"/>
          </w:tcPr>
          <w:p w:rsidR="002810F2" w:rsidRPr="002E122F" w:rsidP="002E122F" w14:paraId="044237C8" w14:textId="3D2ED754">
            <w:pPr>
              <w:rPr>
                <w:bCs/>
              </w:rPr>
            </w:pPr>
          </w:p>
        </w:tc>
      </w:tr>
    </w:tbl>
    <w:p w:rsidR="00A43F6E" w:rsidP="00A43F6E" w14:paraId="1333EF35" w14:textId="77777777">
      <w:pPr>
        <w:ind w:firstLine="720"/>
        <w:rPr>
          <w:rFonts w:eastAsia="SimSun" w:cs="Mangal"/>
          <w:kern w:val="3"/>
          <w:lang w:eastAsia="zh-CN" w:bidi="hi-IN"/>
        </w:rPr>
      </w:pPr>
    </w:p>
    <w:p w:rsidR="00A43F6E" w:rsidP="00A43F6E" w14:paraId="4A6C7DB9" w14:textId="77777777">
      <w:pPr>
        <w:ind w:firstLine="720"/>
        <w:rPr>
          <w:b/>
        </w:rPr>
      </w:pPr>
      <w:r>
        <w:rPr>
          <w:b/>
        </w:rPr>
        <w:t>6(f)</w:t>
      </w:r>
      <w:r>
        <w:rPr>
          <w:b/>
        </w:rPr>
        <w:tab/>
        <w:t>Burden Statement</w:t>
      </w:r>
    </w:p>
    <w:p w:rsidR="00A43F6E" w:rsidP="00A43F6E" w14:paraId="3F200842" w14:textId="77777777">
      <w:pPr>
        <w:ind w:firstLine="720"/>
      </w:pPr>
    </w:p>
    <w:p w:rsidR="00A43F6E" w:rsidP="00A43F6E" w14:paraId="4AE9B4F3" w14:textId="069C5AF5">
      <w:pPr>
        <w:ind w:firstLine="720"/>
      </w:pPr>
      <w:r>
        <w:t xml:space="preserve">The annual burden is estimated to </w:t>
      </w:r>
      <w:r w:rsidR="00423B9C">
        <w:t>average</w:t>
      </w:r>
      <w:r w:rsidR="00DF2EC9">
        <w:t>s 17 hours per respondent</w:t>
      </w:r>
      <w:r>
        <w:t xml:space="preserve">, depending on the information collection requirements of the </w:t>
      </w:r>
      <w:r w:rsidR="00BF67BA">
        <w:t>party</w:t>
      </w:r>
      <w:r>
        <w:t xml:space="preserve">, and the average number of hours per response is estimated to be approximately </w:t>
      </w:r>
      <w:r w:rsidR="008803D5">
        <w:t xml:space="preserve">one </w:t>
      </w:r>
      <w:r>
        <w:t>hour</w:t>
      </w:r>
      <w:r w:rsidR="008803D5">
        <w:t>, rounded to the nearest full number</w:t>
      </w:r>
      <w:r>
        <w:t>.</w:t>
      </w:r>
    </w:p>
    <w:p w:rsidR="00A43F6E" w:rsidP="00A43F6E" w14:paraId="02CFBA7A" w14:textId="77777777">
      <w:pPr>
        <w:ind w:firstLine="720"/>
      </w:pPr>
    </w:p>
    <w:p w:rsidR="00A43F6E" w:rsidP="00A43F6E" w14:paraId="763198E2" w14:textId="00962826">
      <w:pPr>
        <w:ind w:firstLine="720"/>
      </w:pPr>
      <w:r>
        <w:t xml:space="preserve">Burden means the total time, effort, or financial resources expended by persons to generate, maintain, retain, or disclose or provide information to or for a </w:t>
      </w:r>
      <w:r w:rsidR="005243B2">
        <w:t>federal</w:t>
      </w:r>
      <w:r>
        <w:t xml:space="preserve">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the EPA’s regulations are listed in 40 CFR part 9 and 48 CFR chapter 15.</w:t>
      </w:r>
    </w:p>
    <w:p w:rsidR="00A43F6E" w:rsidP="00A43F6E" w14:paraId="67C309A4" w14:textId="77777777">
      <w:pPr>
        <w:ind w:firstLine="720"/>
      </w:pPr>
    </w:p>
    <w:p w:rsidR="00A43F6E" w:rsidP="00A43F6E" w14:paraId="4055CCF1" w14:textId="19B242C4">
      <w:pPr>
        <w:ind w:firstLine="720"/>
      </w:pPr>
      <w:r>
        <w:t xml:space="preserve">To comment on the EPA’s need for this information, the accuracy of the provided burden estimates, and any suggested methods for minimizing respondent burden, including the use of automated collection techniques, EPA has </w:t>
      </w:r>
      <w:r w:rsidR="003B4B50">
        <w:t xml:space="preserve">established a public docket for this ICR under Docket ID No. </w:t>
      </w:r>
      <w:r w:rsidRPr="003B4B50" w:rsidR="003B4B50">
        <w:t>EPA-HQ-OAR-2021-0427</w:t>
      </w:r>
      <w:r w:rsidR="003B4B50">
        <w:t>, which</w:t>
      </w:r>
      <w:r>
        <w:t xml:space="preserve"> is available for online viewing at </w:t>
      </w:r>
      <w:r w:rsidRPr="0EE4E124">
        <w:rPr>
          <w:u w:val="single"/>
        </w:rPr>
        <w:t>www.regulations.gov</w:t>
      </w:r>
      <w:r>
        <w:t xml:space="preserve">, or in-person viewing at the Air and Radiation Docket and Information Center in the EPA Docket Center (EPA/DC). The docket </w:t>
      </w:r>
      <w:r w:rsidR="00BF67BA">
        <w:t>is in</w:t>
      </w:r>
      <w:r>
        <w:t xml:space="preserve"> the William Jefferson Clinton Building West, 1301 Constitution Avenue, NW, Room 3334, Washington, DC, and is open from 8:30 a.m. to 4:30 p.m., Eastern Standard Time, Monday through Friday, excluding legal holidays. The telephone number for the Reading Room is (202) 566-1744, and the telephone number for the Air and Radiation Docket and Information Center is (202) 566-1742.</w:t>
      </w:r>
    </w:p>
    <w:p w:rsidR="00A43F6E" w:rsidP="00A43F6E" w14:paraId="36A416C3" w14:textId="77777777">
      <w:pPr>
        <w:ind w:firstLine="720"/>
      </w:pPr>
    </w:p>
    <w:p w:rsidR="00A43F6E" w:rsidP="00A43F6E" w14:paraId="500A0F2E" w14:textId="7E77A5F0">
      <w:pPr>
        <w:ind w:firstLine="720"/>
      </w:pPr>
      <w:r>
        <w:t xml:space="preserve">An electronic version of the public docket is available at </w:t>
      </w:r>
      <w:r w:rsidRPr="6AB033C2">
        <w:rPr>
          <w:u w:val="single"/>
        </w:rPr>
        <w:t>www.regulations.gov</w:t>
      </w:r>
      <w:r>
        <w:t xml:space="preserve">. This site can be used to submit or view public comments, access the index listing of the contents of the public docket, and to access those documents in the public docket that are available electronically. When in the system, select “search,” then key in the Docket ID No. identified above. Also, you can send comments to the Office of Information and Regulatory Affairs, Office </w:t>
      </w:r>
      <w:r>
        <w:t xml:space="preserve">of Management and Budget, 725 17th Street, NW, Washington, D.C. 20503, Attention: Desk Officer for EPA. Please include the EPA Docket ID No. </w:t>
      </w:r>
      <w:r w:rsidRPr="003B4B50" w:rsidR="003B4B50">
        <w:t>EPA-HQ-OAR-2021-0427</w:t>
      </w:r>
      <w:r>
        <w:t>and OMB Control Number 2060-</w:t>
      </w:r>
      <w:r w:rsidR="001D79BC">
        <w:t>NEW</w:t>
      </w:r>
      <w:r>
        <w:t xml:space="preserve"> in any correspondence.</w:t>
      </w:r>
    </w:p>
    <w:p w:rsidR="6AB033C2" w:rsidP="6AB033C2" w14:paraId="144E5470" w14:textId="5DB9A7D9">
      <w:pPr>
        <w:ind w:firstLine="720"/>
      </w:pPr>
    </w:p>
    <w:p w:rsidR="6AB033C2" w:rsidP="6AB033C2" w14:paraId="71D2B96C" w14:textId="6403C7DE">
      <w:pPr>
        <w:ind w:firstLine="720"/>
      </w:pPr>
    </w:p>
    <w:p w:rsidR="00303A33" w:rsidP="00572F69" w14:paraId="43CE5024" w14:textId="6EAAF283">
      <w:pPr>
        <w:ind w:firstLine="720"/>
      </w:pPr>
      <w:r>
        <w:t>Appendix A – Detailed Burden Estimates (Tables in Excel format)</w:t>
      </w:r>
    </w:p>
    <w:p w:rsidR="00035FA6" w:rsidP="00303A33" w14:paraId="5B1DAB71" w14:textId="77777777">
      <w:pPr>
        <w:ind w:firstLine="720"/>
      </w:pPr>
    </w:p>
    <w:p w:rsidR="7AE107E8" w:rsidP="6AB033C2" w14:paraId="3FC12C52" w14:textId="16327338">
      <w:pPr>
        <w:ind w:firstLine="720"/>
      </w:pPr>
    </w:p>
    <w:p w:rsidR="00A43F6E" w:rsidP="00A43F6E" w14:paraId="2CF53779" w14:textId="77777777">
      <w:pPr>
        <w:ind w:firstLine="720"/>
      </w:pPr>
    </w:p>
    <w:p w:rsidR="00A43F6E" w:rsidRPr="001C25EF" w:rsidP="003B425A" w14:paraId="0FCB1008" w14:textId="77777777">
      <w:pPr>
        <w:suppressAutoHyphens/>
        <w:autoSpaceDN w:val="0"/>
        <w:ind w:firstLine="720"/>
        <w:rPr>
          <w:rFonts w:eastAsia="SimSun" w:cs="Times New Roman"/>
          <w:strike/>
          <w:kern w:val="3"/>
          <w:sz w:val="18"/>
          <w:szCs w:val="18"/>
          <w:lang w:eastAsia="zh-CN" w:bidi="hi-IN"/>
        </w:rPr>
      </w:pPr>
    </w:p>
    <w:sectPr>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4DF5" w14:paraId="2B53319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0968754"/>
      <w:docPartObj>
        <w:docPartGallery w:val="Page Numbers (Bottom of Page)"/>
        <w:docPartUnique/>
      </w:docPartObj>
    </w:sdtPr>
    <w:sdtEndPr>
      <w:rPr>
        <w:noProof/>
      </w:rPr>
    </w:sdtEndPr>
    <w:sdtContent>
      <w:p w:rsidR="00437362" w14:paraId="1CA1BE3E" w14:textId="5DF66F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37362" w14:paraId="716EE8A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4DF5" w14:paraId="159A287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A2238" w:rsidP="008E1572" w14:paraId="1293B261" w14:textId="77777777">
      <w:r>
        <w:separator/>
      </w:r>
    </w:p>
  </w:footnote>
  <w:footnote w:type="continuationSeparator" w:id="1">
    <w:p w:rsidR="00EA2238" w:rsidP="008E1572" w14:paraId="6F07D89F" w14:textId="77777777">
      <w:r>
        <w:continuationSeparator/>
      </w:r>
    </w:p>
  </w:footnote>
  <w:footnote w:type="continuationNotice" w:id="2">
    <w:p w:rsidR="00EA2238" w14:paraId="0D2F03CC" w14:textId="77777777"/>
  </w:footnote>
  <w:footnote w:id="3">
    <w:p w:rsidR="00A43F6E" w:rsidP="0014490B" w14:paraId="565DD5AD" w14:textId="13681DCA">
      <w:pPr>
        <w:pStyle w:val="FootnoteText"/>
        <w:ind w:left="360"/>
      </w:pPr>
      <w:r>
        <w:rPr>
          <w:rStyle w:val="FootnoteReference"/>
        </w:rPr>
        <w:footnoteRef/>
      </w:r>
      <w:r>
        <w:t xml:space="preserve"> These estimates are derived from "OPM Salary Table </w:t>
      </w:r>
      <w:r w:rsidRPr="00C51167">
        <w:t>2</w:t>
      </w:r>
      <w:r w:rsidR="00B63B71">
        <w:t>0</w:t>
      </w:r>
      <w:r w:rsidR="00B35F07">
        <w:t>22</w:t>
      </w:r>
      <w:r>
        <w:t>-DCB," effective January 20</w:t>
      </w:r>
      <w:r w:rsidR="00B63B71">
        <w:t>2</w:t>
      </w:r>
      <w:r w:rsidR="00B35F07">
        <w:t>2</w:t>
      </w:r>
      <w:r>
        <w:t>. This table may be found at</w:t>
      </w:r>
      <w:r w:rsidR="00B63B71">
        <w:rPr>
          <w:u w:val="single"/>
        </w:rPr>
        <w:t xml:space="preserve"> </w:t>
      </w:r>
      <w:hyperlink r:id="rId1" w:history="1">
        <w:r w:rsidRPr="007B32AC" w:rsidR="0012724D">
          <w:rPr>
            <w:rStyle w:val="Hyperlink"/>
          </w:rPr>
          <w:t>https://www.opm.gov/policy-data-oversight/pay-leave/salaries-wages/salary-tables/pdf/2022/DCB.pdf</w:t>
        </w:r>
      </w:hyperlink>
      <w:r w:rsidR="0012724D">
        <w:t xml:space="preserve"> (accessed October 2, 2022). </w:t>
      </w:r>
      <w:r>
        <w:t>The extreme of step 10 was assumed for all categories. All values were multiplied by 1.6 (which is a common factor utilized in ICRs to account for overhead costs)</w:t>
      </w:r>
      <w:r w:rsidR="00751DF5">
        <w:t xml:space="preserve"> to determine labor cost</w:t>
      </w:r>
      <w:r>
        <w:t xml:space="preserve">. </w:t>
      </w:r>
      <w:r w:rsidR="000D5AD0">
        <w:t xml:space="preserve">They were </w:t>
      </w:r>
      <w:r w:rsidR="00751DF5">
        <w:t xml:space="preserve">then </w:t>
      </w:r>
      <w:r w:rsidR="000D5AD0">
        <w:t xml:space="preserve">rounded to the nearest </w:t>
      </w:r>
      <w:r w:rsidR="00C51167">
        <w:t xml:space="preserve">$ </w:t>
      </w:r>
      <w:r w:rsidR="000D5AD0">
        <w:t xml:space="preserve">500. </w:t>
      </w:r>
    </w:p>
  </w:footnote>
  <w:footnote w:id="4">
    <w:p w:rsidR="006B0010" w14:paraId="5D5B8338" w14:textId="54D37941">
      <w:pPr>
        <w:pStyle w:val="FootnoteText"/>
      </w:pPr>
      <w:r>
        <w:rPr>
          <w:rStyle w:val="FootnoteReference"/>
        </w:rPr>
        <w:footnoteRef/>
      </w:r>
      <w:r>
        <w:t xml:space="preserve"> This is the total non-labor costs, all of which is purchased services for this ICR. This is the amount that is included in the OMB inventory. The total including labor and non-labor cost for this ICR is $</w:t>
      </w:r>
      <w:r w:rsidR="0084172B">
        <w:t>30,477,175</w:t>
      </w:r>
      <w:r>
        <w:t xml:space="preserve">. Please refer to summary tab of Appendix 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1572" w14:paraId="127B359F" w14:textId="45F0FD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1572" w:rsidP="6AB033C2" w14:paraId="68707040" w14:textId="4945D5E6">
    <w:pPr>
      <w:pStyle w:val="Header"/>
      <w:jc w:val="center"/>
      <w:rPr>
        <w:highlight w:val="yell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1572" w14:paraId="07CD5A57" w14:textId="668636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D15FC"/>
    <w:multiLevelType w:val="hybridMultilevel"/>
    <w:tmpl w:val="5650C8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EF1A03"/>
    <w:multiLevelType w:val="hybridMultilevel"/>
    <w:tmpl w:val="04DA765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AA01847"/>
    <w:multiLevelType w:val="hybridMultilevel"/>
    <w:tmpl w:val="044E864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22733B7C"/>
    <w:multiLevelType w:val="hybridMultilevel"/>
    <w:tmpl w:val="6C265B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4883400"/>
    <w:multiLevelType w:val="hybridMultilevel"/>
    <w:tmpl w:val="29A4F5C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2A3E4D29"/>
    <w:multiLevelType w:val="hybridMultilevel"/>
    <w:tmpl w:val="E9F03C90"/>
    <w:styleLink w:val="WWNum19"/>
    <w:lvl w:ilvl="0">
      <w:start w:val="0"/>
      <w:numFmt w:val="bullet"/>
      <w:lvlText w:val=""/>
      <w:lvlJc w:val="left"/>
      <w:pPr>
        <w:ind w:left="0" w:firstLine="0"/>
      </w:pPr>
      <w:rPr>
        <w:rFonts w:ascii="Symbol" w:hAnsi="Symbol"/>
      </w:rPr>
    </w:lvl>
    <w:lvl w:ilvl="1">
      <w:start w:val="0"/>
      <w:numFmt w:val="bullet"/>
      <w:lvlText w:val="o"/>
      <w:lvlJc w:val="left"/>
      <w:pPr>
        <w:ind w:left="0" w:firstLine="0"/>
      </w:pPr>
      <w:rPr>
        <w:rFonts w:ascii="Courier New" w:hAnsi="Courier New" w:cs="Courier New"/>
      </w:rPr>
    </w:lvl>
    <w:lvl w:ilvl="2">
      <w:start w:val="0"/>
      <w:numFmt w:val="bullet"/>
      <w:lvlText w:val=""/>
      <w:lvlJc w:val="left"/>
      <w:pPr>
        <w:ind w:left="0" w:firstLine="0"/>
      </w:pPr>
      <w:rPr>
        <w:rFonts w:ascii="Wingdings" w:hAnsi="Wingdings"/>
      </w:rPr>
    </w:lvl>
    <w:lvl w:ilvl="3">
      <w:start w:val="0"/>
      <w:numFmt w:val="bullet"/>
      <w:lvlText w:val=""/>
      <w:lvlJc w:val="left"/>
      <w:pPr>
        <w:ind w:left="0" w:firstLine="0"/>
      </w:pPr>
      <w:rPr>
        <w:rFonts w:ascii="Symbol" w:hAnsi="Symbol"/>
      </w:rPr>
    </w:lvl>
    <w:lvl w:ilvl="4">
      <w:start w:val="0"/>
      <w:numFmt w:val="bullet"/>
      <w:lvlText w:val="o"/>
      <w:lvlJc w:val="left"/>
      <w:pPr>
        <w:ind w:left="0" w:firstLine="0"/>
      </w:pPr>
      <w:rPr>
        <w:rFonts w:ascii="Courier New" w:hAnsi="Courier New" w:cs="Courier New"/>
      </w:rPr>
    </w:lvl>
    <w:lvl w:ilvl="5">
      <w:start w:val="0"/>
      <w:numFmt w:val="bullet"/>
      <w:lvlText w:val=""/>
      <w:lvlJc w:val="left"/>
      <w:pPr>
        <w:ind w:left="0" w:firstLine="0"/>
      </w:pPr>
      <w:rPr>
        <w:rFonts w:ascii="Wingdings" w:hAnsi="Wingdings"/>
      </w:rPr>
    </w:lvl>
    <w:lvl w:ilvl="6">
      <w:start w:val="0"/>
      <w:numFmt w:val="bullet"/>
      <w:lvlText w:val=""/>
      <w:lvlJc w:val="left"/>
      <w:pPr>
        <w:ind w:left="0" w:firstLine="0"/>
      </w:pPr>
      <w:rPr>
        <w:rFonts w:ascii="Symbol" w:hAnsi="Symbol"/>
      </w:rPr>
    </w:lvl>
    <w:lvl w:ilvl="7">
      <w:start w:val="0"/>
      <w:numFmt w:val="bullet"/>
      <w:lvlText w:val="o"/>
      <w:lvlJc w:val="left"/>
      <w:pPr>
        <w:ind w:left="0" w:firstLine="0"/>
      </w:pPr>
      <w:rPr>
        <w:rFonts w:ascii="Courier New" w:hAnsi="Courier New" w:cs="Courier New"/>
      </w:rPr>
    </w:lvl>
    <w:lvl w:ilvl="8">
      <w:start w:val="0"/>
      <w:numFmt w:val="bullet"/>
      <w:lvlText w:val=""/>
      <w:lvlJc w:val="left"/>
      <w:pPr>
        <w:ind w:left="0" w:firstLine="0"/>
      </w:pPr>
      <w:rPr>
        <w:rFonts w:ascii="Wingdings" w:hAnsi="Wingdings"/>
      </w:rPr>
    </w:lvl>
  </w:abstractNum>
  <w:abstractNum w:abstractNumId="6">
    <w:nsid w:val="368254CA"/>
    <w:multiLevelType w:val="hybridMultilevel"/>
    <w:tmpl w:val="3AE0104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36C8479E"/>
    <w:multiLevelType w:val="hybridMultilevel"/>
    <w:tmpl w:val="04090001"/>
    <w:lvl w:ilvl="0">
      <w:start w:val="1"/>
      <w:numFmt w:val="bullet"/>
      <w:lvlText w:val=""/>
      <w:lvlJc w:val="left"/>
      <w:pPr>
        <w:tabs>
          <w:tab w:val="num" w:pos="360"/>
        </w:tabs>
        <w:ind w:left="3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372C445F"/>
    <w:multiLevelType w:val="hybridMultilevel"/>
    <w:tmpl w:val="64AEF3C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38B94F90"/>
    <w:multiLevelType w:val="hybridMultilevel"/>
    <w:tmpl w:val="2EFCC6C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3EDA637E"/>
    <w:multiLevelType w:val="hybridMultilevel"/>
    <w:tmpl w:val="2886EF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5D829B4"/>
    <w:multiLevelType w:val="hybridMultilevel"/>
    <w:tmpl w:val="C194C9D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4D6B524C"/>
    <w:multiLevelType w:val="hybridMultilevel"/>
    <w:tmpl w:val="76E4892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50D306A3"/>
    <w:multiLevelType w:val="hybridMultilevel"/>
    <w:tmpl w:val="770EBFE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5AB80DA0"/>
    <w:multiLevelType w:val="hybridMultilevel"/>
    <w:tmpl w:val="C938090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5B312904"/>
    <w:multiLevelType w:val="hybridMultilevel"/>
    <w:tmpl w:val="5E66FF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5411C65"/>
    <w:multiLevelType w:val="hybridMultilevel"/>
    <w:tmpl w:val="08027E4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78C324D9"/>
    <w:multiLevelType w:val="hybridMultilevel"/>
    <w:tmpl w:val="C3F28E8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7DF02B00"/>
    <w:multiLevelType w:val="hybridMultilevel"/>
    <w:tmpl w:val="AB349CF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12"/>
  </w:num>
  <w:num w:numId="2">
    <w:abstractNumId w:val="10"/>
  </w:num>
  <w:num w:numId="3">
    <w:abstractNumId w:val="17"/>
  </w:num>
  <w:num w:numId="4">
    <w:abstractNumId w:val="18"/>
  </w:num>
  <w:num w:numId="5">
    <w:abstractNumId w:val="4"/>
  </w:num>
  <w:num w:numId="6">
    <w:abstractNumId w:val="5"/>
  </w:num>
  <w:num w:numId="7">
    <w:abstractNumId w:val="5"/>
  </w:num>
  <w:num w:numId="8">
    <w:abstractNumId w:val="7"/>
  </w:num>
  <w:num w:numId="9">
    <w:abstractNumId w:val="0"/>
  </w:num>
  <w:num w:numId="10">
    <w:abstractNumId w:val="9"/>
  </w:num>
  <w:num w:numId="11">
    <w:abstractNumId w:val="15"/>
  </w:num>
  <w:num w:numId="12">
    <w:abstractNumId w:val="3"/>
  </w:num>
  <w:num w:numId="13">
    <w:abstractNumId w:val="11"/>
  </w:num>
  <w:num w:numId="14">
    <w:abstractNumId w:val="14"/>
  </w:num>
  <w:num w:numId="15">
    <w:abstractNumId w:val="1"/>
  </w:num>
  <w:num w:numId="16">
    <w:abstractNumId w:val="16"/>
  </w:num>
  <w:num w:numId="17">
    <w:abstractNumId w:val="6"/>
  </w:num>
  <w:num w:numId="18">
    <w:abstractNumId w:val="8"/>
  </w:num>
  <w:num w:numId="19">
    <w:abstractNumId w:val="1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4F6"/>
    <w:rsid w:val="00000355"/>
    <w:rsid w:val="0000647E"/>
    <w:rsid w:val="00013D7B"/>
    <w:rsid w:val="00020090"/>
    <w:rsid w:val="000219A6"/>
    <w:rsid w:val="00022A44"/>
    <w:rsid w:val="00030A89"/>
    <w:rsid w:val="00034F14"/>
    <w:rsid w:val="00035B23"/>
    <w:rsid w:val="00035B78"/>
    <w:rsid w:val="00035FA6"/>
    <w:rsid w:val="000415A8"/>
    <w:rsid w:val="000469F9"/>
    <w:rsid w:val="00060F70"/>
    <w:rsid w:val="0006672B"/>
    <w:rsid w:val="000715A0"/>
    <w:rsid w:val="00073409"/>
    <w:rsid w:val="00082ACF"/>
    <w:rsid w:val="00095524"/>
    <w:rsid w:val="00097F69"/>
    <w:rsid w:val="000A24EC"/>
    <w:rsid w:val="000B20E8"/>
    <w:rsid w:val="000B7D81"/>
    <w:rsid w:val="000C0C2A"/>
    <w:rsid w:val="000C17A0"/>
    <w:rsid w:val="000C5F16"/>
    <w:rsid w:val="000D1C61"/>
    <w:rsid w:val="000D4108"/>
    <w:rsid w:val="000D5AD0"/>
    <w:rsid w:val="000D61E4"/>
    <w:rsid w:val="000E0632"/>
    <w:rsid w:val="000E11A9"/>
    <w:rsid w:val="000E4374"/>
    <w:rsid w:val="000F1A9F"/>
    <w:rsid w:val="00100430"/>
    <w:rsid w:val="001008F3"/>
    <w:rsid w:val="001059D0"/>
    <w:rsid w:val="00107624"/>
    <w:rsid w:val="001135B3"/>
    <w:rsid w:val="00116B21"/>
    <w:rsid w:val="00117E7C"/>
    <w:rsid w:val="00121178"/>
    <w:rsid w:val="00121386"/>
    <w:rsid w:val="0012296C"/>
    <w:rsid w:val="001244B5"/>
    <w:rsid w:val="00125E42"/>
    <w:rsid w:val="00125F10"/>
    <w:rsid w:val="001270E5"/>
    <w:rsid w:val="0012724D"/>
    <w:rsid w:val="001336EA"/>
    <w:rsid w:val="00134931"/>
    <w:rsid w:val="001354CD"/>
    <w:rsid w:val="001377BA"/>
    <w:rsid w:val="0014490B"/>
    <w:rsid w:val="00144E19"/>
    <w:rsid w:val="001534D2"/>
    <w:rsid w:val="001601CA"/>
    <w:rsid w:val="001615F0"/>
    <w:rsid w:val="00167EC8"/>
    <w:rsid w:val="00171C9B"/>
    <w:rsid w:val="0017462F"/>
    <w:rsid w:val="00181E13"/>
    <w:rsid w:val="001876CE"/>
    <w:rsid w:val="00191425"/>
    <w:rsid w:val="00191D45"/>
    <w:rsid w:val="0019203C"/>
    <w:rsid w:val="001A1810"/>
    <w:rsid w:val="001A358F"/>
    <w:rsid w:val="001A3AF8"/>
    <w:rsid w:val="001A4CAF"/>
    <w:rsid w:val="001B178D"/>
    <w:rsid w:val="001B5111"/>
    <w:rsid w:val="001C25EF"/>
    <w:rsid w:val="001C4E4A"/>
    <w:rsid w:val="001D1719"/>
    <w:rsid w:val="001D66D8"/>
    <w:rsid w:val="001D6945"/>
    <w:rsid w:val="001D76AF"/>
    <w:rsid w:val="001D79AA"/>
    <w:rsid w:val="001D79BC"/>
    <w:rsid w:val="001E46CC"/>
    <w:rsid w:val="001F106B"/>
    <w:rsid w:val="001F1499"/>
    <w:rsid w:val="001F5D37"/>
    <w:rsid w:val="002024C1"/>
    <w:rsid w:val="002062B5"/>
    <w:rsid w:val="00210075"/>
    <w:rsid w:val="00212B6A"/>
    <w:rsid w:val="00233201"/>
    <w:rsid w:val="002378D3"/>
    <w:rsid w:val="002400BC"/>
    <w:rsid w:val="00242271"/>
    <w:rsid w:val="0024372F"/>
    <w:rsid w:val="00251638"/>
    <w:rsid w:val="00257840"/>
    <w:rsid w:val="0026146B"/>
    <w:rsid w:val="00271C4A"/>
    <w:rsid w:val="00273639"/>
    <w:rsid w:val="002810F2"/>
    <w:rsid w:val="002812ED"/>
    <w:rsid w:val="002846FD"/>
    <w:rsid w:val="00293A2A"/>
    <w:rsid w:val="002A0680"/>
    <w:rsid w:val="002A2168"/>
    <w:rsid w:val="002A29D9"/>
    <w:rsid w:val="002A3E7D"/>
    <w:rsid w:val="002A55AA"/>
    <w:rsid w:val="002A5805"/>
    <w:rsid w:val="002B34F6"/>
    <w:rsid w:val="002B3D80"/>
    <w:rsid w:val="002C13FC"/>
    <w:rsid w:val="002C4DA7"/>
    <w:rsid w:val="002D6ABB"/>
    <w:rsid w:val="002E04C2"/>
    <w:rsid w:val="002E122F"/>
    <w:rsid w:val="002E19D8"/>
    <w:rsid w:val="002F12AC"/>
    <w:rsid w:val="00302EEB"/>
    <w:rsid w:val="00303A33"/>
    <w:rsid w:val="00306CDD"/>
    <w:rsid w:val="00311471"/>
    <w:rsid w:val="003166C3"/>
    <w:rsid w:val="003167D6"/>
    <w:rsid w:val="00321EC9"/>
    <w:rsid w:val="00322124"/>
    <w:rsid w:val="00324346"/>
    <w:rsid w:val="003367AD"/>
    <w:rsid w:val="00340327"/>
    <w:rsid w:val="003460BD"/>
    <w:rsid w:val="00350B68"/>
    <w:rsid w:val="003522CA"/>
    <w:rsid w:val="00376466"/>
    <w:rsid w:val="0038181B"/>
    <w:rsid w:val="00383FA0"/>
    <w:rsid w:val="00384D8B"/>
    <w:rsid w:val="003863AB"/>
    <w:rsid w:val="003A5FCB"/>
    <w:rsid w:val="003A78DD"/>
    <w:rsid w:val="003B28EC"/>
    <w:rsid w:val="003B2EC6"/>
    <w:rsid w:val="003B425A"/>
    <w:rsid w:val="003B4B50"/>
    <w:rsid w:val="003C058A"/>
    <w:rsid w:val="003C3CB0"/>
    <w:rsid w:val="003D0ADE"/>
    <w:rsid w:val="003D2885"/>
    <w:rsid w:val="003F2CC9"/>
    <w:rsid w:val="00400D46"/>
    <w:rsid w:val="00404B0C"/>
    <w:rsid w:val="00406F46"/>
    <w:rsid w:val="00410048"/>
    <w:rsid w:val="004104DD"/>
    <w:rsid w:val="00414EA3"/>
    <w:rsid w:val="004168C5"/>
    <w:rsid w:val="00423B9C"/>
    <w:rsid w:val="00425D8A"/>
    <w:rsid w:val="004317EF"/>
    <w:rsid w:val="00431C0F"/>
    <w:rsid w:val="00437362"/>
    <w:rsid w:val="004401EC"/>
    <w:rsid w:val="00444A2B"/>
    <w:rsid w:val="004464CE"/>
    <w:rsid w:val="00446746"/>
    <w:rsid w:val="00450D2F"/>
    <w:rsid w:val="0045170A"/>
    <w:rsid w:val="00453260"/>
    <w:rsid w:val="00457273"/>
    <w:rsid w:val="004574AC"/>
    <w:rsid w:val="00457A65"/>
    <w:rsid w:val="00462969"/>
    <w:rsid w:val="00464155"/>
    <w:rsid w:val="00466273"/>
    <w:rsid w:val="00472750"/>
    <w:rsid w:val="004731EA"/>
    <w:rsid w:val="00475142"/>
    <w:rsid w:val="004772C5"/>
    <w:rsid w:val="00477B29"/>
    <w:rsid w:val="004862C7"/>
    <w:rsid w:val="00490473"/>
    <w:rsid w:val="00496814"/>
    <w:rsid w:val="00496B12"/>
    <w:rsid w:val="0049743E"/>
    <w:rsid w:val="004A1AB4"/>
    <w:rsid w:val="004B2BC8"/>
    <w:rsid w:val="004B3D0D"/>
    <w:rsid w:val="004C5FE7"/>
    <w:rsid w:val="004D3EBC"/>
    <w:rsid w:val="004D46B5"/>
    <w:rsid w:val="004D5EBE"/>
    <w:rsid w:val="004E43C6"/>
    <w:rsid w:val="004F667A"/>
    <w:rsid w:val="00501432"/>
    <w:rsid w:val="00503A15"/>
    <w:rsid w:val="005063C5"/>
    <w:rsid w:val="00506C14"/>
    <w:rsid w:val="00511D27"/>
    <w:rsid w:val="00516719"/>
    <w:rsid w:val="0052042F"/>
    <w:rsid w:val="00520856"/>
    <w:rsid w:val="00521B23"/>
    <w:rsid w:val="005243B2"/>
    <w:rsid w:val="00525736"/>
    <w:rsid w:val="00526B0B"/>
    <w:rsid w:val="00527B48"/>
    <w:rsid w:val="00531E95"/>
    <w:rsid w:val="00535212"/>
    <w:rsid w:val="00537FCD"/>
    <w:rsid w:val="00550DBC"/>
    <w:rsid w:val="00562C40"/>
    <w:rsid w:val="005676D7"/>
    <w:rsid w:val="00567DAD"/>
    <w:rsid w:val="00571485"/>
    <w:rsid w:val="00572787"/>
    <w:rsid w:val="00572F69"/>
    <w:rsid w:val="00573E8D"/>
    <w:rsid w:val="00575C8B"/>
    <w:rsid w:val="00576385"/>
    <w:rsid w:val="00582CA6"/>
    <w:rsid w:val="00586D91"/>
    <w:rsid w:val="00590CC7"/>
    <w:rsid w:val="00590EB4"/>
    <w:rsid w:val="00591902"/>
    <w:rsid w:val="005924BA"/>
    <w:rsid w:val="00594AB6"/>
    <w:rsid w:val="005A26F4"/>
    <w:rsid w:val="005A70E0"/>
    <w:rsid w:val="005B1C4C"/>
    <w:rsid w:val="005C32AF"/>
    <w:rsid w:val="005C37A0"/>
    <w:rsid w:val="005C3B89"/>
    <w:rsid w:val="005C5CA8"/>
    <w:rsid w:val="005C60E4"/>
    <w:rsid w:val="005D39AC"/>
    <w:rsid w:val="005D653E"/>
    <w:rsid w:val="005E7842"/>
    <w:rsid w:val="005E7C0D"/>
    <w:rsid w:val="005F0321"/>
    <w:rsid w:val="005F1337"/>
    <w:rsid w:val="005F3B84"/>
    <w:rsid w:val="005F63F9"/>
    <w:rsid w:val="006001BB"/>
    <w:rsid w:val="00600CDB"/>
    <w:rsid w:val="00602C6E"/>
    <w:rsid w:val="00603879"/>
    <w:rsid w:val="006054C8"/>
    <w:rsid w:val="00606F7E"/>
    <w:rsid w:val="00612463"/>
    <w:rsid w:val="006179EB"/>
    <w:rsid w:val="00625D6F"/>
    <w:rsid w:val="00631A7B"/>
    <w:rsid w:val="0063489D"/>
    <w:rsid w:val="00644DF5"/>
    <w:rsid w:val="0065616E"/>
    <w:rsid w:val="00657774"/>
    <w:rsid w:val="006601D7"/>
    <w:rsid w:val="006619B4"/>
    <w:rsid w:val="006655C1"/>
    <w:rsid w:val="00665BAA"/>
    <w:rsid w:val="0067005B"/>
    <w:rsid w:val="006735A8"/>
    <w:rsid w:val="00676D5B"/>
    <w:rsid w:val="006837A1"/>
    <w:rsid w:val="0068503F"/>
    <w:rsid w:val="00691CD3"/>
    <w:rsid w:val="0069541B"/>
    <w:rsid w:val="006A0141"/>
    <w:rsid w:val="006A0A23"/>
    <w:rsid w:val="006A68A3"/>
    <w:rsid w:val="006B0010"/>
    <w:rsid w:val="006B2744"/>
    <w:rsid w:val="006B3DB2"/>
    <w:rsid w:val="006B4EA2"/>
    <w:rsid w:val="006B562E"/>
    <w:rsid w:val="006B5A1C"/>
    <w:rsid w:val="006B62DE"/>
    <w:rsid w:val="006C1490"/>
    <w:rsid w:val="006C1D83"/>
    <w:rsid w:val="006C1DB8"/>
    <w:rsid w:val="006C23CE"/>
    <w:rsid w:val="006C5727"/>
    <w:rsid w:val="006C69E0"/>
    <w:rsid w:val="006C74BB"/>
    <w:rsid w:val="006F6AAA"/>
    <w:rsid w:val="006F7EE7"/>
    <w:rsid w:val="00703E91"/>
    <w:rsid w:val="00712B13"/>
    <w:rsid w:val="00714D54"/>
    <w:rsid w:val="00717F40"/>
    <w:rsid w:val="00723F54"/>
    <w:rsid w:val="00726203"/>
    <w:rsid w:val="0073065F"/>
    <w:rsid w:val="00732E35"/>
    <w:rsid w:val="007339BF"/>
    <w:rsid w:val="00737A17"/>
    <w:rsid w:val="007400B4"/>
    <w:rsid w:val="00745501"/>
    <w:rsid w:val="0074571D"/>
    <w:rsid w:val="00751456"/>
    <w:rsid w:val="0075198B"/>
    <w:rsid w:val="00751DF5"/>
    <w:rsid w:val="00760DF8"/>
    <w:rsid w:val="00764F73"/>
    <w:rsid w:val="00770A77"/>
    <w:rsid w:val="007740A3"/>
    <w:rsid w:val="007753FB"/>
    <w:rsid w:val="00782138"/>
    <w:rsid w:val="007865C0"/>
    <w:rsid w:val="007901F3"/>
    <w:rsid w:val="007945CE"/>
    <w:rsid w:val="00795159"/>
    <w:rsid w:val="00797E33"/>
    <w:rsid w:val="007A2F8F"/>
    <w:rsid w:val="007B1ED8"/>
    <w:rsid w:val="007B32AC"/>
    <w:rsid w:val="007B531E"/>
    <w:rsid w:val="007B613D"/>
    <w:rsid w:val="007B6C11"/>
    <w:rsid w:val="007D04D2"/>
    <w:rsid w:val="007D1C4C"/>
    <w:rsid w:val="007D3A7D"/>
    <w:rsid w:val="007D6286"/>
    <w:rsid w:val="007E56D7"/>
    <w:rsid w:val="007E5E67"/>
    <w:rsid w:val="007F2C39"/>
    <w:rsid w:val="00807DE7"/>
    <w:rsid w:val="00807EE4"/>
    <w:rsid w:val="00815896"/>
    <w:rsid w:val="00815951"/>
    <w:rsid w:val="00815C78"/>
    <w:rsid w:val="00823D4E"/>
    <w:rsid w:val="00832BAE"/>
    <w:rsid w:val="00834D50"/>
    <w:rsid w:val="00836953"/>
    <w:rsid w:val="0084172B"/>
    <w:rsid w:val="00845759"/>
    <w:rsid w:val="0084785B"/>
    <w:rsid w:val="00854D8F"/>
    <w:rsid w:val="00856765"/>
    <w:rsid w:val="00857796"/>
    <w:rsid w:val="0086070D"/>
    <w:rsid w:val="00860EF3"/>
    <w:rsid w:val="00861ECA"/>
    <w:rsid w:val="00862D89"/>
    <w:rsid w:val="00865BAB"/>
    <w:rsid w:val="008661B1"/>
    <w:rsid w:val="00872338"/>
    <w:rsid w:val="00873467"/>
    <w:rsid w:val="00875303"/>
    <w:rsid w:val="00876E4E"/>
    <w:rsid w:val="008803D5"/>
    <w:rsid w:val="00881B9D"/>
    <w:rsid w:val="008848A7"/>
    <w:rsid w:val="00885438"/>
    <w:rsid w:val="008967B0"/>
    <w:rsid w:val="008A09C4"/>
    <w:rsid w:val="008A108C"/>
    <w:rsid w:val="008A236D"/>
    <w:rsid w:val="008A54BC"/>
    <w:rsid w:val="008A5BE5"/>
    <w:rsid w:val="008A761C"/>
    <w:rsid w:val="008B4307"/>
    <w:rsid w:val="008B58EA"/>
    <w:rsid w:val="008C683E"/>
    <w:rsid w:val="008D27FF"/>
    <w:rsid w:val="008D6451"/>
    <w:rsid w:val="008E1572"/>
    <w:rsid w:val="008F4308"/>
    <w:rsid w:val="008F510C"/>
    <w:rsid w:val="008F5AE6"/>
    <w:rsid w:val="00904065"/>
    <w:rsid w:val="00906AB7"/>
    <w:rsid w:val="009110EF"/>
    <w:rsid w:val="00920191"/>
    <w:rsid w:val="00923597"/>
    <w:rsid w:val="00926CCF"/>
    <w:rsid w:val="0093052F"/>
    <w:rsid w:val="00930AA9"/>
    <w:rsid w:val="00931095"/>
    <w:rsid w:val="0093641C"/>
    <w:rsid w:val="00942517"/>
    <w:rsid w:val="00944E12"/>
    <w:rsid w:val="009535E6"/>
    <w:rsid w:val="00954D7D"/>
    <w:rsid w:val="00955CCA"/>
    <w:rsid w:val="0095604D"/>
    <w:rsid w:val="00957116"/>
    <w:rsid w:val="00957D94"/>
    <w:rsid w:val="00962177"/>
    <w:rsid w:val="009650B2"/>
    <w:rsid w:val="00970FCD"/>
    <w:rsid w:val="009759FF"/>
    <w:rsid w:val="00980E2C"/>
    <w:rsid w:val="009851DE"/>
    <w:rsid w:val="00986AE7"/>
    <w:rsid w:val="0098761C"/>
    <w:rsid w:val="00987D79"/>
    <w:rsid w:val="009914EE"/>
    <w:rsid w:val="009A280F"/>
    <w:rsid w:val="009A40B2"/>
    <w:rsid w:val="009A52F0"/>
    <w:rsid w:val="009A6318"/>
    <w:rsid w:val="009B0716"/>
    <w:rsid w:val="009B30C5"/>
    <w:rsid w:val="009C1674"/>
    <w:rsid w:val="009C285D"/>
    <w:rsid w:val="009C352D"/>
    <w:rsid w:val="009C6B38"/>
    <w:rsid w:val="009E0B2E"/>
    <w:rsid w:val="009E1F69"/>
    <w:rsid w:val="009E3D0A"/>
    <w:rsid w:val="009F129F"/>
    <w:rsid w:val="009F35CE"/>
    <w:rsid w:val="009F3F7A"/>
    <w:rsid w:val="009F50D7"/>
    <w:rsid w:val="00A01C44"/>
    <w:rsid w:val="00A06C59"/>
    <w:rsid w:val="00A104AC"/>
    <w:rsid w:val="00A12A24"/>
    <w:rsid w:val="00A1357E"/>
    <w:rsid w:val="00A151B4"/>
    <w:rsid w:val="00A27845"/>
    <w:rsid w:val="00A32A4E"/>
    <w:rsid w:val="00A368B5"/>
    <w:rsid w:val="00A41569"/>
    <w:rsid w:val="00A4309E"/>
    <w:rsid w:val="00A43F6E"/>
    <w:rsid w:val="00A45C93"/>
    <w:rsid w:val="00A61F94"/>
    <w:rsid w:val="00A634B6"/>
    <w:rsid w:val="00A65BC6"/>
    <w:rsid w:val="00A66771"/>
    <w:rsid w:val="00A7516B"/>
    <w:rsid w:val="00A81C1D"/>
    <w:rsid w:val="00A83369"/>
    <w:rsid w:val="00A86E33"/>
    <w:rsid w:val="00A879AC"/>
    <w:rsid w:val="00A90AAA"/>
    <w:rsid w:val="00A91373"/>
    <w:rsid w:val="00A94CB1"/>
    <w:rsid w:val="00A97E9F"/>
    <w:rsid w:val="00AA1B7E"/>
    <w:rsid w:val="00AA672C"/>
    <w:rsid w:val="00AB6AB7"/>
    <w:rsid w:val="00AC00B1"/>
    <w:rsid w:val="00AC171B"/>
    <w:rsid w:val="00AC4C71"/>
    <w:rsid w:val="00AC723C"/>
    <w:rsid w:val="00AD0D9F"/>
    <w:rsid w:val="00AD6C1E"/>
    <w:rsid w:val="00AE10A0"/>
    <w:rsid w:val="00AE14B5"/>
    <w:rsid w:val="00AE4308"/>
    <w:rsid w:val="00AE4ABA"/>
    <w:rsid w:val="00AE5008"/>
    <w:rsid w:val="00AE567E"/>
    <w:rsid w:val="00AF022E"/>
    <w:rsid w:val="00AF0B80"/>
    <w:rsid w:val="00AF529C"/>
    <w:rsid w:val="00AF59C3"/>
    <w:rsid w:val="00AF705D"/>
    <w:rsid w:val="00AF74EF"/>
    <w:rsid w:val="00B004D1"/>
    <w:rsid w:val="00B01D73"/>
    <w:rsid w:val="00B0329D"/>
    <w:rsid w:val="00B067B3"/>
    <w:rsid w:val="00B07349"/>
    <w:rsid w:val="00B07A66"/>
    <w:rsid w:val="00B114DE"/>
    <w:rsid w:val="00B23109"/>
    <w:rsid w:val="00B2704D"/>
    <w:rsid w:val="00B30CC9"/>
    <w:rsid w:val="00B33DBA"/>
    <w:rsid w:val="00B35F07"/>
    <w:rsid w:val="00B375BE"/>
    <w:rsid w:val="00B427DB"/>
    <w:rsid w:val="00B43A5B"/>
    <w:rsid w:val="00B443AA"/>
    <w:rsid w:val="00B44D58"/>
    <w:rsid w:val="00B6069A"/>
    <w:rsid w:val="00B631E4"/>
    <w:rsid w:val="00B63B71"/>
    <w:rsid w:val="00B72645"/>
    <w:rsid w:val="00B72CBA"/>
    <w:rsid w:val="00B72DE8"/>
    <w:rsid w:val="00B731FD"/>
    <w:rsid w:val="00B76EEB"/>
    <w:rsid w:val="00B77DFA"/>
    <w:rsid w:val="00B80E9A"/>
    <w:rsid w:val="00B862F7"/>
    <w:rsid w:val="00B86EE8"/>
    <w:rsid w:val="00B91930"/>
    <w:rsid w:val="00B9615D"/>
    <w:rsid w:val="00B97825"/>
    <w:rsid w:val="00BA2052"/>
    <w:rsid w:val="00BB1817"/>
    <w:rsid w:val="00BB6FCC"/>
    <w:rsid w:val="00BC3676"/>
    <w:rsid w:val="00BD020B"/>
    <w:rsid w:val="00BD1050"/>
    <w:rsid w:val="00BD458F"/>
    <w:rsid w:val="00BD6826"/>
    <w:rsid w:val="00BE71AD"/>
    <w:rsid w:val="00BF4259"/>
    <w:rsid w:val="00BF67BA"/>
    <w:rsid w:val="00BF7320"/>
    <w:rsid w:val="00C10F51"/>
    <w:rsid w:val="00C10F55"/>
    <w:rsid w:val="00C14887"/>
    <w:rsid w:val="00C16450"/>
    <w:rsid w:val="00C20F13"/>
    <w:rsid w:val="00C24141"/>
    <w:rsid w:val="00C25114"/>
    <w:rsid w:val="00C26B49"/>
    <w:rsid w:val="00C27EE9"/>
    <w:rsid w:val="00C30336"/>
    <w:rsid w:val="00C346C0"/>
    <w:rsid w:val="00C3600A"/>
    <w:rsid w:val="00C41DC2"/>
    <w:rsid w:val="00C467C2"/>
    <w:rsid w:val="00C46DA2"/>
    <w:rsid w:val="00C51167"/>
    <w:rsid w:val="00C53077"/>
    <w:rsid w:val="00C614B0"/>
    <w:rsid w:val="00C634C2"/>
    <w:rsid w:val="00C64072"/>
    <w:rsid w:val="00C663EC"/>
    <w:rsid w:val="00C664EC"/>
    <w:rsid w:val="00C667C2"/>
    <w:rsid w:val="00C70B9F"/>
    <w:rsid w:val="00C72982"/>
    <w:rsid w:val="00C75949"/>
    <w:rsid w:val="00C75EB9"/>
    <w:rsid w:val="00C77A83"/>
    <w:rsid w:val="00C85145"/>
    <w:rsid w:val="00C9212F"/>
    <w:rsid w:val="00C94E0F"/>
    <w:rsid w:val="00C955B4"/>
    <w:rsid w:val="00C96C88"/>
    <w:rsid w:val="00C978A9"/>
    <w:rsid w:val="00C97A2D"/>
    <w:rsid w:val="00CA1641"/>
    <w:rsid w:val="00CA393F"/>
    <w:rsid w:val="00CA41CB"/>
    <w:rsid w:val="00CB0D63"/>
    <w:rsid w:val="00CB3AB0"/>
    <w:rsid w:val="00CC2062"/>
    <w:rsid w:val="00CC24D7"/>
    <w:rsid w:val="00CC42DC"/>
    <w:rsid w:val="00CC4795"/>
    <w:rsid w:val="00CD056E"/>
    <w:rsid w:val="00CD311A"/>
    <w:rsid w:val="00CD3CD1"/>
    <w:rsid w:val="00CD4E9A"/>
    <w:rsid w:val="00CD7D4D"/>
    <w:rsid w:val="00CE4F3F"/>
    <w:rsid w:val="00D02F62"/>
    <w:rsid w:val="00D1228B"/>
    <w:rsid w:val="00D13DC4"/>
    <w:rsid w:val="00D16F0B"/>
    <w:rsid w:val="00D17BF4"/>
    <w:rsid w:val="00D21913"/>
    <w:rsid w:val="00D21A53"/>
    <w:rsid w:val="00D2282D"/>
    <w:rsid w:val="00D2749B"/>
    <w:rsid w:val="00D434E9"/>
    <w:rsid w:val="00D452C2"/>
    <w:rsid w:val="00D45C6C"/>
    <w:rsid w:val="00D51159"/>
    <w:rsid w:val="00D5203B"/>
    <w:rsid w:val="00D52D73"/>
    <w:rsid w:val="00D55910"/>
    <w:rsid w:val="00D57716"/>
    <w:rsid w:val="00D57ABE"/>
    <w:rsid w:val="00D63188"/>
    <w:rsid w:val="00D63BDC"/>
    <w:rsid w:val="00D64A25"/>
    <w:rsid w:val="00D66440"/>
    <w:rsid w:val="00D778CD"/>
    <w:rsid w:val="00D80410"/>
    <w:rsid w:val="00D8413C"/>
    <w:rsid w:val="00D879C4"/>
    <w:rsid w:val="00D906A2"/>
    <w:rsid w:val="00D92C96"/>
    <w:rsid w:val="00D9320E"/>
    <w:rsid w:val="00D94C88"/>
    <w:rsid w:val="00DA6708"/>
    <w:rsid w:val="00DB1BCD"/>
    <w:rsid w:val="00DB2BA4"/>
    <w:rsid w:val="00DB474A"/>
    <w:rsid w:val="00DB5298"/>
    <w:rsid w:val="00DC069D"/>
    <w:rsid w:val="00DC077E"/>
    <w:rsid w:val="00DC12F4"/>
    <w:rsid w:val="00DC2960"/>
    <w:rsid w:val="00DE0ED9"/>
    <w:rsid w:val="00DE14DA"/>
    <w:rsid w:val="00DE24B4"/>
    <w:rsid w:val="00DE414D"/>
    <w:rsid w:val="00DE451F"/>
    <w:rsid w:val="00DE5592"/>
    <w:rsid w:val="00DE5945"/>
    <w:rsid w:val="00DE67C7"/>
    <w:rsid w:val="00DF2BAF"/>
    <w:rsid w:val="00DF2EC9"/>
    <w:rsid w:val="00E020DB"/>
    <w:rsid w:val="00E055E2"/>
    <w:rsid w:val="00E05D46"/>
    <w:rsid w:val="00E06987"/>
    <w:rsid w:val="00E11823"/>
    <w:rsid w:val="00E12F66"/>
    <w:rsid w:val="00E20AAA"/>
    <w:rsid w:val="00E23CE9"/>
    <w:rsid w:val="00E244D4"/>
    <w:rsid w:val="00E327F5"/>
    <w:rsid w:val="00E33D21"/>
    <w:rsid w:val="00E42D19"/>
    <w:rsid w:val="00E435B4"/>
    <w:rsid w:val="00E43C8E"/>
    <w:rsid w:val="00E44935"/>
    <w:rsid w:val="00E44BB5"/>
    <w:rsid w:val="00E44E06"/>
    <w:rsid w:val="00E4568A"/>
    <w:rsid w:val="00E4579F"/>
    <w:rsid w:val="00E46048"/>
    <w:rsid w:val="00E47F31"/>
    <w:rsid w:val="00E53A78"/>
    <w:rsid w:val="00E603A5"/>
    <w:rsid w:val="00E606F4"/>
    <w:rsid w:val="00E62B1E"/>
    <w:rsid w:val="00E633A4"/>
    <w:rsid w:val="00E6373A"/>
    <w:rsid w:val="00E670BF"/>
    <w:rsid w:val="00E71754"/>
    <w:rsid w:val="00E731FC"/>
    <w:rsid w:val="00E7694D"/>
    <w:rsid w:val="00E81EAA"/>
    <w:rsid w:val="00E8427C"/>
    <w:rsid w:val="00E86634"/>
    <w:rsid w:val="00E869D5"/>
    <w:rsid w:val="00E872DA"/>
    <w:rsid w:val="00E93EFC"/>
    <w:rsid w:val="00E94A4D"/>
    <w:rsid w:val="00E95D23"/>
    <w:rsid w:val="00EA2238"/>
    <w:rsid w:val="00EA3FE7"/>
    <w:rsid w:val="00EB152D"/>
    <w:rsid w:val="00EB29A1"/>
    <w:rsid w:val="00EC69A8"/>
    <w:rsid w:val="00EC7704"/>
    <w:rsid w:val="00EC7B5B"/>
    <w:rsid w:val="00ED05AC"/>
    <w:rsid w:val="00ED12D4"/>
    <w:rsid w:val="00ED2585"/>
    <w:rsid w:val="00ED52B1"/>
    <w:rsid w:val="00EE22FD"/>
    <w:rsid w:val="00EE46A8"/>
    <w:rsid w:val="00EE5031"/>
    <w:rsid w:val="00F022CD"/>
    <w:rsid w:val="00F05203"/>
    <w:rsid w:val="00F05B8A"/>
    <w:rsid w:val="00F05DC1"/>
    <w:rsid w:val="00F11007"/>
    <w:rsid w:val="00F113D2"/>
    <w:rsid w:val="00F166B3"/>
    <w:rsid w:val="00F168F2"/>
    <w:rsid w:val="00F209B4"/>
    <w:rsid w:val="00F230BA"/>
    <w:rsid w:val="00F25998"/>
    <w:rsid w:val="00F26567"/>
    <w:rsid w:val="00F3281D"/>
    <w:rsid w:val="00F33EC0"/>
    <w:rsid w:val="00F34AB3"/>
    <w:rsid w:val="00F35EC7"/>
    <w:rsid w:val="00F36143"/>
    <w:rsid w:val="00F408EE"/>
    <w:rsid w:val="00F41298"/>
    <w:rsid w:val="00F41EB1"/>
    <w:rsid w:val="00F44157"/>
    <w:rsid w:val="00F472D1"/>
    <w:rsid w:val="00F52583"/>
    <w:rsid w:val="00F54DF1"/>
    <w:rsid w:val="00F6100B"/>
    <w:rsid w:val="00F633A8"/>
    <w:rsid w:val="00F63B15"/>
    <w:rsid w:val="00F70971"/>
    <w:rsid w:val="00F709D7"/>
    <w:rsid w:val="00F717DE"/>
    <w:rsid w:val="00F71CC1"/>
    <w:rsid w:val="00F74E32"/>
    <w:rsid w:val="00F7621D"/>
    <w:rsid w:val="00F76602"/>
    <w:rsid w:val="00F76EA0"/>
    <w:rsid w:val="00F847FB"/>
    <w:rsid w:val="00F915D9"/>
    <w:rsid w:val="00F934FE"/>
    <w:rsid w:val="00F93A04"/>
    <w:rsid w:val="00F975C6"/>
    <w:rsid w:val="00FA005F"/>
    <w:rsid w:val="00FB2F94"/>
    <w:rsid w:val="00FB79E1"/>
    <w:rsid w:val="00FC148A"/>
    <w:rsid w:val="00FC1870"/>
    <w:rsid w:val="00FC2D01"/>
    <w:rsid w:val="00FC4AF7"/>
    <w:rsid w:val="00FC7162"/>
    <w:rsid w:val="00FC7E45"/>
    <w:rsid w:val="00FD4583"/>
    <w:rsid w:val="00FD528C"/>
    <w:rsid w:val="00FF38D5"/>
    <w:rsid w:val="0381249F"/>
    <w:rsid w:val="0446884F"/>
    <w:rsid w:val="07009665"/>
    <w:rsid w:val="09202F45"/>
    <w:rsid w:val="098C4095"/>
    <w:rsid w:val="0B730E27"/>
    <w:rsid w:val="0EE4E124"/>
    <w:rsid w:val="108491FE"/>
    <w:rsid w:val="1129DEA5"/>
    <w:rsid w:val="1291B327"/>
    <w:rsid w:val="14C5E9B6"/>
    <w:rsid w:val="180A40E9"/>
    <w:rsid w:val="1882A50B"/>
    <w:rsid w:val="1A54B3E5"/>
    <w:rsid w:val="1AE12483"/>
    <w:rsid w:val="1B14636E"/>
    <w:rsid w:val="1BA68833"/>
    <w:rsid w:val="1C360531"/>
    <w:rsid w:val="21A75428"/>
    <w:rsid w:val="23064CF6"/>
    <w:rsid w:val="26E501EB"/>
    <w:rsid w:val="272D02D9"/>
    <w:rsid w:val="2776FEEC"/>
    <w:rsid w:val="278C1056"/>
    <w:rsid w:val="28885A30"/>
    <w:rsid w:val="29A3EDEB"/>
    <w:rsid w:val="29B89E0D"/>
    <w:rsid w:val="2A1646D5"/>
    <w:rsid w:val="2A30E87E"/>
    <w:rsid w:val="2C0E9596"/>
    <w:rsid w:val="2D5D4FAC"/>
    <w:rsid w:val="2F33DBCF"/>
    <w:rsid w:val="30161A6C"/>
    <w:rsid w:val="3178B81C"/>
    <w:rsid w:val="33309203"/>
    <w:rsid w:val="340A89C2"/>
    <w:rsid w:val="352CDDCE"/>
    <w:rsid w:val="3571B19C"/>
    <w:rsid w:val="35CFB34A"/>
    <w:rsid w:val="35F2417E"/>
    <w:rsid w:val="364C89B7"/>
    <w:rsid w:val="3A143F5C"/>
    <w:rsid w:val="3F997CD1"/>
    <w:rsid w:val="421E125F"/>
    <w:rsid w:val="42675513"/>
    <w:rsid w:val="44032574"/>
    <w:rsid w:val="44BD4F90"/>
    <w:rsid w:val="45036321"/>
    <w:rsid w:val="4947F390"/>
    <w:rsid w:val="49F916B4"/>
    <w:rsid w:val="4B4646D4"/>
    <w:rsid w:val="4BC9A824"/>
    <w:rsid w:val="4DCF8998"/>
    <w:rsid w:val="4DE0B26A"/>
    <w:rsid w:val="4F4BCC68"/>
    <w:rsid w:val="5018931C"/>
    <w:rsid w:val="515FCF10"/>
    <w:rsid w:val="51D34F15"/>
    <w:rsid w:val="5A40D14C"/>
    <w:rsid w:val="5A7F7709"/>
    <w:rsid w:val="5D0760AD"/>
    <w:rsid w:val="5D4ADD14"/>
    <w:rsid w:val="5DB8FA59"/>
    <w:rsid w:val="5E5C281F"/>
    <w:rsid w:val="5E5E4998"/>
    <w:rsid w:val="5EBEC869"/>
    <w:rsid w:val="5F96A869"/>
    <w:rsid w:val="5FB01B4B"/>
    <w:rsid w:val="607CAC5E"/>
    <w:rsid w:val="61C333F3"/>
    <w:rsid w:val="63550EE0"/>
    <w:rsid w:val="63F18B68"/>
    <w:rsid w:val="654DCF9D"/>
    <w:rsid w:val="65DB2F08"/>
    <w:rsid w:val="67AF03AE"/>
    <w:rsid w:val="68539F92"/>
    <w:rsid w:val="6AB033C2"/>
    <w:rsid w:val="6B07AAF3"/>
    <w:rsid w:val="6B969F64"/>
    <w:rsid w:val="6C5C0314"/>
    <w:rsid w:val="6D744C7C"/>
    <w:rsid w:val="6D7E5720"/>
    <w:rsid w:val="7301C337"/>
    <w:rsid w:val="738888EC"/>
    <w:rsid w:val="748A152C"/>
    <w:rsid w:val="75269E66"/>
    <w:rsid w:val="75E2430A"/>
    <w:rsid w:val="765DAACD"/>
    <w:rsid w:val="76F1C50F"/>
    <w:rsid w:val="7705B3B8"/>
    <w:rsid w:val="77BB08C4"/>
    <w:rsid w:val="77CB29B6"/>
    <w:rsid w:val="77E27DBA"/>
    <w:rsid w:val="798239CD"/>
    <w:rsid w:val="7AE107E8"/>
    <w:rsid w:val="7B02CA78"/>
    <w:rsid w:val="7CFDA28E"/>
    <w:rsid w:val="7D7147E9"/>
    <w:rsid w:val="7D99B49E"/>
    <w:rsid w:val="7F0F0392"/>
    <w:rsid w:val="7FB5BB8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6F70C3F"/>
  <w15:chartTrackingRefBased/>
  <w15:docId w15:val="{25FBF6E6-E75E-4B6D-A473-1E19FC0C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4F6"/>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34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4F6"/>
    <w:rPr>
      <w:rFonts w:ascii="Segoe UI" w:hAnsi="Segoe UI" w:cs="Segoe UI"/>
      <w:sz w:val="18"/>
      <w:szCs w:val="18"/>
    </w:rPr>
  </w:style>
  <w:style w:type="paragraph" w:styleId="ListParagraph">
    <w:name w:val="List Paragraph"/>
    <w:basedOn w:val="Normal"/>
    <w:uiPriority w:val="34"/>
    <w:qFormat/>
    <w:rsid w:val="00795159"/>
    <w:pPr>
      <w:ind w:left="720"/>
      <w:contextualSpacing/>
    </w:pPr>
  </w:style>
  <w:style w:type="character" w:styleId="CommentReference">
    <w:name w:val="annotation reference"/>
    <w:basedOn w:val="DefaultParagraphFont"/>
    <w:uiPriority w:val="99"/>
    <w:semiHidden/>
    <w:unhideWhenUsed/>
    <w:rsid w:val="001F106B"/>
    <w:rPr>
      <w:sz w:val="16"/>
      <w:szCs w:val="16"/>
    </w:rPr>
  </w:style>
  <w:style w:type="paragraph" w:styleId="CommentText">
    <w:name w:val="annotation text"/>
    <w:basedOn w:val="Normal"/>
    <w:link w:val="CommentTextChar"/>
    <w:uiPriority w:val="99"/>
    <w:semiHidden/>
    <w:unhideWhenUsed/>
    <w:rsid w:val="001F106B"/>
    <w:rPr>
      <w:sz w:val="20"/>
      <w:szCs w:val="20"/>
    </w:rPr>
  </w:style>
  <w:style w:type="character" w:customStyle="1" w:styleId="CommentTextChar">
    <w:name w:val="Comment Text Char"/>
    <w:basedOn w:val="DefaultParagraphFont"/>
    <w:link w:val="CommentText"/>
    <w:uiPriority w:val="99"/>
    <w:semiHidden/>
    <w:rsid w:val="001F106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F106B"/>
    <w:rPr>
      <w:b/>
      <w:bCs/>
    </w:rPr>
  </w:style>
  <w:style w:type="character" w:customStyle="1" w:styleId="CommentSubjectChar">
    <w:name w:val="Comment Subject Char"/>
    <w:basedOn w:val="CommentTextChar"/>
    <w:link w:val="CommentSubject"/>
    <w:uiPriority w:val="99"/>
    <w:semiHidden/>
    <w:rsid w:val="001F106B"/>
    <w:rPr>
      <w:rFonts w:ascii="Times New Roman" w:hAnsi="Times New Roman"/>
      <w:b/>
      <w:bCs/>
      <w:sz w:val="20"/>
      <w:szCs w:val="20"/>
    </w:rPr>
  </w:style>
  <w:style w:type="character" w:customStyle="1" w:styleId="normaltextrun">
    <w:name w:val="normaltextrun"/>
    <w:basedOn w:val="DefaultParagraphFont"/>
    <w:rsid w:val="00A1357E"/>
  </w:style>
  <w:style w:type="character" w:customStyle="1" w:styleId="eop">
    <w:name w:val="eop"/>
    <w:basedOn w:val="DefaultParagraphFont"/>
    <w:rsid w:val="00A1357E"/>
  </w:style>
  <w:style w:type="paragraph" w:customStyle="1" w:styleId="Standard">
    <w:name w:val="Standard"/>
    <w:rsid w:val="003166C3"/>
    <w:pPr>
      <w:suppressAutoHyphens/>
      <w:autoSpaceDN w:val="0"/>
      <w:spacing w:after="0" w:line="240" w:lineRule="auto"/>
    </w:pPr>
    <w:rPr>
      <w:rFonts w:ascii="Times New Roman" w:eastAsia="SimSun" w:hAnsi="Times New Roman" w:cs="Mangal"/>
      <w:kern w:val="3"/>
      <w:sz w:val="24"/>
      <w:szCs w:val="24"/>
      <w:lang w:eastAsia="zh-CN" w:bidi="hi-IN"/>
    </w:rPr>
  </w:style>
  <w:style w:type="numbering" w:customStyle="1" w:styleId="WWNum19">
    <w:name w:val="WWNum19"/>
    <w:rsid w:val="003166C3"/>
    <w:pPr>
      <w:numPr>
        <w:numId w:val="6"/>
      </w:numPr>
    </w:pPr>
  </w:style>
  <w:style w:type="numbering" w:customStyle="1" w:styleId="WWNum191">
    <w:name w:val="WWNum191"/>
    <w:rsid w:val="003B425A"/>
  </w:style>
  <w:style w:type="paragraph" w:styleId="Header">
    <w:name w:val="header"/>
    <w:basedOn w:val="Normal"/>
    <w:link w:val="HeaderChar"/>
    <w:uiPriority w:val="99"/>
    <w:unhideWhenUsed/>
    <w:rsid w:val="008E1572"/>
    <w:pPr>
      <w:tabs>
        <w:tab w:val="center" w:pos="4680"/>
        <w:tab w:val="right" w:pos="9360"/>
      </w:tabs>
    </w:pPr>
  </w:style>
  <w:style w:type="character" w:customStyle="1" w:styleId="HeaderChar">
    <w:name w:val="Header Char"/>
    <w:basedOn w:val="DefaultParagraphFont"/>
    <w:link w:val="Header"/>
    <w:uiPriority w:val="99"/>
    <w:rsid w:val="008E1572"/>
    <w:rPr>
      <w:rFonts w:ascii="Times New Roman" w:hAnsi="Times New Roman"/>
      <w:sz w:val="24"/>
    </w:rPr>
  </w:style>
  <w:style w:type="paragraph" w:styleId="Footer">
    <w:name w:val="footer"/>
    <w:basedOn w:val="Normal"/>
    <w:link w:val="FooterChar"/>
    <w:uiPriority w:val="99"/>
    <w:unhideWhenUsed/>
    <w:rsid w:val="008E1572"/>
    <w:pPr>
      <w:tabs>
        <w:tab w:val="center" w:pos="4680"/>
        <w:tab w:val="right" w:pos="9360"/>
      </w:tabs>
    </w:pPr>
  </w:style>
  <w:style w:type="character" w:customStyle="1" w:styleId="FooterChar">
    <w:name w:val="Footer Char"/>
    <w:basedOn w:val="DefaultParagraphFont"/>
    <w:link w:val="Footer"/>
    <w:uiPriority w:val="99"/>
    <w:rsid w:val="008E1572"/>
    <w:rPr>
      <w:rFonts w:ascii="Times New Roman" w:hAnsi="Times New Roman"/>
      <w:sz w:val="24"/>
    </w:rPr>
  </w:style>
  <w:style w:type="numbering" w:customStyle="1" w:styleId="WWNum192">
    <w:name w:val="WWNum192"/>
    <w:rsid w:val="00410048"/>
  </w:style>
  <w:style w:type="character" w:customStyle="1" w:styleId="FootnoteTextChar">
    <w:name w:val="Footnote Text Char"/>
    <w:aliases w:val="Char Char,Char1 Char,Char11 Char,Char2 Char,Char21 Char,Char3 Char,Char4 Char,Char5 Char,Char6 Char,Char7 Char,Footnote Text - Preamble Char,Footnote Text - Preamble1 Char,Footnote Text - Preamble11 Char,Footnote Text - Preamble2 Char"/>
    <w:basedOn w:val="DefaultParagraphFont"/>
    <w:link w:val="FootnoteText"/>
    <w:semiHidden/>
    <w:locked/>
    <w:rsid w:val="00A43F6E"/>
    <w:rPr>
      <w:rFonts w:ascii="Times New Roman" w:hAnsi="Times New Roman" w:cs="Calibri"/>
      <w:sz w:val="20"/>
      <w:szCs w:val="20"/>
    </w:rPr>
  </w:style>
  <w:style w:type="paragraph" w:styleId="FootnoteText">
    <w:name w:val="footnote text"/>
    <w:aliases w:val="Cha,Char,Char1,Char11,Char12,Char2,Char21,Char3,Char4,Char5,Char6,Char7,Footnote Text - Preamble,Footnote Text - Preamble1,Footnote Text - Preamble11,Footnote Text - Preamble2,Footnote Text - Preamble3,Footnote Text - Preamble4"/>
    <w:basedOn w:val="Normal"/>
    <w:link w:val="FootnoteTextChar"/>
    <w:semiHidden/>
    <w:unhideWhenUsed/>
    <w:qFormat/>
    <w:rsid w:val="00A43F6E"/>
    <w:rPr>
      <w:rFonts w:cs="Calibri"/>
      <w:sz w:val="20"/>
      <w:szCs w:val="20"/>
    </w:rPr>
  </w:style>
  <w:style w:type="character" w:customStyle="1" w:styleId="FootnoteTextChar1">
    <w:name w:val="Footnote Text Char1"/>
    <w:basedOn w:val="DefaultParagraphFont"/>
    <w:uiPriority w:val="99"/>
    <w:semiHidden/>
    <w:rsid w:val="00A43F6E"/>
    <w:rPr>
      <w:rFonts w:ascii="Times New Roman" w:hAnsi="Times New Roman"/>
      <w:sz w:val="20"/>
      <w:szCs w:val="20"/>
    </w:rPr>
  </w:style>
  <w:style w:type="character" w:styleId="FootnoteReference">
    <w:name w:val="footnote reference"/>
    <w:basedOn w:val="DefaultParagraphFont"/>
    <w:uiPriority w:val="99"/>
    <w:semiHidden/>
    <w:unhideWhenUsed/>
    <w:rsid w:val="00A43F6E"/>
    <w:rPr>
      <w:vertAlign w:val="superscript"/>
    </w:rPr>
  </w:style>
  <w:style w:type="table" w:styleId="TableGrid">
    <w:name w:val="Table Grid"/>
    <w:basedOn w:val="TableNormal"/>
    <w:uiPriority w:val="39"/>
    <w:rsid w:val="00A43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7B5B"/>
    <w:rPr>
      <w:color w:val="0563C1" w:themeColor="hyperlink"/>
      <w:u w:val="single"/>
    </w:rPr>
  </w:style>
  <w:style w:type="character" w:styleId="UnresolvedMention">
    <w:name w:val="Unresolved Mention"/>
    <w:basedOn w:val="DefaultParagraphFont"/>
    <w:uiPriority w:val="99"/>
    <w:unhideWhenUsed/>
    <w:rsid w:val="00EC7B5B"/>
    <w:rPr>
      <w:color w:val="605E5C"/>
      <w:shd w:val="clear" w:color="auto" w:fill="E1DFDD"/>
    </w:rPr>
  </w:style>
  <w:style w:type="character" w:styleId="Mention">
    <w:name w:val="Mention"/>
    <w:basedOn w:val="DefaultParagraphFont"/>
    <w:uiPriority w:val="99"/>
    <w:unhideWhenUsed/>
    <w:rsid w:val="009914E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opm.gov/policy-data-oversight/pay-leave/salaries-wages/salary-tables/pdf/2022/DCB.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D5A6FCEC7CAE6428412A13C5A7AB639" ma:contentTypeVersion="6" ma:contentTypeDescription="Create a new document." ma:contentTypeScope="" ma:versionID="5ea282f9fd29c16f3b7b9b7a5a9547e3">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6316e08d-59eb-4834-a38a-0b4a1d3a2532" xmlns:ns6="e3b9e024-192f-4b11-811c-3cf166ba4edd" targetNamespace="http://schemas.microsoft.com/office/2006/metadata/properties" ma:root="true" ma:fieldsID="430b01739197fc82af8202a45921d407" ns1:_="" ns2:_="" ns3:_="" ns4:_="" ns5:_="" ns6:_="">
    <xsd:import namespace="http://schemas.microsoft.com/sharepoint/v3"/>
    <xsd:import namespace="4ffa91fb-a0ff-4ac5-b2db-65c790d184a4"/>
    <xsd:import namespace="http://schemas.microsoft.com/sharepoint.v3"/>
    <xsd:import namespace="http://schemas.microsoft.com/sharepoint/v3/fields"/>
    <xsd:import namespace="6316e08d-59eb-4834-a38a-0b4a1d3a2532"/>
    <xsd:import namespace="e3b9e024-192f-4b11-811c-3cf166ba4edd"/>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4dc3375c-f01e-40fd-817e-95909d6afc3b}" ma:internalName="TaxCatchAllLabel" ma:readOnly="true" ma:showField="CatchAllDataLabel" ma:web="e3b9e024-192f-4b11-811c-3cf166ba4edd">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4dc3375c-f01e-40fd-817e-95909d6afc3b}" ma:internalName="TaxCatchAll" ma:showField="CatchAllData" ma:web="e3b9e024-192f-4b11-811c-3cf166ba4e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16e08d-59eb-4834-a38a-0b4a1d3a253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b9e024-192f-4b11-811c-3cf166ba4edd"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2021-05-04T21:20:06+00:00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e3b9e024-192f-4b11-811c-3cf166ba4edd">
      <UserInfo>
        <DisplayName>Borgert, Kyle</DisplayName>
        <AccountId>25</AccountId>
        <AccountType/>
      </UserInfo>
    </SharedWithUsers>
  </documentManagement>
</p:properties>
</file>

<file path=customXml/itemProps1.xml><?xml version="1.0" encoding="utf-8"?>
<ds:datastoreItem xmlns:ds="http://schemas.openxmlformats.org/officeDocument/2006/customXml" ds:itemID="{6E21B636-6C6B-412E-BC17-032CEF22F8F0}">
  <ds:schemaRefs>
    <ds:schemaRef ds:uri="http://schemas.openxmlformats.org/officeDocument/2006/bibliography"/>
  </ds:schemaRefs>
</ds:datastoreItem>
</file>

<file path=customXml/itemProps2.xml><?xml version="1.0" encoding="utf-8"?>
<ds:datastoreItem xmlns:ds="http://schemas.openxmlformats.org/officeDocument/2006/customXml" ds:itemID="{3627F153-8794-4487-A7C2-0C003160D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6316e08d-59eb-4834-a38a-0b4a1d3a2532"/>
    <ds:schemaRef ds:uri="e3b9e024-192f-4b11-811c-3cf166ba4e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2F7CD8-6B44-4D0E-B450-3780DCAE5182}">
  <ds:schemaRefs>
    <ds:schemaRef ds:uri="Microsoft.SharePoint.Taxonomy.ContentTypeSync"/>
  </ds:schemaRefs>
</ds:datastoreItem>
</file>

<file path=customXml/itemProps4.xml><?xml version="1.0" encoding="utf-8"?>
<ds:datastoreItem xmlns:ds="http://schemas.openxmlformats.org/officeDocument/2006/customXml" ds:itemID="{6BF0F9D9-78F9-46C3-A69D-9569CB0A650E}">
  <ds:schemaRefs>
    <ds:schemaRef ds:uri="http://schemas.microsoft.com/sharepoint/v3/contenttype/forms"/>
  </ds:schemaRefs>
</ds:datastoreItem>
</file>

<file path=customXml/itemProps5.xml><?xml version="1.0" encoding="utf-8"?>
<ds:datastoreItem xmlns:ds="http://schemas.openxmlformats.org/officeDocument/2006/customXml" ds:itemID="{004DE3C0-0013-48DE-85D0-84FCC290C6A6}">
  <ds:schemaRefs>
    <ds:schemaRef ds:uri="6316e08d-59eb-4834-a38a-0b4a1d3a2532"/>
    <ds:schemaRef ds:uri="http://schemas.microsoft.com/sharepoint/v3"/>
    <ds:schemaRef ds:uri="4ffa91fb-a0ff-4ac5-b2db-65c790d184a4"/>
    <ds:schemaRef ds:uri="http://schemas.microsoft.com/sharepoint.v3"/>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dcmitype/"/>
    <ds:schemaRef ds:uri="e3b9e024-192f-4b11-811c-3cf166ba4edd"/>
    <ds:schemaRef ds:uri="http://schemas.microsoft.com/sharepoint/v3/field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1225</TotalTime>
  <Pages>12</Pages>
  <Words>4234</Words>
  <Characters>24134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Pastorkovich, Anne-Marie</dc:creator>
  <cp:lastModifiedBy>Pastorkovich, Anne-Marie</cp:lastModifiedBy>
  <cp:revision>265</cp:revision>
  <dcterms:created xsi:type="dcterms:W3CDTF">2022-07-07T20:28:00Z</dcterms:created>
  <dcterms:modified xsi:type="dcterms:W3CDTF">2022-12-01T19:59:00Z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0x0101007D5A6FCEC7CAE6428412A13C5A7AB639</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EPA_x0020_Subject">
    <vt:lpwstr/>
  </property>
  <property fmtid="{D5CDD505-2E9C-101B-9397-08002B2CF9AE}" pid="7" name="TaxKeyword">
    <vt:lpwstr/>
  </property>
</Properties>
</file>