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72C5" w:rsidRPr="004772C5" w:rsidP="0469BADE" w14:paraId="5A9EF9E2" w14:textId="0F7E71FE">
      <w:pPr>
        <w:spacing w:after="100" w:afterAutospacing="1"/>
        <w:jc w:val="center"/>
        <w:rPr>
          <w:b/>
          <w:bCs/>
        </w:rPr>
      </w:pPr>
      <w:r w:rsidRPr="0469BADE">
        <w:rPr>
          <w:b/>
          <w:bCs/>
        </w:rPr>
        <w:t xml:space="preserve">Supporting Statement for </w:t>
      </w:r>
      <w:r w:rsidRPr="0469BADE" w:rsidR="006B4EA2">
        <w:rPr>
          <w:b/>
          <w:bCs/>
        </w:rPr>
        <w:t>Renewable Fuel Standard (RFS) Program: Standards for 2023-2025 and Other Changes (</w:t>
      </w:r>
      <w:r w:rsidRPr="0469BADE" w:rsidR="2934F8C7">
        <w:rPr>
          <w:b/>
          <w:bCs/>
        </w:rPr>
        <w:t xml:space="preserve">Final </w:t>
      </w:r>
      <w:r w:rsidRPr="0469BADE" w:rsidR="006B4EA2">
        <w:rPr>
          <w:b/>
          <w:bCs/>
        </w:rPr>
        <w:t xml:space="preserve"> Rule)</w:t>
      </w:r>
    </w:p>
    <w:p w:rsidR="00590EB4" w:rsidP="00590EB4" w14:paraId="7F380508" w14:textId="77777777">
      <w:pPr>
        <w:outlineLvl w:val="0"/>
        <w:rPr>
          <w:b/>
        </w:rPr>
      </w:pPr>
      <w:r>
        <w:rPr>
          <w:b/>
        </w:rPr>
        <w:t>1.</w:t>
      </w:r>
      <w:r>
        <w:rPr>
          <w:b/>
        </w:rPr>
        <w:tab/>
      </w:r>
      <w:r>
        <w:rPr>
          <w:b/>
          <w:u w:val="single"/>
        </w:rPr>
        <w:t>Identification of the Information Collection</w:t>
      </w:r>
    </w:p>
    <w:p w:rsidR="00590EB4" w:rsidP="00590EB4" w14:paraId="2325FD98" w14:textId="77777777">
      <w:pPr>
        <w:rPr>
          <w:b/>
        </w:rPr>
      </w:pPr>
    </w:p>
    <w:p w:rsidR="00590EB4" w:rsidP="00590EB4" w14:paraId="037E6319" w14:textId="77777777">
      <w:pPr>
        <w:ind w:firstLine="720"/>
        <w:outlineLvl w:val="1"/>
        <w:rPr>
          <w:b/>
        </w:rPr>
      </w:pPr>
      <w:r>
        <w:rPr>
          <w:b/>
        </w:rPr>
        <w:t>1(a)</w:t>
      </w:r>
      <w:r>
        <w:rPr>
          <w:b/>
        </w:rPr>
        <w:tab/>
        <w:t>Title of the Information Collection</w:t>
      </w:r>
    </w:p>
    <w:p w:rsidR="00590EB4" w:rsidP="00590EB4" w14:paraId="22AC765F" w14:textId="77777777">
      <w:pPr>
        <w:ind w:firstLine="720"/>
      </w:pPr>
    </w:p>
    <w:p w:rsidR="00590EB4" w:rsidP="00590EB4" w14:paraId="4D45EE81" w14:textId="1B3C8DE6">
      <w:pPr>
        <w:ind w:firstLine="720"/>
      </w:pPr>
      <w:r>
        <w:t>Renewable Fuel Standard (RFS) Program: Standards for 2023-2025 and Other Changes (</w:t>
      </w:r>
      <w:r w:rsidR="00770005">
        <w:t xml:space="preserve">Final </w:t>
      </w:r>
      <w:r>
        <w:t>Rule)</w:t>
      </w:r>
      <w:r w:rsidR="00306CDD">
        <w:t xml:space="preserve">, </w:t>
      </w:r>
      <w:r>
        <w:t xml:space="preserve">EPA ICR No. </w:t>
      </w:r>
      <w:r w:rsidRPr="0469BADE" w:rsidR="00CC2062">
        <w:rPr>
          <w:rFonts w:cs="Times New Roman"/>
          <w:color w:val="000000" w:themeColor="text1"/>
        </w:rPr>
        <w:t>2</w:t>
      </w:r>
      <w:r w:rsidRPr="0469BADE">
        <w:rPr>
          <w:rFonts w:cs="Times New Roman"/>
          <w:color w:val="000000" w:themeColor="text1"/>
        </w:rPr>
        <w:t>722</w:t>
      </w:r>
      <w:r w:rsidRPr="0469BADE">
        <w:rPr>
          <w:rFonts w:cs="Times New Roman"/>
          <w:color w:val="000000" w:themeColor="text1"/>
        </w:rPr>
        <w:t>.0</w:t>
      </w:r>
      <w:r w:rsidRPr="0469BADE" w:rsidR="43800B82">
        <w:rPr>
          <w:rFonts w:cs="Times New Roman"/>
          <w:color w:val="000000" w:themeColor="text1"/>
        </w:rPr>
        <w:t>2</w:t>
      </w:r>
      <w:r>
        <w:t>, OMB Control Number 2060-NEW.</w:t>
      </w:r>
    </w:p>
    <w:p w:rsidR="00590EB4" w:rsidP="00590EB4" w14:paraId="0EDBBC75" w14:textId="77777777">
      <w:pPr>
        <w:ind w:firstLine="720"/>
      </w:pPr>
      <w:r>
        <w:t xml:space="preserve"> </w:t>
      </w:r>
    </w:p>
    <w:p w:rsidR="2A1646D5" w:rsidP="004772C5" w14:paraId="79D6A582" w14:textId="54A961CD">
      <w:pPr>
        <w:spacing w:after="100" w:afterAutospacing="1"/>
        <w:ind w:firstLine="720"/>
        <w:rPr>
          <w:rFonts w:eastAsia="Calibri" w:cs="Arial"/>
          <w:b/>
          <w:bCs/>
          <w:szCs w:val="24"/>
        </w:rPr>
      </w:pPr>
      <w:r w:rsidRPr="2A1646D5">
        <w:rPr>
          <w:b/>
          <w:bCs/>
        </w:rPr>
        <w:t>1(b)</w:t>
      </w:r>
      <w:r>
        <w:tab/>
      </w:r>
      <w:r w:rsidRPr="2A1646D5">
        <w:rPr>
          <w:b/>
          <w:bCs/>
        </w:rPr>
        <w:t>Short characterization:</w:t>
      </w:r>
      <w:r w:rsidRPr="2A1646D5" w:rsidR="00475142">
        <w:rPr>
          <w:b/>
          <w:bCs/>
        </w:rPr>
        <w:t xml:space="preserve"> </w:t>
      </w:r>
    </w:p>
    <w:p w:rsidR="00AF59B8" w:rsidP="00770005" w14:paraId="47339181" w14:textId="77777777">
      <w:pPr>
        <w:pStyle w:val="paragraph"/>
        <w:spacing w:before="0" w:beforeAutospacing="0" w:after="0" w:afterAutospacing="0"/>
        <w:ind w:firstLine="720"/>
        <w:textAlignment w:val="baseline"/>
        <w:rPr>
          <w:rStyle w:val="eop"/>
          <w:color w:val="000000"/>
        </w:rPr>
      </w:pPr>
      <w:r>
        <w:t xml:space="preserve">This </w:t>
      </w:r>
      <w:r w:rsidR="00770005">
        <w:t>information collection request (</w:t>
      </w:r>
      <w:r w:rsidR="00F44157">
        <w:t>ICR</w:t>
      </w:r>
      <w:r w:rsidR="00770005">
        <w:t>)</w:t>
      </w:r>
      <w:r w:rsidR="00F44157">
        <w:t xml:space="preserve"> is for a </w:t>
      </w:r>
      <w:r w:rsidR="2BF85861">
        <w:t xml:space="preserve">final rule that </w:t>
      </w:r>
      <w:r w:rsidR="00D4758E">
        <w:t xml:space="preserve">establishes volume requirements for 2023-2025 and makes additional </w:t>
      </w:r>
      <w:r w:rsidRPr="00D4758E" w:rsidR="00D4758E">
        <w:t>regulatory changes to assist EPA in implementing the RFS program</w:t>
      </w:r>
      <w:r w:rsidR="002C42AE">
        <w:t xml:space="preserve"> and to implement biogas regulatory reform</w:t>
      </w:r>
      <w:r w:rsidR="00D4758E">
        <w:t xml:space="preserve">. </w:t>
      </w:r>
      <w:r w:rsidR="00770005">
        <w:t xml:space="preserve">The following regulatory changes in the final rule are most relevant to this information collection: </w:t>
      </w:r>
    </w:p>
    <w:p w:rsidR="00770005" w:rsidP="00770005" w14:paraId="3E6C3D48" w14:textId="48157B14">
      <w:pPr>
        <w:pStyle w:val="paragraph"/>
        <w:spacing w:before="0" w:beforeAutospacing="0" w:after="0" w:afterAutospacing="0"/>
        <w:ind w:firstLine="720"/>
        <w:textAlignment w:val="baseline"/>
      </w:pPr>
    </w:p>
    <w:p w:rsidR="00770005" w:rsidP="00A25880" w14:paraId="5977CC78" w14:textId="7E8BBA56">
      <w:pPr>
        <w:pStyle w:val="paragraph"/>
        <w:numPr>
          <w:ilvl w:val="0"/>
          <w:numId w:val="28"/>
        </w:numPr>
        <w:spacing w:before="0" w:beforeAutospacing="0" w:after="0" w:afterAutospacing="0"/>
        <w:textAlignment w:val="baseline"/>
      </w:pPr>
      <w:r>
        <w:rPr>
          <w:rStyle w:val="normaltextrun"/>
          <w:color w:val="000000"/>
        </w:rPr>
        <w:t>Modification of the regulatory provisions for biogas-derived renewable fuels to ensure that biogas is produced from renewable biomass and used as a transportation fuel and to allow for the use of biogas as a biointermediate (“biogas regulatory reform”).</w:t>
      </w:r>
    </w:p>
    <w:p w:rsidR="00770005" w:rsidP="00A25880" w14:paraId="63EC0536" w14:textId="3F3B796C">
      <w:pPr>
        <w:pStyle w:val="paragraph"/>
        <w:numPr>
          <w:ilvl w:val="0"/>
          <w:numId w:val="28"/>
        </w:numPr>
        <w:spacing w:before="0" w:beforeAutospacing="0" w:after="0" w:afterAutospacing="0"/>
        <w:textAlignment w:val="baseline"/>
      </w:pPr>
      <w:r>
        <w:rPr>
          <w:rStyle w:val="normaltextrun"/>
          <w:color w:val="000000"/>
        </w:rPr>
        <w:t xml:space="preserve">Enhancements to the third-party oversight provisions including engineering reviews, the RFS quality assurance program, and annual attest </w:t>
      </w:r>
      <w:r>
        <w:rPr>
          <w:rStyle w:val="contextualspellingandgrammarerror"/>
          <w:color w:val="000000"/>
        </w:rPr>
        <w:t>engagements.</w:t>
      </w:r>
      <w:r>
        <w:rPr>
          <w:rStyle w:val="eop"/>
          <w:color w:val="000000"/>
        </w:rPr>
        <w:t> </w:t>
      </w:r>
    </w:p>
    <w:p w:rsidR="00770005" w:rsidP="00A25880" w14:paraId="771D1146" w14:textId="3409899C">
      <w:pPr>
        <w:pStyle w:val="paragraph"/>
        <w:numPr>
          <w:ilvl w:val="0"/>
          <w:numId w:val="28"/>
        </w:numPr>
        <w:spacing w:before="0" w:beforeAutospacing="0" w:after="0" w:afterAutospacing="0"/>
        <w:textAlignment w:val="baseline"/>
      </w:pPr>
      <w:r>
        <w:rPr>
          <w:rStyle w:val="normaltextrun"/>
        </w:rPr>
        <w:t xml:space="preserve">Alternative recordkeeping for waste </w:t>
      </w:r>
      <w:r>
        <w:rPr>
          <w:rStyle w:val="contextualspellingandgrammarerror"/>
        </w:rPr>
        <w:t xml:space="preserve">feedstocks, including separated food waste (SFW). </w:t>
      </w:r>
    </w:p>
    <w:p w:rsidR="007A0B15" w:rsidP="2187744E" w14:paraId="612C2ECB" w14:textId="77777777">
      <w:pPr>
        <w:tabs>
          <w:tab w:val="left" w:pos="6840"/>
        </w:tabs>
        <w:spacing w:after="100" w:afterAutospacing="1"/>
        <w:ind w:firstLine="720"/>
      </w:pPr>
    </w:p>
    <w:p w:rsidR="00D5203B" w:rsidRPr="002C4DA7" w:rsidP="2187744E" w14:paraId="4B7A3CC3" w14:textId="27FE4866">
      <w:pPr>
        <w:tabs>
          <w:tab w:val="left" w:pos="6840"/>
        </w:tabs>
        <w:spacing w:after="100" w:afterAutospacing="1"/>
        <w:ind w:firstLine="720"/>
      </w:pPr>
      <w:r>
        <w:t>P</w:t>
      </w:r>
      <w:r>
        <w:t>rovisions</w:t>
      </w:r>
      <w:r>
        <w:t xml:space="preserve"> involving the collection of information from respondents</w:t>
      </w:r>
      <w:r>
        <w:t xml:space="preserve"> include registration, </w:t>
      </w:r>
      <w:r w:rsidR="002C42AE">
        <w:t xml:space="preserve">compliance </w:t>
      </w:r>
      <w:r>
        <w:t xml:space="preserve">reporting, product transfer </w:t>
      </w:r>
      <w:r w:rsidR="00B77DFA">
        <w:t>d</w:t>
      </w:r>
      <w:r>
        <w:t xml:space="preserve">ocuments (PTDs), </w:t>
      </w:r>
      <w:r w:rsidR="008B6AA3">
        <w:t>measurement/</w:t>
      </w:r>
      <w:r w:rsidR="002C42AE">
        <w:t xml:space="preserve">testing, </w:t>
      </w:r>
      <w:r>
        <w:t xml:space="preserve">and recordkeeping requirements. </w:t>
      </w:r>
      <w:r w:rsidR="00770005">
        <w:t>The regulations related to this collection are in 40 CFR part 80, subparts E and M; and 40 CFR part 1090.</w:t>
      </w:r>
      <w:r w:rsidR="007F4B08">
        <w:t xml:space="preserve"> This information collection has some relationship to the following existing ICRs: Renewable Fuel Standard Program, OMB Control No. 2060-0725 (expires November 30, 2025); Renewable Fuel Standard (RFS) Program: RFS Final Rules, OMB Control No. 2060-0740 (expires October 31, 2025) [this is the information collection that includes biointermediates</w:t>
      </w:r>
      <w:r w:rsidR="005D578B">
        <w:t xml:space="preserve"> recordkeeping and reporting</w:t>
      </w:r>
      <w:r w:rsidR="007F4B08">
        <w:t>]; Fuels Regulatory Streamlining (Final Rule), OMB Control No. 2060-0731 (expires January 31, 2024</w:t>
      </w:r>
      <w:r w:rsidR="3C24BEF9">
        <w:t>)</w:t>
      </w:r>
      <w:r w:rsidR="007F4B08">
        <w:t xml:space="preserve">. </w:t>
      </w:r>
    </w:p>
    <w:p w:rsidR="2187744E" w:rsidP="2187744E" w14:paraId="161BB4EF" w14:textId="616736E4">
      <w:pPr>
        <w:tabs>
          <w:tab w:val="left" w:pos="6840"/>
        </w:tabs>
        <w:spacing w:afterAutospacing="1"/>
        <w:ind w:firstLine="720"/>
      </w:pPr>
    </w:p>
    <w:p w:rsidR="003166C3" w:rsidP="003166C3" w14:paraId="61101129" w14:textId="77777777">
      <w:pPr>
        <w:pStyle w:val="Standard"/>
        <w:outlineLvl w:val="0"/>
        <w:rPr>
          <w:b/>
          <w:u w:val="single"/>
        </w:rPr>
      </w:pPr>
      <w:r>
        <w:rPr>
          <w:b/>
        </w:rPr>
        <w:t>2.</w:t>
      </w:r>
      <w:r>
        <w:rPr>
          <w:b/>
        </w:rPr>
        <w:tab/>
      </w:r>
      <w:r>
        <w:rPr>
          <w:b/>
          <w:u w:val="single"/>
        </w:rPr>
        <w:t>Need For, and Use of, the Collection</w:t>
      </w:r>
    </w:p>
    <w:p w:rsidR="003166C3" w:rsidP="003166C3" w14:paraId="406F2F55" w14:textId="77777777">
      <w:pPr>
        <w:pStyle w:val="Standard"/>
        <w:ind w:firstLine="720"/>
        <w:rPr>
          <w:b/>
          <w:u w:val="single"/>
        </w:rPr>
      </w:pPr>
    </w:p>
    <w:p w:rsidR="003166C3" w:rsidP="003166C3" w14:paraId="047796C4" w14:textId="77777777">
      <w:pPr>
        <w:pStyle w:val="Standard"/>
        <w:ind w:firstLine="720"/>
        <w:outlineLvl w:val="1"/>
        <w:rPr>
          <w:b/>
        </w:rPr>
      </w:pPr>
      <w:r>
        <w:rPr>
          <w:b/>
        </w:rPr>
        <w:t>2(a)</w:t>
      </w:r>
      <w:r>
        <w:rPr>
          <w:b/>
        </w:rPr>
        <w:tab/>
        <w:t>Authority for the Collection</w:t>
      </w:r>
    </w:p>
    <w:p w:rsidR="003166C3" w:rsidP="003166C3" w14:paraId="7ADF8A3B" w14:textId="77777777">
      <w:pPr>
        <w:pStyle w:val="Standard"/>
        <w:ind w:left="720"/>
      </w:pPr>
    </w:p>
    <w:p w:rsidR="003166C3" w:rsidP="003166C3" w14:paraId="6CC70001" w14:textId="51071238">
      <w:pPr>
        <w:pStyle w:val="Standard"/>
        <w:ind w:firstLine="720"/>
      </w:pPr>
      <w:r>
        <w:t xml:space="preserve">Sections 114 and 208 of the </w:t>
      </w:r>
      <w:r w:rsidR="00475142">
        <w:t>Clean Air Act (</w:t>
      </w:r>
      <w:r>
        <w:t>CAA</w:t>
      </w:r>
      <w:r w:rsidR="00475142">
        <w:t>)</w:t>
      </w:r>
      <w:r>
        <w:t>, 42 U.S.C. §§ 7414 and 7542, authorize EPA to require recordkeeping and reporting regarding enforcement of the provisions of Title II of the CAA.</w:t>
      </w:r>
    </w:p>
    <w:p w:rsidR="003166C3" w:rsidP="003166C3" w14:paraId="295808E5" w14:textId="77777777">
      <w:pPr>
        <w:pStyle w:val="Standard"/>
        <w:ind w:firstLine="720"/>
      </w:pPr>
    </w:p>
    <w:p w:rsidR="003166C3" w:rsidP="003166C3" w14:paraId="315A0DA3" w14:textId="77777777">
      <w:pPr>
        <w:pStyle w:val="Standard"/>
        <w:ind w:firstLine="720"/>
        <w:outlineLvl w:val="1"/>
        <w:rPr>
          <w:b/>
        </w:rPr>
      </w:pPr>
      <w:r>
        <w:rPr>
          <w:b/>
        </w:rPr>
        <w:t>2(b)</w:t>
      </w:r>
      <w:r>
        <w:rPr>
          <w:b/>
        </w:rPr>
        <w:tab/>
        <w:t>Practical Utility/Uses of the Data</w:t>
      </w:r>
    </w:p>
    <w:p w:rsidR="003166C3" w:rsidP="003166C3" w14:paraId="66C9F4E3" w14:textId="77777777">
      <w:pPr>
        <w:pStyle w:val="Standard"/>
        <w:ind w:firstLine="720"/>
      </w:pPr>
    </w:p>
    <w:p w:rsidR="003166C3" w:rsidP="003166C3" w14:paraId="6CC49E06" w14:textId="638938DF">
      <w:pPr>
        <w:pStyle w:val="Standard"/>
        <w:ind w:firstLine="720"/>
      </w:pPr>
      <w:bookmarkStart w:id="0" w:name="_Hlk73611395"/>
      <w:r>
        <w:t xml:space="preserve">The recordkeeping and reporting requirements of this regulation </w:t>
      </w:r>
      <w:r w:rsidR="004D46B5">
        <w:t xml:space="preserve">will </w:t>
      </w:r>
      <w:r>
        <w:t xml:space="preserve">allow EPA to monitor compliance </w:t>
      </w:r>
      <w:r w:rsidR="005A70E0">
        <w:t>under the RFS program</w:t>
      </w:r>
      <w:r w:rsidR="00770005">
        <w:t xml:space="preserve"> and will permit us to implement needed biogas regulatory reform</w:t>
      </w:r>
      <w:r>
        <w:t>.</w:t>
      </w:r>
      <w:r w:rsidR="00E11823">
        <w:t xml:space="preserve"> </w:t>
      </w:r>
    </w:p>
    <w:bookmarkEnd w:id="0"/>
    <w:p w:rsidR="003166C3" w:rsidP="003166C3" w14:paraId="4DEF4C28" w14:textId="77777777">
      <w:pPr>
        <w:ind w:firstLine="720"/>
      </w:pPr>
    </w:p>
    <w:p w:rsidR="003166C3" w:rsidP="003166C3" w14:paraId="70497DA9" w14:textId="77777777">
      <w:pPr>
        <w:pStyle w:val="Standard"/>
        <w:outlineLvl w:val="0"/>
        <w:rPr>
          <w:b/>
        </w:rPr>
      </w:pPr>
      <w:r>
        <w:rPr>
          <w:b/>
        </w:rPr>
        <w:t>3.</w:t>
      </w:r>
      <w:r>
        <w:rPr>
          <w:b/>
        </w:rPr>
        <w:tab/>
      </w:r>
      <w:r>
        <w:rPr>
          <w:b/>
          <w:u w:val="single"/>
        </w:rPr>
        <w:t>Non-duplication, Consultation, and other Collection Criteria</w:t>
      </w:r>
    </w:p>
    <w:p w:rsidR="003166C3" w:rsidP="003166C3" w14:paraId="4E66A226" w14:textId="77777777">
      <w:pPr>
        <w:pStyle w:val="Standard"/>
        <w:ind w:firstLine="720"/>
        <w:rPr>
          <w:b/>
          <w:u w:val="single"/>
        </w:rPr>
      </w:pPr>
    </w:p>
    <w:p w:rsidR="003166C3" w:rsidP="003166C3" w14:paraId="5267590E" w14:textId="77777777">
      <w:pPr>
        <w:pStyle w:val="Standard"/>
        <w:ind w:firstLine="720"/>
        <w:outlineLvl w:val="1"/>
        <w:rPr>
          <w:b/>
        </w:rPr>
      </w:pPr>
      <w:r>
        <w:rPr>
          <w:b/>
        </w:rPr>
        <w:t>3(a)</w:t>
      </w:r>
      <w:r>
        <w:rPr>
          <w:b/>
        </w:rPr>
        <w:tab/>
        <w:t>Non-duplication</w:t>
      </w:r>
    </w:p>
    <w:p w:rsidR="003166C3" w:rsidP="003166C3" w14:paraId="61D05257" w14:textId="77777777">
      <w:pPr>
        <w:pStyle w:val="Standard"/>
        <w:ind w:firstLine="720"/>
      </w:pPr>
    </w:p>
    <w:p w:rsidR="003166C3" w:rsidP="003166C3" w14:paraId="0FF3AECC" w14:textId="0F9C0FDF">
      <w:pPr>
        <w:pStyle w:val="Standard"/>
        <w:ind w:firstLine="720"/>
      </w:pPr>
      <w:r>
        <w:t>Efforts have been made to eliminate duplication in this information collection</w:t>
      </w:r>
      <w:r w:rsidR="001D76AF">
        <w:t xml:space="preserve"> and </w:t>
      </w:r>
      <w:r w:rsidR="00836953">
        <w:t xml:space="preserve">EPA is requesting information necessary </w:t>
      </w:r>
      <w:r w:rsidR="005243B2">
        <w:t>to</w:t>
      </w:r>
      <w:r w:rsidR="00836953">
        <w:t xml:space="preserve"> implement</w:t>
      </w:r>
      <w:r w:rsidR="00C663EC">
        <w:t xml:space="preserve"> the rule</w:t>
      </w:r>
      <w:r w:rsidR="00FC7162">
        <w:t>.</w:t>
      </w:r>
      <w:r w:rsidR="00836953">
        <w:t xml:space="preserve"> We are not </w:t>
      </w:r>
      <w:r w:rsidR="00F34AB3">
        <w:t xml:space="preserve">seeking to collect </w:t>
      </w:r>
      <w:r w:rsidR="00836953">
        <w:t>information readily available to us in any other manner.</w:t>
      </w:r>
      <w:r w:rsidR="00FC7162">
        <w:t xml:space="preserve"> </w:t>
      </w:r>
      <w:r w:rsidR="003167D6">
        <w:t>The information requested is often claimed as confidential business information (CBI) by the submitter</w:t>
      </w:r>
      <w:r w:rsidR="00E603A5">
        <w:t xml:space="preserve"> and, as such, is not </w:t>
      </w:r>
      <w:r w:rsidR="007D3A7D">
        <w:t xml:space="preserve">readily or </w:t>
      </w:r>
      <w:r w:rsidR="00E603A5">
        <w:t>publicly available</w:t>
      </w:r>
      <w:r w:rsidR="007D3A7D">
        <w:t xml:space="preserve">. </w:t>
      </w:r>
    </w:p>
    <w:p w:rsidR="003166C3" w:rsidP="003166C3" w14:paraId="12857DC3" w14:textId="77777777">
      <w:pPr>
        <w:pStyle w:val="Standard"/>
        <w:ind w:firstLine="720"/>
      </w:pPr>
    </w:p>
    <w:p w:rsidR="003166C3" w:rsidP="003166C3" w14:paraId="2636576A" w14:textId="77777777">
      <w:pPr>
        <w:pStyle w:val="Standard"/>
        <w:ind w:firstLine="720"/>
        <w:outlineLvl w:val="1"/>
        <w:rPr>
          <w:b/>
        </w:rPr>
      </w:pPr>
      <w:r>
        <w:rPr>
          <w:b/>
        </w:rPr>
        <w:t>3(b)</w:t>
      </w:r>
      <w:r>
        <w:rPr>
          <w:b/>
        </w:rPr>
        <w:tab/>
        <w:t>Public Notice</w:t>
      </w:r>
    </w:p>
    <w:p w:rsidR="003166C3" w:rsidP="003166C3" w14:paraId="0DC4527B" w14:textId="77777777">
      <w:pPr>
        <w:pStyle w:val="Standard"/>
        <w:ind w:firstLine="720"/>
      </w:pPr>
    </w:p>
    <w:p w:rsidR="003166C3" w:rsidP="003166C3" w14:paraId="3F9CEB69" w14:textId="6264C350">
      <w:pPr>
        <w:ind w:firstLine="720"/>
      </w:pPr>
      <w:r>
        <w:rPr>
          <w:color w:val="000000"/>
        </w:rPr>
        <w:t xml:space="preserve">A supporting statement, detailed burden estimates, and proposed forms were docketed with the </w:t>
      </w:r>
      <w:r w:rsidR="007A2F8F">
        <w:rPr>
          <w:color w:val="000000"/>
        </w:rPr>
        <w:t>notice of proposed rulemaking</w:t>
      </w:r>
      <w:r>
        <w:rPr>
          <w:color w:val="000000"/>
        </w:rPr>
        <w:t xml:space="preserve"> entitled, “</w:t>
      </w:r>
      <w:r>
        <w:t>Renewable Fuel Standard (RFS) Program: Standards for 2023–2025 and Other Changes.”</w:t>
      </w:r>
      <w:r>
        <w:rPr>
          <w:rStyle w:val="FootnoteReference"/>
          <w:color w:val="000000"/>
        </w:rPr>
        <w:footnoteReference w:id="3"/>
      </w:r>
      <w:r w:rsidR="007A2F8F">
        <w:rPr>
          <w:color w:val="000000"/>
        </w:rPr>
        <w:t xml:space="preserve">. </w:t>
      </w:r>
      <w:r w:rsidR="00321EC9">
        <w:rPr>
          <w:color w:val="000000"/>
        </w:rPr>
        <w:t>Comments related to the design of the program, including recordkeeping and reporting</w:t>
      </w:r>
      <w:r>
        <w:rPr>
          <w:color w:val="000000"/>
        </w:rPr>
        <w:t xml:space="preserve">, have been </w:t>
      </w:r>
      <w:r w:rsidR="00321EC9">
        <w:rPr>
          <w:color w:val="000000"/>
        </w:rPr>
        <w:t xml:space="preserve">addressed with the final rule. </w:t>
      </w:r>
      <w:bookmarkStart w:id="1" w:name="_Hlk135842832"/>
      <w:r w:rsidRPr="00C5100A" w:rsidR="00770005">
        <w:rPr>
          <w:color w:val="000000"/>
        </w:rPr>
        <w:t xml:space="preserve">We had proposed </w:t>
      </w:r>
      <w:r w:rsidRPr="00C5100A" w:rsidR="00A25880">
        <w:rPr>
          <w:color w:val="000000"/>
        </w:rPr>
        <w:t>a program for eRINs (credits that would have represented renewable electricity produced from biogas that is used in electric vehicles) -</w:t>
      </w:r>
      <w:r w:rsidRPr="00C5100A" w:rsidR="00C5100A">
        <w:rPr>
          <w:color w:val="000000"/>
        </w:rPr>
        <w:t xml:space="preserve"> however</w:t>
      </w:r>
      <w:r w:rsidRPr="00C5100A" w:rsidR="00A25880">
        <w:rPr>
          <w:color w:val="000000"/>
        </w:rPr>
        <w:t xml:space="preserve">, </w:t>
      </w:r>
      <w:r w:rsidRPr="00C5100A" w:rsidR="00C5100A">
        <w:rPr>
          <w:color w:val="000000"/>
        </w:rPr>
        <w:t xml:space="preserve">we are not taking any action on eRINs </w:t>
      </w:r>
      <w:r w:rsidRPr="00C5100A" w:rsidR="00A25880">
        <w:rPr>
          <w:color w:val="000000"/>
        </w:rPr>
        <w:t>in this final rule.</w:t>
      </w:r>
      <w:r w:rsidR="00A25880">
        <w:rPr>
          <w:color w:val="000000"/>
        </w:rPr>
        <w:t xml:space="preserve"> </w:t>
      </w:r>
    </w:p>
    <w:p w:rsidR="003166C3" w:rsidP="003166C3" w14:paraId="01FFF3DD" w14:textId="77777777">
      <w:pPr>
        <w:pStyle w:val="Standard"/>
        <w:ind w:firstLine="720"/>
      </w:pPr>
    </w:p>
    <w:bookmarkEnd w:id="1"/>
    <w:p w:rsidR="003166C3" w:rsidP="003166C3" w14:paraId="533B1B28" w14:textId="77777777">
      <w:pPr>
        <w:pStyle w:val="Standard"/>
        <w:ind w:firstLine="720"/>
        <w:outlineLvl w:val="1"/>
        <w:rPr>
          <w:b/>
        </w:rPr>
      </w:pPr>
      <w:r>
        <w:rPr>
          <w:b/>
        </w:rPr>
        <w:t>3(c)</w:t>
      </w:r>
      <w:r>
        <w:rPr>
          <w:b/>
        </w:rPr>
        <w:tab/>
        <w:t>Consultations</w:t>
      </w:r>
    </w:p>
    <w:p w:rsidR="003166C3" w:rsidP="003166C3" w14:paraId="1D8DBE61" w14:textId="77777777">
      <w:pPr>
        <w:pStyle w:val="Standard"/>
        <w:ind w:firstLine="720"/>
      </w:pPr>
    </w:p>
    <w:p w:rsidR="003166C3" w:rsidP="003166C3" w14:paraId="1B628E32" w14:textId="1F7C079E">
      <w:pPr>
        <w:pStyle w:val="Standard"/>
        <w:ind w:firstLine="720"/>
      </w:pPr>
      <w:r>
        <w:t>We have drawn up</w:t>
      </w:r>
      <w:r w:rsidR="00404B0C">
        <w:t xml:space="preserve">on the sources cited in </w:t>
      </w:r>
      <w:r w:rsidR="00F05DC1">
        <w:t xml:space="preserve">Appendix A - Detailed Burden Estimates and </w:t>
      </w:r>
      <w:r>
        <w:t xml:space="preserve">our experience with RFS implementation and with similar fuels regulations to develop the estimates in this supporting statement. </w:t>
      </w:r>
      <w:r w:rsidR="33309203">
        <w:t xml:space="preserve">We encourage interested parties and those who may be respondents to this ICR to provide comment on these estimates. </w:t>
      </w:r>
    </w:p>
    <w:p w:rsidR="00C26B49" w:rsidP="003166C3" w14:paraId="28919A5E" w14:textId="77777777">
      <w:pPr>
        <w:pStyle w:val="Standard"/>
        <w:ind w:firstLine="720"/>
      </w:pPr>
    </w:p>
    <w:p w:rsidR="003166C3" w:rsidP="003166C3" w14:paraId="2EF5E324" w14:textId="77777777">
      <w:pPr>
        <w:pStyle w:val="Standard"/>
        <w:ind w:firstLine="720"/>
        <w:outlineLvl w:val="1"/>
        <w:rPr>
          <w:b/>
        </w:rPr>
      </w:pPr>
      <w:r>
        <w:rPr>
          <w:b/>
        </w:rPr>
        <w:t>3(d)</w:t>
      </w:r>
      <w:r>
        <w:rPr>
          <w:b/>
        </w:rPr>
        <w:tab/>
        <w:t>Effects of Less Frequent Data Collection</w:t>
      </w:r>
    </w:p>
    <w:p w:rsidR="003166C3" w:rsidP="003166C3" w14:paraId="2A17A0CA" w14:textId="77777777">
      <w:pPr>
        <w:pStyle w:val="Standard"/>
        <w:ind w:firstLine="720"/>
      </w:pPr>
    </w:p>
    <w:p w:rsidR="003166C3" w:rsidP="003166C3" w14:paraId="67802E83" w14:textId="6B1D7F73">
      <w:pPr>
        <w:pStyle w:val="Standard"/>
        <w:ind w:firstLine="720"/>
      </w:pPr>
      <w:r>
        <w:t>We have designed the reporting schedule to coincide</w:t>
      </w:r>
      <w:r w:rsidR="004D3EBC">
        <w:t xml:space="preserve">, to the extent possible, </w:t>
      </w:r>
      <w:r>
        <w:t xml:space="preserve">with existing </w:t>
      </w:r>
      <w:r w:rsidR="00E43C8E">
        <w:t xml:space="preserve">RFS </w:t>
      </w:r>
      <w:r>
        <w:t xml:space="preserve">reporting deadlines applicable </w:t>
      </w:r>
      <w:r w:rsidR="00F74E32">
        <w:t xml:space="preserve">to all parties </w:t>
      </w:r>
      <w:r>
        <w:t xml:space="preserve">regulated under the RFS program. </w:t>
      </w:r>
      <w:r w:rsidR="00F74E32">
        <w:t xml:space="preserve">Compliance reporting is typically </w:t>
      </w:r>
      <w:r w:rsidR="007A0B15">
        <w:t xml:space="preserve">monthly, </w:t>
      </w:r>
      <w:r w:rsidR="00F74E32">
        <w:t>quarterly</w:t>
      </w:r>
      <w:r w:rsidR="007A0B15">
        <w:t>,</w:t>
      </w:r>
      <w:r w:rsidR="00F74E32">
        <w:t xml:space="preserve"> or annual. Reporting of transactions within EMTS are done on-occasion/as needed</w:t>
      </w:r>
      <w:r w:rsidR="00D21A53">
        <w:t xml:space="preserve"> to correspond to reportable activity (</w:t>
      </w:r>
      <w:r w:rsidR="008C683E">
        <w:t>e.g.,</w:t>
      </w:r>
      <w:r w:rsidR="00D21A53">
        <w:t xml:space="preserve"> generation of RINs</w:t>
      </w:r>
      <w:r w:rsidR="00204162">
        <w:t>, Renewable Identification Numbers, which represent a volume of renewable fuel</w:t>
      </w:r>
      <w:r w:rsidR="00D21A53">
        <w:t>)</w:t>
      </w:r>
      <w:r w:rsidR="007A0B15">
        <w:t>, but are typically assumed to occur on a monthly basis</w:t>
      </w:r>
      <w:r w:rsidR="00F74E32">
        <w:t>. Initial registration and setting up initial system access</w:t>
      </w:r>
      <w:r w:rsidR="00C75949">
        <w:t xml:space="preserve"> typically </w:t>
      </w:r>
      <w:r w:rsidR="005243B2">
        <w:t>are</w:t>
      </w:r>
      <w:r w:rsidR="00C75949">
        <w:t xml:space="preserve"> a one-time event</w:t>
      </w:r>
      <w:r w:rsidR="00F74E32">
        <w:t>; however, parties are responsible for updating their registrations on-occasion/as needed</w:t>
      </w:r>
      <w:r w:rsidR="00A7516B">
        <w:t xml:space="preserve"> (e.g., if they change their address or the activities they engage in under the program)</w:t>
      </w:r>
      <w:r w:rsidR="00F74E32">
        <w:t xml:space="preserve">. </w:t>
      </w:r>
      <w:r w:rsidR="004464CE">
        <w:t>Engineering</w:t>
      </w:r>
      <w:r w:rsidR="00F74E32">
        <w:t xml:space="preserve"> reviews are initially required and </w:t>
      </w:r>
      <w:r w:rsidR="000036DC">
        <w:t xml:space="preserve">generally must </w:t>
      </w:r>
      <w:r w:rsidR="00F74E32">
        <w:t xml:space="preserve">be </w:t>
      </w:r>
      <w:r w:rsidR="00F74E32">
        <w:t xml:space="preserve">updated every three years. </w:t>
      </w:r>
      <w:r>
        <w:t>Less frequent collection of data would make it impossible to carry out the provisions of the CAA.</w:t>
      </w:r>
    </w:p>
    <w:p w:rsidR="003166C3" w:rsidP="003166C3" w14:paraId="3B853C38" w14:textId="77777777">
      <w:pPr>
        <w:pStyle w:val="Standard"/>
        <w:ind w:firstLine="720"/>
      </w:pPr>
    </w:p>
    <w:p w:rsidR="003166C3" w:rsidP="003166C3" w14:paraId="01640804" w14:textId="77777777">
      <w:pPr>
        <w:pStyle w:val="Standard"/>
        <w:ind w:firstLine="720"/>
        <w:outlineLvl w:val="1"/>
        <w:rPr>
          <w:b/>
        </w:rPr>
      </w:pPr>
      <w:r>
        <w:rPr>
          <w:b/>
        </w:rPr>
        <w:t>3(e)</w:t>
      </w:r>
      <w:r>
        <w:rPr>
          <w:b/>
        </w:rPr>
        <w:tab/>
        <w:t>General Guidelines</w:t>
      </w:r>
    </w:p>
    <w:p w:rsidR="003166C3" w:rsidP="003166C3" w14:paraId="7594227E" w14:textId="77777777">
      <w:pPr>
        <w:pStyle w:val="Standard"/>
        <w:ind w:firstLine="720"/>
      </w:pPr>
    </w:p>
    <w:p w:rsidR="003166C3" w:rsidP="003166C3" w14:paraId="4EFC3FF3" w14:textId="6AEC954B">
      <w:pPr>
        <w:ind w:firstLine="720"/>
      </w:pPr>
      <w:r>
        <w:t xml:space="preserve">This information collection activity complies with 5 CFR 1320.6, except respondents </w:t>
      </w:r>
      <w:r w:rsidR="00E33D21">
        <w:t xml:space="preserve">are </w:t>
      </w:r>
      <w:r>
        <w:t xml:space="preserve">required to keep certain records for longer than three </w:t>
      </w:r>
      <w:r w:rsidR="000036DC">
        <w:t xml:space="preserve">(3) </w:t>
      </w:r>
      <w:r>
        <w:t xml:space="preserve">years. Specifically, parties would be required to keep product transfer documents (PTDs) and records related to </w:t>
      </w:r>
      <w:r w:rsidR="00E731FC">
        <w:t xml:space="preserve">their participation in the RFS program </w:t>
      </w:r>
      <w:r>
        <w:t>for five</w:t>
      </w:r>
      <w:r w:rsidR="000036DC">
        <w:t xml:space="preserve"> (5)</w:t>
      </w:r>
      <w:r>
        <w:t xml:space="preserve"> years, and parties would be required to keep their compliance records (e.g., copies of periodic reports) for five (5) years. Five </w:t>
      </w:r>
      <w:r w:rsidR="000036DC">
        <w:t xml:space="preserve">(5) </w:t>
      </w:r>
      <w:r>
        <w:t xml:space="preserve">years is the applicable statute of limitations for other EPA fuels programs. </w:t>
      </w:r>
      <w:r>
        <w:rPr>
          <w:i/>
          <w:iCs/>
        </w:rPr>
        <w:t>See</w:t>
      </w:r>
      <w:r>
        <w:t xml:space="preserve"> 28 U.S.C. 2462. Many records such as PTDs (e.g., bills of lading, invoices, etc.) and fuel production records should be kept by parties under normal business practice. Therefore, the recordkeeping requirements under the requirements </w:t>
      </w:r>
      <w:r w:rsidR="00EA3FE7">
        <w:t xml:space="preserve">of this rule </w:t>
      </w:r>
      <w:r>
        <w:t>should impose little additional burden</w:t>
      </w:r>
      <w:r w:rsidR="00807EE4">
        <w:t xml:space="preserve"> on most parties beyond initial programming of </w:t>
      </w:r>
      <w:r w:rsidR="00302EEB">
        <w:t xml:space="preserve">any statement on PTDs or other changes required </w:t>
      </w:r>
      <w:r w:rsidR="00E731FC">
        <w:t xml:space="preserve">to </w:t>
      </w:r>
      <w:r w:rsidR="00302EEB">
        <w:t xml:space="preserve">participate in the RFS program. </w:t>
      </w:r>
      <w:r>
        <w:t xml:space="preserve"> </w:t>
      </w:r>
    </w:p>
    <w:p w:rsidR="003166C3" w:rsidP="003166C3" w14:paraId="3E2E1C2D" w14:textId="77777777">
      <w:pPr>
        <w:pStyle w:val="Standard"/>
        <w:ind w:firstLine="720"/>
      </w:pPr>
    </w:p>
    <w:p w:rsidR="003166C3" w:rsidP="003166C3" w14:paraId="09FBCE75" w14:textId="77777777">
      <w:pPr>
        <w:pStyle w:val="Standard"/>
        <w:ind w:firstLine="720"/>
        <w:outlineLvl w:val="1"/>
        <w:rPr>
          <w:b/>
        </w:rPr>
      </w:pPr>
      <w:r>
        <w:rPr>
          <w:b/>
        </w:rPr>
        <w:t>3(f)</w:t>
      </w:r>
      <w:r>
        <w:rPr>
          <w:b/>
        </w:rPr>
        <w:tab/>
        <w:t>Confidentiality</w:t>
      </w:r>
    </w:p>
    <w:p w:rsidR="003166C3" w:rsidP="003166C3" w14:paraId="1C2C0565" w14:textId="77777777">
      <w:pPr>
        <w:pStyle w:val="Standard"/>
        <w:ind w:firstLine="720"/>
      </w:pPr>
    </w:p>
    <w:p w:rsidR="003166C3" w:rsidP="003166C3" w14:paraId="5FD7B195" w14:textId="77777777">
      <w:pPr>
        <w:pStyle w:val="Standard"/>
        <w:ind w:firstLine="720"/>
      </w:pPr>
      <w:r>
        <w:t>We inform respondents that they may assert claims of CBI for information they submit. Any information claimed as confidential would be treated in accordance with 40 CFR part 2 and established EPA procedures. Information that is received without a claim of confidentiality may be made available to the public without further notice to the submitter under 40 CFR 2.203.</w:t>
      </w:r>
    </w:p>
    <w:p w:rsidR="003166C3" w:rsidP="003166C3" w14:paraId="70C47C50" w14:textId="77777777">
      <w:pPr>
        <w:ind w:firstLine="720"/>
      </w:pPr>
    </w:p>
    <w:p w:rsidR="003166C3" w:rsidP="003166C3" w14:paraId="3CE20B70" w14:textId="77777777">
      <w:pPr>
        <w:pStyle w:val="Standard"/>
        <w:ind w:firstLine="720"/>
        <w:outlineLvl w:val="1"/>
        <w:rPr>
          <w:b/>
        </w:rPr>
      </w:pPr>
      <w:r>
        <w:rPr>
          <w:b/>
        </w:rPr>
        <w:t>3(g)</w:t>
      </w:r>
      <w:r>
        <w:rPr>
          <w:b/>
        </w:rPr>
        <w:tab/>
        <w:t>Sensitive Information</w:t>
      </w:r>
    </w:p>
    <w:p w:rsidR="003166C3" w:rsidP="003166C3" w14:paraId="46DDA3A0" w14:textId="77777777">
      <w:pPr>
        <w:pStyle w:val="Standard"/>
        <w:ind w:firstLine="720"/>
      </w:pPr>
    </w:p>
    <w:p w:rsidR="003166C3" w:rsidP="003166C3" w14:paraId="3FDB0618" w14:textId="7E712FCC">
      <w:pPr>
        <w:pStyle w:val="Standard"/>
        <w:ind w:firstLine="720"/>
      </w:pPr>
      <w:r>
        <w:t xml:space="preserve">This information collection does not require submission of any sensitive </w:t>
      </w:r>
      <w:r w:rsidR="004D3EBC">
        <w:t xml:space="preserve">or personal </w:t>
      </w:r>
      <w:r>
        <w:t>information (e.g., social security numbers, dates of birth, etc.).</w:t>
      </w:r>
    </w:p>
    <w:p w:rsidR="003166C3" w:rsidP="003166C3" w14:paraId="50859FCF" w14:textId="77777777">
      <w:pPr>
        <w:ind w:firstLine="720"/>
      </w:pPr>
    </w:p>
    <w:p w:rsidR="003166C3" w:rsidRPr="000036DC" w:rsidP="003166C3" w14:paraId="3150A0EA" w14:textId="77777777">
      <w:pPr>
        <w:pStyle w:val="Standard"/>
        <w:outlineLvl w:val="0"/>
        <w:rPr>
          <w:b/>
          <w:u w:val="single"/>
        </w:rPr>
      </w:pPr>
      <w:r>
        <w:rPr>
          <w:b/>
        </w:rPr>
        <w:t>4.</w:t>
      </w:r>
      <w:r>
        <w:rPr>
          <w:b/>
        </w:rPr>
        <w:tab/>
      </w:r>
      <w:r w:rsidRPr="000036DC">
        <w:rPr>
          <w:b/>
          <w:u w:val="single"/>
        </w:rPr>
        <w:t>The Respondents and the Information Requested</w:t>
      </w:r>
    </w:p>
    <w:p w:rsidR="003166C3" w:rsidRPr="000036DC" w:rsidP="003166C3" w14:paraId="7D3A0D3E" w14:textId="77777777">
      <w:pPr>
        <w:pStyle w:val="Standard"/>
        <w:ind w:firstLine="720"/>
        <w:rPr>
          <w:b/>
        </w:rPr>
      </w:pPr>
    </w:p>
    <w:p w:rsidR="003166C3" w:rsidRPr="000036DC" w:rsidP="003166C3" w14:paraId="371AF45E" w14:textId="17877DB4">
      <w:pPr>
        <w:pStyle w:val="Standard"/>
        <w:ind w:firstLine="720"/>
        <w:outlineLvl w:val="1"/>
        <w:rPr>
          <w:b/>
        </w:rPr>
      </w:pPr>
      <w:r w:rsidRPr="000036DC">
        <w:rPr>
          <w:b/>
        </w:rPr>
        <w:t>4(a)</w:t>
      </w:r>
      <w:r w:rsidRPr="000036DC">
        <w:rPr>
          <w:b/>
        </w:rPr>
        <w:tab/>
      </w:r>
      <w:bookmarkStart w:id="2" w:name="_Hlk133390501"/>
      <w:r w:rsidRPr="000036DC">
        <w:rPr>
          <w:b/>
        </w:rPr>
        <w:t>Respondents with SIC Codes</w:t>
      </w:r>
    </w:p>
    <w:p w:rsidR="003166C3" w:rsidRPr="000036DC" w:rsidP="003166C3" w14:paraId="201D82E8" w14:textId="77777777">
      <w:pPr>
        <w:pStyle w:val="Standard"/>
        <w:ind w:firstLine="720"/>
      </w:pPr>
    </w:p>
    <w:p w:rsidR="003166C3" w:rsidRPr="000036DC" w:rsidP="003166C3" w14:paraId="2733C012" w14:textId="21ED909D">
      <w:pPr>
        <w:pStyle w:val="Standard"/>
        <w:ind w:firstLine="720"/>
      </w:pPr>
      <w:r w:rsidRPr="000036DC">
        <w:t xml:space="preserve">The respondents to this information collection </w:t>
      </w:r>
      <w:r w:rsidR="00FA1701">
        <w:t xml:space="preserve">may </w:t>
      </w:r>
      <w:r w:rsidRPr="000036DC">
        <w:t xml:space="preserve">fall into the following general industry categories: </w:t>
      </w:r>
    </w:p>
    <w:p w:rsidR="00CD3CD1" w:rsidRPr="000036DC" w:rsidP="00CD3CD1" w14:paraId="5BEEDB2C" w14:textId="77777777">
      <w:pPr>
        <w:pStyle w:val="Standard"/>
        <w:ind w:firstLine="720"/>
      </w:pPr>
    </w:p>
    <w:p w:rsidR="00CD3CD1" w:rsidRPr="000036DC" w:rsidP="00CD3CD1" w14:paraId="75BC334C" w14:textId="77777777">
      <w:pPr>
        <w:pStyle w:val="Standard"/>
        <w:ind w:firstLine="720"/>
      </w:pPr>
      <w:r w:rsidRPr="000036DC">
        <w:t>221210              Distribution of renewable natural gas (RNG)</w:t>
      </w:r>
    </w:p>
    <w:p w:rsidR="00CD3CD1" w:rsidRPr="000036DC" w:rsidP="00CD3CD1" w14:paraId="52C728E0" w14:textId="755B0FE2">
      <w:pPr>
        <w:pStyle w:val="Standard"/>
        <w:ind w:firstLine="720"/>
      </w:pPr>
      <w:r w:rsidRPr="000036DC">
        <w:t>324110              Petroleum refineries</w:t>
      </w:r>
    </w:p>
    <w:p w:rsidR="00CD3CD1" w:rsidRPr="000036DC" w:rsidP="00CD3CD1" w14:paraId="102A488D" w14:textId="25E7AA03">
      <w:pPr>
        <w:pStyle w:val="Standard"/>
        <w:ind w:firstLine="720"/>
      </w:pPr>
      <w:r w:rsidRPr="000036DC">
        <w:t>325120              Biogases, industrial (i.e., compressed, liquefied, solid), manufacturing</w:t>
      </w:r>
    </w:p>
    <w:p w:rsidR="00CD3CD1" w:rsidRPr="000036DC" w:rsidP="00CD3CD1" w14:paraId="3D77FCF5" w14:textId="77777777">
      <w:pPr>
        <w:pStyle w:val="Standard"/>
        <w:ind w:firstLine="720"/>
      </w:pPr>
      <w:r w:rsidRPr="000036DC">
        <w:t>325193              Ethyl alcohol manufacturing</w:t>
      </w:r>
    </w:p>
    <w:p w:rsidR="00CD3CD1" w:rsidRPr="000036DC" w:rsidP="00CD3CD1" w14:paraId="3F3005D7" w14:textId="10D5935A">
      <w:pPr>
        <w:pStyle w:val="Standard"/>
        <w:ind w:firstLine="720"/>
      </w:pPr>
      <w:r w:rsidRPr="000036DC">
        <w:t>325199              Other basic organic chemical manufacturing</w:t>
      </w:r>
    </w:p>
    <w:p w:rsidR="00CD3CD1" w:rsidRPr="000036DC" w:rsidP="000036DC" w14:paraId="305CE3D8" w14:textId="5CC971A6">
      <w:pPr>
        <w:ind w:firstLine="720"/>
      </w:pPr>
      <w:r>
        <w:t>4</w:t>
      </w:r>
      <w:r w:rsidRPr="000036DC">
        <w:t>24690              Chemical and allied products merchant wholesalers</w:t>
      </w:r>
    </w:p>
    <w:p w:rsidR="00CD3CD1" w:rsidRPr="000036DC" w:rsidP="00CD3CD1" w14:paraId="769DAE08" w14:textId="77777777">
      <w:pPr>
        <w:pStyle w:val="Standard"/>
        <w:ind w:firstLine="720"/>
      </w:pPr>
      <w:r w:rsidRPr="000036DC">
        <w:t>424710              Petroleum bulk stations and terminals</w:t>
      </w:r>
    </w:p>
    <w:p w:rsidR="00CD3CD1" w:rsidRPr="000036DC" w:rsidP="00CD3CD1" w14:paraId="1A2A5D92" w14:textId="005608A0">
      <w:pPr>
        <w:pStyle w:val="Standard"/>
        <w:ind w:firstLine="720"/>
      </w:pPr>
      <w:r w:rsidRPr="000036DC">
        <w:t>424720              Petroleum and petroleum products merchant wholesalers</w:t>
      </w:r>
    </w:p>
    <w:p w:rsidR="00CD3CD1" w:rsidRPr="000036DC" w:rsidP="00CD3CD1" w14:paraId="66547CD5" w14:textId="01E35CFA">
      <w:pPr>
        <w:pStyle w:val="Standard"/>
        <w:ind w:firstLine="720"/>
      </w:pPr>
      <w:r w:rsidRPr="000036DC">
        <w:t>221210              Manufactured gas production and distribution</w:t>
      </w:r>
    </w:p>
    <w:p w:rsidR="00CD3CD1" w:rsidRPr="000036DC" w:rsidP="00CD3CD1" w14:paraId="24885BC0" w14:textId="41F46BB4">
      <w:pPr>
        <w:pStyle w:val="Standard"/>
        <w:ind w:firstLine="720"/>
      </w:pPr>
      <w:r w:rsidRPr="000036DC">
        <w:t>454319              Other fuel dealers</w:t>
      </w:r>
    </w:p>
    <w:p w:rsidR="00CD3CD1" w:rsidRPr="000036DC" w:rsidP="00CD3CD1" w14:paraId="0A72779F" w14:textId="387314FE">
      <w:pPr>
        <w:pStyle w:val="Standard"/>
        <w:ind w:firstLine="720"/>
      </w:pPr>
      <w:r w:rsidRPr="000036DC">
        <w:t>562212              Landfills</w:t>
      </w:r>
      <w:r w:rsidRPr="000036DC" w:rsidR="008A761C">
        <w:t xml:space="preserve"> </w:t>
      </w:r>
    </w:p>
    <w:bookmarkEnd w:id="2"/>
    <w:p w:rsidR="003166C3" w:rsidRPr="002C42AE" w:rsidP="003166C3" w14:paraId="075C3873" w14:textId="77777777">
      <w:pPr>
        <w:pStyle w:val="Standard"/>
        <w:ind w:firstLine="720"/>
        <w:rPr>
          <w:highlight w:val="yellow"/>
        </w:rPr>
      </w:pPr>
    </w:p>
    <w:p w:rsidR="00F354E4" w:rsidP="003166C3" w14:paraId="30AE93AC" w14:textId="77777777">
      <w:pPr>
        <w:pStyle w:val="Standard"/>
        <w:ind w:firstLine="720"/>
      </w:pPr>
      <w:r w:rsidRPr="00F354E4">
        <w:t xml:space="preserve">We </w:t>
      </w:r>
      <w:r w:rsidRPr="00F354E4" w:rsidR="003166C3">
        <w:t>have assumed the following classes of</w:t>
      </w:r>
      <w:r w:rsidRPr="00F354E4" w:rsidR="008848A7">
        <w:t xml:space="preserve"> respondents</w:t>
      </w:r>
      <w:r w:rsidRPr="00F354E4" w:rsidR="003166C3">
        <w:t>, which are covered by this supporting statement</w:t>
      </w:r>
      <w:r>
        <w:t>:</w:t>
      </w:r>
    </w:p>
    <w:p w:rsidR="00F354E4" w:rsidP="00F354E4" w14:paraId="20B973B3" w14:textId="67683A4A">
      <w:pPr>
        <w:pStyle w:val="Standard"/>
        <w:numPr>
          <w:ilvl w:val="0"/>
          <w:numId w:val="21"/>
        </w:numPr>
      </w:pPr>
      <w:r>
        <w:t>Biogas Producers – Tab I of Appendix A</w:t>
      </w:r>
      <w:r w:rsidR="00AF59B8">
        <w:t>; these parties own, operate, lease, control, or supervise a biogas production facility where biogas is produced from renewable biomass under an approved pathway.</w:t>
      </w:r>
    </w:p>
    <w:p w:rsidR="00F354E4" w:rsidP="00F354E4" w14:paraId="05985813" w14:textId="6C74C4FB">
      <w:pPr>
        <w:pStyle w:val="Standard"/>
        <w:numPr>
          <w:ilvl w:val="0"/>
          <w:numId w:val="21"/>
        </w:numPr>
      </w:pPr>
      <w:r>
        <w:t>RNG Producers – Tab II of Appendix A</w:t>
      </w:r>
      <w:r w:rsidR="00AF59B8">
        <w:t xml:space="preserve">; these parties own, operate, lease, control, or supervise an RNG production facility where biogas is upgraded to renewable natural gas </w:t>
      </w:r>
      <w:r w:rsidR="00204162">
        <w:t xml:space="preserve">(RNG) </w:t>
      </w:r>
      <w:r w:rsidR="00AF59B8">
        <w:t>under an approved pathway.</w:t>
      </w:r>
    </w:p>
    <w:p w:rsidR="00F354E4" w:rsidP="00F354E4" w14:paraId="407778CD" w14:textId="6C600B67">
      <w:pPr>
        <w:pStyle w:val="Standard"/>
        <w:numPr>
          <w:ilvl w:val="0"/>
          <w:numId w:val="21"/>
        </w:numPr>
      </w:pPr>
      <w:r>
        <w:t>RNG Importers – Tab III of Appendix A</w:t>
      </w:r>
      <w:r w:rsidR="00AF59B8">
        <w:t>; these parties import RNG into the covered location and generate RINs for the RNG as specified in the regulations.</w:t>
      </w:r>
    </w:p>
    <w:p w:rsidR="00F354E4" w:rsidP="00F354E4" w14:paraId="426232E4" w14:textId="324E3BD9">
      <w:pPr>
        <w:pStyle w:val="Standard"/>
        <w:numPr>
          <w:ilvl w:val="0"/>
          <w:numId w:val="21"/>
        </w:numPr>
      </w:pPr>
      <w:r>
        <w:t>SFW – Tab IV of Appendix A</w:t>
      </w:r>
      <w:r w:rsidR="00AF59B8">
        <w:t xml:space="preserve">; this Tab is for parties who use alternative recordkeeping for separated yard waste, separated food waste (SFW), separated municipal solid waste (MSW), or biogenic oils/fats/greases. Feedstock aggregators are addressed on this Tab. </w:t>
      </w:r>
    </w:p>
    <w:p w:rsidR="00F354E4" w:rsidP="00F354E4" w14:paraId="4C4731E3" w14:textId="21D9924B">
      <w:pPr>
        <w:pStyle w:val="Standard"/>
        <w:numPr>
          <w:ilvl w:val="0"/>
          <w:numId w:val="21"/>
        </w:numPr>
      </w:pPr>
      <w:r>
        <w:t>Biogas Closed Distribution System RIN Generators – Tab V of Appendix A</w:t>
      </w:r>
      <w:r w:rsidR="00AF59B8">
        <w:t>; these are parties who generate RINs for renewable compressed natural gas (CNG)/liquified natural gas (LNG) in a biogas closed distribution system. A biogas closed distribution system refers to the infrastructure between when bio</w:t>
      </w:r>
      <w:r w:rsidR="0007768A">
        <w:t xml:space="preserve">gas is produced and when biogas or treated biogas is used to produce biogas-derived renewable fuel within a discrete location or series of locations that does not include placement of biogas, treated biogas, or RNG on a natural gas commercial pipeline. </w:t>
      </w:r>
    </w:p>
    <w:p w:rsidR="00F354E4" w:rsidP="00F354E4" w14:paraId="6251C23B" w14:textId="0A193322">
      <w:pPr>
        <w:pStyle w:val="Standard"/>
        <w:numPr>
          <w:ilvl w:val="0"/>
          <w:numId w:val="21"/>
        </w:numPr>
      </w:pPr>
      <w:r>
        <w:t>QAP Providers – Tab VI of Appendix A</w:t>
      </w:r>
      <w:r w:rsidR="0007768A">
        <w:t xml:space="preserve">; these parties provide auditing and other services related to quality assurance plans (QAPs). Because they register and incur a direct reporting burden (versus just submitting reports for others), they are kept separate from the other Third Parties on Tab VIII.  </w:t>
      </w:r>
    </w:p>
    <w:p w:rsidR="00F354E4" w:rsidP="00F354E4" w14:paraId="7595396E" w14:textId="04BE8FAB">
      <w:pPr>
        <w:pStyle w:val="Standard"/>
        <w:numPr>
          <w:ilvl w:val="0"/>
          <w:numId w:val="21"/>
        </w:numPr>
      </w:pPr>
      <w:r>
        <w:t>RNG RIN separators – Tab VII of Appendix A</w:t>
      </w:r>
      <w:r w:rsidR="0007768A">
        <w:t xml:space="preserve">; these parties register to separate RINs for RNG. </w:t>
      </w:r>
    </w:p>
    <w:p w:rsidR="00F354E4" w:rsidP="00F354E4" w14:paraId="78C935A8" w14:textId="2B76A86A">
      <w:pPr>
        <w:pStyle w:val="Standard"/>
        <w:numPr>
          <w:ilvl w:val="0"/>
          <w:numId w:val="21"/>
        </w:numPr>
      </w:pPr>
      <w:r>
        <w:t>Third Parties – Tab VIII of Appendix A</w:t>
      </w:r>
      <w:r w:rsidR="0007768A">
        <w:t xml:space="preserve">; these parties provide purchased services to other parties; although they register with EPA and submit reports, they do so on behalf of other parties. This includes attest auditors and third-party engineers. Because they have no direct reporting burden, they are kept separate from the QAP Providers on Tab VI. </w:t>
      </w:r>
    </w:p>
    <w:p w:rsidR="003166C3" w:rsidRPr="00F354E4" w:rsidP="00F354E4" w14:paraId="77EE594F" w14:textId="2BF66E07">
      <w:pPr>
        <w:pStyle w:val="Standard"/>
        <w:numPr>
          <w:ilvl w:val="0"/>
          <w:numId w:val="21"/>
        </w:numPr>
      </w:pPr>
      <w:r>
        <w:t>Producers of Renewable Fuel from Biogas used as biointermediate or RNG used as feedstock – Tab IX of Appendix A</w:t>
      </w:r>
      <w:r w:rsidR="0007768A">
        <w:t xml:space="preserve">; these parties </w:t>
      </w:r>
      <w:r w:rsidR="00204162">
        <w:t xml:space="preserve">are a subset of renewable fuel producers. </w:t>
      </w:r>
    </w:p>
    <w:p w:rsidR="00AE567E" w:rsidRPr="002C42AE" w:rsidP="003166C3" w14:paraId="20507AD4" w14:textId="4A84E16B">
      <w:pPr>
        <w:pStyle w:val="Standard"/>
        <w:ind w:firstLine="720"/>
        <w:rPr>
          <w:highlight w:val="yellow"/>
        </w:rPr>
      </w:pPr>
      <w:bookmarkStart w:id="3" w:name="_Hlk133390562"/>
    </w:p>
    <w:bookmarkEnd w:id="3"/>
    <w:p w:rsidR="003166C3" w:rsidP="003166C3" w14:paraId="0DE51B1F" w14:textId="77777777">
      <w:pPr>
        <w:pStyle w:val="Standard"/>
        <w:ind w:firstLine="720"/>
      </w:pPr>
    </w:p>
    <w:p w:rsidR="003166C3" w:rsidP="003166C3" w14:paraId="280833EC" w14:textId="77777777">
      <w:pPr>
        <w:pStyle w:val="Standard"/>
        <w:ind w:firstLine="720"/>
      </w:pPr>
    </w:p>
    <w:p w:rsidR="003166C3" w:rsidP="6AB033C2" w14:paraId="5DBCBF79" w14:textId="59F40E26">
      <w:pPr>
        <w:pStyle w:val="Standard"/>
        <w:ind w:firstLine="720"/>
        <w:outlineLvl w:val="1"/>
        <w:rPr>
          <w:b/>
          <w:bCs/>
        </w:rPr>
      </w:pPr>
      <w:r w:rsidRPr="798239CD">
        <w:rPr>
          <w:b/>
          <w:bCs/>
        </w:rPr>
        <w:t>4(b)</w:t>
      </w:r>
      <w:r>
        <w:tab/>
      </w:r>
      <w:r w:rsidRPr="798239CD">
        <w:rPr>
          <w:b/>
          <w:bCs/>
        </w:rPr>
        <w:t>Information Requested</w:t>
      </w:r>
    </w:p>
    <w:p w:rsidR="008848A7" w:rsidP="798239CD" w14:paraId="0D2C611E" w14:textId="77777777">
      <w:pPr>
        <w:pStyle w:val="Standard"/>
        <w:ind w:firstLine="720"/>
        <w:outlineLvl w:val="1"/>
        <w:rPr>
          <w:b/>
          <w:bCs/>
        </w:rPr>
      </w:pPr>
    </w:p>
    <w:p w:rsidR="00D17BF4" w:rsidP="798239CD" w14:paraId="71E15AC4" w14:textId="3C7A519B">
      <w:pPr>
        <w:pStyle w:val="Standard"/>
        <w:ind w:firstLine="720"/>
        <w:outlineLvl w:val="1"/>
      </w:pPr>
      <w:r>
        <w:t xml:space="preserve">The </w:t>
      </w:r>
      <w:r w:rsidR="00FF3007">
        <w:t xml:space="preserve">specific </w:t>
      </w:r>
      <w:r>
        <w:t xml:space="preserve">information requested is listed in detail </w:t>
      </w:r>
      <w:r w:rsidR="00F354E4">
        <w:t xml:space="preserve">for each party listed above on their respective Tabs </w:t>
      </w:r>
      <w:r>
        <w:t>in</w:t>
      </w:r>
      <w:r w:rsidR="00AF0B80">
        <w:t xml:space="preserve"> </w:t>
      </w:r>
      <w:r>
        <w:t xml:space="preserve"> </w:t>
      </w:r>
      <w:r w:rsidR="00F354E4">
        <w:t xml:space="preserve">Appendix A. </w:t>
      </w:r>
      <w:r w:rsidR="008A236D">
        <w:t xml:space="preserve"> </w:t>
      </w:r>
      <w:r w:rsidR="00F354E4">
        <w:t>Forms that accompany this ICR have been transmitted to OMB</w:t>
      </w:r>
      <w:r w:rsidR="007A0B15">
        <w:t xml:space="preserve"> and are listed with each associate respondent in Appendix A</w:t>
      </w:r>
      <w:r w:rsidR="00F354E4">
        <w:t xml:space="preserve">. </w:t>
      </w:r>
      <w:r w:rsidR="00204162">
        <w:t xml:space="preserve">Reporting occurs within system provided by EPA, </w:t>
      </w:r>
      <w:r w:rsidRPr="00204162" w:rsidR="00204162">
        <w:t xml:space="preserve">which are grouped under the umbrella system name of TeRRA and include </w:t>
      </w:r>
      <w:r w:rsidR="00204162">
        <w:t xml:space="preserve">OTAQREG (registration), </w:t>
      </w:r>
      <w:r w:rsidRPr="00204162" w:rsidR="00204162">
        <w:t>DCFUEL</w:t>
      </w:r>
      <w:r w:rsidR="00204162">
        <w:t xml:space="preserve"> (compliance reporting),</w:t>
      </w:r>
      <w:r w:rsidRPr="00204162" w:rsidR="00204162">
        <w:t xml:space="preserve"> and </w:t>
      </w:r>
      <w:r w:rsidR="00204162">
        <w:t xml:space="preserve">EPA Moderated Transaction System - </w:t>
      </w:r>
      <w:r w:rsidRPr="00204162" w:rsidR="00204162">
        <w:t xml:space="preserve">EMTS </w:t>
      </w:r>
      <w:r w:rsidR="00204162">
        <w:t xml:space="preserve">(transactional reporting) </w:t>
      </w:r>
      <w:r w:rsidRPr="00204162" w:rsidR="00204162">
        <w:t>modules. EPA utilizes the Central Data Exchange (CDX), which is a secure portal, for many submissions.</w:t>
      </w:r>
      <w:r w:rsidR="00204162">
        <w:t xml:space="preserve"> I</w:t>
      </w:r>
      <w:r w:rsidR="00171C9B">
        <w:t>nformation to be collected may</w:t>
      </w:r>
      <w:r>
        <w:t xml:space="preserve"> be summarized, </w:t>
      </w:r>
      <w:r w:rsidR="00FF3007">
        <w:t>generally</w:t>
      </w:r>
      <w:r>
        <w:t xml:space="preserve">, as follows: </w:t>
      </w:r>
    </w:p>
    <w:p w:rsidR="00FF3007" w:rsidP="798239CD" w14:paraId="476382BA" w14:textId="77777777">
      <w:pPr>
        <w:pStyle w:val="Standard"/>
        <w:ind w:firstLine="720"/>
        <w:outlineLvl w:val="1"/>
        <w:rPr>
          <w:i/>
          <w:iCs/>
        </w:rPr>
      </w:pPr>
    </w:p>
    <w:p w:rsidR="00F354E4" w:rsidP="008B6AA3" w14:paraId="4C48AA7D" w14:textId="72C17E48">
      <w:pPr>
        <w:pStyle w:val="Standard"/>
        <w:ind w:firstLine="720"/>
        <w:outlineLvl w:val="1"/>
        <w:rPr>
          <w:i/>
          <w:iCs/>
        </w:rPr>
      </w:pPr>
      <w:r w:rsidRPr="00FF3007">
        <w:rPr>
          <w:i/>
          <w:iCs/>
        </w:rPr>
        <w:t>Reporting:</w:t>
      </w:r>
    </w:p>
    <w:p w:rsidR="008B6AA3" w:rsidRPr="00FF3007" w:rsidP="008B6AA3" w14:paraId="041687F8" w14:textId="77777777">
      <w:pPr>
        <w:pStyle w:val="Standard"/>
        <w:ind w:firstLine="720"/>
        <w:outlineLvl w:val="1"/>
        <w:rPr>
          <w:i/>
          <w:iCs/>
        </w:rPr>
      </w:pPr>
    </w:p>
    <w:p w:rsidR="00F354E4" w:rsidP="00FF3007" w14:paraId="6B5B189A" w14:textId="5AF72717">
      <w:pPr>
        <w:pStyle w:val="Standard"/>
        <w:numPr>
          <w:ilvl w:val="0"/>
          <w:numId w:val="23"/>
        </w:numPr>
        <w:outlineLvl w:val="1"/>
      </w:pPr>
      <w:r>
        <w:t xml:space="preserve">All respondents must register with EPA or update their registration (if already registered) as appropriate. Registration may involve association with third parties who submit information on their behalf (e.g., attest auditors). </w:t>
      </w:r>
      <w:r w:rsidR="00204162">
        <w:t xml:space="preserve">This occurs within OTAQREG. </w:t>
      </w:r>
    </w:p>
    <w:p w:rsidR="00FF3007" w:rsidP="00FF3007" w14:paraId="3DF4B3AF" w14:textId="6F98A2BB">
      <w:pPr>
        <w:pStyle w:val="Standard"/>
        <w:numPr>
          <w:ilvl w:val="0"/>
          <w:numId w:val="23"/>
        </w:numPr>
        <w:outlineLvl w:val="1"/>
      </w:pPr>
      <w:r>
        <w:t xml:space="preserve">Respondents must </w:t>
      </w:r>
      <w:r>
        <w:t>enter transactions in the EPA Moderated Transaction System (EMTS) and submit compliance reports to EPA</w:t>
      </w:r>
      <w:r w:rsidR="00204162">
        <w:t xml:space="preserve"> via DCFUEL</w:t>
      </w:r>
      <w:r>
        <w:t xml:space="preserve">. Certain respondents will assign batch numbers in EMTS. </w:t>
      </w:r>
    </w:p>
    <w:p w:rsidR="00D17BF4" w:rsidP="00FF3007" w14:paraId="39AF886D" w14:textId="3A1AF985">
      <w:pPr>
        <w:pStyle w:val="Standard"/>
        <w:numPr>
          <w:ilvl w:val="0"/>
          <w:numId w:val="23"/>
        </w:numPr>
        <w:outlineLvl w:val="1"/>
      </w:pPr>
      <w:r>
        <w:t>Some</w:t>
      </w:r>
      <w:r w:rsidR="00FF3007">
        <w:t xml:space="preserve"> respondents must arrange for certain third-party reporting on their behalf – for example, attest engagements and/or engineering reviews.</w:t>
      </w:r>
      <w:r w:rsidR="00204162">
        <w:t xml:space="preserve"> The third parties register and associate with </w:t>
      </w:r>
      <w:r>
        <w:t>the parties for whom they report</w:t>
      </w:r>
      <w:r w:rsidR="00204162">
        <w:t xml:space="preserve"> in OTAQREG</w:t>
      </w:r>
      <w:r>
        <w:t>,</w:t>
      </w:r>
      <w:r w:rsidR="00204162">
        <w:t xml:space="preserve"> and then submit the reports via DCFUEL. </w:t>
      </w:r>
    </w:p>
    <w:p w:rsidR="00FF3007" w:rsidP="00FF3007" w14:paraId="1B89213E" w14:textId="77777777">
      <w:pPr>
        <w:pStyle w:val="Standard"/>
        <w:ind w:left="1800"/>
        <w:outlineLvl w:val="1"/>
        <w:rPr>
          <w:i/>
          <w:iCs/>
        </w:rPr>
      </w:pPr>
    </w:p>
    <w:p w:rsidR="00FF3007" w:rsidP="008B6AA3" w14:paraId="52E106C5" w14:textId="62F49BD8">
      <w:pPr>
        <w:pStyle w:val="Standard"/>
        <w:ind w:left="720"/>
        <w:outlineLvl w:val="1"/>
        <w:rPr>
          <w:i/>
          <w:iCs/>
        </w:rPr>
      </w:pPr>
      <w:r w:rsidRPr="00FF3007">
        <w:rPr>
          <w:i/>
          <w:iCs/>
        </w:rPr>
        <w:t>Recordkeeping:</w:t>
      </w:r>
    </w:p>
    <w:p w:rsidR="008B6AA3" w:rsidRPr="00FF3007" w:rsidP="008B6AA3" w14:paraId="5D0BA787" w14:textId="77777777">
      <w:pPr>
        <w:pStyle w:val="Standard"/>
        <w:ind w:left="720"/>
        <w:outlineLvl w:val="1"/>
        <w:rPr>
          <w:i/>
          <w:iCs/>
        </w:rPr>
      </w:pPr>
    </w:p>
    <w:p w:rsidR="00FF3007" w:rsidP="00FF3007" w14:paraId="0297BCFF" w14:textId="60FE4A09">
      <w:pPr>
        <w:pStyle w:val="Standard"/>
        <w:numPr>
          <w:ilvl w:val="0"/>
          <w:numId w:val="24"/>
        </w:numPr>
        <w:outlineLvl w:val="1"/>
      </w:pPr>
      <w:r>
        <w:t xml:space="preserve">Respondents must </w:t>
      </w:r>
      <w:r w:rsidR="00D66C91">
        <w:t xml:space="preserve">generally </w:t>
      </w:r>
      <w:r>
        <w:t xml:space="preserve">keep copies of records that demonstrate compliance with the RFS program, including records that relate to registration and compliance reports submitted to EPA. </w:t>
      </w:r>
      <w:r w:rsidR="00204162">
        <w:t xml:space="preserve">Nearly all companies have electronic records systems; in addition, companies are also able to access records of their registration/reporting submissions to EPA via their secure accounts with us. </w:t>
      </w:r>
    </w:p>
    <w:p w:rsidR="00FF3007" w:rsidP="00FF3007" w14:paraId="688F2E2F" w14:textId="49DE4556">
      <w:pPr>
        <w:pStyle w:val="Standard"/>
        <w:numPr>
          <w:ilvl w:val="0"/>
          <w:numId w:val="24"/>
        </w:numPr>
        <w:outlineLvl w:val="1"/>
      </w:pPr>
      <w:r>
        <w:t>Respondents must generate/use/keep Product Transfer Documents (PTDs).</w:t>
      </w:r>
    </w:p>
    <w:p w:rsidR="00FF3007" w:rsidP="00FF3007" w14:paraId="6F16D7F8" w14:textId="4978AE9E">
      <w:pPr>
        <w:pStyle w:val="Standard"/>
        <w:numPr>
          <w:ilvl w:val="0"/>
          <w:numId w:val="24"/>
        </w:numPr>
        <w:outlineLvl w:val="1"/>
      </w:pPr>
      <w:r>
        <w:t xml:space="preserve">Respondents must keep records of </w:t>
      </w:r>
      <w:r w:rsidR="00D66C91">
        <w:t>measurements/</w:t>
      </w:r>
      <w:r>
        <w:t>testing, if applicable.</w:t>
      </w:r>
    </w:p>
    <w:p w:rsidR="00FF3007" w:rsidP="00FF3007" w14:paraId="66B1270D" w14:textId="2F5749C5">
      <w:pPr>
        <w:pStyle w:val="Standard"/>
        <w:numPr>
          <w:ilvl w:val="0"/>
          <w:numId w:val="24"/>
        </w:numPr>
        <w:outlineLvl w:val="1"/>
      </w:pPr>
      <w:r>
        <w:t>Respondents must keep certain records if they elect to use alternative recordkeeping</w:t>
      </w:r>
      <w:r w:rsidR="00D66C91">
        <w:t xml:space="preserve"> provisions</w:t>
      </w:r>
      <w:r>
        <w:t xml:space="preserve"> (</w:t>
      </w:r>
      <w:r w:rsidR="008B6AA3">
        <w:t>e.g.,</w:t>
      </w:r>
      <w:r>
        <w:t xml:space="preserve"> for separated food waste). </w:t>
      </w:r>
    </w:p>
    <w:p w:rsidR="00FF3007" w:rsidP="00FF3007" w14:paraId="0D70E33F" w14:textId="77777777">
      <w:pPr>
        <w:pStyle w:val="Standard"/>
        <w:ind w:left="720"/>
        <w:outlineLvl w:val="1"/>
      </w:pPr>
    </w:p>
    <w:p w:rsidR="00B6069A" w:rsidRPr="00B6069A" w:rsidP="00BE71AD" w14:paraId="5E28AA16" w14:textId="6771990C">
      <w:pPr>
        <w:ind w:firstLine="720"/>
        <w:rPr>
          <w:color w:val="000000" w:themeColor="text1"/>
        </w:rPr>
      </w:pPr>
      <w:r w:rsidRPr="0EE4E124">
        <w:rPr>
          <w:i/>
          <w:iCs/>
        </w:rPr>
        <w:t xml:space="preserve"> </w:t>
      </w:r>
    </w:p>
    <w:p w:rsidR="00B6069A" w:rsidRPr="00013D7B" w:rsidP="00BE71AD" w14:paraId="1B12BB69" w14:textId="77777777">
      <w:pPr>
        <w:ind w:firstLine="720"/>
        <w:rPr>
          <w:rFonts w:eastAsia="SimSun" w:cs="Mangal"/>
          <w:kern w:val="3"/>
          <w:szCs w:val="24"/>
          <w:lang w:eastAsia="zh-CN" w:bidi="hi-IN"/>
        </w:rPr>
      </w:pPr>
    </w:p>
    <w:p w:rsidR="003B425A" w:rsidRPr="003B425A" w:rsidP="003B425A" w14:paraId="0519F613" w14:textId="77777777">
      <w:pPr>
        <w:widowControl w:val="0"/>
        <w:suppressAutoHyphens/>
        <w:autoSpaceDN w:val="0"/>
        <w:ind w:left="720" w:hanging="720"/>
        <w:outlineLvl w:val="0"/>
        <w:rPr>
          <w:rFonts w:eastAsia="SimSun" w:cs="Mangal"/>
          <w:b/>
          <w:kern w:val="3"/>
          <w:szCs w:val="24"/>
          <w:u w:val="single"/>
          <w:lang w:eastAsia="zh-CN" w:bidi="hi-IN"/>
        </w:rPr>
      </w:pPr>
      <w:r w:rsidRPr="003B425A">
        <w:rPr>
          <w:rFonts w:eastAsia="SimSun" w:cs="Mangal"/>
          <w:b/>
          <w:kern w:val="3"/>
          <w:szCs w:val="24"/>
          <w:lang w:eastAsia="zh-CN" w:bidi="hi-IN"/>
        </w:rPr>
        <w:t>5.</w:t>
      </w:r>
      <w:r w:rsidRPr="003B425A">
        <w:rPr>
          <w:rFonts w:eastAsia="SimSun" w:cs="Mangal"/>
          <w:b/>
          <w:kern w:val="3"/>
          <w:szCs w:val="24"/>
          <w:lang w:eastAsia="zh-CN" w:bidi="hi-IN"/>
        </w:rPr>
        <w:tab/>
      </w:r>
      <w:r w:rsidRPr="003B425A">
        <w:rPr>
          <w:rFonts w:eastAsia="SimSun" w:cs="Mangal"/>
          <w:b/>
          <w:kern w:val="3"/>
          <w:szCs w:val="24"/>
          <w:u w:val="single"/>
          <w:lang w:eastAsia="zh-CN" w:bidi="hi-IN"/>
        </w:rPr>
        <w:t>The Information Collected, Agency Activities, Collection Methodology, and Information Management</w:t>
      </w:r>
    </w:p>
    <w:p w:rsidR="003B425A" w:rsidRPr="003B425A" w:rsidP="003B425A" w14:paraId="5001F099" w14:textId="77777777">
      <w:pPr>
        <w:widowControl w:val="0"/>
        <w:suppressAutoHyphens/>
        <w:autoSpaceDN w:val="0"/>
        <w:ind w:firstLine="720"/>
        <w:rPr>
          <w:rFonts w:eastAsia="SimSun" w:cs="Mangal"/>
          <w:b/>
          <w:kern w:val="3"/>
          <w:szCs w:val="24"/>
          <w:lang w:eastAsia="zh-CN" w:bidi="hi-IN"/>
        </w:rPr>
      </w:pPr>
    </w:p>
    <w:p w:rsidR="003B425A" w:rsidRPr="003B425A" w:rsidP="003B425A" w14:paraId="7577F22C"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5(a)</w:t>
      </w:r>
      <w:r w:rsidRPr="003B425A">
        <w:rPr>
          <w:rFonts w:eastAsia="SimSun" w:cs="Mangal"/>
          <w:b/>
          <w:kern w:val="3"/>
          <w:szCs w:val="24"/>
          <w:lang w:eastAsia="zh-CN" w:bidi="hi-IN"/>
        </w:rPr>
        <w:tab/>
        <w:t>Agency Activities</w:t>
      </w:r>
    </w:p>
    <w:p w:rsidR="003B425A" w:rsidRPr="003B425A" w:rsidP="003B425A" w14:paraId="159284F6" w14:textId="77777777">
      <w:pPr>
        <w:widowControl w:val="0"/>
        <w:suppressAutoHyphens/>
        <w:autoSpaceDN w:val="0"/>
        <w:ind w:firstLine="720"/>
        <w:rPr>
          <w:rFonts w:eastAsia="SimSun" w:cs="Mangal"/>
          <w:kern w:val="3"/>
          <w:szCs w:val="24"/>
          <w:lang w:eastAsia="zh-CN" w:bidi="hi-IN"/>
        </w:rPr>
      </w:pPr>
    </w:p>
    <w:p w:rsidR="003B425A" w:rsidRPr="003B425A" w:rsidP="003B425A" w14:paraId="31039853" w14:textId="77777777">
      <w:pPr>
        <w:widowControl w:val="0"/>
        <w:numPr>
          <w:ilvl w:val="0"/>
          <w:numId w:val="8"/>
        </w:numPr>
        <w:suppressAutoHyphens/>
        <w:autoSpaceDN w:val="0"/>
        <w:ind w:left="1080"/>
        <w:rPr>
          <w:rFonts w:eastAsia="SimSun" w:cs="Mangal"/>
          <w:kern w:val="3"/>
          <w:szCs w:val="24"/>
          <w:lang w:eastAsia="zh-CN" w:bidi="hi-IN"/>
        </w:rPr>
      </w:pPr>
      <w:r w:rsidRPr="003B425A">
        <w:rPr>
          <w:rFonts w:eastAsia="SimSun" w:cs="Mangal"/>
          <w:kern w:val="3"/>
          <w:szCs w:val="24"/>
          <w:lang w:eastAsia="zh-CN" w:bidi="hi-IN"/>
        </w:rPr>
        <w:t>All reports and registrations will be reviewed by the EPA for completeness and for potential violations.</w:t>
      </w:r>
    </w:p>
    <w:p w:rsidR="003B425A" w:rsidRPr="003B425A" w:rsidP="003B425A" w14:paraId="71F78283" w14:textId="77777777">
      <w:pPr>
        <w:widowControl w:val="0"/>
        <w:numPr>
          <w:ilvl w:val="0"/>
          <w:numId w:val="8"/>
        </w:numPr>
        <w:suppressAutoHyphens/>
        <w:autoSpaceDN w:val="0"/>
        <w:ind w:left="1080"/>
        <w:rPr>
          <w:rFonts w:eastAsia="SimSun" w:cs="Mangal"/>
          <w:kern w:val="3"/>
          <w:szCs w:val="24"/>
          <w:lang w:eastAsia="zh-CN" w:bidi="hi-IN"/>
        </w:rPr>
      </w:pPr>
      <w:r w:rsidRPr="003B425A">
        <w:rPr>
          <w:rFonts w:eastAsia="SimSun" w:cs="Mangal"/>
          <w:kern w:val="3"/>
          <w:szCs w:val="24"/>
          <w:lang w:eastAsia="zh-CN" w:bidi="hi-IN"/>
        </w:rPr>
        <w:t>Potential violations will be referred to enforcement personnel.</w:t>
      </w:r>
    </w:p>
    <w:p w:rsidR="003B425A" w:rsidRPr="003B425A" w:rsidP="003B425A" w14:paraId="3F56DE0A" w14:textId="77777777">
      <w:pPr>
        <w:widowControl w:val="0"/>
        <w:numPr>
          <w:ilvl w:val="0"/>
          <w:numId w:val="8"/>
        </w:numPr>
        <w:suppressAutoHyphens/>
        <w:autoSpaceDN w:val="0"/>
        <w:ind w:left="1080"/>
        <w:rPr>
          <w:rFonts w:eastAsia="SimSun" w:cs="Mangal"/>
          <w:kern w:val="3"/>
          <w:szCs w:val="24"/>
          <w:lang w:eastAsia="zh-CN" w:bidi="hi-IN"/>
        </w:rPr>
      </w:pPr>
      <w:r w:rsidRPr="003B425A">
        <w:rPr>
          <w:rFonts w:eastAsia="SimSun" w:cs="Mangal"/>
          <w:kern w:val="3"/>
          <w:szCs w:val="24"/>
          <w:lang w:eastAsia="zh-CN" w:bidi="hi-IN"/>
        </w:rPr>
        <w:t xml:space="preserve">Registration numbers will be issued for new registrants. </w:t>
      </w:r>
    </w:p>
    <w:p w:rsidR="003B425A" w:rsidRPr="003B425A" w:rsidP="003B425A" w14:paraId="0291089E" w14:textId="77777777">
      <w:pPr>
        <w:widowControl w:val="0"/>
        <w:numPr>
          <w:ilvl w:val="0"/>
          <w:numId w:val="8"/>
        </w:numPr>
        <w:suppressAutoHyphens/>
        <w:autoSpaceDN w:val="0"/>
        <w:ind w:left="1080"/>
        <w:rPr>
          <w:rFonts w:eastAsia="SimSun" w:cs="Mangal"/>
          <w:kern w:val="3"/>
          <w:szCs w:val="24"/>
          <w:lang w:eastAsia="zh-CN" w:bidi="hi-IN"/>
        </w:rPr>
      </w:pPr>
      <w:r w:rsidRPr="003B425A">
        <w:rPr>
          <w:rFonts w:eastAsia="SimSun" w:cs="Mangal"/>
          <w:kern w:val="3"/>
          <w:szCs w:val="24"/>
          <w:lang w:eastAsia="zh-CN" w:bidi="hi-IN"/>
        </w:rPr>
        <w:t>The EPA will contact reporting parties if there is a problem with their submission.</w:t>
      </w:r>
    </w:p>
    <w:p w:rsidR="003B425A" w:rsidRPr="003B425A" w:rsidP="003B425A" w14:paraId="110446DB" w14:textId="77777777">
      <w:pPr>
        <w:widowControl w:val="0"/>
        <w:suppressAutoHyphens/>
        <w:autoSpaceDN w:val="0"/>
        <w:ind w:firstLine="720"/>
        <w:rPr>
          <w:rFonts w:eastAsia="SimSun" w:cs="Mangal"/>
          <w:kern w:val="3"/>
          <w:szCs w:val="24"/>
          <w:lang w:eastAsia="zh-CN" w:bidi="hi-IN"/>
        </w:rPr>
      </w:pPr>
    </w:p>
    <w:p w:rsidR="003B425A" w:rsidRPr="003B425A" w:rsidP="003B425A" w14:paraId="6C1EEE8A"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 xml:space="preserve">5(b) </w:t>
      </w:r>
      <w:r w:rsidRPr="003B425A">
        <w:rPr>
          <w:rFonts w:eastAsia="SimSun" w:cs="Mangal"/>
          <w:b/>
          <w:kern w:val="3"/>
          <w:szCs w:val="24"/>
          <w:lang w:eastAsia="zh-CN" w:bidi="hi-IN"/>
        </w:rPr>
        <w:tab/>
        <w:t>Collection Methodology and Management</w:t>
      </w:r>
    </w:p>
    <w:p w:rsidR="003B425A" w:rsidRPr="003B425A" w:rsidP="003B425A" w14:paraId="79B210B3" w14:textId="77777777">
      <w:pPr>
        <w:suppressAutoHyphens/>
        <w:autoSpaceDN w:val="0"/>
        <w:ind w:firstLine="720"/>
        <w:rPr>
          <w:rFonts w:eastAsia="SimSun" w:cs="Mangal"/>
          <w:kern w:val="3"/>
          <w:szCs w:val="24"/>
          <w:lang w:eastAsia="zh-CN" w:bidi="hi-IN"/>
        </w:rPr>
      </w:pPr>
    </w:p>
    <w:p w:rsidR="003B425A" w:rsidRPr="003B425A" w:rsidP="003B425A" w14:paraId="3F37AADF" w14:textId="160AC5E1">
      <w:pPr>
        <w:autoSpaceDE w:val="0"/>
        <w:autoSpaceDN w:val="0"/>
        <w:adjustRightInd w:val="0"/>
        <w:ind w:firstLine="720"/>
        <w:rPr>
          <w:rFonts w:eastAsia="SimSun" w:cs="Times New Roman"/>
          <w:kern w:val="3"/>
          <w:szCs w:val="24"/>
          <w:lang w:eastAsia="zh-CN" w:bidi="hi-IN"/>
        </w:rPr>
      </w:pPr>
      <w:bookmarkStart w:id="4" w:name="_Hlk135896219"/>
      <w:r w:rsidRPr="003B425A">
        <w:rPr>
          <w:rFonts w:eastAsia="SimSun" w:cs="Mangal"/>
          <w:kern w:val="3"/>
          <w:szCs w:val="24"/>
          <w:lang w:eastAsia="zh-CN" w:bidi="hi-IN"/>
        </w:rPr>
        <w:t>The EPA will</w:t>
      </w:r>
      <w:r w:rsidR="00B44D58">
        <w:rPr>
          <w:rFonts w:eastAsia="SimSun" w:cs="Mangal"/>
          <w:kern w:val="3"/>
          <w:szCs w:val="24"/>
          <w:lang w:eastAsia="zh-CN" w:bidi="hi-IN"/>
        </w:rPr>
        <w:t xml:space="preserve"> </w:t>
      </w:r>
      <w:r w:rsidRPr="003B425A">
        <w:rPr>
          <w:rFonts w:eastAsia="SimSun" w:cs="Mangal"/>
          <w:kern w:val="3"/>
          <w:szCs w:val="24"/>
          <w:lang w:eastAsia="zh-CN" w:bidi="hi-IN"/>
        </w:rPr>
        <w:t>receive all reports, registrations, initial registrations, and updates</w:t>
      </w:r>
      <w:r w:rsidR="00B44D58">
        <w:rPr>
          <w:rFonts w:eastAsia="SimSun" w:cs="Mangal"/>
          <w:kern w:val="3"/>
          <w:szCs w:val="24"/>
          <w:lang w:eastAsia="zh-CN" w:bidi="hi-IN"/>
        </w:rPr>
        <w:t xml:space="preserve"> via existing reporting systems, which are grouped under the </w:t>
      </w:r>
      <w:r w:rsidR="00D66C91">
        <w:rPr>
          <w:rFonts w:eastAsia="SimSun" w:cs="Mangal"/>
          <w:kern w:val="3"/>
          <w:szCs w:val="24"/>
          <w:lang w:eastAsia="zh-CN" w:bidi="hi-IN"/>
        </w:rPr>
        <w:t xml:space="preserve">umbrella system </w:t>
      </w:r>
      <w:r w:rsidR="00B44D58">
        <w:rPr>
          <w:rFonts w:eastAsia="SimSun" w:cs="Mangal"/>
          <w:kern w:val="3"/>
          <w:szCs w:val="24"/>
          <w:lang w:eastAsia="zh-CN" w:bidi="hi-IN"/>
        </w:rPr>
        <w:t xml:space="preserve">name of TeRRA and include </w:t>
      </w:r>
      <w:r w:rsidR="00204162">
        <w:rPr>
          <w:rFonts w:eastAsia="SimSun" w:cs="Mangal"/>
          <w:kern w:val="3"/>
          <w:szCs w:val="24"/>
          <w:lang w:eastAsia="zh-CN" w:bidi="hi-IN"/>
        </w:rPr>
        <w:t xml:space="preserve">OTAQREG, </w:t>
      </w:r>
      <w:r w:rsidR="00B44D58">
        <w:rPr>
          <w:rFonts w:eastAsia="SimSun" w:cs="Mangal"/>
          <w:kern w:val="3"/>
          <w:szCs w:val="24"/>
          <w:lang w:eastAsia="zh-CN" w:bidi="hi-IN"/>
        </w:rPr>
        <w:t>DCFUEL</w:t>
      </w:r>
      <w:r w:rsidR="00204162">
        <w:rPr>
          <w:rFonts w:eastAsia="SimSun" w:cs="Mangal"/>
          <w:kern w:val="3"/>
          <w:szCs w:val="24"/>
          <w:lang w:eastAsia="zh-CN" w:bidi="hi-IN"/>
        </w:rPr>
        <w:t>,</w:t>
      </w:r>
      <w:r w:rsidR="00B44D58">
        <w:rPr>
          <w:rFonts w:eastAsia="SimSun" w:cs="Mangal"/>
          <w:kern w:val="3"/>
          <w:szCs w:val="24"/>
          <w:lang w:eastAsia="zh-CN" w:bidi="hi-IN"/>
        </w:rPr>
        <w:t xml:space="preserve"> and EMTS modules</w:t>
      </w:r>
      <w:r w:rsidRPr="003B425A">
        <w:rPr>
          <w:rFonts w:eastAsia="SimSun" w:cs="Mangal"/>
          <w:kern w:val="3"/>
          <w:szCs w:val="24"/>
          <w:lang w:eastAsia="zh-CN" w:bidi="hi-IN"/>
        </w:rPr>
        <w:t>.</w:t>
      </w:r>
      <w:r w:rsidR="00B44D58">
        <w:rPr>
          <w:rFonts w:eastAsia="SimSun" w:cs="Mangal"/>
          <w:kern w:val="3"/>
          <w:szCs w:val="24"/>
          <w:lang w:eastAsia="zh-CN" w:bidi="hi-IN"/>
        </w:rPr>
        <w:t xml:space="preserve"> EPA utilizes the Central Data Exchange (CDX), which is a secure portal, for many submissions.</w:t>
      </w:r>
      <w:r w:rsidRPr="003B425A">
        <w:rPr>
          <w:rFonts w:eastAsia="SimSun" w:cs="Mangal"/>
          <w:kern w:val="3"/>
          <w:szCs w:val="24"/>
          <w:lang w:eastAsia="zh-CN" w:bidi="hi-IN"/>
        </w:rPr>
        <w:t xml:space="preserve"> Information claimed as CBI will be stored in appropriately controlled areas.</w:t>
      </w:r>
      <w:bookmarkEnd w:id="4"/>
      <w:r w:rsidRPr="003B425A">
        <w:rPr>
          <w:rFonts w:eastAsia="SimSun" w:cs="Mangal"/>
          <w:kern w:val="3"/>
          <w:szCs w:val="24"/>
          <w:lang w:eastAsia="zh-CN" w:bidi="hi-IN"/>
        </w:rPr>
        <w:t xml:space="preserve"> The </w:t>
      </w:r>
      <w:r w:rsidRPr="003B425A">
        <w:rPr>
          <w:rFonts w:eastAsia="SimSun" w:cs="Times New Roman"/>
          <w:szCs w:val="24"/>
          <w:lang w:eastAsia="zh-CN"/>
        </w:rPr>
        <w:t xml:space="preserve">EPA will provide Guidance Documents, Report Instructions, and Report Templates at: </w:t>
      </w:r>
      <w:r w:rsidRPr="003B425A">
        <w:rPr>
          <w:rFonts w:eastAsia="SimSun" w:cs="Times New Roman"/>
          <w:szCs w:val="24"/>
          <w:u w:val="single"/>
          <w:lang w:eastAsia="zh-CN"/>
        </w:rPr>
        <w:t>https://www.epa.gov/fuels-registration-reporting-and-compliance-help/list-all-quarterly-and-annual-reports-renewable</w:t>
      </w:r>
      <w:r w:rsidRPr="003B425A">
        <w:rPr>
          <w:rFonts w:eastAsia="SimSun" w:cs="Times New Roman"/>
          <w:szCs w:val="24"/>
          <w:lang w:eastAsia="zh-CN"/>
        </w:rPr>
        <w:t>.</w:t>
      </w:r>
    </w:p>
    <w:p w:rsidR="003B425A" w:rsidRPr="003B425A" w:rsidP="003B425A" w14:paraId="55A312FD" w14:textId="77777777">
      <w:pPr>
        <w:widowControl w:val="0"/>
        <w:suppressAutoHyphens/>
        <w:autoSpaceDN w:val="0"/>
        <w:ind w:firstLine="720"/>
        <w:rPr>
          <w:rFonts w:eastAsia="SimSun" w:cs="Mangal"/>
          <w:kern w:val="3"/>
          <w:szCs w:val="24"/>
          <w:lang w:eastAsia="zh-CN" w:bidi="hi-IN"/>
        </w:rPr>
      </w:pPr>
    </w:p>
    <w:p w:rsidR="003B425A" w:rsidRPr="003B425A" w:rsidP="003B425A" w14:paraId="6C1C55EA"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5(c)</w:t>
      </w:r>
      <w:r w:rsidRPr="003B425A">
        <w:rPr>
          <w:rFonts w:eastAsia="SimSun" w:cs="Mangal"/>
          <w:b/>
          <w:kern w:val="3"/>
          <w:szCs w:val="24"/>
          <w:lang w:eastAsia="zh-CN" w:bidi="hi-IN"/>
        </w:rPr>
        <w:tab/>
        <w:t>Small Entity Flexibility</w:t>
      </w:r>
    </w:p>
    <w:p w:rsidR="003B425A" w:rsidRPr="003B425A" w:rsidP="003B425A" w14:paraId="1618E254" w14:textId="77777777">
      <w:pPr>
        <w:widowControl w:val="0"/>
        <w:suppressAutoHyphens/>
        <w:autoSpaceDN w:val="0"/>
        <w:ind w:firstLine="720"/>
        <w:rPr>
          <w:rFonts w:eastAsia="SimSun" w:cs="Mangal"/>
          <w:kern w:val="3"/>
          <w:szCs w:val="24"/>
          <w:lang w:eastAsia="zh-CN" w:bidi="hi-IN"/>
        </w:rPr>
      </w:pPr>
    </w:p>
    <w:p w:rsidR="003B4B50" w:rsidP="003B425A" w14:paraId="4CBB6BE1" w14:textId="031243F2">
      <w:pPr>
        <w:widowControl w:val="0"/>
        <w:suppressAutoHyphens/>
        <w:autoSpaceDN w:val="0"/>
        <w:ind w:firstLine="720"/>
        <w:rPr>
          <w:rStyle w:val="eop"/>
          <w:color w:val="000000"/>
          <w:shd w:val="clear" w:color="auto" w:fill="FFFFFF"/>
        </w:rPr>
      </w:pPr>
      <w:r>
        <w:rPr>
          <w:rStyle w:val="normaltextrun"/>
          <w:color w:val="000000"/>
          <w:shd w:val="clear" w:color="auto" w:fill="FFFFFF"/>
        </w:rPr>
        <w:t xml:space="preserve">This rule does not </w:t>
      </w:r>
      <w:r w:rsidR="008B6AA3">
        <w:rPr>
          <w:rStyle w:val="normaltextrun"/>
          <w:color w:val="000000"/>
          <w:shd w:val="clear" w:color="auto" w:fill="FFFFFF"/>
        </w:rPr>
        <w:t>change the</w:t>
      </w:r>
      <w:r w:rsidR="00C9212F">
        <w:rPr>
          <w:rStyle w:val="normaltextrun"/>
          <w:color w:val="000000"/>
          <w:shd w:val="clear" w:color="auto" w:fill="FFFFFF"/>
        </w:rPr>
        <w:t xml:space="preserve"> compliance flexibilities currently offered to small entities under the RFS program and available information shows that the impact on small entities from implementation of this rule will not be significant.</w:t>
      </w:r>
      <w:r w:rsidR="00C9212F">
        <w:rPr>
          <w:rStyle w:val="eop"/>
          <w:color w:val="000000"/>
          <w:shd w:val="clear" w:color="auto" w:fill="FFFFFF"/>
        </w:rPr>
        <w:t xml:space="preserve"> Existing flexibilities available to small entities under the RFS program </w:t>
      </w:r>
      <w:r w:rsidRPr="00C9212F" w:rsidR="00C9212F">
        <w:rPr>
          <w:rStyle w:val="eop"/>
          <w:color w:val="000000"/>
          <w:shd w:val="clear" w:color="auto" w:fill="FFFFFF"/>
        </w:rPr>
        <w:t xml:space="preserve">include being able to comply through RIN trading rather than renewable fuel blending, 20 percent RIN rollover allowance (up to 20 percent of an obligated party’s </w:t>
      </w:r>
      <w:r w:rsidR="00C9212F">
        <w:rPr>
          <w:rStyle w:val="eop"/>
          <w:color w:val="000000"/>
          <w:shd w:val="clear" w:color="auto" w:fill="FFFFFF"/>
        </w:rPr>
        <w:t>renewable volume obligation (</w:t>
      </w:r>
      <w:r w:rsidRPr="00C9212F" w:rsidR="00C9212F">
        <w:rPr>
          <w:rStyle w:val="eop"/>
          <w:color w:val="000000"/>
          <w:shd w:val="clear" w:color="auto" w:fill="FFFFFF"/>
        </w:rPr>
        <w:t>RVO</w:t>
      </w:r>
      <w:r w:rsidR="00C9212F">
        <w:rPr>
          <w:rStyle w:val="eop"/>
          <w:color w:val="000000"/>
          <w:shd w:val="clear" w:color="auto" w:fill="FFFFFF"/>
        </w:rPr>
        <w:t>)</w:t>
      </w:r>
      <w:r w:rsidRPr="00C9212F" w:rsidR="00C9212F">
        <w:rPr>
          <w:rStyle w:val="eop"/>
          <w:color w:val="000000"/>
          <w:shd w:val="clear" w:color="auto" w:fill="FFFFFF"/>
        </w:rPr>
        <w:t xml:space="preserve"> can be met using previous-year RINs), and deficit carry-forward (the ability to carry over a deficit from a given year into the following year, provided that the deficit is satisfied together with the next year’s RVO).</w:t>
      </w:r>
    </w:p>
    <w:p w:rsidR="00C9212F" w:rsidRPr="00E731FC" w:rsidP="003B425A" w14:paraId="27E0EB33" w14:textId="77777777">
      <w:pPr>
        <w:widowControl w:val="0"/>
        <w:suppressAutoHyphens/>
        <w:autoSpaceDN w:val="0"/>
        <w:ind w:firstLine="720"/>
        <w:rPr>
          <w:rFonts w:eastAsia="SimSun" w:cs="Mangal"/>
          <w:kern w:val="3"/>
          <w:sz w:val="20"/>
          <w:szCs w:val="20"/>
          <w:lang w:eastAsia="zh-CN" w:bidi="hi-IN"/>
        </w:rPr>
      </w:pPr>
    </w:p>
    <w:p w:rsidR="003B425A" w:rsidRPr="003B425A" w:rsidP="003B425A" w14:paraId="1F7A2590"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5(d)</w:t>
      </w:r>
      <w:r w:rsidRPr="003B425A">
        <w:rPr>
          <w:rFonts w:eastAsia="SimSun" w:cs="Mangal"/>
          <w:b/>
          <w:kern w:val="3"/>
          <w:szCs w:val="24"/>
          <w:lang w:eastAsia="zh-CN" w:bidi="hi-IN"/>
        </w:rPr>
        <w:tab/>
        <w:t>Collection Schedule</w:t>
      </w:r>
    </w:p>
    <w:p w:rsidR="003B425A" w:rsidRPr="003B425A" w:rsidP="003B425A" w14:paraId="2BFFBCC3" w14:textId="77777777">
      <w:pPr>
        <w:widowControl w:val="0"/>
        <w:suppressAutoHyphens/>
        <w:autoSpaceDN w:val="0"/>
        <w:ind w:firstLine="720"/>
        <w:rPr>
          <w:rFonts w:eastAsia="SimSun" w:cs="Mangal"/>
          <w:kern w:val="3"/>
          <w:szCs w:val="24"/>
          <w:lang w:eastAsia="zh-CN" w:bidi="hi-IN"/>
        </w:rPr>
      </w:pPr>
    </w:p>
    <w:p w:rsidR="003B425A" w:rsidRPr="003B425A" w:rsidP="003B425A" w14:paraId="0CF94834" w14:textId="34D4F309">
      <w:pPr>
        <w:suppressAutoHyphens/>
        <w:autoSpaceDN w:val="0"/>
        <w:ind w:firstLine="720"/>
        <w:rPr>
          <w:rFonts w:eastAsia="SimSun" w:cs="Mangal"/>
          <w:kern w:val="3"/>
          <w:szCs w:val="24"/>
          <w:lang w:eastAsia="zh-CN" w:bidi="hi-IN"/>
        </w:rPr>
      </w:pPr>
      <w:r w:rsidRPr="003B425A">
        <w:rPr>
          <w:rFonts w:eastAsia="SimSun" w:cs="Mangal"/>
          <w:kern w:val="3"/>
          <w:szCs w:val="24"/>
          <w:lang w:eastAsia="zh-CN" w:bidi="hi-IN"/>
        </w:rPr>
        <w:t xml:space="preserve">Registrations are </w:t>
      </w:r>
      <w:r w:rsidR="00D66C91">
        <w:rPr>
          <w:rFonts w:eastAsia="SimSun" w:cs="Mangal"/>
          <w:kern w:val="3"/>
          <w:szCs w:val="24"/>
          <w:lang w:eastAsia="zh-CN" w:bidi="hi-IN"/>
        </w:rPr>
        <w:t xml:space="preserve">typically </w:t>
      </w:r>
      <w:r w:rsidRPr="003B425A">
        <w:rPr>
          <w:rFonts w:eastAsia="SimSun" w:cs="Mangal"/>
          <w:kern w:val="3"/>
          <w:szCs w:val="24"/>
          <w:lang w:eastAsia="zh-CN" w:bidi="hi-IN"/>
        </w:rPr>
        <w:t>received on a rolling basis</w:t>
      </w:r>
      <w:r w:rsidR="00D66C91">
        <w:rPr>
          <w:rFonts w:eastAsia="SimSun" w:cs="Mangal"/>
          <w:kern w:val="3"/>
          <w:szCs w:val="24"/>
          <w:lang w:eastAsia="zh-CN" w:bidi="hi-IN"/>
        </w:rPr>
        <w:t>, although we expect many parties to seek to register as soon as possible once the</w:t>
      </w:r>
      <w:r w:rsidR="007A0B15">
        <w:rPr>
          <w:rFonts w:eastAsia="SimSun" w:cs="Mangal"/>
          <w:kern w:val="3"/>
          <w:szCs w:val="24"/>
          <w:lang w:eastAsia="zh-CN" w:bidi="hi-IN"/>
        </w:rPr>
        <w:t xml:space="preserve"> final</w:t>
      </w:r>
      <w:r w:rsidR="00D66C91">
        <w:rPr>
          <w:rFonts w:eastAsia="SimSun" w:cs="Mangal"/>
          <w:kern w:val="3"/>
          <w:szCs w:val="24"/>
          <w:lang w:eastAsia="zh-CN" w:bidi="hi-IN"/>
        </w:rPr>
        <w:t xml:space="preserve"> rule is effective</w:t>
      </w:r>
      <w:r w:rsidRPr="003B425A">
        <w:rPr>
          <w:rFonts w:eastAsia="SimSun" w:cs="Mangal"/>
          <w:kern w:val="3"/>
          <w:szCs w:val="24"/>
          <w:lang w:eastAsia="zh-CN" w:bidi="hi-IN"/>
        </w:rPr>
        <w:t>. Updates may be sent in at any time after initial registration</w:t>
      </w:r>
      <w:r w:rsidR="00D66C91">
        <w:rPr>
          <w:rFonts w:eastAsia="SimSun" w:cs="Mangal"/>
          <w:kern w:val="3"/>
          <w:szCs w:val="24"/>
          <w:lang w:eastAsia="zh-CN" w:bidi="hi-IN"/>
        </w:rPr>
        <w:t>, as they are often triggered by events such as a change of address or change of ownership</w:t>
      </w:r>
      <w:r w:rsidRPr="003B425A">
        <w:rPr>
          <w:rFonts w:eastAsia="SimSun" w:cs="Mangal"/>
          <w:kern w:val="3"/>
          <w:szCs w:val="24"/>
          <w:lang w:eastAsia="zh-CN" w:bidi="hi-IN"/>
        </w:rPr>
        <w:t xml:space="preserve">. New parties may enter the regulated industry at any time, </w:t>
      </w:r>
      <w:r w:rsidRPr="003B425A" w:rsidR="004464CE">
        <w:rPr>
          <w:rFonts w:eastAsia="SimSun" w:cs="Mangal"/>
          <w:kern w:val="3"/>
          <w:szCs w:val="24"/>
          <w:lang w:eastAsia="zh-CN" w:bidi="hi-IN"/>
        </w:rPr>
        <w:t>trigg</w:t>
      </w:r>
      <w:r w:rsidR="004464CE">
        <w:rPr>
          <w:rFonts w:eastAsia="SimSun" w:cs="Mangal"/>
          <w:kern w:val="3"/>
          <w:szCs w:val="24"/>
          <w:lang w:eastAsia="zh-CN" w:bidi="hi-IN"/>
        </w:rPr>
        <w:t>eri</w:t>
      </w:r>
      <w:r w:rsidRPr="003B425A" w:rsidR="004464CE">
        <w:rPr>
          <w:rFonts w:eastAsia="SimSun" w:cs="Mangal"/>
          <w:kern w:val="3"/>
          <w:szCs w:val="24"/>
          <w:lang w:eastAsia="zh-CN" w:bidi="hi-IN"/>
        </w:rPr>
        <w:t>ng</w:t>
      </w:r>
      <w:r w:rsidRPr="003B425A">
        <w:rPr>
          <w:rFonts w:eastAsia="SimSun" w:cs="Mangal"/>
          <w:kern w:val="3"/>
          <w:szCs w:val="24"/>
          <w:lang w:eastAsia="zh-CN" w:bidi="hi-IN"/>
        </w:rPr>
        <w:t xml:space="preserve"> registration requirements. Reports are submitted to the EPA as needed </w:t>
      </w:r>
      <w:r w:rsidR="00CB3AB0">
        <w:rPr>
          <w:rFonts w:eastAsia="SimSun" w:cs="Mangal"/>
          <w:kern w:val="3"/>
          <w:szCs w:val="24"/>
          <w:lang w:eastAsia="zh-CN" w:bidi="hi-IN"/>
        </w:rPr>
        <w:t xml:space="preserve">or on </w:t>
      </w:r>
      <w:r w:rsidR="00773C12">
        <w:rPr>
          <w:rFonts w:eastAsia="SimSun" w:cs="Mangal"/>
          <w:kern w:val="3"/>
          <w:szCs w:val="24"/>
          <w:lang w:eastAsia="zh-CN" w:bidi="hi-IN"/>
        </w:rPr>
        <w:t xml:space="preserve">a prescribed </w:t>
      </w:r>
      <w:r w:rsidR="00D66C91">
        <w:rPr>
          <w:rFonts w:eastAsia="SimSun" w:cs="Mangal"/>
          <w:kern w:val="3"/>
          <w:szCs w:val="24"/>
          <w:lang w:eastAsia="zh-CN" w:bidi="hi-IN"/>
        </w:rPr>
        <w:t xml:space="preserve">monthly, </w:t>
      </w:r>
      <w:r w:rsidRPr="003B425A">
        <w:rPr>
          <w:rFonts w:eastAsia="SimSun" w:cs="Mangal"/>
          <w:kern w:val="3"/>
          <w:szCs w:val="24"/>
          <w:lang w:eastAsia="zh-CN" w:bidi="hi-IN"/>
        </w:rPr>
        <w:t>quarterly</w:t>
      </w:r>
      <w:r w:rsidR="00D66C91">
        <w:rPr>
          <w:rFonts w:eastAsia="SimSun" w:cs="Mangal"/>
          <w:kern w:val="3"/>
          <w:szCs w:val="24"/>
          <w:lang w:eastAsia="zh-CN" w:bidi="hi-IN"/>
        </w:rPr>
        <w:t>,</w:t>
      </w:r>
      <w:r w:rsidR="00CB3AB0">
        <w:rPr>
          <w:rFonts w:eastAsia="SimSun" w:cs="Mangal"/>
          <w:kern w:val="3"/>
          <w:szCs w:val="24"/>
          <w:lang w:eastAsia="zh-CN" w:bidi="hi-IN"/>
        </w:rPr>
        <w:t xml:space="preserve"> and </w:t>
      </w:r>
      <w:r w:rsidRPr="003B425A">
        <w:rPr>
          <w:rFonts w:eastAsia="SimSun" w:cs="Mangal"/>
          <w:kern w:val="3"/>
          <w:szCs w:val="24"/>
          <w:lang w:eastAsia="zh-CN" w:bidi="hi-IN"/>
        </w:rPr>
        <w:t>annual basis.</w:t>
      </w:r>
    </w:p>
    <w:p w:rsidR="003B425A" w:rsidRPr="003B425A" w:rsidP="003B425A" w14:paraId="5253B1AE" w14:textId="77777777">
      <w:pPr>
        <w:widowControl w:val="0"/>
        <w:suppressAutoHyphens/>
        <w:autoSpaceDE w:val="0"/>
        <w:autoSpaceDN w:val="0"/>
        <w:adjustRightInd w:val="0"/>
        <w:ind w:firstLine="720"/>
        <w:rPr>
          <w:rFonts w:eastAsia="SimSun" w:cs="Mangal"/>
          <w:kern w:val="3"/>
          <w:szCs w:val="24"/>
          <w:lang w:eastAsia="zh-CN" w:bidi="hi-IN"/>
        </w:rPr>
      </w:pPr>
    </w:p>
    <w:p w:rsidR="003B425A" w:rsidRPr="003B425A" w:rsidP="003B425A" w14:paraId="6FD4424A" w14:textId="77777777">
      <w:pPr>
        <w:widowControl w:val="0"/>
        <w:suppressAutoHyphens/>
        <w:autoSpaceDN w:val="0"/>
        <w:outlineLvl w:val="0"/>
        <w:rPr>
          <w:rFonts w:eastAsia="SimSun" w:cs="Mangal"/>
          <w:b/>
          <w:kern w:val="3"/>
          <w:szCs w:val="24"/>
          <w:lang w:eastAsia="zh-CN" w:bidi="hi-IN"/>
        </w:rPr>
      </w:pPr>
      <w:r w:rsidRPr="003B425A">
        <w:rPr>
          <w:rFonts w:eastAsia="SimSun" w:cs="Mangal"/>
          <w:b/>
          <w:kern w:val="3"/>
          <w:szCs w:val="24"/>
          <w:lang w:eastAsia="zh-CN" w:bidi="hi-IN"/>
        </w:rPr>
        <w:t>6.</w:t>
      </w:r>
      <w:r w:rsidRPr="003B425A">
        <w:rPr>
          <w:rFonts w:eastAsia="SimSun" w:cs="Mangal"/>
          <w:b/>
          <w:kern w:val="3"/>
          <w:szCs w:val="24"/>
          <w:lang w:eastAsia="zh-CN" w:bidi="hi-IN"/>
        </w:rPr>
        <w:tab/>
      </w:r>
      <w:r w:rsidRPr="003B425A">
        <w:rPr>
          <w:rFonts w:eastAsia="SimSun" w:cs="Mangal"/>
          <w:b/>
          <w:kern w:val="3"/>
          <w:szCs w:val="24"/>
          <w:u w:val="single"/>
          <w:lang w:eastAsia="zh-CN" w:bidi="hi-IN"/>
        </w:rPr>
        <w:t>Estimating the Burden and Cost of Collection</w:t>
      </w:r>
    </w:p>
    <w:p w:rsidR="003B425A" w:rsidRPr="003B425A" w:rsidP="003B425A" w14:paraId="3D00082B" w14:textId="77777777">
      <w:pPr>
        <w:widowControl w:val="0"/>
        <w:suppressAutoHyphens/>
        <w:autoSpaceDN w:val="0"/>
        <w:ind w:firstLine="720"/>
        <w:rPr>
          <w:rFonts w:eastAsia="SimSun" w:cs="Mangal"/>
          <w:b/>
          <w:kern w:val="3"/>
          <w:szCs w:val="24"/>
          <w:lang w:eastAsia="zh-CN" w:bidi="hi-IN"/>
        </w:rPr>
      </w:pPr>
    </w:p>
    <w:p w:rsidR="003B425A" w:rsidRPr="003B425A" w:rsidP="003B425A" w14:paraId="45463A0E"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6(a)</w:t>
      </w:r>
      <w:r w:rsidRPr="003B425A">
        <w:rPr>
          <w:rFonts w:eastAsia="SimSun" w:cs="Mangal"/>
          <w:b/>
          <w:kern w:val="3"/>
          <w:szCs w:val="24"/>
          <w:lang w:eastAsia="zh-CN" w:bidi="hi-IN"/>
        </w:rPr>
        <w:tab/>
        <w:t xml:space="preserve">Estimating the Respondent Universe </w:t>
      </w:r>
    </w:p>
    <w:p w:rsidR="003B425A" w:rsidRPr="003B425A" w:rsidP="003B425A" w14:paraId="322DFC29" w14:textId="77777777">
      <w:pPr>
        <w:widowControl w:val="0"/>
        <w:suppressAutoHyphens/>
        <w:autoSpaceDN w:val="0"/>
        <w:ind w:firstLine="720"/>
        <w:rPr>
          <w:rFonts w:eastAsia="SimSun" w:cs="Mangal"/>
          <w:kern w:val="3"/>
          <w:szCs w:val="24"/>
          <w:lang w:eastAsia="zh-CN" w:bidi="hi-IN"/>
        </w:rPr>
      </w:pPr>
    </w:p>
    <w:p w:rsidR="003B425A" w:rsidP="003B425A" w14:paraId="292F78E7" w14:textId="781D4B16">
      <w:pPr>
        <w:widowControl w:val="0"/>
        <w:suppressAutoHyphens/>
        <w:autoSpaceDN w:val="0"/>
        <w:ind w:firstLine="720"/>
        <w:rPr>
          <w:rFonts w:eastAsia="SimSun" w:cs="Mangal"/>
          <w:kern w:val="3"/>
          <w:szCs w:val="24"/>
          <w:lang w:eastAsia="zh-CN" w:bidi="hi-IN"/>
        </w:rPr>
      </w:pPr>
      <w:r w:rsidRPr="003B425A">
        <w:rPr>
          <w:rFonts w:eastAsia="SimSun" w:cs="Mangal"/>
          <w:kern w:val="3"/>
          <w:szCs w:val="24"/>
          <w:lang w:eastAsia="zh-CN" w:bidi="hi-IN"/>
        </w:rPr>
        <w:t xml:space="preserve">We drew upon experience implementing similar regulations among the same entities to develop estimates of the burden associated with this collection. </w:t>
      </w:r>
      <w:r w:rsidR="00E12F66">
        <w:rPr>
          <w:rFonts w:eastAsia="SimSun" w:cs="Mangal"/>
          <w:kern w:val="3"/>
          <w:szCs w:val="24"/>
          <w:lang w:eastAsia="zh-CN" w:bidi="hi-IN"/>
        </w:rPr>
        <w:t xml:space="preserve">Detailed burden estimates for each party </w:t>
      </w:r>
      <w:r w:rsidR="00573E8D">
        <w:rPr>
          <w:rFonts w:eastAsia="SimSun" w:cs="Mangal"/>
          <w:kern w:val="3"/>
          <w:szCs w:val="24"/>
          <w:lang w:eastAsia="zh-CN" w:bidi="hi-IN"/>
        </w:rPr>
        <w:t>are in</w:t>
      </w:r>
      <w:r w:rsidR="00E12F66">
        <w:rPr>
          <w:rFonts w:eastAsia="SimSun" w:cs="Mangal"/>
          <w:kern w:val="3"/>
          <w:szCs w:val="24"/>
          <w:lang w:eastAsia="zh-CN" w:bidi="hi-IN"/>
        </w:rPr>
        <w:t xml:space="preserve"> Appendix A. </w:t>
      </w:r>
    </w:p>
    <w:p w:rsidR="001059D0" w:rsidRPr="003B425A" w:rsidP="003B425A" w14:paraId="16D69504" w14:textId="77777777">
      <w:pPr>
        <w:widowControl w:val="0"/>
        <w:suppressAutoHyphens/>
        <w:autoSpaceDN w:val="0"/>
        <w:ind w:firstLine="720"/>
        <w:rPr>
          <w:rFonts w:eastAsia="SimSun" w:cs="Mangal"/>
          <w:kern w:val="3"/>
          <w:szCs w:val="24"/>
          <w:lang w:eastAsia="zh-CN" w:bidi="hi-IN"/>
        </w:rPr>
      </w:pPr>
    </w:p>
    <w:p w:rsidR="00B114DE" w:rsidP="00573E8D" w14:paraId="17A13A2F" w14:textId="5D588118">
      <w:pPr>
        <w:widowControl w:val="0"/>
        <w:suppressAutoHyphens/>
        <w:autoSpaceDN w:val="0"/>
        <w:ind w:firstLine="720"/>
        <w:rPr>
          <w:rFonts w:eastAsia="SimSun" w:cs="Mangal"/>
          <w:kern w:val="3"/>
          <w:szCs w:val="24"/>
          <w:lang w:eastAsia="zh-CN" w:bidi="hi-IN"/>
        </w:rPr>
      </w:pPr>
      <w:r>
        <w:rPr>
          <w:rFonts w:eastAsia="SimSun" w:cs="Mangal"/>
          <w:kern w:val="3"/>
          <w:szCs w:val="24"/>
          <w:lang w:eastAsia="zh-CN" w:bidi="hi-IN"/>
        </w:rPr>
        <w:t xml:space="preserve">To </w:t>
      </w:r>
      <w:r>
        <w:rPr>
          <w:rFonts w:eastAsia="SimSun" w:cs="Mangal"/>
          <w:kern w:val="3"/>
          <w:szCs w:val="24"/>
          <w:lang w:eastAsia="zh-CN" w:bidi="hi-IN"/>
        </w:rPr>
        <w:t xml:space="preserve">assign the costs to the parties who </w:t>
      </w:r>
      <w:r w:rsidR="00035FA6">
        <w:rPr>
          <w:rFonts w:eastAsia="SimSun" w:cs="Mangal"/>
          <w:kern w:val="3"/>
          <w:szCs w:val="24"/>
          <w:lang w:eastAsia="zh-CN" w:bidi="hi-IN"/>
        </w:rPr>
        <w:t xml:space="preserve">bear them, and to avoid </w:t>
      </w:r>
      <w:r w:rsidR="00D16F0B">
        <w:rPr>
          <w:rFonts w:eastAsia="SimSun" w:cs="Mangal"/>
          <w:kern w:val="3"/>
          <w:szCs w:val="24"/>
          <w:lang w:eastAsia="zh-CN" w:bidi="hi-IN"/>
        </w:rPr>
        <w:t>double counting</w:t>
      </w:r>
      <w:r w:rsidR="00035FA6">
        <w:rPr>
          <w:rFonts w:eastAsia="SimSun" w:cs="Mangal"/>
          <w:kern w:val="3"/>
          <w:szCs w:val="24"/>
          <w:lang w:eastAsia="zh-CN" w:bidi="hi-IN"/>
        </w:rPr>
        <w:t xml:space="preserve">, this ICR assigns the responses, hours, and costs to the respondents </w:t>
      </w:r>
      <w:r w:rsidR="001059D0">
        <w:rPr>
          <w:rFonts w:eastAsia="SimSun" w:cs="Mangal"/>
          <w:kern w:val="3"/>
          <w:szCs w:val="24"/>
          <w:lang w:eastAsia="zh-CN" w:bidi="hi-IN"/>
        </w:rPr>
        <w:t>in Tables I-</w:t>
      </w:r>
      <w:r w:rsidR="00D434E9">
        <w:rPr>
          <w:rFonts w:eastAsia="SimSun" w:cs="Mangal"/>
          <w:kern w:val="3"/>
          <w:szCs w:val="24"/>
          <w:lang w:eastAsia="zh-CN" w:bidi="hi-IN"/>
        </w:rPr>
        <w:t>VI</w:t>
      </w:r>
      <w:r w:rsidR="00D66C91">
        <w:rPr>
          <w:rFonts w:eastAsia="SimSun" w:cs="Mangal"/>
          <w:kern w:val="3"/>
          <w:szCs w:val="24"/>
          <w:lang w:eastAsia="zh-CN" w:bidi="hi-IN"/>
        </w:rPr>
        <w:t>I and IX</w:t>
      </w:r>
      <w:r w:rsidR="00572F69">
        <w:rPr>
          <w:rFonts w:eastAsia="SimSun" w:cs="Mangal"/>
          <w:kern w:val="3"/>
          <w:szCs w:val="24"/>
          <w:lang w:eastAsia="zh-CN" w:bidi="hi-IN"/>
        </w:rPr>
        <w:t xml:space="preserve"> </w:t>
      </w:r>
      <w:r w:rsidR="00035FA6">
        <w:rPr>
          <w:rFonts w:eastAsia="SimSun" w:cs="Mangal"/>
          <w:kern w:val="3"/>
          <w:szCs w:val="24"/>
          <w:lang w:eastAsia="zh-CN" w:bidi="hi-IN"/>
        </w:rPr>
        <w:t xml:space="preserve">who </w:t>
      </w:r>
      <w:r w:rsidR="00D66C91">
        <w:rPr>
          <w:rFonts w:eastAsia="SimSun" w:cs="Mangal"/>
          <w:kern w:val="3"/>
          <w:szCs w:val="24"/>
          <w:lang w:eastAsia="zh-CN" w:bidi="hi-IN"/>
        </w:rPr>
        <w:t xml:space="preserve">must </w:t>
      </w:r>
      <w:r w:rsidR="00035FA6">
        <w:rPr>
          <w:rFonts w:eastAsia="SimSun" w:cs="Mangal"/>
          <w:kern w:val="3"/>
          <w:szCs w:val="24"/>
          <w:lang w:eastAsia="zh-CN" w:bidi="hi-IN"/>
        </w:rPr>
        <w:t xml:space="preserve">engage the services of third parties to submit information on their behalf (and who purchase those services). However, </w:t>
      </w:r>
      <w:r w:rsidR="004A1AB4">
        <w:rPr>
          <w:rFonts w:eastAsia="SimSun" w:cs="Mangal"/>
          <w:kern w:val="3"/>
          <w:szCs w:val="24"/>
          <w:lang w:eastAsia="zh-CN" w:bidi="hi-IN"/>
        </w:rPr>
        <w:t xml:space="preserve">to </w:t>
      </w:r>
      <w:r w:rsidR="00035FA6">
        <w:rPr>
          <w:rFonts w:eastAsia="SimSun" w:cs="Mangal"/>
          <w:kern w:val="3"/>
          <w:szCs w:val="24"/>
          <w:lang w:eastAsia="zh-CN" w:bidi="hi-IN"/>
        </w:rPr>
        <w:t xml:space="preserve">properly count all respondents, Table </w:t>
      </w:r>
      <w:r w:rsidR="00D434E9">
        <w:rPr>
          <w:rFonts w:eastAsia="SimSun" w:cs="Mangal"/>
          <w:kern w:val="3"/>
          <w:szCs w:val="24"/>
          <w:lang w:eastAsia="zh-CN" w:bidi="hi-IN"/>
        </w:rPr>
        <w:t>VII</w:t>
      </w:r>
      <w:r w:rsidR="00D66C91">
        <w:rPr>
          <w:rFonts w:eastAsia="SimSun" w:cs="Mangal"/>
          <w:kern w:val="3"/>
          <w:szCs w:val="24"/>
          <w:lang w:eastAsia="zh-CN" w:bidi="hi-IN"/>
        </w:rPr>
        <w:t>I</w:t>
      </w:r>
      <w:r w:rsidR="00D434E9">
        <w:rPr>
          <w:rFonts w:eastAsia="SimSun" w:cs="Mangal"/>
          <w:kern w:val="3"/>
          <w:szCs w:val="24"/>
          <w:lang w:eastAsia="zh-CN" w:bidi="hi-IN"/>
        </w:rPr>
        <w:t xml:space="preserve"> i</w:t>
      </w:r>
      <w:r w:rsidR="00035FA6">
        <w:rPr>
          <w:rFonts w:eastAsia="SimSun" w:cs="Mangal"/>
          <w:kern w:val="3"/>
          <w:szCs w:val="24"/>
          <w:lang w:eastAsia="zh-CN" w:bidi="hi-IN"/>
        </w:rPr>
        <w:t xml:space="preserve">ncludes the third parties in the </w:t>
      </w:r>
      <w:r w:rsidR="005C60E4">
        <w:rPr>
          <w:rFonts w:eastAsia="SimSun" w:cs="Mangal"/>
          <w:kern w:val="3"/>
          <w:szCs w:val="24"/>
          <w:lang w:eastAsia="zh-CN" w:bidi="hi-IN"/>
        </w:rPr>
        <w:t xml:space="preserve">total </w:t>
      </w:r>
      <w:r w:rsidR="00035FA6">
        <w:rPr>
          <w:rFonts w:eastAsia="SimSun" w:cs="Mangal"/>
          <w:kern w:val="3"/>
          <w:szCs w:val="24"/>
          <w:lang w:eastAsia="zh-CN" w:bidi="hi-IN"/>
        </w:rPr>
        <w:t xml:space="preserve">number of respondents. </w:t>
      </w:r>
      <w:r w:rsidR="005C60E4">
        <w:rPr>
          <w:rFonts w:eastAsia="SimSun" w:cs="Mangal"/>
          <w:kern w:val="3"/>
          <w:szCs w:val="24"/>
          <w:lang w:eastAsia="zh-CN" w:bidi="hi-IN"/>
        </w:rPr>
        <w:t xml:space="preserve">Please refer to Appendix A for the detailed estimates and explanations. </w:t>
      </w:r>
    </w:p>
    <w:p w:rsidR="003B425A" w:rsidRPr="003B425A" w:rsidP="003B425A" w14:paraId="005360FB" w14:textId="77777777">
      <w:pPr>
        <w:widowControl w:val="0"/>
        <w:suppressAutoHyphens/>
        <w:autoSpaceDN w:val="0"/>
        <w:ind w:firstLine="720"/>
        <w:rPr>
          <w:rFonts w:eastAsia="SimSun" w:cs="Mangal"/>
          <w:kern w:val="3"/>
          <w:szCs w:val="24"/>
          <w:lang w:eastAsia="zh-CN" w:bidi="hi-IN"/>
        </w:rPr>
      </w:pPr>
    </w:p>
    <w:p w:rsidR="003B425A" w:rsidRPr="003B425A" w:rsidP="003B425A" w14:paraId="19BC3382"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6(b)</w:t>
      </w:r>
      <w:r w:rsidRPr="003B425A">
        <w:rPr>
          <w:rFonts w:eastAsia="SimSun" w:cs="Mangal"/>
          <w:b/>
          <w:kern w:val="3"/>
          <w:szCs w:val="24"/>
          <w:lang w:eastAsia="zh-CN" w:bidi="hi-IN"/>
        </w:rPr>
        <w:tab/>
        <w:t>Estimating the Respondent Burden and Cost</w:t>
      </w:r>
    </w:p>
    <w:p w:rsidR="003B425A" w:rsidRPr="003B425A" w:rsidP="003B425A" w14:paraId="6410D027" w14:textId="77777777">
      <w:pPr>
        <w:widowControl w:val="0"/>
        <w:suppressAutoHyphens/>
        <w:autoSpaceDN w:val="0"/>
        <w:ind w:firstLine="720"/>
        <w:rPr>
          <w:rFonts w:eastAsia="SimSun" w:cs="Mangal"/>
          <w:kern w:val="3"/>
          <w:szCs w:val="24"/>
          <w:lang w:eastAsia="zh-CN" w:bidi="hi-IN"/>
        </w:rPr>
      </w:pPr>
    </w:p>
    <w:p w:rsidR="005676D7" w:rsidP="00C346C0" w14:paraId="024A576D" w14:textId="279AA45D">
      <w:pPr>
        <w:suppressAutoHyphens/>
        <w:autoSpaceDN w:val="0"/>
        <w:ind w:firstLine="720"/>
        <w:rPr>
          <w:rFonts w:eastAsia="SimSun" w:cs="Mangal"/>
          <w:kern w:val="3"/>
          <w:szCs w:val="24"/>
          <w:lang w:eastAsia="zh-CN" w:bidi="hi-IN"/>
        </w:rPr>
      </w:pPr>
      <w:r>
        <w:rPr>
          <w:rFonts w:eastAsia="SimSun" w:cs="Mangal"/>
          <w:kern w:val="3"/>
          <w:szCs w:val="24"/>
          <w:lang w:eastAsia="zh-CN" w:bidi="hi-IN"/>
        </w:rPr>
        <w:t xml:space="preserve">The </w:t>
      </w:r>
      <w:r w:rsidR="00496B12">
        <w:rPr>
          <w:rFonts w:eastAsia="SimSun" w:cs="Mangal"/>
          <w:kern w:val="3"/>
          <w:szCs w:val="24"/>
          <w:lang w:eastAsia="zh-CN" w:bidi="hi-IN"/>
        </w:rPr>
        <w:t xml:space="preserve">detailed </w:t>
      </w:r>
      <w:r>
        <w:rPr>
          <w:rFonts w:eastAsia="SimSun" w:cs="Mangal"/>
          <w:kern w:val="3"/>
          <w:szCs w:val="24"/>
          <w:lang w:eastAsia="zh-CN" w:bidi="hi-IN"/>
        </w:rPr>
        <w:t xml:space="preserve">burden estimates are provided in Appendix A. </w:t>
      </w:r>
      <w:r w:rsidR="00496B12">
        <w:rPr>
          <w:rFonts w:eastAsia="SimSun" w:cs="Mangal"/>
          <w:kern w:val="3"/>
          <w:szCs w:val="24"/>
          <w:lang w:eastAsia="zh-CN" w:bidi="hi-IN"/>
        </w:rPr>
        <w:t xml:space="preserve">For </w:t>
      </w:r>
      <w:r w:rsidR="007753FB">
        <w:rPr>
          <w:rFonts w:eastAsia="SimSun" w:cs="Mangal"/>
          <w:kern w:val="3"/>
          <w:szCs w:val="24"/>
          <w:lang w:eastAsia="zh-CN" w:bidi="hi-IN"/>
        </w:rPr>
        <w:t>these estimates</w:t>
      </w:r>
      <w:r w:rsidR="00496B12">
        <w:rPr>
          <w:rFonts w:eastAsia="SimSun" w:cs="Mangal"/>
          <w:kern w:val="3"/>
          <w:szCs w:val="24"/>
          <w:lang w:eastAsia="zh-CN" w:bidi="hi-IN"/>
        </w:rPr>
        <w:t>, f</w:t>
      </w:r>
      <w:r w:rsidRPr="001008F3" w:rsidR="003B425A">
        <w:rPr>
          <w:rFonts w:eastAsia="SimSun" w:cs="Mangal"/>
          <w:kern w:val="3"/>
          <w:szCs w:val="24"/>
          <w:lang w:eastAsia="zh-CN" w:bidi="hi-IN"/>
        </w:rPr>
        <w:t>our labor categories are</w:t>
      </w:r>
      <w:r w:rsidR="00496B12">
        <w:rPr>
          <w:rFonts w:eastAsia="SimSun" w:cs="Mangal"/>
          <w:kern w:val="3"/>
          <w:szCs w:val="24"/>
          <w:lang w:eastAsia="zh-CN" w:bidi="hi-IN"/>
        </w:rPr>
        <w:t xml:space="preserve"> used</w:t>
      </w:r>
      <w:r w:rsidRPr="001008F3" w:rsidR="003B425A">
        <w:rPr>
          <w:rFonts w:eastAsia="SimSun" w:cs="Mangal"/>
          <w:kern w:val="3"/>
          <w:szCs w:val="24"/>
          <w:lang w:eastAsia="zh-CN" w:bidi="hi-IN"/>
        </w:rPr>
        <w:t xml:space="preserve">: managerial, technical, clerical, and legal. </w:t>
      </w:r>
      <w:r w:rsidR="008B6AA3">
        <w:rPr>
          <w:rFonts w:eastAsia="SimSun" w:cs="Mangal"/>
          <w:kern w:val="3"/>
          <w:szCs w:val="24"/>
          <w:lang w:eastAsia="zh-CN" w:bidi="hi-IN"/>
        </w:rPr>
        <w:t xml:space="preserve">Please refer to the Labor Costs Tab </w:t>
      </w:r>
      <w:r w:rsidR="008B6AA3">
        <w:rPr>
          <w:rFonts w:eastAsia="SimSun" w:cs="Mangal"/>
          <w:kern w:val="3"/>
          <w:szCs w:val="24"/>
          <w:lang w:eastAsia="zh-CN" w:bidi="hi-IN"/>
        </w:rPr>
        <w:t xml:space="preserve">in Appendix A for more detail. </w:t>
      </w:r>
      <w:r w:rsidR="00C346C0">
        <w:rPr>
          <w:rFonts w:eastAsia="SimSun" w:cs="Mangal"/>
          <w:kern w:val="3"/>
          <w:szCs w:val="24"/>
          <w:lang w:eastAsia="zh-CN" w:bidi="hi-IN"/>
        </w:rPr>
        <w:t xml:space="preserve">The source of the estimates is U.S. Bureau of Labor Statistics. </w:t>
      </w:r>
      <w:r w:rsidRPr="00C346C0" w:rsidR="00C346C0">
        <w:rPr>
          <w:rFonts w:eastAsia="SimSun" w:cs="Mangal"/>
          <w:kern w:val="3"/>
          <w:szCs w:val="24"/>
          <w:lang w:eastAsia="zh-CN" w:bidi="hi-IN"/>
        </w:rPr>
        <w:t xml:space="preserve">“May 2021 National Industry-Specific Occupational Employment and Wage Estimates for NAICS 324000 - Petroleum and Coal Products Manufacturing” </w:t>
      </w:r>
      <w:r w:rsidR="00C346C0">
        <w:rPr>
          <w:rFonts w:eastAsia="SimSun" w:cs="Mangal"/>
          <w:kern w:val="3"/>
          <w:szCs w:val="24"/>
          <w:lang w:eastAsia="zh-CN" w:bidi="hi-IN"/>
        </w:rPr>
        <w:t>[</w:t>
      </w:r>
      <w:r w:rsidRPr="00C346C0" w:rsidR="00C346C0">
        <w:rPr>
          <w:rFonts w:eastAsia="SimSun" w:cs="Mangal"/>
          <w:kern w:val="3"/>
          <w:szCs w:val="24"/>
          <w:lang w:eastAsia="zh-CN" w:bidi="hi-IN"/>
        </w:rPr>
        <w:t>See: https://www.bls.gov/oes/current/naics3_324000.htm (accessed May 2, 2022).</w:t>
      </w:r>
      <w:r w:rsidR="00C346C0">
        <w:rPr>
          <w:rFonts w:eastAsia="SimSun" w:cs="Mangal"/>
          <w:kern w:val="3"/>
          <w:szCs w:val="24"/>
          <w:lang w:eastAsia="zh-CN" w:bidi="hi-IN"/>
        </w:rPr>
        <w:t>]</w:t>
      </w:r>
      <w:r w:rsidR="005D39AC">
        <w:rPr>
          <w:rFonts w:eastAsia="SimSun" w:cs="Mangal"/>
          <w:kern w:val="3"/>
          <w:szCs w:val="24"/>
          <w:lang w:eastAsia="zh-CN" w:bidi="hi-IN"/>
        </w:rPr>
        <w:t xml:space="preserve"> </w:t>
      </w:r>
      <w:r w:rsidRPr="00C346C0" w:rsidR="00C346C0">
        <w:rPr>
          <w:rFonts w:eastAsia="SimSun" w:cs="Mangal"/>
          <w:kern w:val="3"/>
          <w:szCs w:val="24"/>
          <w:lang w:eastAsia="zh-CN" w:bidi="hi-IN"/>
        </w:rPr>
        <w:t>For each labor category, mean hourly wage was selected</w:t>
      </w:r>
      <w:r w:rsidR="00A634B6">
        <w:rPr>
          <w:rFonts w:eastAsia="SimSun" w:cs="Mangal"/>
          <w:kern w:val="3"/>
          <w:szCs w:val="24"/>
          <w:lang w:eastAsia="zh-CN" w:bidi="hi-IN"/>
        </w:rPr>
        <w:t xml:space="preserve">, as follows: </w:t>
      </w:r>
    </w:p>
    <w:p w:rsidR="005676D7" w:rsidP="00591902" w14:paraId="593DF916" w14:textId="77777777">
      <w:pPr>
        <w:suppressAutoHyphens/>
        <w:autoSpaceDN w:val="0"/>
        <w:ind w:firstLine="720"/>
        <w:rPr>
          <w:rFonts w:eastAsia="SimSun" w:cs="Mangal"/>
          <w:kern w:val="3"/>
          <w:szCs w:val="24"/>
          <w:lang w:eastAsia="zh-CN" w:bidi="hi-IN"/>
        </w:rPr>
      </w:pPr>
    </w:p>
    <w:tbl>
      <w:tblPr>
        <w:tblW w:w="9360" w:type="dxa"/>
        <w:tblLook w:val="04A0"/>
      </w:tblPr>
      <w:tblGrid>
        <w:gridCol w:w="2231"/>
        <w:gridCol w:w="1236"/>
        <w:gridCol w:w="1237"/>
        <w:gridCol w:w="1363"/>
        <w:gridCol w:w="1237"/>
        <w:gridCol w:w="917"/>
        <w:gridCol w:w="917"/>
        <w:gridCol w:w="222"/>
      </w:tblGrid>
      <w:tr w14:paraId="70A43C46" w14:textId="77777777" w:rsidTr="008B6AA3">
        <w:tblPrEx>
          <w:tblW w:w="9360" w:type="dxa"/>
          <w:tblLook w:val="04A0"/>
        </w:tblPrEx>
        <w:trPr>
          <w:gridAfter w:val="1"/>
          <w:wAfter w:w="222" w:type="dxa"/>
          <w:trHeight w:val="300"/>
        </w:trPr>
        <w:tc>
          <w:tcPr>
            <w:tcW w:w="2231" w:type="dxa"/>
            <w:tcBorders>
              <w:top w:val="nil"/>
              <w:left w:val="nil"/>
              <w:bottom w:val="nil"/>
              <w:right w:val="nil"/>
            </w:tcBorders>
            <w:shd w:val="clear" w:color="auto" w:fill="auto"/>
            <w:noWrap/>
            <w:vAlign w:val="bottom"/>
            <w:hideMark/>
          </w:tcPr>
          <w:p w:rsidR="005676D7" w:rsidRPr="005676D7" w:rsidP="005676D7" w14:paraId="648A5757" w14:textId="77777777">
            <w:pPr>
              <w:rPr>
                <w:rFonts w:eastAsia="Times New Roman" w:cs="Times New Roman"/>
                <w:sz w:val="20"/>
                <w:szCs w:val="24"/>
              </w:rPr>
            </w:pPr>
          </w:p>
        </w:tc>
        <w:tc>
          <w:tcPr>
            <w:tcW w:w="1236" w:type="dxa"/>
            <w:tcBorders>
              <w:top w:val="nil"/>
              <w:left w:val="nil"/>
              <w:bottom w:val="nil"/>
              <w:right w:val="nil"/>
            </w:tcBorders>
            <w:shd w:val="clear" w:color="auto" w:fill="auto"/>
            <w:noWrap/>
            <w:vAlign w:val="bottom"/>
            <w:hideMark/>
          </w:tcPr>
          <w:p w:rsidR="005676D7" w:rsidRPr="005676D7" w:rsidP="005676D7" w14:paraId="2A459B25" w14:textId="77777777">
            <w:pPr>
              <w:rPr>
                <w:rFonts w:eastAsia="Times New Roman" w:cs="Times New Roman"/>
                <w:sz w:val="20"/>
                <w:szCs w:val="20"/>
              </w:rPr>
            </w:pPr>
          </w:p>
        </w:tc>
        <w:tc>
          <w:tcPr>
            <w:tcW w:w="1237" w:type="dxa"/>
            <w:tcBorders>
              <w:top w:val="nil"/>
              <w:left w:val="nil"/>
              <w:bottom w:val="nil"/>
              <w:right w:val="nil"/>
            </w:tcBorders>
            <w:shd w:val="clear" w:color="auto" w:fill="auto"/>
            <w:noWrap/>
            <w:vAlign w:val="bottom"/>
            <w:hideMark/>
          </w:tcPr>
          <w:p w:rsidR="005676D7" w:rsidRPr="005676D7" w:rsidP="005676D7" w14:paraId="4B5D9B8E" w14:textId="77777777">
            <w:pPr>
              <w:rPr>
                <w:rFonts w:eastAsia="Times New Roman" w:cs="Times New Roman"/>
                <w:sz w:val="20"/>
                <w:szCs w:val="20"/>
              </w:rPr>
            </w:pPr>
          </w:p>
        </w:tc>
        <w:tc>
          <w:tcPr>
            <w:tcW w:w="1363" w:type="dxa"/>
            <w:tcBorders>
              <w:top w:val="nil"/>
              <w:left w:val="nil"/>
              <w:bottom w:val="nil"/>
              <w:right w:val="nil"/>
            </w:tcBorders>
            <w:shd w:val="clear" w:color="auto" w:fill="auto"/>
            <w:noWrap/>
            <w:vAlign w:val="bottom"/>
            <w:hideMark/>
          </w:tcPr>
          <w:p w:rsidR="005676D7" w:rsidRPr="005676D7" w:rsidP="005676D7" w14:paraId="61256A81" w14:textId="77777777">
            <w:pPr>
              <w:rPr>
                <w:rFonts w:eastAsia="Times New Roman" w:cs="Times New Roman"/>
                <w:sz w:val="20"/>
                <w:szCs w:val="20"/>
              </w:rPr>
            </w:pPr>
          </w:p>
        </w:tc>
        <w:tc>
          <w:tcPr>
            <w:tcW w:w="1237" w:type="dxa"/>
            <w:tcBorders>
              <w:top w:val="nil"/>
              <w:left w:val="nil"/>
              <w:bottom w:val="nil"/>
              <w:right w:val="nil"/>
            </w:tcBorders>
            <w:shd w:val="clear" w:color="auto" w:fill="auto"/>
            <w:noWrap/>
            <w:vAlign w:val="bottom"/>
            <w:hideMark/>
          </w:tcPr>
          <w:p w:rsidR="005676D7" w:rsidRPr="005676D7" w:rsidP="005676D7" w14:paraId="7373C17C" w14:textId="77777777">
            <w:pPr>
              <w:rPr>
                <w:rFonts w:eastAsia="Times New Roman" w:cs="Times New Roman"/>
                <w:sz w:val="20"/>
                <w:szCs w:val="20"/>
              </w:rPr>
            </w:pPr>
          </w:p>
        </w:tc>
        <w:tc>
          <w:tcPr>
            <w:tcW w:w="917" w:type="dxa"/>
            <w:tcBorders>
              <w:top w:val="nil"/>
              <w:left w:val="nil"/>
              <w:bottom w:val="nil"/>
              <w:right w:val="nil"/>
            </w:tcBorders>
            <w:shd w:val="clear" w:color="auto" w:fill="auto"/>
            <w:noWrap/>
            <w:vAlign w:val="bottom"/>
            <w:hideMark/>
          </w:tcPr>
          <w:p w:rsidR="005676D7" w:rsidRPr="005676D7" w:rsidP="005676D7" w14:paraId="3AD29E18" w14:textId="77777777">
            <w:pPr>
              <w:rPr>
                <w:rFonts w:eastAsia="Times New Roman" w:cs="Times New Roman"/>
                <w:sz w:val="20"/>
                <w:szCs w:val="20"/>
              </w:rPr>
            </w:pPr>
          </w:p>
        </w:tc>
        <w:tc>
          <w:tcPr>
            <w:tcW w:w="917" w:type="dxa"/>
            <w:tcBorders>
              <w:top w:val="nil"/>
              <w:left w:val="nil"/>
              <w:bottom w:val="nil"/>
              <w:right w:val="nil"/>
            </w:tcBorders>
            <w:shd w:val="clear" w:color="auto" w:fill="auto"/>
            <w:noWrap/>
            <w:vAlign w:val="bottom"/>
            <w:hideMark/>
          </w:tcPr>
          <w:p w:rsidR="005676D7" w:rsidRPr="005676D7" w:rsidP="005676D7" w14:paraId="3D07D5DC" w14:textId="77777777">
            <w:pPr>
              <w:rPr>
                <w:rFonts w:eastAsia="Times New Roman" w:cs="Times New Roman"/>
                <w:sz w:val="20"/>
                <w:szCs w:val="20"/>
              </w:rPr>
            </w:pPr>
          </w:p>
        </w:tc>
      </w:tr>
      <w:tr w14:paraId="60BF76A6" w14:textId="77777777" w:rsidTr="008B6AA3">
        <w:tblPrEx>
          <w:tblW w:w="9360" w:type="dxa"/>
          <w:tblLook w:val="04A0"/>
        </w:tblPrEx>
        <w:trPr>
          <w:gridAfter w:val="1"/>
          <w:wAfter w:w="222" w:type="dxa"/>
          <w:trHeight w:val="380"/>
        </w:trPr>
        <w:tc>
          <w:tcPr>
            <w:tcW w:w="7304"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676D7" w:rsidRPr="005676D7" w:rsidP="005676D7" w14:paraId="67A94416" w14:textId="77777777">
            <w:pPr>
              <w:jc w:val="center"/>
              <w:rPr>
                <w:rFonts w:eastAsia="Times New Roman" w:cs="Times New Roman"/>
                <w:b/>
                <w:bCs/>
                <w:color w:val="000000"/>
                <w:szCs w:val="24"/>
              </w:rPr>
            </w:pPr>
            <w:r w:rsidRPr="005676D7">
              <w:rPr>
                <w:rFonts w:eastAsia="Times New Roman" w:cs="Times New Roman"/>
                <w:b/>
                <w:bCs/>
                <w:color w:val="000000"/>
                <w:szCs w:val="24"/>
              </w:rPr>
              <w:t>Labor Costs</w:t>
            </w:r>
          </w:p>
        </w:tc>
        <w:tc>
          <w:tcPr>
            <w:tcW w:w="917" w:type="dxa"/>
            <w:tcBorders>
              <w:top w:val="nil"/>
              <w:left w:val="nil"/>
              <w:bottom w:val="nil"/>
              <w:right w:val="nil"/>
            </w:tcBorders>
            <w:shd w:val="clear" w:color="auto" w:fill="auto"/>
            <w:noWrap/>
            <w:vAlign w:val="bottom"/>
            <w:hideMark/>
          </w:tcPr>
          <w:p w:rsidR="005676D7" w:rsidRPr="005676D7" w:rsidP="005676D7" w14:paraId="63A5E72B" w14:textId="77777777">
            <w:pPr>
              <w:jc w:val="center"/>
              <w:rPr>
                <w:rFonts w:eastAsia="Times New Roman" w:cs="Times New Roman"/>
                <w:b/>
                <w:bCs/>
                <w:color w:val="000000"/>
                <w:szCs w:val="24"/>
              </w:rPr>
            </w:pPr>
          </w:p>
        </w:tc>
        <w:tc>
          <w:tcPr>
            <w:tcW w:w="917" w:type="dxa"/>
            <w:tcBorders>
              <w:top w:val="nil"/>
              <w:left w:val="nil"/>
              <w:bottom w:val="nil"/>
              <w:right w:val="nil"/>
            </w:tcBorders>
            <w:shd w:val="clear" w:color="auto" w:fill="auto"/>
            <w:noWrap/>
            <w:vAlign w:val="bottom"/>
            <w:hideMark/>
          </w:tcPr>
          <w:p w:rsidR="005676D7" w:rsidRPr="005676D7" w:rsidP="005676D7" w14:paraId="6EA23B07" w14:textId="77777777">
            <w:pPr>
              <w:rPr>
                <w:rFonts w:eastAsia="Times New Roman" w:cs="Times New Roman"/>
                <w:szCs w:val="24"/>
              </w:rPr>
            </w:pPr>
          </w:p>
        </w:tc>
      </w:tr>
      <w:tr w14:paraId="564E1974" w14:textId="77777777" w:rsidTr="008B6AA3">
        <w:tblPrEx>
          <w:tblW w:w="9360" w:type="dxa"/>
          <w:tblLook w:val="04A0"/>
        </w:tblPrEx>
        <w:trPr>
          <w:gridAfter w:val="1"/>
          <w:wAfter w:w="222" w:type="dxa"/>
          <w:trHeight w:val="910"/>
        </w:trPr>
        <w:tc>
          <w:tcPr>
            <w:tcW w:w="2231" w:type="dxa"/>
            <w:tcBorders>
              <w:top w:val="nil"/>
              <w:left w:val="single" w:sz="8" w:space="0" w:color="auto"/>
              <w:bottom w:val="single" w:sz="4" w:space="0" w:color="auto"/>
              <w:right w:val="single" w:sz="4" w:space="0" w:color="auto"/>
            </w:tcBorders>
            <w:shd w:val="clear" w:color="auto" w:fill="auto"/>
            <w:noWrap/>
            <w:vAlign w:val="bottom"/>
            <w:hideMark/>
          </w:tcPr>
          <w:p w:rsidR="005676D7" w:rsidRPr="005676D7" w:rsidP="005676D7" w14:paraId="2C37A8EE" w14:textId="77777777">
            <w:pPr>
              <w:jc w:val="center"/>
              <w:rPr>
                <w:rFonts w:eastAsia="Times New Roman" w:cs="Times New Roman"/>
                <w:i/>
                <w:iCs/>
                <w:color w:val="000000"/>
                <w:szCs w:val="24"/>
              </w:rPr>
            </w:pPr>
            <w:r w:rsidRPr="005676D7">
              <w:rPr>
                <w:rFonts w:eastAsia="Times New Roman" w:cs="Times New Roman"/>
                <w:i/>
                <w:iCs/>
                <w:color w:val="000000"/>
                <w:szCs w:val="24"/>
              </w:rPr>
              <w:t>Labor Type</w:t>
            </w:r>
          </w:p>
        </w:tc>
        <w:tc>
          <w:tcPr>
            <w:tcW w:w="1236" w:type="dxa"/>
            <w:tcBorders>
              <w:top w:val="nil"/>
              <w:left w:val="nil"/>
              <w:bottom w:val="single" w:sz="4" w:space="0" w:color="auto"/>
              <w:right w:val="single" w:sz="4" w:space="0" w:color="auto"/>
            </w:tcBorders>
            <w:shd w:val="clear" w:color="auto" w:fill="auto"/>
            <w:vAlign w:val="bottom"/>
            <w:hideMark/>
          </w:tcPr>
          <w:p w:rsidR="005676D7" w:rsidRPr="005676D7" w:rsidP="005676D7" w14:paraId="6E587824" w14:textId="77777777">
            <w:pPr>
              <w:jc w:val="center"/>
              <w:rPr>
                <w:rFonts w:eastAsia="Times New Roman" w:cs="Times New Roman"/>
                <w:i/>
                <w:iCs/>
                <w:color w:val="000000"/>
                <w:szCs w:val="24"/>
              </w:rPr>
            </w:pPr>
            <w:r w:rsidRPr="005676D7">
              <w:rPr>
                <w:rFonts w:eastAsia="Times New Roman" w:cs="Times New Roman"/>
                <w:i/>
                <w:iCs/>
                <w:color w:val="000000"/>
                <w:szCs w:val="24"/>
              </w:rPr>
              <w:t>Labor Cost/hour</w:t>
            </w:r>
          </w:p>
        </w:tc>
        <w:tc>
          <w:tcPr>
            <w:tcW w:w="1237" w:type="dxa"/>
            <w:tcBorders>
              <w:top w:val="nil"/>
              <w:left w:val="nil"/>
              <w:bottom w:val="single" w:sz="4" w:space="0" w:color="auto"/>
              <w:right w:val="single" w:sz="4" w:space="0" w:color="auto"/>
            </w:tcBorders>
            <w:shd w:val="clear" w:color="auto" w:fill="auto"/>
            <w:vAlign w:val="bottom"/>
            <w:hideMark/>
          </w:tcPr>
          <w:p w:rsidR="005676D7" w:rsidRPr="005676D7" w:rsidP="005676D7" w14:paraId="5305FA6F" w14:textId="77777777">
            <w:pPr>
              <w:jc w:val="center"/>
              <w:rPr>
                <w:rFonts w:eastAsia="Times New Roman" w:cs="Times New Roman"/>
                <w:i/>
                <w:iCs/>
                <w:color w:val="000000"/>
                <w:szCs w:val="24"/>
              </w:rPr>
            </w:pPr>
            <w:r w:rsidRPr="005676D7">
              <w:rPr>
                <w:rFonts w:eastAsia="Times New Roman" w:cs="Times New Roman"/>
                <w:i/>
                <w:iCs/>
                <w:color w:val="000000"/>
                <w:szCs w:val="24"/>
              </w:rPr>
              <w:t>Labor + Overhead/ hour</w:t>
            </w:r>
            <w:r w:rsidRPr="005676D7">
              <w:rPr>
                <w:rFonts w:eastAsia="Times New Roman" w:cs="Times New Roman"/>
                <w:i/>
                <w:iCs/>
                <w:color w:val="000000"/>
                <w:szCs w:val="24"/>
                <w:vertAlign w:val="superscript"/>
              </w:rPr>
              <w:t>a</w:t>
            </w:r>
          </w:p>
        </w:tc>
        <w:tc>
          <w:tcPr>
            <w:tcW w:w="1363" w:type="dxa"/>
            <w:tcBorders>
              <w:top w:val="nil"/>
              <w:left w:val="nil"/>
              <w:bottom w:val="single" w:sz="4" w:space="0" w:color="auto"/>
              <w:right w:val="single" w:sz="4" w:space="0" w:color="auto"/>
            </w:tcBorders>
            <w:shd w:val="clear" w:color="auto" w:fill="auto"/>
            <w:vAlign w:val="bottom"/>
            <w:hideMark/>
          </w:tcPr>
          <w:p w:rsidR="005676D7" w:rsidRPr="005676D7" w:rsidP="005676D7" w14:paraId="276549D2" w14:textId="77777777">
            <w:pPr>
              <w:jc w:val="center"/>
              <w:rPr>
                <w:rFonts w:eastAsia="Times New Roman" w:cs="Times New Roman"/>
                <w:i/>
                <w:iCs/>
                <w:color w:val="000000"/>
                <w:sz w:val="18"/>
                <w:szCs w:val="18"/>
              </w:rPr>
            </w:pPr>
            <w:r w:rsidRPr="005676D7">
              <w:rPr>
                <w:rFonts w:eastAsia="Times New Roman" w:cs="Times New Roman"/>
                <w:i/>
                <w:iCs/>
                <w:color w:val="000000"/>
                <w:sz w:val="18"/>
                <w:szCs w:val="18"/>
              </w:rPr>
              <w:t>Portion attributed/hour</w:t>
            </w:r>
          </w:p>
        </w:tc>
        <w:tc>
          <w:tcPr>
            <w:tcW w:w="1237" w:type="dxa"/>
            <w:tcBorders>
              <w:top w:val="nil"/>
              <w:left w:val="nil"/>
              <w:bottom w:val="single" w:sz="4" w:space="0" w:color="auto"/>
              <w:right w:val="single" w:sz="8" w:space="0" w:color="auto"/>
            </w:tcBorders>
            <w:shd w:val="clear" w:color="auto" w:fill="auto"/>
            <w:vAlign w:val="bottom"/>
            <w:hideMark/>
          </w:tcPr>
          <w:p w:rsidR="005676D7" w:rsidRPr="005676D7" w:rsidP="005676D7" w14:paraId="73CDBA6D" w14:textId="77777777">
            <w:pPr>
              <w:jc w:val="center"/>
              <w:rPr>
                <w:rFonts w:eastAsia="Times New Roman" w:cs="Times New Roman"/>
                <w:i/>
                <w:iCs/>
                <w:color w:val="000000"/>
                <w:szCs w:val="24"/>
              </w:rPr>
            </w:pPr>
            <w:r w:rsidRPr="005676D7">
              <w:rPr>
                <w:rFonts w:eastAsia="Times New Roman" w:cs="Times New Roman"/>
                <w:i/>
                <w:iCs/>
                <w:color w:val="000000"/>
                <w:szCs w:val="24"/>
              </w:rPr>
              <w:t>Employer Cost/hour</w:t>
            </w:r>
          </w:p>
        </w:tc>
        <w:tc>
          <w:tcPr>
            <w:tcW w:w="917" w:type="dxa"/>
            <w:tcBorders>
              <w:top w:val="nil"/>
              <w:left w:val="nil"/>
              <w:bottom w:val="nil"/>
              <w:right w:val="nil"/>
            </w:tcBorders>
            <w:shd w:val="clear" w:color="auto" w:fill="auto"/>
            <w:noWrap/>
            <w:vAlign w:val="bottom"/>
            <w:hideMark/>
          </w:tcPr>
          <w:p w:rsidR="005676D7" w:rsidRPr="005676D7" w:rsidP="005676D7" w14:paraId="3675F031" w14:textId="77777777">
            <w:pPr>
              <w:jc w:val="center"/>
              <w:rPr>
                <w:rFonts w:eastAsia="Times New Roman" w:cs="Times New Roman"/>
                <w:i/>
                <w:iCs/>
                <w:color w:val="000000"/>
                <w:szCs w:val="24"/>
              </w:rPr>
            </w:pPr>
          </w:p>
        </w:tc>
        <w:tc>
          <w:tcPr>
            <w:tcW w:w="917" w:type="dxa"/>
            <w:tcBorders>
              <w:top w:val="nil"/>
              <w:left w:val="nil"/>
              <w:bottom w:val="nil"/>
              <w:right w:val="nil"/>
            </w:tcBorders>
            <w:shd w:val="clear" w:color="auto" w:fill="auto"/>
            <w:noWrap/>
            <w:vAlign w:val="bottom"/>
            <w:hideMark/>
          </w:tcPr>
          <w:p w:rsidR="005676D7" w:rsidRPr="005676D7" w:rsidP="005676D7" w14:paraId="658C66BC" w14:textId="77777777">
            <w:pPr>
              <w:rPr>
                <w:rFonts w:eastAsia="Times New Roman" w:cs="Times New Roman"/>
                <w:szCs w:val="24"/>
              </w:rPr>
            </w:pPr>
          </w:p>
        </w:tc>
      </w:tr>
      <w:tr w14:paraId="1511B216" w14:textId="77777777" w:rsidTr="008B6AA3">
        <w:tblPrEx>
          <w:tblW w:w="9360" w:type="dxa"/>
          <w:tblLook w:val="04A0"/>
        </w:tblPrEx>
        <w:trPr>
          <w:gridAfter w:val="1"/>
          <w:wAfter w:w="222" w:type="dxa"/>
          <w:trHeight w:val="580"/>
        </w:trPr>
        <w:tc>
          <w:tcPr>
            <w:tcW w:w="2231" w:type="dxa"/>
            <w:tcBorders>
              <w:top w:val="nil"/>
              <w:left w:val="single" w:sz="8" w:space="0" w:color="auto"/>
              <w:bottom w:val="single" w:sz="4" w:space="0" w:color="auto"/>
              <w:right w:val="single" w:sz="4" w:space="0" w:color="auto"/>
            </w:tcBorders>
            <w:shd w:val="clear" w:color="auto" w:fill="auto"/>
            <w:vAlign w:val="bottom"/>
            <w:hideMark/>
          </w:tcPr>
          <w:p w:rsidR="005676D7" w:rsidRPr="005676D7" w:rsidP="005676D7" w14:paraId="0D336B35" w14:textId="77777777">
            <w:pPr>
              <w:rPr>
                <w:rFonts w:eastAsia="Times New Roman" w:cs="Times New Roman"/>
                <w:color w:val="000000"/>
                <w:sz w:val="20"/>
                <w:szCs w:val="20"/>
              </w:rPr>
            </w:pPr>
            <w:r w:rsidRPr="005676D7">
              <w:rPr>
                <w:rFonts w:eastAsia="Times New Roman" w:cs="Times New Roman"/>
                <w:color w:val="000000"/>
                <w:sz w:val="20"/>
                <w:szCs w:val="20"/>
              </w:rPr>
              <w:t>Managerial (CEO - 11-1011)</w:t>
            </w:r>
          </w:p>
        </w:tc>
        <w:tc>
          <w:tcPr>
            <w:tcW w:w="1236"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08A49198" w14:textId="77777777">
            <w:pPr>
              <w:rPr>
                <w:rFonts w:eastAsia="Times New Roman" w:cs="Times New Roman"/>
                <w:color w:val="000000"/>
                <w:szCs w:val="24"/>
              </w:rPr>
            </w:pPr>
            <w:r w:rsidRPr="005676D7">
              <w:rPr>
                <w:rFonts w:eastAsia="Times New Roman" w:cs="Times New Roman"/>
                <w:color w:val="000000"/>
                <w:szCs w:val="24"/>
              </w:rPr>
              <w:t>126.33</w:t>
            </w:r>
          </w:p>
        </w:tc>
        <w:tc>
          <w:tcPr>
            <w:tcW w:w="1237"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2C7236AF" w14:textId="77777777">
            <w:pPr>
              <w:rPr>
                <w:rFonts w:eastAsia="Times New Roman" w:cs="Times New Roman"/>
                <w:color w:val="000000"/>
                <w:szCs w:val="24"/>
              </w:rPr>
            </w:pPr>
            <w:r w:rsidRPr="005676D7">
              <w:rPr>
                <w:rFonts w:eastAsia="Times New Roman" w:cs="Times New Roman"/>
                <w:color w:val="000000"/>
                <w:szCs w:val="24"/>
              </w:rPr>
              <w:t>253.00</w:t>
            </w:r>
          </w:p>
        </w:tc>
        <w:tc>
          <w:tcPr>
            <w:tcW w:w="1363"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34A88F79" w14:textId="77777777">
            <w:pPr>
              <w:rPr>
                <w:rFonts w:eastAsia="Times New Roman" w:cs="Times New Roman"/>
                <w:color w:val="000000"/>
                <w:szCs w:val="24"/>
              </w:rPr>
            </w:pPr>
            <w:r w:rsidRPr="005676D7">
              <w:rPr>
                <w:rFonts w:eastAsia="Times New Roman" w:cs="Times New Roman"/>
                <w:color w:val="000000"/>
                <w:szCs w:val="24"/>
              </w:rPr>
              <w:t>0.05</w:t>
            </w:r>
          </w:p>
        </w:tc>
        <w:tc>
          <w:tcPr>
            <w:tcW w:w="1237" w:type="dxa"/>
            <w:tcBorders>
              <w:top w:val="nil"/>
              <w:left w:val="nil"/>
              <w:bottom w:val="single" w:sz="4" w:space="0" w:color="auto"/>
              <w:right w:val="single" w:sz="8" w:space="0" w:color="auto"/>
            </w:tcBorders>
            <w:shd w:val="clear" w:color="auto" w:fill="auto"/>
            <w:noWrap/>
            <w:vAlign w:val="bottom"/>
            <w:hideMark/>
          </w:tcPr>
          <w:p w:rsidR="005676D7" w:rsidRPr="005676D7" w:rsidP="005676D7" w14:paraId="4194DBC4" w14:textId="77777777">
            <w:pPr>
              <w:jc w:val="center"/>
              <w:rPr>
                <w:rFonts w:eastAsia="Times New Roman" w:cs="Times New Roman"/>
                <w:color w:val="000000"/>
                <w:szCs w:val="24"/>
              </w:rPr>
            </w:pPr>
            <w:r w:rsidRPr="005676D7">
              <w:rPr>
                <w:rFonts w:eastAsia="Times New Roman" w:cs="Times New Roman"/>
                <w:color w:val="000000"/>
                <w:szCs w:val="24"/>
              </w:rPr>
              <w:t>12.65</w:t>
            </w:r>
          </w:p>
        </w:tc>
        <w:tc>
          <w:tcPr>
            <w:tcW w:w="917" w:type="dxa"/>
            <w:tcBorders>
              <w:top w:val="nil"/>
              <w:left w:val="nil"/>
              <w:bottom w:val="nil"/>
              <w:right w:val="nil"/>
            </w:tcBorders>
            <w:shd w:val="clear" w:color="auto" w:fill="auto"/>
            <w:noWrap/>
            <w:vAlign w:val="bottom"/>
            <w:hideMark/>
          </w:tcPr>
          <w:p w:rsidR="005676D7" w:rsidRPr="005676D7" w:rsidP="005676D7" w14:paraId="06BFBAA2" w14:textId="77777777">
            <w:pPr>
              <w:jc w:val="center"/>
              <w:rPr>
                <w:rFonts w:eastAsia="Times New Roman" w:cs="Times New Roman"/>
                <w:color w:val="000000"/>
                <w:szCs w:val="24"/>
              </w:rPr>
            </w:pPr>
          </w:p>
        </w:tc>
        <w:tc>
          <w:tcPr>
            <w:tcW w:w="917" w:type="dxa"/>
            <w:tcBorders>
              <w:top w:val="nil"/>
              <w:left w:val="nil"/>
              <w:bottom w:val="nil"/>
              <w:right w:val="nil"/>
            </w:tcBorders>
            <w:shd w:val="clear" w:color="auto" w:fill="auto"/>
            <w:noWrap/>
            <w:vAlign w:val="bottom"/>
            <w:hideMark/>
          </w:tcPr>
          <w:p w:rsidR="005676D7" w:rsidRPr="005676D7" w:rsidP="005676D7" w14:paraId="046796D2" w14:textId="77777777">
            <w:pPr>
              <w:rPr>
                <w:rFonts w:eastAsia="Times New Roman" w:cs="Times New Roman"/>
                <w:szCs w:val="24"/>
              </w:rPr>
            </w:pPr>
          </w:p>
        </w:tc>
      </w:tr>
      <w:tr w14:paraId="66CF8C3F" w14:textId="77777777" w:rsidTr="008B6AA3">
        <w:tblPrEx>
          <w:tblW w:w="9360" w:type="dxa"/>
          <w:tblLook w:val="04A0"/>
        </w:tblPrEx>
        <w:trPr>
          <w:gridAfter w:val="1"/>
          <w:wAfter w:w="222" w:type="dxa"/>
          <w:trHeight w:val="870"/>
        </w:trPr>
        <w:tc>
          <w:tcPr>
            <w:tcW w:w="2231" w:type="dxa"/>
            <w:tcBorders>
              <w:top w:val="nil"/>
              <w:left w:val="single" w:sz="8" w:space="0" w:color="auto"/>
              <w:bottom w:val="single" w:sz="4" w:space="0" w:color="auto"/>
              <w:right w:val="single" w:sz="4" w:space="0" w:color="auto"/>
            </w:tcBorders>
            <w:shd w:val="clear" w:color="auto" w:fill="auto"/>
            <w:vAlign w:val="bottom"/>
            <w:hideMark/>
          </w:tcPr>
          <w:p w:rsidR="005676D7" w:rsidRPr="005676D7" w:rsidP="005676D7" w14:paraId="62E9A785" w14:textId="77777777">
            <w:pPr>
              <w:rPr>
                <w:rFonts w:eastAsia="Times New Roman" w:cs="Times New Roman"/>
                <w:color w:val="000000"/>
                <w:sz w:val="20"/>
                <w:szCs w:val="20"/>
              </w:rPr>
            </w:pPr>
            <w:r w:rsidRPr="005676D7">
              <w:rPr>
                <w:rFonts w:eastAsia="Times New Roman" w:cs="Times New Roman"/>
                <w:color w:val="000000"/>
                <w:sz w:val="20"/>
                <w:szCs w:val="20"/>
              </w:rPr>
              <w:t>Professional/Technical (Refinery Operators - 51-8093)</w:t>
            </w:r>
          </w:p>
        </w:tc>
        <w:tc>
          <w:tcPr>
            <w:tcW w:w="1236"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38CC75A1" w14:textId="77777777">
            <w:pPr>
              <w:rPr>
                <w:rFonts w:eastAsia="Times New Roman" w:cs="Times New Roman"/>
                <w:color w:val="000000"/>
                <w:szCs w:val="24"/>
              </w:rPr>
            </w:pPr>
            <w:r w:rsidRPr="005676D7">
              <w:rPr>
                <w:rFonts w:eastAsia="Times New Roman" w:cs="Times New Roman"/>
                <w:color w:val="000000"/>
                <w:szCs w:val="24"/>
              </w:rPr>
              <w:t>41.32</w:t>
            </w:r>
          </w:p>
        </w:tc>
        <w:tc>
          <w:tcPr>
            <w:tcW w:w="1237"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16C972F0" w14:textId="77777777">
            <w:pPr>
              <w:rPr>
                <w:rFonts w:eastAsia="Times New Roman" w:cs="Times New Roman"/>
                <w:color w:val="000000"/>
                <w:szCs w:val="24"/>
              </w:rPr>
            </w:pPr>
            <w:r w:rsidRPr="005676D7">
              <w:rPr>
                <w:rFonts w:eastAsia="Times New Roman" w:cs="Times New Roman"/>
                <w:color w:val="000000"/>
                <w:szCs w:val="24"/>
              </w:rPr>
              <w:t>83.00</w:t>
            </w:r>
          </w:p>
        </w:tc>
        <w:tc>
          <w:tcPr>
            <w:tcW w:w="1363"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494B25AC" w14:textId="77777777">
            <w:pPr>
              <w:rPr>
                <w:rFonts w:eastAsia="Times New Roman" w:cs="Times New Roman"/>
                <w:color w:val="000000"/>
                <w:szCs w:val="24"/>
              </w:rPr>
            </w:pPr>
            <w:r w:rsidRPr="005676D7">
              <w:rPr>
                <w:rFonts w:eastAsia="Times New Roman" w:cs="Times New Roman"/>
                <w:color w:val="000000"/>
                <w:szCs w:val="24"/>
              </w:rPr>
              <w:t>0.7</w:t>
            </w:r>
          </w:p>
        </w:tc>
        <w:tc>
          <w:tcPr>
            <w:tcW w:w="1237" w:type="dxa"/>
            <w:tcBorders>
              <w:top w:val="nil"/>
              <w:left w:val="nil"/>
              <w:bottom w:val="single" w:sz="4" w:space="0" w:color="auto"/>
              <w:right w:val="single" w:sz="8" w:space="0" w:color="auto"/>
            </w:tcBorders>
            <w:shd w:val="clear" w:color="auto" w:fill="auto"/>
            <w:noWrap/>
            <w:vAlign w:val="bottom"/>
            <w:hideMark/>
          </w:tcPr>
          <w:p w:rsidR="005676D7" w:rsidRPr="005676D7" w:rsidP="005676D7" w14:paraId="62F11212" w14:textId="77777777">
            <w:pPr>
              <w:jc w:val="center"/>
              <w:rPr>
                <w:rFonts w:eastAsia="Times New Roman" w:cs="Times New Roman"/>
                <w:color w:val="000000"/>
                <w:szCs w:val="24"/>
              </w:rPr>
            </w:pPr>
            <w:r w:rsidRPr="005676D7">
              <w:rPr>
                <w:rFonts w:eastAsia="Times New Roman" w:cs="Times New Roman"/>
                <w:color w:val="000000"/>
                <w:szCs w:val="24"/>
              </w:rPr>
              <w:t>58.10</w:t>
            </w:r>
          </w:p>
        </w:tc>
        <w:tc>
          <w:tcPr>
            <w:tcW w:w="917" w:type="dxa"/>
            <w:tcBorders>
              <w:top w:val="nil"/>
              <w:left w:val="nil"/>
              <w:bottom w:val="nil"/>
              <w:right w:val="nil"/>
            </w:tcBorders>
            <w:shd w:val="clear" w:color="auto" w:fill="auto"/>
            <w:noWrap/>
            <w:vAlign w:val="bottom"/>
            <w:hideMark/>
          </w:tcPr>
          <w:p w:rsidR="005676D7" w:rsidRPr="005676D7" w:rsidP="005676D7" w14:paraId="554F2D88" w14:textId="77777777">
            <w:pPr>
              <w:jc w:val="center"/>
              <w:rPr>
                <w:rFonts w:eastAsia="Times New Roman" w:cs="Times New Roman"/>
                <w:color w:val="000000"/>
                <w:szCs w:val="24"/>
              </w:rPr>
            </w:pPr>
          </w:p>
        </w:tc>
        <w:tc>
          <w:tcPr>
            <w:tcW w:w="917" w:type="dxa"/>
            <w:tcBorders>
              <w:top w:val="nil"/>
              <w:left w:val="nil"/>
              <w:bottom w:val="nil"/>
              <w:right w:val="nil"/>
            </w:tcBorders>
            <w:shd w:val="clear" w:color="auto" w:fill="auto"/>
            <w:noWrap/>
            <w:vAlign w:val="bottom"/>
            <w:hideMark/>
          </w:tcPr>
          <w:p w:rsidR="005676D7" w:rsidRPr="005676D7" w:rsidP="005676D7" w14:paraId="599290F2" w14:textId="77777777">
            <w:pPr>
              <w:rPr>
                <w:rFonts w:eastAsia="Times New Roman" w:cs="Times New Roman"/>
                <w:szCs w:val="24"/>
              </w:rPr>
            </w:pPr>
          </w:p>
        </w:tc>
      </w:tr>
      <w:tr w14:paraId="5DE3FA85" w14:textId="77777777" w:rsidTr="008B6AA3">
        <w:tblPrEx>
          <w:tblW w:w="9360" w:type="dxa"/>
          <w:tblLook w:val="04A0"/>
        </w:tblPrEx>
        <w:trPr>
          <w:gridAfter w:val="1"/>
          <w:wAfter w:w="222" w:type="dxa"/>
          <w:trHeight w:val="870"/>
        </w:trPr>
        <w:tc>
          <w:tcPr>
            <w:tcW w:w="2231" w:type="dxa"/>
            <w:tcBorders>
              <w:top w:val="nil"/>
              <w:left w:val="single" w:sz="8" w:space="0" w:color="auto"/>
              <w:bottom w:val="single" w:sz="4" w:space="0" w:color="auto"/>
              <w:right w:val="single" w:sz="4" w:space="0" w:color="auto"/>
            </w:tcBorders>
            <w:shd w:val="clear" w:color="auto" w:fill="auto"/>
            <w:vAlign w:val="bottom"/>
            <w:hideMark/>
          </w:tcPr>
          <w:p w:rsidR="005676D7" w:rsidRPr="005676D7" w:rsidP="005676D7" w14:paraId="43444226" w14:textId="77777777">
            <w:pPr>
              <w:rPr>
                <w:rFonts w:eastAsia="Times New Roman" w:cs="Times New Roman"/>
                <w:color w:val="000000"/>
                <w:sz w:val="20"/>
                <w:szCs w:val="20"/>
              </w:rPr>
            </w:pPr>
            <w:r w:rsidRPr="005676D7">
              <w:rPr>
                <w:rFonts w:eastAsia="Times New Roman" w:cs="Times New Roman"/>
                <w:color w:val="000000"/>
                <w:sz w:val="20"/>
                <w:szCs w:val="20"/>
              </w:rPr>
              <w:t>Clerical (Secretaries and Administrative Assistants 43-6010)</w:t>
            </w:r>
          </w:p>
        </w:tc>
        <w:tc>
          <w:tcPr>
            <w:tcW w:w="1236"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2CAA8FE9" w14:textId="77777777">
            <w:pPr>
              <w:rPr>
                <w:rFonts w:eastAsia="Times New Roman" w:cs="Times New Roman"/>
                <w:color w:val="000000"/>
                <w:szCs w:val="24"/>
              </w:rPr>
            </w:pPr>
            <w:r w:rsidRPr="005676D7">
              <w:rPr>
                <w:rFonts w:eastAsia="Times New Roman" w:cs="Times New Roman"/>
                <w:color w:val="000000"/>
                <w:szCs w:val="24"/>
              </w:rPr>
              <w:t>26.88</w:t>
            </w:r>
          </w:p>
        </w:tc>
        <w:tc>
          <w:tcPr>
            <w:tcW w:w="1237"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265FAAE6" w14:textId="77777777">
            <w:pPr>
              <w:rPr>
                <w:rFonts w:eastAsia="Times New Roman" w:cs="Times New Roman"/>
                <w:color w:val="000000"/>
                <w:szCs w:val="24"/>
              </w:rPr>
            </w:pPr>
            <w:r w:rsidRPr="005676D7">
              <w:rPr>
                <w:rFonts w:eastAsia="Times New Roman" w:cs="Times New Roman"/>
                <w:color w:val="000000"/>
                <w:szCs w:val="24"/>
              </w:rPr>
              <w:t>54.00</w:t>
            </w:r>
          </w:p>
        </w:tc>
        <w:tc>
          <w:tcPr>
            <w:tcW w:w="1363"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3F2BF772" w14:textId="77777777">
            <w:pPr>
              <w:rPr>
                <w:rFonts w:eastAsia="Times New Roman" w:cs="Times New Roman"/>
                <w:color w:val="000000"/>
                <w:szCs w:val="24"/>
              </w:rPr>
            </w:pPr>
            <w:r w:rsidRPr="005676D7">
              <w:rPr>
                <w:rFonts w:eastAsia="Times New Roman" w:cs="Times New Roman"/>
                <w:color w:val="000000"/>
                <w:szCs w:val="24"/>
              </w:rPr>
              <w:t>0.2</w:t>
            </w:r>
          </w:p>
        </w:tc>
        <w:tc>
          <w:tcPr>
            <w:tcW w:w="1237" w:type="dxa"/>
            <w:tcBorders>
              <w:top w:val="nil"/>
              <w:left w:val="nil"/>
              <w:bottom w:val="single" w:sz="4" w:space="0" w:color="auto"/>
              <w:right w:val="single" w:sz="8" w:space="0" w:color="auto"/>
            </w:tcBorders>
            <w:shd w:val="clear" w:color="auto" w:fill="auto"/>
            <w:noWrap/>
            <w:vAlign w:val="bottom"/>
            <w:hideMark/>
          </w:tcPr>
          <w:p w:rsidR="005676D7" w:rsidRPr="005676D7" w:rsidP="005676D7" w14:paraId="14C0AB9B" w14:textId="77777777">
            <w:pPr>
              <w:jc w:val="center"/>
              <w:rPr>
                <w:rFonts w:eastAsia="Times New Roman" w:cs="Times New Roman"/>
                <w:color w:val="000000"/>
                <w:szCs w:val="24"/>
              </w:rPr>
            </w:pPr>
            <w:r w:rsidRPr="005676D7">
              <w:rPr>
                <w:rFonts w:eastAsia="Times New Roman" w:cs="Times New Roman"/>
                <w:color w:val="000000"/>
                <w:szCs w:val="24"/>
              </w:rPr>
              <w:t>10.80</w:t>
            </w:r>
          </w:p>
        </w:tc>
        <w:tc>
          <w:tcPr>
            <w:tcW w:w="917" w:type="dxa"/>
            <w:tcBorders>
              <w:top w:val="nil"/>
              <w:left w:val="nil"/>
              <w:bottom w:val="nil"/>
              <w:right w:val="nil"/>
            </w:tcBorders>
            <w:shd w:val="clear" w:color="auto" w:fill="auto"/>
            <w:noWrap/>
            <w:vAlign w:val="bottom"/>
            <w:hideMark/>
          </w:tcPr>
          <w:p w:rsidR="005676D7" w:rsidRPr="005676D7" w:rsidP="005676D7" w14:paraId="3E840EF5" w14:textId="77777777">
            <w:pPr>
              <w:jc w:val="center"/>
              <w:rPr>
                <w:rFonts w:eastAsia="Times New Roman" w:cs="Times New Roman"/>
                <w:color w:val="000000"/>
                <w:szCs w:val="24"/>
              </w:rPr>
            </w:pPr>
          </w:p>
        </w:tc>
        <w:tc>
          <w:tcPr>
            <w:tcW w:w="917" w:type="dxa"/>
            <w:tcBorders>
              <w:top w:val="nil"/>
              <w:left w:val="nil"/>
              <w:bottom w:val="nil"/>
              <w:right w:val="nil"/>
            </w:tcBorders>
            <w:shd w:val="clear" w:color="auto" w:fill="auto"/>
            <w:noWrap/>
            <w:vAlign w:val="bottom"/>
            <w:hideMark/>
          </w:tcPr>
          <w:p w:rsidR="005676D7" w:rsidRPr="005676D7" w:rsidP="005676D7" w14:paraId="6B3EA8F0" w14:textId="77777777">
            <w:pPr>
              <w:rPr>
                <w:rFonts w:eastAsia="Times New Roman" w:cs="Times New Roman"/>
                <w:szCs w:val="24"/>
              </w:rPr>
            </w:pPr>
          </w:p>
        </w:tc>
      </w:tr>
      <w:tr w14:paraId="0E4D0C94" w14:textId="77777777" w:rsidTr="008B6AA3">
        <w:tblPrEx>
          <w:tblW w:w="9360" w:type="dxa"/>
          <w:tblLook w:val="04A0"/>
        </w:tblPrEx>
        <w:trPr>
          <w:gridAfter w:val="1"/>
          <w:wAfter w:w="222" w:type="dxa"/>
          <w:trHeight w:val="300"/>
        </w:trPr>
        <w:tc>
          <w:tcPr>
            <w:tcW w:w="2231" w:type="dxa"/>
            <w:tcBorders>
              <w:top w:val="nil"/>
              <w:left w:val="single" w:sz="8" w:space="0" w:color="auto"/>
              <w:bottom w:val="single" w:sz="8" w:space="0" w:color="auto"/>
              <w:right w:val="single" w:sz="4" w:space="0" w:color="auto"/>
            </w:tcBorders>
            <w:shd w:val="clear" w:color="auto" w:fill="auto"/>
            <w:noWrap/>
            <w:vAlign w:val="bottom"/>
            <w:hideMark/>
          </w:tcPr>
          <w:p w:rsidR="005676D7" w:rsidRPr="005676D7" w:rsidP="005676D7" w14:paraId="0E0E998F" w14:textId="77777777">
            <w:pPr>
              <w:rPr>
                <w:rFonts w:eastAsia="Times New Roman" w:cs="Times New Roman"/>
                <w:color w:val="000000"/>
                <w:sz w:val="20"/>
                <w:szCs w:val="20"/>
              </w:rPr>
            </w:pPr>
            <w:r w:rsidRPr="005676D7">
              <w:rPr>
                <w:rFonts w:eastAsia="Times New Roman" w:cs="Times New Roman"/>
                <w:color w:val="000000"/>
                <w:sz w:val="20"/>
                <w:szCs w:val="20"/>
              </w:rPr>
              <w:t>Legal (Lawyer 23-1011)</w:t>
            </w:r>
          </w:p>
        </w:tc>
        <w:tc>
          <w:tcPr>
            <w:tcW w:w="1236" w:type="dxa"/>
            <w:tcBorders>
              <w:top w:val="nil"/>
              <w:left w:val="nil"/>
              <w:bottom w:val="single" w:sz="8" w:space="0" w:color="auto"/>
              <w:right w:val="single" w:sz="4" w:space="0" w:color="auto"/>
            </w:tcBorders>
            <w:shd w:val="clear" w:color="auto" w:fill="auto"/>
            <w:noWrap/>
            <w:vAlign w:val="bottom"/>
            <w:hideMark/>
          </w:tcPr>
          <w:p w:rsidR="005676D7" w:rsidRPr="005676D7" w:rsidP="005676D7" w14:paraId="6125C33C" w14:textId="77777777">
            <w:pPr>
              <w:rPr>
                <w:rFonts w:eastAsia="Times New Roman" w:cs="Times New Roman"/>
                <w:color w:val="000000"/>
                <w:szCs w:val="24"/>
              </w:rPr>
            </w:pPr>
            <w:r w:rsidRPr="005676D7">
              <w:rPr>
                <w:rFonts w:eastAsia="Times New Roman" w:cs="Times New Roman"/>
                <w:color w:val="000000"/>
                <w:szCs w:val="24"/>
              </w:rPr>
              <w:t>98.36</w:t>
            </w:r>
          </w:p>
        </w:tc>
        <w:tc>
          <w:tcPr>
            <w:tcW w:w="1237"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00BFCF29" w14:textId="77777777">
            <w:pPr>
              <w:rPr>
                <w:rFonts w:eastAsia="Times New Roman" w:cs="Times New Roman"/>
                <w:color w:val="000000"/>
                <w:szCs w:val="24"/>
              </w:rPr>
            </w:pPr>
            <w:r w:rsidRPr="005676D7">
              <w:rPr>
                <w:rFonts w:eastAsia="Times New Roman" w:cs="Times New Roman"/>
                <w:color w:val="000000"/>
                <w:szCs w:val="24"/>
              </w:rPr>
              <w:t>197.00</w:t>
            </w:r>
          </w:p>
        </w:tc>
        <w:tc>
          <w:tcPr>
            <w:tcW w:w="1363" w:type="dxa"/>
            <w:tcBorders>
              <w:top w:val="nil"/>
              <w:left w:val="nil"/>
              <w:bottom w:val="single" w:sz="8" w:space="0" w:color="auto"/>
              <w:right w:val="single" w:sz="4" w:space="0" w:color="auto"/>
            </w:tcBorders>
            <w:shd w:val="clear" w:color="auto" w:fill="auto"/>
            <w:noWrap/>
            <w:vAlign w:val="bottom"/>
            <w:hideMark/>
          </w:tcPr>
          <w:p w:rsidR="005676D7" w:rsidRPr="005676D7" w:rsidP="005676D7" w14:paraId="597AFCC2" w14:textId="77777777">
            <w:pPr>
              <w:rPr>
                <w:rFonts w:eastAsia="Times New Roman" w:cs="Times New Roman"/>
                <w:color w:val="000000"/>
                <w:szCs w:val="24"/>
              </w:rPr>
            </w:pPr>
            <w:r w:rsidRPr="005676D7">
              <w:rPr>
                <w:rFonts w:eastAsia="Times New Roman" w:cs="Times New Roman"/>
                <w:color w:val="000000"/>
                <w:szCs w:val="24"/>
              </w:rPr>
              <w:t>0.05</w:t>
            </w:r>
          </w:p>
        </w:tc>
        <w:tc>
          <w:tcPr>
            <w:tcW w:w="1237" w:type="dxa"/>
            <w:tcBorders>
              <w:top w:val="nil"/>
              <w:left w:val="nil"/>
              <w:bottom w:val="single" w:sz="8" w:space="0" w:color="auto"/>
              <w:right w:val="single" w:sz="8" w:space="0" w:color="auto"/>
            </w:tcBorders>
            <w:shd w:val="clear" w:color="auto" w:fill="auto"/>
            <w:noWrap/>
            <w:vAlign w:val="bottom"/>
            <w:hideMark/>
          </w:tcPr>
          <w:p w:rsidR="005676D7" w:rsidRPr="005676D7" w:rsidP="005676D7" w14:paraId="5E3F8667" w14:textId="77777777">
            <w:pPr>
              <w:jc w:val="center"/>
              <w:rPr>
                <w:rFonts w:eastAsia="Times New Roman" w:cs="Times New Roman"/>
                <w:color w:val="000000"/>
                <w:szCs w:val="24"/>
              </w:rPr>
            </w:pPr>
            <w:r w:rsidRPr="005676D7">
              <w:rPr>
                <w:rFonts w:eastAsia="Times New Roman" w:cs="Times New Roman"/>
                <w:color w:val="000000"/>
                <w:szCs w:val="24"/>
              </w:rPr>
              <w:t>9.85</w:t>
            </w:r>
          </w:p>
        </w:tc>
        <w:tc>
          <w:tcPr>
            <w:tcW w:w="917" w:type="dxa"/>
            <w:tcBorders>
              <w:top w:val="nil"/>
              <w:left w:val="nil"/>
              <w:bottom w:val="nil"/>
              <w:right w:val="nil"/>
            </w:tcBorders>
            <w:shd w:val="clear" w:color="auto" w:fill="auto"/>
            <w:noWrap/>
            <w:vAlign w:val="bottom"/>
            <w:hideMark/>
          </w:tcPr>
          <w:p w:rsidR="005676D7" w:rsidRPr="005676D7" w:rsidP="005676D7" w14:paraId="46140040" w14:textId="77777777">
            <w:pPr>
              <w:jc w:val="center"/>
              <w:rPr>
                <w:rFonts w:eastAsia="Times New Roman" w:cs="Times New Roman"/>
                <w:color w:val="000000"/>
                <w:szCs w:val="24"/>
              </w:rPr>
            </w:pPr>
          </w:p>
        </w:tc>
        <w:tc>
          <w:tcPr>
            <w:tcW w:w="917" w:type="dxa"/>
            <w:tcBorders>
              <w:top w:val="nil"/>
              <w:left w:val="nil"/>
              <w:bottom w:val="nil"/>
              <w:right w:val="nil"/>
            </w:tcBorders>
            <w:shd w:val="clear" w:color="auto" w:fill="auto"/>
            <w:noWrap/>
            <w:vAlign w:val="bottom"/>
            <w:hideMark/>
          </w:tcPr>
          <w:p w:rsidR="005676D7" w:rsidRPr="005676D7" w:rsidP="005676D7" w14:paraId="085A6122" w14:textId="77777777">
            <w:pPr>
              <w:rPr>
                <w:rFonts w:eastAsia="Times New Roman" w:cs="Times New Roman"/>
                <w:szCs w:val="24"/>
              </w:rPr>
            </w:pPr>
          </w:p>
        </w:tc>
      </w:tr>
      <w:tr w14:paraId="2539E298" w14:textId="77777777" w:rsidTr="008B6AA3">
        <w:tblPrEx>
          <w:tblW w:w="9360" w:type="dxa"/>
          <w:tblLook w:val="04A0"/>
        </w:tblPrEx>
        <w:trPr>
          <w:gridAfter w:val="1"/>
          <w:wAfter w:w="222" w:type="dxa"/>
          <w:trHeight w:val="290"/>
        </w:trPr>
        <w:tc>
          <w:tcPr>
            <w:tcW w:w="6067" w:type="dxa"/>
            <w:gridSpan w:val="4"/>
            <w:tcBorders>
              <w:top w:val="single" w:sz="8" w:space="0" w:color="auto"/>
              <w:left w:val="single" w:sz="8" w:space="0" w:color="auto"/>
              <w:bottom w:val="nil"/>
              <w:right w:val="single" w:sz="4" w:space="0" w:color="000000"/>
            </w:tcBorders>
            <w:shd w:val="clear" w:color="auto" w:fill="auto"/>
            <w:noWrap/>
            <w:vAlign w:val="bottom"/>
            <w:hideMark/>
          </w:tcPr>
          <w:p w:rsidR="005676D7" w:rsidRPr="005676D7" w:rsidP="005676D7" w14:paraId="3CE83839" w14:textId="77777777">
            <w:pPr>
              <w:rPr>
                <w:rFonts w:eastAsia="Times New Roman" w:cs="Times New Roman"/>
                <w:szCs w:val="24"/>
              </w:rPr>
            </w:pPr>
            <w:r w:rsidRPr="005676D7">
              <w:rPr>
                <w:rFonts w:eastAsia="Times New Roman" w:cs="Times New Roman"/>
                <w:szCs w:val="24"/>
              </w:rPr>
              <w:t>Total Employer Cost/hour</w:t>
            </w:r>
          </w:p>
        </w:tc>
        <w:tc>
          <w:tcPr>
            <w:tcW w:w="1237" w:type="dxa"/>
            <w:tcBorders>
              <w:top w:val="nil"/>
              <w:left w:val="nil"/>
              <w:bottom w:val="nil"/>
              <w:right w:val="single" w:sz="8" w:space="0" w:color="auto"/>
            </w:tcBorders>
            <w:shd w:val="clear" w:color="auto" w:fill="auto"/>
            <w:noWrap/>
            <w:vAlign w:val="bottom"/>
            <w:hideMark/>
          </w:tcPr>
          <w:p w:rsidR="005676D7" w:rsidRPr="005676D7" w:rsidP="005676D7" w14:paraId="33C1ADDC" w14:textId="77777777">
            <w:pPr>
              <w:jc w:val="center"/>
              <w:rPr>
                <w:rFonts w:eastAsia="Times New Roman" w:cs="Times New Roman"/>
                <w:szCs w:val="24"/>
              </w:rPr>
            </w:pPr>
            <w:r w:rsidRPr="005676D7">
              <w:rPr>
                <w:rFonts w:eastAsia="Times New Roman" w:cs="Times New Roman"/>
                <w:szCs w:val="24"/>
              </w:rPr>
              <w:t>92.00</w:t>
            </w:r>
          </w:p>
        </w:tc>
        <w:tc>
          <w:tcPr>
            <w:tcW w:w="917" w:type="dxa"/>
            <w:tcBorders>
              <w:top w:val="nil"/>
              <w:left w:val="nil"/>
              <w:bottom w:val="nil"/>
              <w:right w:val="nil"/>
            </w:tcBorders>
            <w:shd w:val="clear" w:color="auto" w:fill="auto"/>
            <w:noWrap/>
            <w:vAlign w:val="bottom"/>
            <w:hideMark/>
          </w:tcPr>
          <w:p w:rsidR="005676D7" w:rsidRPr="005676D7" w:rsidP="005676D7" w14:paraId="2837B1E2" w14:textId="77777777">
            <w:pPr>
              <w:jc w:val="center"/>
              <w:rPr>
                <w:rFonts w:eastAsia="Times New Roman" w:cs="Times New Roman"/>
                <w:color w:val="8497B0"/>
                <w:szCs w:val="24"/>
              </w:rPr>
            </w:pPr>
          </w:p>
        </w:tc>
        <w:tc>
          <w:tcPr>
            <w:tcW w:w="917" w:type="dxa"/>
            <w:tcBorders>
              <w:top w:val="nil"/>
              <w:left w:val="nil"/>
              <w:bottom w:val="nil"/>
              <w:right w:val="nil"/>
            </w:tcBorders>
            <w:shd w:val="clear" w:color="auto" w:fill="auto"/>
            <w:noWrap/>
            <w:vAlign w:val="bottom"/>
            <w:hideMark/>
          </w:tcPr>
          <w:p w:rsidR="005676D7" w:rsidRPr="005676D7" w:rsidP="005676D7" w14:paraId="7BAFE039" w14:textId="77777777">
            <w:pPr>
              <w:rPr>
                <w:rFonts w:eastAsia="Times New Roman" w:cs="Times New Roman"/>
                <w:szCs w:val="24"/>
              </w:rPr>
            </w:pPr>
          </w:p>
        </w:tc>
      </w:tr>
      <w:tr w14:paraId="4B848819" w14:textId="77777777" w:rsidTr="008B6AA3">
        <w:tblPrEx>
          <w:tblW w:w="9360" w:type="dxa"/>
          <w:tblLook w:val="04A0"/>
        </w:tblPrEx>
        <w:trPr>
          <w:gridAfter w:val="1"/>
          <w:wAfter w:w="222" w:type="dxa"/>
          <w:trHeight w:val="340"/>
        </w:trPr>
        <w:tc>
          <w:tcPr>
            <w:tcW w:w="6067" w:type="dxa"/>
            <w:gridSpan w:val="4"/>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5676D7" w:rsidRPr="005676D7" w:rsidP="005676D7" w14:paraId="38B6ACAC" w14:textId="77777777">
            <w:pPr>
              <w:rPr>
                <w:rFonts w:eastAsia="Times New Roman" w:cs="Times New Roman"/>
                <w:szCs w:val="24"/>
              </w:rPr>
            </w:pPr>
            <w:r w:rsidRPr="005676D7">
              <w:rPr>
                <w:rFonts w:eastAsia="Times New Roman" w:cs="Times New Roman"/>
                <w:szCs w:val="24"/>
              </w:rPr>
              <w:t>Purchased Services</w:t>
            </w:r>
            <w:r w:rsidRPr="005676D7">
              <w:rPr>
                <w:rFonts w:eastAsia="Times New Roman" w:cs="Times New Roman"/>
                <w:szCs w:val="24"/>
                <w:vertAlign w:val="superscript"/>
              </w:rPr>
              <w:t>b</w:t>
            </w:r>
          </w:p>
        </w:tc>
        <w:tc>
          <w:tcPr>
            <w:tcW w:w="1237" w:type="dxa"/>
            <w:tcBorders>
              <w:top w:val="single" w:sz="4" w:space="0" w:color="auto"/>
              <w:left w:val="nil"/>
              <w:bottom w:val="single" w:sz="8" w:space="0" w:color="auto"/>
              <w:right w:val="single" w:sz="8" w:space="0" w:color="auto"/>
            </w:tcBorders>
            <w:shd w:val="clear" w:color="auto" w:fill="auto"/>
            <w:noWrap/>
            <w:vAlign w:val="bottom"/>
            <w:hideMark/>
          </w:tcPr>
          <w:p w:rsidR="005676D7" w:rsidRPr="005676D7" w:rsidP="005676D7" w14:paraId="530B18F3" w14:textId="77777777">
            <w:pPr>
              <w:jc w:val="center"/>
              <w:rPr>
                <w:rFonts w:eastAsia="Times New Roman" w:cs="Times New Roman"/>
                <w:szCs w:val="24"/>
              </w:rPr>
            </w:pPr>
            <w:r w:rsidRPr="005676D7">
              <w:rPr>
                <w:rFonts w:eastAsia="Times New Roman" w:cs="Times New Roman"/>
                <w:szCs w:val="24"/>
              </w:rPr>
              <w:t>230.00</w:t>
            </w:r>
          </w:p>
        </w:tc>
        <w:tc>
          <w:tcPr>
            <w:tcW w:w="917" w:type="dxa"/>
            <w:tcBorders>
              <w:top w:val="nil"/>
              <w:left w:val="nil"/>
              <w:bottom w:val="nil"/>
              <w:right w:val="nil"/>
            </w:tcBorders>
            <w:shd w:val="clear" w:color="auto" w:fill="auto"/>
            <w:noWrap/>
            <w:vAlign w:val="bottom"/>
            <w:hideMark/>
          </w:tcPr>
          <w:p w:rsidR="005676D7" w:rsidRPr="005676D7" w:rsidP="005676D7" w14:paraId="6BC913A4" w14:textId="77777777">
            <w:pPr>
              <w:jc w:val="center"/>
              <w:rPr>
                <w:rFonts w:eastAsia="Times New Roman" w:cs="Times New Roman"/>
                <w:color w:val="8497B0"/>
                <w:szCs w:val="24"/>
              </w:rPr>
            </w:pPr>
          </w:p>
        </w:tc>
        <w:tc>
          <w:tcPr>
            <w:tcW w:w="917" w:type="dxa"/>
            <w:tcBorders>
              <w:top w:val="nil"/>
              <w:left w:val="nil"/>
              <w:bottom w:val="nil"/>
              <w:right w:val="nil"/>
            </w:tcBorders>
            <w:shd w:val="clear" w:color="auto" w:fill="auto"/>
            <w:noWrap/>
            <w:vAlign w:val="bottom"/>
            <w:hideMark/>
          </w:tcPr>
          <w:p w:rsidR="005676D7" w:rsidRPr="005676D7" w:rsidP="005676D7" w14:paraId="1C0373F7" w14:textId="77777777">
            <w:pPr>
              <w:rPr>
                <w:rFonts w:eastAsia="Times New Roman" w:cs="Times New Roman"/>
                <w:szCs w:val="24"/>
              </w:rPr>
            </w:pPr>
          </w:p>
        </w:tc>
      </w:tr>
      <w:tr w14:paraId="00E25F0F" w14:textId="77777777" w:rsidTr="008B6AA3">
        <w:tblPrEx>
          <w:tblW w:w="9360" w:type="dxa"/>
          <w:tblLook w:val="04A0"/>
        </w:tblPrEx>
        <w:trPr>
          <w:gridAfter w:val="1"/>
          <w:wAfter w:w="222" w:type="dxa"/>
          <w:trHeight w:val="458"/>
        </w:trPr>
        <w:tc>
          <w:tcPr>
            <w:tcW w:w="9138" w:type="dxa"/>
            <w:gridSpan w:val="7"/>
            <w:vMerge w:val="restart"/>
            <w:tcBorders>
              <w:top w:val="nil"/>
              <w:left w:val="nil"/>
              <w:bottom w:val="nil"/>
              <w:right w:val="nil"/>
            </w:tcBorders>
            <w:shd w:val="clear" w:color="000000" w:fill="FFFFFF"/>
            <w:vAlign w:val="bottom"/>
            <w:hideMark/>
          </w:tcPr>
          <w:p w:rsidR="005676D7" w:rsidRPr="005676D7" w:rsidP="005676D7" w14:paraId="3665F7DB" w14:textId="1F71C5A1">
            <w:pPr>
              <w:rPr>
                <w:rFonts w:eastAsia="Times New Roman" w:cs="Times New Roman"/>
                <w:color w:val="000000"/>
                <w:szCs w:val="24"/>
              </w:rPr>
            </w:pPr>
            <w:r w:rsidRPr="005676D7">
              <w:rPr>
                <w:rFonts w:eastAsia="Times New Roman" w:cs="Times New Roman"/>
                <w:color w:val="000000"/>
                <w:szCs w:val="24"/>
                <w:vertAlign w:val="superscript"/>
              </w:rPr>
              <w:t xml:space="preserve">a </w:t>
            </w:r>
            <w:r w:rsidRPr="005676D7">
              <w:rPr>
                <w:rFonts w:eastAsia="Times New Roman" w:cs="Times New Roman"/>
                <w:color w:val="000000"/>
                <w:sz w:val="20"/>
                <w:szCs w:val="20"/>
              </w:rPr>
              <w:t xml:space="preserve">Overhead is calculated to be equal to the cost of </w:t>
            </w:r>
            <w:r w:rsidRPr="005676D7" w:rsidR="008B6AA3">
              <w:rPr>
                <w:rFonts w:eastAsia="Times New Roman" w:cs="Times New Roman"/>
                <w:color w:val="000000"/>
                <w:sz w:val="20"/>
                <w:szCs w:val="20"/>
              </w:rPr>
              <w:t>labor,</w:t>
            </w:r>
            <w:r w:rsidRPr="005676D7">
              <w:rPr>
                <w:rFonts w:eastAsia="Times New Roman" w:cs="Times New Roman"/>
                <w:color w:val="000000"/>
                <w:sz w:val="20"/>
                <w:szCs w:val="20"/>
              </w:rPr>
              <w:t xml:space="preserve"> </w:t>
            </w:r>
            <w:r w:rsidRPr="005676D7" w:rsidR="008B6AA3">
              <w:rPr>
                <w:rFonts w:eastAsia="Times New Roman" w:cs="Times New Roman"/>
                <w:color w:val="000000"/>
                <w:sz w:val="20"/>
                <w:szCs w:val="20"/>
              </w:rPr>
              <w:t>i.e.,</w:t>
            </w:r>
            <w:r w:rsidRPr="005676D7">
              <w:rPr>
                <w:rFonts w:eastAsia="Times New Roman" w:cs="Times New Roman"/>
                <w:color w:val="000000"/>
                <w:sz w:val="20"/>
                <w:szCs w:val="20"/>
              </w:rPr>
              <w:t xml:space="preserve"> 2x labor cost, rounded up.</w:t>
            </w:r>
          </w:p>
        </w:tc>
      </w:tr>
      <w:tr w14:paraId="2574433A" w14:textId="77777777" w:rsidTr="008B6AA3">
        <w:tblPrEx>
          <w:tblW w:w="9360" w:type="dxa"/>
          <w:tblLook w:val="04A0"/>
        </w:tblPrEx>
        <w:trPr>
          <w:trHeight w:val="290"/>
        </w:trPr>
        <w:tc>
          <w:tcPr>
            <w:tcW w:w="9138" w:type="dxa"/>
            <w:gridSpan w:val="7"/>
            <w:vMerge/>
            <w:tcBorders>
              <w:top w:val="nil"/>
              <w:left w:val="nil"/>
              <w:bottom w:val="nil"/>
              <w:right w:val="nil"/>
            </w:tcBorders>
            <w:vAlign w:val="center"/>
            <w:hideMark/>
          </w:tcPr>
          <w:p w:rsidR="005676D7" w:rsidRPr="005676D7" w:rsidP="005676D7" w14:paraId="07657567" w14:textId="77777777">
            <w:pPr>
              <w:rPr>
                <w:rFonts w:eastAsia="Times New Roman" w:cs="Times New Roman"/>
                <w:color w:val="000000"/>
                <w:szCs w:val="24"/>
              </w:rPr>
            </w:pPr>
          </w:p>
        </w:tc>
        <w:tc>
          <w:tcPr>
            <w:tcW w:w="222" w:type="dxa"/>
            <w:tcBorders>
              <w:top w:val="nil"/>
              <w:left w:val="nil"/>
              <w:bottom w:val="nil"/>
              <w:right w:val="nil"/>
            </w:tcBorders>
            <w:shd w:val="clear" w:color="auto" w:fill="auto"/>
            <w:noWrap/>
            <w:vAlign w:val="bottom"/>
            <w:hideMark/>
          </w:tcPr>
          <w:p w:rsidR="005676D7" w:rsidRPr="005676D7" w:rsidP="005676D7" w14:paraId="5A55B7AD" w14:textId="77777777">
            <w:pPr>
              <w:rPr>
                <w:rFonts w:eastAsia="Times New Roman" w:cs="Times New Roman"/>
                <w:color w:val="000000"/>
                <w:szCs w:val="24"/>
              </w:rPr>
            </w:pPr>
          </w:p>
        </w:tc>
      </w:tr>
      <w:tr w14:paraId="154D3B54" w14:textId="77777777" w:rsidTr="008B6AA3">
        <w:tblPrEx>
          <w:tblW w:w="9360" w:type="dxa"/>
          <w:tblLook w:val="04A0"/>
        </w:tblPrEx>
        <w:trPr>
          <w:trHeight w:val="290"/>
        </w:trPr>
        <w:tc>
          <w:tcPr>
            <w:tcW w:w="9138" w:type="dxa"/>
            <w:gridSpan w:val="7"/>
            <w:vMerge w:val="restart"/>
            <w:tcBorders>
              <w:top w:val="nil"/>
              <w:left w:val="nil"/>
              <w:bottom w:val="nil"/>
              <w:right w:val="nil"/>
            </w:tcBorders>
            <w:shd w:val="clear" w:color="000000" w:fill="FFFFFF"/>
            <w:vAlign w:val="bottom"/>
            <w:hideMark/>
          </w:tcPr>
          <w:p w:rsidR="005676D7" w:rsidRPr="005676D7" w:rsidP="005676D7" w14:paraId="7843BBEB" w14:textId="6FC32DD4">
            <w:pPr>
              <w:rPr>
                <w:rFonts w:eastAsia="Times New Roman" w:cs="Times New Roman"/>
                <w:sz w:val="20"/>
                <w:szCs w:val="20"/>
              </w:rPr>
            </w:pPr>
            <w:r w:rsidRPr="005676D7">
              <w:rPr>
                <w:rFonts w:eastAsia="Times New Roman" w:cs="Times New Roman"/>
                <w:sz w:val="20"/>
                <w:szCs w:val="20"/>
                <w:vertAlign w:val="superscript"/>
              </w:rPr>
              <w:t>b</w:t>
            </w:r>
            <w:r w:rsidRPr="005676D7">
              <w:rPr>
                <w:rFonts w:eastAsia="Times New Roman" w:cs="Times New Roman"/>
                <w:sz w:val="20"/>
                <w:szCs w:val="20"/>
              </w:rPr>
              <w:t xml:space="preserve"> The cost of purchased services (for example, cost of attest auditors) is calculated at 2.5 times the Total Employer Cost. Increased from 2 times (</w:t>
            </w:r>
            <w:r w:rsidRPr="005676D7" w:rsidR="008D27FF">
              <w:rPr>
                <w:rFonts w:eastAsia="Times New Roman" w:cs="Times New Roman"/>
                <w:sz w:val="20"/>
                <w:szCs w:val="20"/>
              </w:rPr>
              <w:t>because of</w:t>
            </w:r>
            <w:r w:rsidRPr="005676D7">
              <w:rPr>
                <w:rFonts w:eastAsia="Times New Roman" w:cs="Times New Roman"/>
                <w:sz w:val="20"/>
                <w:szCs w:val="20"/>
              </w:rPr>
              <w:t xml:space="preserve"> </w:t>
            </w:r>
            <w:r w:rsidRPr="00531E95" w:rsidR="009F35CE">
              <w:rPr>
                <w:rFonts w:eastAsia="Times New Roman" w:cs="Times New Roman"/>
                <w:sz w:val="20"/>
                <w:szCs w:val="20"/>
              </w:rPr>
              <w:t xml:space="preserve">recent </w:t>
            </w:r>
            <w:r w:rsidRPr="005676D7">
              <w:rPr>
                <w:rFonts w:eastAsia="Times New Roman" w:cs="Times New Roman"/>
                <w:sz w:val="20"/>
                <w:szCs w:val="20"/>
              </w:rPr>
              <w:t>industry consultation/comment</w:t>
            </w:r>
            <w:r w:rsidRPr="00531E95" w:rsidR="009F35CE">
              <w:rPr>
                <w:rFonts w:eastAsia="Times New Roman" w:cs="Times New Roman"/>
                <w:sz w:val="20"/>
                <w:szCs w:val="20"/>
              </w:rPr>
              <w:t xml:space="preserve"> on related RFS ICR, under OMB control number 2060-0725. </w:t>
            </w:r>
          </w:p>
        </w:tc>
        <w:tc>
          <w:tcPr>
            <w:tcW w:w="222" w:type="dxa"/>
            <w:vAlign w:val="center"/>
            <w:hideMark/>
          </w:tcPr>
          <w:p w:rsidR="005676D7" w:rsidRPr="005676D7" w:rsidP="005676D7" w14:paraId="598D1AE2" w14:textId="77777777">
            <w:pPr>
              <w:rPr>
                <w:rFonts w:eastAsia="Times New Roman" w:cs="Times New Roman"/>
                <w:szCs w:val="24"/>
              </w:rPr>
            </w:pPr>
          </w:p>
        </w:tc>
      </w:tr>
      <w:tr w14:paraId="643F0459" w14:textId="77777777" w:rsidTr="008B6AA3">
        <w:tblPrEx>
          <w:tblW w:w="9360" w:type="dxa"/>
          <w:tblLook w:val="04A0"/>
        </w:tblPrEx>
        <w:trPr>
          <w:trHeight w:val="290"/>
        </w:trPr>
        <w:tc>
          <w:tcPr>
            <w:tcW w:w="9138" w:type="dxa"/>
            <w:gridSpan w:val="7"/>
            <w:vMerge/>
            <w:tcBorders>
              <w:top w:val="nil"/>
              <w:left w:val="nil"/>
              <w:bottom w:val="nil"/>
              <w:right w:val="nil"/>
            </w:tcBorders>
            <w:vAlign w:val="center"/>
            <w:hideMark/>
          </w:tcPr>
          <w:p w:rsidR="005676D7" w:rsidRPr="005676D7" w:rsidP="005676D7" w14:paraId="4EE9B638" w14:textId="77777777">
            <w:pPr>
              <w:rPr>
                <w:rFonts w:eastAsia="Times New Roman" w:cs="Times New Roman"/>
                <w:color w:val="000000"/>
                <w:szCs w:val="24"/>
              </w:rPr>
            </w:pPr>
          </w:p>
        </w:tc>
        <w:tc>
          <w:tcPr>
            <w:tcW w:w="222" w:type="dxa"/>
            <w:tcBorders>
              <w:top w:val="nil"/>
              <w:left w:val="nil"/>
              <w:bottom w:val="nil"/>
              <w:right w:val="nil"/>
            </w:tcBorders>
            <w:shd w:val="clear" w:color="auto" w:fill="auto"/>
            <w:noWrap/>
            <w:vAlign w:val="bottom"/>
            <w:hideMark/>
          </w:tcPr>
          <w:p w:rsidR="005676D7" w:rsidRPr="005676D7" w:rsidP="005676D7" w14:paraId="77005EBA" w14:textId="77777777">
            <w:pPr>
              <w:rPr>
                <w:rFonts w:eastAsia="Times New Roman" w:cs="Times New Roman"/>
                <w:color w:val="000000"/>
                <w:szCs w:val="24"/>
              </w:rPr>
            </w:pPr>
          </w:p>
        </w:tc>
      </w:tr>
      <w:tr w14:paraId="7518D297" w14:textId="77777777" w:rsidTr="008B6AA3">
        <w:tblPrEx>
          <w:tblW w:w="9360" w:type="dxa"/>
          <w:tblLook w:val="04A0"/>
        </w:tblPrEx>
        <w:trPr>
          <w:trHeight w:val="290"/>
        </w:trPr>
        <w:tc>
          <w:tcPr>
            <w:tcW w:w="2231" w:type="dxa"/>
            <w:tcBorders>
              <w:top w:val="nil"/>
              <w:left w:val="nil"/>
              <w:bottom w:val="nil"/>
              <w:right w:val="nil"/>
            </w:tcBorders>
            <w:shd w:val="clear" w:color="000000" w:fill="FFFFFF"/>
            <w:noWrap/>
            <w:vAlign w:val="bottom"/>
            <w:hideMark/>
          </w:tcPr>
          <w:p w:rsidR="005676D7" w:rsidRPr="005676D7" w:rsidP="005676D7" w14:paraId="6096B10F" w14:textId="77777777">
            <w:pPr>
              <w:rPr>
                <w:rFonts w:eastAsia="Times New Roman" w:cs="Times New Roman"/>
                <w:color w:val="000000"/>
                <w:szCs w:val="24"/>
              </w:rPr>
            </w:pPr>
            <w:r w:rsidRPr="005676D7">
              <w:rPr>
                <w:rFonts w:eastAsia="Times New Roman" w:cs="Times New Roman"/>
                <w:color w:val="000000"/>
                <w:szCs w:val="24"/>
              </w:rPr>
              <w:t> </w:t>
            </w:r>
          </w:p>
        </w:tc>
        <w:tc>
          <w:tcPr>
            <w:tcW w:w="1236" w:type="dxa"/>
            <w:tcBorders>
              <w:top w:val="nil"/>
              <w:left w:val="nil"/>
              <w:bottom w:val="nil"/>
              <w:right w:val="nil"/>
            </w:tcBorders>
            <w:shd w:val="clear" w:color="000000" w:fill="FFFFFF"/>
            <w:noWrap/>
            <w:vAlign w:val="bottom"/>
            <w:hideMark/>
          </w:tcPr>
          <w:p w:rsidR="005676D7" w:rsidRPr="005676D7" w:rsidP="005676D7" w14:paraId="1013676A" w14:textId="77777777">
            <w:pPr>
              <w:rPr>
                <w:rFonts w:eastAsia="Times New Roman" w:cs="Times New Roman"/>
                <w:color w:val="000000"/>
                <w:szCs w:val="24"/>
              </w:rPr>
            </w:pPr>
            <w:r w:rsidRPr="005676D7">
              <w:rPr>
                <w:rFonts w:eastAsia="Times New Roman" w:cs="Times New Roman"/>
                <w:color w:val="000000"/>
                <w:szCs w:val="24"/>
              </w:rPr>
              <w:t> </w:t>
            </w:r>
          </w:p>
        </w:tc>
        <w:tc>
          <w:tcPr>
            <w:tcW w:w="1237" w:type="dxa"/>
            <w:tcBorders>
              <w:top w:val="nil"/>
              <w:left w:val="nil"/>
              <w:bottom w:val="nil"/>
              <w:right w:val="nil"/>
            </w:tcBorders>
            <w:shd w:val="clear" w:color="000000" w:fill="FFFFFF"/>
            <w:noWrap/>
            <w:vAlign w:val="bottom"/>
            <w:hideMark/>
          </w:tcPr>
          <w:p w:rsidR="005676D7" w:rsidRPr="005676D7" w:rsidP="005676D7" w14:paraId="5373149D" w14:textId="77777777">
            <w:pPr>
              <w:rPr>
                <w:rFonts w:eastAsia="Times New Roman" w:cs="Times New Roman"/>
                <w:color w:val="000000"/>
                <w:szCs w:val="24"/>
              </w:rPr>
            </w:pPr>
            <w:r w:rsidRPr="005676D7">
              <w:rPr>
                <w:rFonts w:eastAsia="Times New Roman" w:cs="Times New Roman"/>
                <w:color w:val="000000"/>
                <w:szCs w:val="24"/>
              </w:rPr>
              <w:t> </w:t>
            </w:r>
          </w:p>
        </w:tc>
        <w:tc>
          <w:tcPr>
            <w:tcW w:w="1363" w:type="dxa"/>
            <w:tcBorders>
              <w:top w:val="nil"/>
              <w:left w:val="nil"/>
              <w:bottom w:val="nil"/>
              <w:right w:val="nil"/>
            </w:tcBorders>
            <w:shd w:val="clear" w:color="000000" w:fill="FFFFFF"/>
            <w:noWrap/>
            <w:vAlign w:val="bottom"/>
            <w:hideMark/>
          </w:tcPr>
          <w:p w:rsidR="005676D7" w:rsidRPr="005676D7" w:rsidP="005676D7" w14:paraId="00EAB357" w14:textId="77777777">
            <w:pPr>
              <w:rPr>
                <w:rFonts w:eastAsia="Times New Roman" w:cs="Times New Roman"/>
                <w:color w:val="000000"/>
                <w:szCs w:val="24"/>
              </w:rPr>
            </w:pPr>
            <w:r w:rsidRPr="005676D7">
              <w:rPr>
                <w:rFonts w:eastAsia="Times New Roman" w:cs="Times New Roman"/>
                <w:color w:val="000000"/>
                <w:szCs w:val="24"/>
              </w:rPr>
              <w:t> </w:t>
            </w:r>
          </w:p>
        </w:tc>
        <w:tc>
          <w:tcPr>
            <w:tcW w:w="1237" w:type="dxa"/>
            <w:tcBorders>
              <w:top w:val="nil"/>
              <w:left w:val="nil"/>
              <w:bottom w:val="nil"/>
              <w:right w:val="nil"/>
            </w:tcBorders>
            <w:shd w:val="clear" w:color="000000" w:fill="FFFFFF"/>
            <w:noWrap/>
            <w:vAlign w:val="bottom"/>
            <w:hideMark/>
          </w:tcPr>
          <w:p w:rsidR="005676D7" w:rsidRPr="005676D7" w:rsidP="005676D7" w14:paraId="46EEBE16" w14:textId="77777777">
            <w:pPr>
              <w:rPr>
                <w:rFonts w:eastAsia="Times New Roman" w:cs="Times New Roman"/>
                <w:color w:val="000000"/>
                <w:szCs w:val="24"/>
              </w:rPr>
            </w:pPr>
            <w:r w:rsidRPr="005676D7">
              <w:rPr>
                <w:rFonts w:eastAsia="Times New Roman" w:cs="Times New Roman"/>
                <w:color w:val="000000"/>
                <w:szCs w:val="24"/>
              </w:rPr>
              <w:t> </w:t>
            </w:r>
          </w:p>
        </w:tc>
        <w:tc>
          <w:tcPr>
            <w:tcW w:w="917" w:type="dxa"/>
            <w:tcBorders>
              <w:top w:val="nil"/>
              <w:left w:val="nil"/>
              <w:bottom w:val="nil"/>
              <w:right w:val="nil"/>
            </w:tcBorders>
            <w:shd w:val="clear" w:color="000000" w:fill="FFFFFF"/>
            <w:noWrap/>
            <w:vAlign w:val="bottom"/>
            <w:hideMark/>
          </w:tcPr>
          <w:p w:rsidR="005676D7" w:rsidRPr="005676D7" w:rsidP="005676D7" w14:paraId="4FFF35A6" w14:textId="77777777">
            <w:pPr>
              <w:rPr>
                <w:rFonts w:eastAsia="Times New Roman" w:cs="Times New Roman"/>
                <w:color w:val="000000"/>
                <w:szCs w:val="24"/>
              </w:rPr>
            </w:pPr>
            <w:r w:rsidRPr="005676D7">
              <w:rPr>
                <w:rFonts w:eastAsia="Times New Roman" w:cs="Times New Roman"/>
                <w:color w:val="000000"/>
                <w:szCs w:val="24"/>
              </w:rPr>
              <w:t> </w:t>
            </w:r>
          </w:p>
        </w:tc>
        <w:tc>
          <w:tcPr>
            <w:tcW w:w="917" w:type="dxa"/>
            <w:tcBorders>
              <w:top w:val="nil"/>
              <w:left w:val="nil"/>
              <w:bottom w:val="nil"/>
              <w:right w:val="nil"/>
            </w:tcBorders>
            <w:shd w:val="clear" w:color="000000" w:fill="FFFFFF"/>
            <w:noWrap/>
            <w:vAlign w:val="bottom"/>
            <w:hideMark/>
          </w:tcPr>
          <w:p w:rsidR="005676D7" w:rsidRPr="005676D7" w:rsidP="005676D7" w14:paraId="0CB9F694" w14:textId="77777777">
            <w:pPr>
              <w:rPr>
                <w:rFonts w:eastAsia="Times New Roman" w:cs="Times New Roman"/>
                <w:color w:val="000000"/>
                <w:szCs w:val="24"/>
              </w:rPr>
            </w:pPr>
            <w:r w:rsidRPr="005676D7">
              <w:rPr>
                <w:rFonts w:eastAsia="Times New Roman" w:cs="Times New Roman"/>
                <w:color w:val="000000"/>
                <w:szCs w:val="24"/>
              </w:rPr>
              <w:t> </w:t>
            </w:r>
          </w:p>
        </w:tc>
        <w:tc>
          <w:tcPr>
            <w:tcW w:w="222" w:type="dxa"/>
            <w:vAlign w:val="center"/>
            <w:hideMark/>
          </w:tcPr>
          <w:p w:rsidR="005676D7" w:rsidRPr="005676D7" w:rsidP="005676D7" w14:paraId="55353400" w14:textId="77777777">
            <w:pPr>
              <w:rPr>
                <w:rFonts w:eastAsia="Times New Roman" w:cs="Times New Roman"/>
                <w:szCs w:val="24"/>
              </w:rPr>
            </w:pPr>
          </w:p>
        </w:tc>
      </w:tr>
      <w:tr w14:paraId="0C4B9B59" w14:textId="77777777" w:rsidTr="008B6AA3">
        <w:tblPrEx>
          <w:tblW w:w="9360" w:type="dxa"/>
          <w:tblLook w:val="04A0"/>
        </w:tblPrEx>
        <w:trPr>
          <w:trHeight w:val="290"/>
        </w:trPr>
        <w:tc>
          <w:tcPr>
            <w:tcW w:w="2231" w:type="dxa"/>
            <w:tcBorders>
              <w:top w:val="nil"/>
              <w:left w:val="nil"/>
              <w:bottom w:val="nil"/>
              <w:right w:val="nil"/>
            </w:tcBorders>
            <w:shd w:val="clear" w:color="000000" w:fill="FFFFFF"/>
            <w:noWrap/>
            <w:vAlign w:val="bottom"/>
            <w:hideMark/>
          </w:tcPr>
          <w:p w:rsidR="005676D7" w:rsidRPr="005676D7" w:rsidP="005676D7" w14:paraId="5453EEF4" w14:textId="77777777">
            <w:pPr>
              <w:rPr>
                <w:rFonts w:eastAsia="Times New Roman" w:cs="Times New Roman"/>
                <w:color w:val="000000"/>
                <w:szCs w:val="24"/>
              </w:rPr>
            </w:pPr>
            <w:r w:rsidRPr="005676D7">
              <w:rPr>
                <w:rFonts w:eastAsia="Times New Roman" w:cs="Times New Roman"/>
                <w:color w:val="000000"/>
                <w:szCs w:val="24"/>
              </w:rPr>
              <w:t> </w:t>
            </w:r>
          </w:p>
        </w:tc>
        <w:tc>
          <w:tcPr>
            <w:tcW w:w="1236" w:type="dxa"/>
            <w:tcBorders>
              <w:top w:val="nil"/>
              <w:left w:val="nil"/>
              <w:bottom w:val="nil"/>
              <w:right w:val="nil"/>
            </w:tcBorders>
            <w:shd w:val="clear" w:color="000000" w:fill="FFFFFF"/>
            <w:noWrap/>
            <w:vAlign w:val="bottom"/>
            <w:hideMark/>
          </w:tcPr>
          <w:p w:rsidR="005676D7" w:rsidRPr="005676D7" w:rsidP="005676D7" w14:paraId="3302E979" w14:textId="77777777">
            <w:pPr>
              <w:rPr>
                <w:rFonts w:eastAsia="Times New Roman" w:cs="Times New Roman"/>
                <w:color w:val="000000"/>
                <w:szCs w:val="24"/>
              </w:rPr>
            </w:pPr>
            <w:r w:rsidRPr="005676D7">
              <w:rPr>
                <w:rFonts w:eastAsia="Times New Roman" w:cs="Times New Roman"/>
                <w:color w:val="000000"/>
                <w:szCs w:val="24"/>
              </w:rPr>
              <w:t> </w:t>
            </w:r>
          </w:p>
        </w:tc>
        <w:tc>
          <w:tcPr>
            <w:tcW w:w="1237" w:type="dxa"/>
            <w:tcBorders>
              <w:top w:val="nil"/>
              <w:left w:val="nil"/>
              <w:bottom w:val="nil"/>
              <w:right w:val="nil"/>
            </w:tcBorders>
            <w:shd w:val="clear" w:color="000000" w:fill="FFFFFF"/>
            <w:noWrap/>
            <w:vAlign w:val="bottom"/>
            <w:hideMark/>
          </w:tcPr>
          <w:p w:rsidR="005676D7" w:rsidRPr="005676D7" w:rsidP="005676D7" w14:paraId="11C390D7" w14:textId="77777777">
            <w:pPr>
              <w:rPr>
                <w:rFonts w:eastAsia="Times New Roman" w:cs="Times New Roman"/>
                <w:color w:val="000000"/>
                <w:szCs w:val="24"/>
              </w:rPr>
            </w:pPr>
            <w:r w:rsidRPr="005676D7">
              <w:rPr>
                <w:rFonts w:eastAsia="Times New Roman" w:cs="Times New Roman"/>
                <w:color w:val="000000"/>
                <w:szCs w:val="24"/>
              </w:rPr>
              <w:t> </w:t>
            </w:r>
          </w:p>
        </w:tc>
        <w:tc>
          <w:tcPr>
            <w:tcW w:w="1363" w:type="dxa"/>
            <w:tcBorders>
              <w:top w:val="nil"/>
              <w:left w:val="nil"/>
              <w:bottom w:val="nil"/>
              <w:right w:val="nil"/>
            </w:tcBorders>
            <w:shd w:val="clear" w:color="000000" w:fill="FFFFFF"/>
            <w:noWrap/>
            <w:vAlign w:val="bottom"/>
            <w:hideMark/>
          </w:tcPr>
          <w:p w:rsidR="005676D7" w:rsidRPr="005676D7" w:rsidP="005676D7" w14:paraId="16983F55" w14:textId="77777777">
            <w:pPr>
              <w:rPr>
                <w:rFonts w:eastAsia="Times New Roman" w:cs="Times New Roman"/>
                <w:color w:val="000000"/>
                <w:szCs w:val="24"/>
              </w:rPr>
            </w:pPr>
            <w:r w:rsidRPr="005676D7">
              <w:rPr>
                <w:rFonts w:eastAsia="Times New Roman" w:cs="Times New Roman"/>
                <w:color w:val="000000"/>
                <w:szCs w:val="24"/>
              </w:rPr>
              <w:t> </w:t>
            </w:r>
          </w:p>
        </w:tc>
        <w:tc>
          <w:tcPr>
            <w:tcW w:w="1237" w:type="dxa"/>
            <w:tcBorders>
              <w:top w:val="nil"/>
              <w:left w:val="nil"/>
              <w:bottom w:val="nil"/>
              <w:right w:val="nil"/>
            </w:tcBorders>
            <w:shd w:val="clear" w:color="000000" w:fill="FFFFFF"/>
            <w:noWrap/>
            <w:vAlign w:val="bottom"/>
            <w:hideMark/>
          </w:tcPr>
          <w:p w:rsidR="005676D7" w:rsidRPr="005676D7" w:rsidP="005676D7" w14:paraId="69C24E55" w14:textId="77777777">
            <w:pPr>
              <w:rPr>
                <w:rFonts w:eastAsia="Times New Roman" w:cs="Times New Roman"/>
                <w:color w:val="000000"/>
                <w:szCs w:val="24"/>
              </w:rPr>
            </w:pPr>
            <w:r w:rsidRPr="005676D7">
              <w:rPr>
                <w:rFonts w:eastAsia="Times New Roman" w:cs="Times New Roman"/>
                <w:color w:val="000000"/>
                <w:szCs w:val="24"/>
              </w:rPr>
              <w:t> </w:t>
            </w:r>
          </w:p>
        </w:tc>
        <w:tc>
          <w:tcPr>
            <w:tcW w:w="917" w:type="dxa"/>
            <w:tcBorders>
              <w:top w:val="nil"/>
              <w:left w:val="nil"/>
              <w:bottom w:val="nil"/>
              <w:right w:val="nil"/>
            </w:tcBorders>
            <w:shd w:val="clear" w:color="000000" w:fill="FFFFFF"/>
            <w:noWrap/>
            <w:vAlign w:val="bottom"/>
            <w:hideMark/>
          </w:tcPr>
          <w:p w:rsidR="005676D7" w:rsidRPr="005676D7" w:rsidP="005676D7" w14:paraId="5E440465" w14:textId="77777777">
            <w:pPr>
              <w:rPr>
                <w:rFonts w:eastAsia="Times New Roman" w:cs="Times New Roman"/>
                <w:color w:val="000000"/>
                <w:szCs w:val="24"/>
              </w:rPr>
            </w:pPr>
            <w:r w:rsidRPr="005676D7">
              <w:rPr>
                <w:rFonts w:eastAsia="Times New Roman" w:cs="Times New Roman"/>
                <w:color w:val="000000"/>
                <w:szCs w:val="24"/>
              </w:rPr>
              <w:t> </w:t>
            </w:r>
          </w:p>
        </w:tc>
        <w:tc>
          <w:tcPr>
            <w:tcW w:w="917" w:type="dxa"/>
            <w:tcBorders>
              <w:top w:val="nil"/>
              <w:left w:val="nil"/>
              <w:bottom w:val="nil"/>
              <w:right w:val="nil"/>
            </w:tcBorders>
            <w:shd w:val="clear" w:color="000000" w:fill="FFFFFF"/>
            <w:noWrap/>
            <w:vAlign w:val="bottom"/>
            <w:hideMark/>
          </w:tcPr>
          <w:p w:rsidR="005676D7" w:rsidRPr="005676D7" w:rsidP="005676D7" w14:paraId="726977A5" w14:textId="77777777">
            <w:pPr>
              <w:rPr>
                <w:rFonts w:eastAsia="Times New Roman" w:cs="Times New Roman"/>
                <w:color w:val="000000"/>
                <w:szCs w:val="24"/>
              </w:rPr>
            </w:pPr>
            <w:r w:rsidRPr="005676D7">
              <w:rPr>
                <w:rFonts w:eastAsia="Times New Roman" w:cs="Times New Roman"/>
                <w:color w:val="000000"/>
                <w:szCs w:val="24"/>
              </w:rPr>
              <w:t> </w:t>
            </w:r>
          </w:p>
        </w:tc>
        <w:tc>
          <w:tcPr>
            <w:tcW w:w="222" w:type="dxa"/>
            <w:vAlign w:val="center"/>
            <w:hideMark/>
          </w:tcPr>
          <w:p w:rsidR="005676D7" w:rsidRPr="005676D7" w:rsidP="005676D7" w14:paraId="531FF6CB" w14:textId="77777777">
            <w:pPr>
              <w:rPr>
                <w:rFonts w:eastAsia="Times New Roman" w:cs="Times New Roman"/>
                <w:szCs w:val="24"/>
              </w:rPr>
            </w:pPr>
          </w:p>
        </w:tc>
      </w:tr>
    </w:tbl>
    <w:p w:rsidR="008B6AA3" w:rsidP="00591902" w14:paraId="2C22ACE6" w14:textId="48A3292A">
      <w:pPr>
        <w:suppressAutoHyphens/>
        <w:autoSpaceDN w:val="0"/>
        <w:ind w:firstLine="720"/>
        <w:rPr>
          <w:rFonts w:eastAsia="SimSun" w:cs="Times New Roman"/>
          <w:kern w:val="3"/>
          <w:szCs w:val="24"/>
          <w:lang w:eastAsia="zh-CN" w:bidi="hi-IN"/>
        </w:rPr>
      </w:pPr>
    </w:p>
    <w:p w:rsidR="008B6AA3" w14:paraId="366EFF9C" w14:textId="77777777">
      <w:pPr>
        <w:spacing w:after="160" w:line="259" w:lineRule="auto"/>
        <w:rPr>
          <w:rFonts w:eastAsia="SimSun" w:cs="Times New Roman"/>
          <w:kern w:val="3"/>
          <w:szCs w:val="24"/>
          <w:lang w:eastAsia="zh-CN" w:bidi="hi-IN"/>
        </w:rPr>
      </w:pPr>
      <w:r>
        <w:rPr>
          <w:rFonts w:eastAsia="SimSun" w:cs="Times New Roman"/>
          <w:kern w:val="3"/>
          <w:szCs w:val="24"/>
          <w:lang w:eastAsia="zh-CN" w:bidi="hi-IN"/>
        </w:rPr>
        <w:br w:type="page"/>
      </w:r>
    </w:p>
    <w:p w:rsidR="005676D7" w:rsidRPr="005676D7" w:rsidP="00591902" w14:paraId="4233647F" w14:textId="77777777">
      <w:pPr>
        <w:suppressAutoHyphens/>
        <w:autoSpaceDN w:val="0"/>
        <w:ind w:firstLine="720"/>
        <w:rPr>
          <w:rFonts w:eastAsia="SimSun" w:cs="Times New Roman"/>
          <w:kern w:val="3"/>
          <w:szCs w:val="24"/>
          <w:lang w:eastAsia="zh-CN" w:bidi="hi-IN"/>
        </w:rPr>
      </w:pPr>
    </w:p>
    <w:tbl>
      <w:tblPr>
        <w:tblW w:w="9340" w:type="dxa"/>
        <w:tblCellMar>
          <w:top w:w="15" w:type="dxa"/>
        </w:tblCellMar>
        <w:tblLook w:val="04A0"/>
      </w:tblPr>
      <w:tblGrid>
        <w:gridCol w:w="9118"/>
        <w:gridCol w:w="222"/>
      </w:tblGrid>
      <w:tr w14:paraId="34308B15" w14:textId="77777777" w:rsidTr="005D39AC">
        <w:tblPrEx>
          <w:tblW w:w="9340" w:type="dxa"/>
          <w:tblCellMar>
            <w:top w:w="15" w:type="dxa"/>
          </w:tblCellMar>
          <w:tblLook w:val="04A0"/>
        </w:tblPrEx>
        <w:trPr>
          <w:trHeight w:val="290"/>
        </w:trPr>
        <w:tc>
          <w:tcPr>
            <w:tcW w:w="9118" w:type="dxa"/>
            <w:tcBorders>
              <w:top w:val="nil"/>
              <w:left w:val="nil"/>
              <w:bottom w:val="nil"/>
              <w:right w:val="nil"/>
            </w:tcBorders>
            <w:vAlign w:val="center"/>
            <w:hideMark/>
          </w:tcPr>
          <w:p w:rsidR="00576385" w:rsidRPr="00576385" w:rsidP="005D39AC" w14:paraId="73EF8B0C" w14:textId="77777777">
            <w:pPr>
              <w:spacing w:after="160" w:line="259" w:lineRule="auto"/>
              <w:rPr>
                <w:rFonts w:eastAsia="Times New Roman" w:cs="Times New Roman"/>
                <w:color w:val="000000"/>
                <w:sz w:val="18"/>
                <w:szCs w:val="18"/>
              </w:rPr>
            </w:pPr>
          </w:p>
        </w:tc>
        <w:tc>
          <w:tcPr>
            <w:tcW w:w="222" w:type="dxa"/>
            <w:tcBorders>
              <w:top w:val="nil"/>
              <w:left w:val="nil"/>
              <w:bottom w:val="nil"/>
              <w:right w:val="nil"/>
            </w:tcBorders>
            <w:shd w:val="clear" w:color="auto" w:fill="auto"/>
            <w:noWrap/>
            <w:vAlign w:val="bottom"/>
            <w:hideMark/>
          </w:tcPr>
          <w:p w:rsidR="00576385" w:rsidRPr="00576385" w:rsidP="00576385" w14:paraId="47B63588" w14:textId="77777777">
            <w:pPr>
              <w:rPr>
                <w:rFonts w:eastAsia="Times New Roman" w:cs="Times New Roman"/>
                <w:color w:val="000000"/>
                <w:sz w:val="18"/>
                <w:szCs w:val="18"/>
              </w:rPr>
            </w:pPr>
          </w:p>
        </w:tc>
      </w:tr>
    </w:tbl>
    <w:p w:rsidR="003B425A" w:rsidP="003B425A" w14:paraId="26E58E16" w14:textId="2CD5592E">
      <w:pPr>
        <w:suppressAutoHyphens/>
        <w:autoSpaceDN w:val="0"/>
        <w:ind w:firstLine="720"/>
        <w:rPr>
          <w:rFonts w:eastAsia="SimSun" w:cs="Times New Roman"/>
          <w:strike/>
          <w:kern w:val="3"/>
          <w:sz w:val="18"/>
          <w:szCs w:val="18"/>
          <w:lang w:eastAsia="zh-CN" w:bidi="hi-IN"/>
        </w:rPr>
      </w:pPr>
    </w:p>
    <w:p w:rsidR="00A43F6E" w:rsidRPr="00875303" w:rsidP="00A43F6E" w14:paraId="3258E5DC" w14:textId="4F25E29F">
      <w:pPr>
        <w:outlineLvl w:val="1"/>
        <w:rPr>
          <w:bCs/>
          <w:color w:val="FF0000"/>
          <w:szCs w:val="24"/>
        </w:rPr>
      </w:pPr>
      <w:r>
        <w:rPr>
          <w:b/>
        </w:rPr>
        <w:t>6(c)</w:t>
      </w:r>
      <w:r>
        <w:rPr>
          <w:b/>
        </w:rPr>
        <w:tab/>
        <w:t xml:space="preserve">Estimating the Agency Burden and Costs </w:t>
      </w:r>
    </w:p>
    <w:p w:rsidR="00A43F6E" w:rsidP="00A43F6E" w14:paraId="1776F93F" w14:textId="77777777">
      <w:pPr>
        <w:ind w:firstLine="720"/>
      </w:pPr>
    </w:p>
    <w:p w:rsidR="00A43F6E" w:rsidP="00A43F6E" w14:paraId="4A44B4F0" w14:textId="1B4C97AE">
      <w:pPr>
        <w:ind w:firstLine="720"/>
      </w:pPr>
      <w:r>
        <w:t>EPA w</w:t>
      </w:r>
      <w:r w:rsidR="00773C12">
        <w:t>ill</w:t>
      </w:r>
      <w:r>
        <w:t xml:space="preserve"> generate company and facility registration number(s) for new registrants and notify them of these numbers, which would appear on reports. </w:t>
      </w:r>
      <w:r w:rsidR="002062B5">
        <w:t xml:space="preserve">EPA </w:t>
      </w:r>
      <w:r w:rsidR="00773C12">
        <w:t xml:space="preserve">will </w:t>
      </w:r>
      <w:r w:rsidR="002062B5">
        <w:t xml:space="preserve">also process and examine registration materials, such as </w:t>
      </w:r>
      <w:r w:rsidR="004464CE">
        <w:t>engineering</w:t>
      </w:r>
      <w:r w:rsidR="002062B5">
        <w:t xml:space="preserve"> reviews</w:t>
      </w:r>
      <w:r w:rsidR="00B33DBA">
        <w:t xml:space="preserve"> and QAP plans</w:t>
      </w:r>
      <w:r w:rsidR="00773C12">
        <w:t>, and compliance reports.</w:t>
      </w:r>
    </w:p>
    <w:p w:rsidR="00A43F6E" w:rsidP="00A43F6E" w14:paraId="48DE26DD" w14:textId="77777777">
      <w:pPr>
        <w:ind w:firstLine="720"/>
      </w:pPr>
      <w:r>
        <w:t xml:space="preserve"> </w:t>
      </w:r>
    </w:p>
    <w:p w:rsidR="00A43F6E" w:rsidP="00A43F6E" w14:paraId="0D85D7A9" w14:textId="631E3004">
      <w:pPr>
        <w:ind w:firstLine="720"/>
      </w:pPr>
      <w:r>
        <w:t>This supporting statement considers EPA costs associated with accepting new</w:t>
      </w:r>
      <w:r w:rsidR="00773C12">
        <w:t xml:space="preserve"> and updated</w:t>
      </w:r>
      <w:r>
        <w:t xml:space="preserve"> registrants and new reports associated with the rule. Using the RFS-related ICRs as a guide in developing these initial estimates, we anticipate that the rule </w:t>
      </w:r>
      <w:r w:rsidR="00EA3FE7">
        <w:t xml:space="preserve">will </w:t>
      </w:r>
      <w:r>
        <w:t xml:space="preserve">require the equivalent labor of </w:t>
      </w:r>
      <w:r w:rsidR="00A97E9F">
        <w:t xml:space="preserve">the equivalent </w:t>
      </w:r>
      <w:r w:rsidR="00134931">
        <w:t xml:space="preserve">of </w:t>
      </w:r>
      <w:r w:rsidR="003B2EC6">
        <w:t xml:space="preserve">1.5 </w:t>
      </w:r>
      <w:r w:rsidR="00A97E9F">
        <w:t xml:space="preserve">full-time </w:t>
      </w:r>
      <w:r w:rsidR="00134931">
        <w:t xml:space="preserve">GS-13 </w:t>
      </w:r>
      <w:r>
        <w:t xml:space="preserve">technical </w:t>
      </w:r>
      <w:r w:rsidR="00521B23">
        <w:t xml:space="preserve">employee </w:t>
      </w:r>
      <w:r w:rsidR="001601CA">
        <w:t xml:space="preserve">at </w:t>
      </w:r>
      <w:r>
        <w:t>$</w:t>
      </w:r>
      <w:r w:rsidR="003B2EC6">
        <w:t>331,500</w:t>
      </w:r>
      <w:r w:rsidR="00B35F07">
        <w:t xml:space="preserve"> </w:t>
      </w:r>
      <w:r w:rsidR="00751DF5">
        <w:t xml:space="preserve">labor cost </w:t>
      </w:r>
      <w:r>
        <w:t xml:space="preserve">and </w:t>
      </w:r>
      <w:r w:rsidR="00521B23">
        <w:t>one-</w:t>
      </w:r>
      <w:r w:rsidR="003B2EC6">
        <w:t>quarter</w:t>
      </w:r>
      <w:r w:rsidR="00521B23">
        <w:t xml:space="preserve"> of a GS-15 management employee </w:t>
      </w:r>
      <w:r w:rsidR="001601CA">
        <w:t xml:space="preserve">at </w:t>
      </w:r>
      <w:r>
        <w:t>$</w:t>
      </w:r>
      <w:r w:rsidR="003B2EC6">
        <w:t>70,500</w:t>
      </w:r>
      <w:r w:rsidR="00751DF5">
        <w:t xml:space="preserve"> labor cost</w:t>
      </w:r>
      <w:r>
        <w:t>.</w:t>
      </w:r>
      <w:r>
        <w:rPr>
          <w:rStyle w:val="FootnoteReference"/>
        </w:rPr>
        <w:footnoteReference w:id="4"/>
      </w:r>
      <w:r w:rsidR="003B2EC6">
        <w:t xml:space="preserve"> </w:t>
      </w:r>
    </w:p>
    <w:p w:rsidR="003B2EC6" w:rsidP="003B2EC6" w14:paraId="47DA0C65" w14:textId="77777777"/>
    <w:p w:rsidR="00A43F6E" w:rsidP="00A43F6E" w14:paraId="755F8669" w14:textId="48217D8B">
      <w:pPr>
        <w:ind w:firstLine="720"/>
      </w:pPr>
      <w:r>
        <w:t xml:space="preserve">Adding the following values results in an annual estimated EPA burden </w:t>
      </w:r>
      <w:r w:rsidR="00F166B3">
        <w:t xml:space="preserve">associated with this information collection, </w:t>
      </w:r>
      <w:r>
        <w:t>as follows:</w:t>
      </w:r>
    </w:p>
    <w:p w:rsidR="00A43F6E" w:rsidP="00A43F6E" w14:paraId="6CB469AC" w14:textId="77777777">
      <w:pPr>
        <w:ind w:firstLine="720"/>
      </w:pPr>
    </w:p>
    <w:p w:rsidR="00A43F6E" w:rsidP="00A43F6E" w14:paraId="6046CB51" w14:textId="04F2503E">
      <w:pPr>
        <w:pStyle w:val="Standard"/>
        <w:keepNext/>
        <w:tabs>
          <w:tab w:val="left" w:pos="5400"/>
          <w:tab w:val="right" w:pos="6480"/>
        </w:tabs>
        <w:suppressAutoHyphens w:val="0"/>
        <w:ind w:firstLine="720"/>
      </w:pPr>
      <w:r w:rsidRPr="003B2EC6">
        <w:t>1.5</w:t>
      </w:r>
      <w:r>
        <w:t xml:space="preserve"> </w:t>
      </w:r>
      <w:r>
        <w:t>GS-13 technical employee</w:t>
      </w:r>
      <w:r w:rsidR="00E81EAA">
        <w:t>s</w:t>
      </w:r>
      <w:r>
        <w:t xml:space="preserve"> (</w:t>
      </w:r>
      <w:r w:rsidR="007D04D2">
        <w:t>full-</w:t>
      </w:r>
      <w:r w:rsidR="00134931">
        <w:t>time</w:t>
      </w:r>
      <w:r>
        <w:t xml:space="preserve">) = </w:t>
      </w:r>
      <w:r w:rsidR="003D0ADE">
        <w:t xml:space="preserve">  </w:t>
      </w:r>
      <w:r>
        <w:t>$</w:t>
      </w:r>
      <w:r w:rsidR="007D04D2">
        <w:tab/>
      </w:r>
      <w:r w:rsidR="003B2EC6">
        <w:t xml:space="preserve">       331,500</w:t>
      </w:r>
    </w:p>
    <w:p w:rsidR="00A43F6E" w:rsidP="00A43F6E" w14:paraId="7B04B92A" w14:textId="20EB1730">
      <w:pPr>
        <w:pStyle w:val="Standard"/>
        <w:keepNext/>
        <w:tabs>
          <w:tab w:val="right" w:pos="6480"/>
        </w:tabs>
        <w:suppressAutoHyphens w:val="0"/>
        <w:ind w:firstLine="720"/>
      </w:pPr>
      <w:r>
        <w:t>One GS-15 manager (</w:t>
      </w:r>
      <w:r w:rsidRPr="003B2EC6">
        <w:t>1/</w:t>
      </w:r>
      <w:r w:rsidRPr="003B2EC6" w:rsidR="00F11007">
        <w:t>4</w:t>
      </w:r>
      <w:r>
        <w:t xml:space="preserve"> time) = </w:t>
      </w:r>
      <w:r w:rsidR="00D63BDC">
        <w:t xml:space="preserve">                             </w:t>
      </w:r>
      <w:r w:rsidR="003B2EC6">
        <w:t xml:space="preserve">    70,500</w:t>
      </w:r>
    </w:p>
    <w:p w:rsidR="008B6AA3" w:rsidP="0EE4E124" w14:paraId="0A62E6E2" w14:textId="77777777">
      <w:pPr>
        <w:pStyle w:val="Standard"/>
        <w:keepNext/>
        <w:tabs>
          <w:tab w:val="left" w:pos="5400"/>
          <w:tab w:val="right" w:pos="6480"/>
        </w:tabs>
        <w:suppressAutoHyphens w:val="0"/>
        <w:ind w:firstLine="720"/>
        <w:rPr>
          <w:b/>
          <w:bCs/>
        </w:rPr>
      </w:pPr>
    </w:p>
    <w:p w:rsidR="00A43F6E" w:rsidP="0EE4E124" w14:paraId="685A5660" w14:textId="6B4D2A76">
      <w:pPr>
        <w:pStyle w:val="Standard"/>
        <w:keepNext/>
        <w:tabs>
          <w:tab w:val="left" w:pos="5400"/>
          <w:tab w:val="right" w:pos="6480"/>
        </w:tabs>
        <w:suppressAutoHyphens w:val="0"/>
        <w:ind w:firstLine="720"/>
        <w:rPr>
          <w:b/>
          <w:bCs/>
        </w:rPr>
      </w:pPr>
      <w:r w:rsidRPr="77BB08C4">
        <w:rPr>
          <w:b/>
          <w:bCs/>
        </w:rPr>
        <w:t xml:space="preserve">TOTAL = </w:t>
      </w:r>
      <w:r>
        <w:tab/>
      </w:r>
      <w:r w:rsidRPr="77BB08C4" w:rsidR="000D4108">
        <w:rPr>
          <w:b/>
          <w:bCs/>
        </w:rPr>
        <w:t xml:space="preserve">   </w:t>
      </w:r>
      <w:r w:rsidR="003B2EC6">
        <w:rPr>
          <w:b/>
          <w:bCs/>
        </w:rPr>
        <w:t xml:space="preserve">    402,000</w:t>
      </w:r>
    </w:p>
    <w:p w:rsidR="00A43F6E" w:rsidP="00A43F6E" w14:paraId="6CB07E4F" w14:textId="77777777">
      <w:pPr>
        <w:ind w:firstLine="720"/>
      </w:pPr>
    </w:p>
    <w:p w:rsidR="00815C78" w:rsidP="00A43F6E" w14:paraId="0E7A771D" w14:textId="77777777">
      <w:pPr>
        <w:ind w:firstLine="720"/>
      </w:pPr>
      <w:r>
        <w:t xml:space="preserve">As with all items in this supporting statement, we strongly encourage comment on the estimated EPA burden and on </w:t>
      </w:r>
      <w:r w:rsidR="00B731FD">
        <w:t xml:space="preserve">EPA </w:t>
      </w:r>
      <w:r>
        <w:t>activities associated with this information collection.</w:t>
      </w:r>
      <w:r w:rsidR="003B2EC6">
        <w:t xml:space="preserve"> </w:t>
      </w:r>
    </w:p>
    <w:p w:rsidR="00815C78" w:rsidP="00A43F6E" w14:paraId="083FD8D1" w14:textId="77777777">
      <w:pPr>
        <w:ind w:firstLine="720"/>
      </w:pPr>
    </w:p>
    <w:p w:rsidR="00A43F6E" w:rsidP="00A43F6E" w14:paraId="49EA89F2" w14:textId="30B3470D">
      <w:pPr>
        <w:ind w:firstLine="720"/>
      </w:pPr>
      <w:r>
        <w:t xml:space="preserve">Please note that </w:t>
      </w:r>
      <w:r w:rsidR="00754B1A">
        <w:t xml:space="preserve">related </w:t>
      </w:r>
      <w:r>
        <w:t>system costs and contractor support costs</w:t>
      </w:r>
      <w:r w:rsidR="0006672B">
        <w:t xml:space="preserve"> are </w:t>
      </w:r>
      <w:r w:rsidR="00754B1A">
        <w:t xml:space="preserve">also </w:t>
      </w:r>
      <w:r w:rsidR="0006672B">
        <w:t>addressed in</w:t>
      </w:r>
      <w:r>
        <w:t xml:space="preserve"> the following RFS-related ICRs: 2060-0725</w:t>
      </w:r>
      <w:r w:rsidR="00754B1A">
        <w:t xml:space="preserve">, </w:t>
      </w:r>
      <w:r>
        <w:t>2060-0740</w:t>
      </w:r>
      <w:r w:rsidR="00754B1A">
        <w:t>, and in the fuels regulatory streamlining ICR: 2060-0731</w:t>
      </w:r>
      <w:r>
        <w:t xml:space="preserve">. </w:t>
      </w:r>
    </w:p>
    <w:p w:rsidR="00A43F6E" w:rsidP="00A43F6E" w14:paraId="45BADC76" w14:textId="77777777">
      <w:pPr>
        <w:ind w:firstLine="720"/>
      </w:pPr>
    </w:p>
    <w:p w:rsidR="00A43F6E" w:rsidP="00A43F6E" w14:paraId="2CA862A6" w14:textId="77777777">
      <w:pPr>
        <w:ind w:firstLine="720"/>
        <w:outlineLvl w:val="1"/>
        <w:rPr>
          <w:b/>
        </w:rPr>
      </w:pPr>
      <w:r>
        <w:rPr>
          <w:b/>
        </w:rPr>
        <w:t>6(d)</w:t>
      </w:r>
      <w:r>
        <w:rPr>
          <w:b/>
        </w:rPr>
        <w:tab/>
        <w:t xml:space="preserve">Estimating the Respondent Universe </w:t>
      </w:r>
    </w:p>
    <w:p w:rsidR="00A43F6E" w:rsidP="00A43F6E" w14:paraId="52DD5498" w14:textId="77777777">
      <w:pPr>
        <w:ind w:firstLine="720"/>
      </w:pPr>
    </w:p>
    <w:p w:rsidR="008B6AA3" w:rsidP="00A43F6E" w14:paraId="10032057" w14:textId="639E9AE8">
      <w:pPr>
        <w:ind w:firstLine="720"/>
      </w:pPr>
      <w:r>
        <w:t xml:space="preserve">We estimated the number of regulated entities for this ICR by drawing upon our experience regulating the same or similar entities under the RFS program. </w:t>
      </w:r>
      <w:r w:rsidR="00773C12">
        <w:t xml:space="preserve">In some cases, we have information based on current registrants. In other cases, we must make reasonable assumptions. These are explained on each Tab of Appendix A. </w:t>
      </w:r>
    </w:p>
    <w:p w:rsidR="008B6AA3" w14:paraId="07D3CD70" w14:textId="77777777">
      <w:pPr>
        <w:spacing w:after="160" w:line="259" w:lineRule="auto"/>
      </w:pPr>
      <w:r>
        <w:br w:type="page"/>
      </w:r>
    </w:p>
    <w:p w:rsidR="00A43F6E" w:rsidP="00A43F6E" w14:paraId="114B6A53" w14:textId="77777777">
      <w:pPr>
        <w:ind w:firstLine="720"/>
      </w:pPr>
    </w:p>
    <w:p w:rsidR="00A43F6E" w:rsidP="00A43F6E" w14:paraId="62FC6A44" w14:textId="77777777">
      <w:pPr>
        <w:ind w:firstLine="720"/>
      </w:pPr>
    </w:p>
    <w:p w:rsidR="00A43F6E" w:rsidP="00A43F6E" w14:paraId="0885A98B" w14:textId="77777777">
      <w:pPr>
        <w:ind w:firstLine="720"/>
        <w:outlineLvl w:val="1"/>
        <w:rPr>
          <w:b/>
        </w:rPr>
      </w:pPr>
      <w:r>
        <w:rPr>
          <w:b/>
        </w:rPr>
        <w:t>6(e)</w:t>
      </w:r>
      <w:r>
        <w:rPr>
          <w:b/>
        </w:rPr>
        <w:tab/>
        <w:t>Bottom Line Burden Hours and Costs</w:t>
      </w:r>
    </w:p>
    <w:p w:rsidR="00A43F6E" w:rsidP="00A43F6E" w14:paraId="0AC5F01F" w14:textId="77777777">
      <w:pPr>
        <w:ind w:firstLine="720"/>
      </w:pPr>
    </w:p>
    <w:p w:rsidR="00A43F6E" w:rsidP="00A43F6E" w14:paraId="669998B2" w14:textId="200B1E79">
      <w:pPr>
        <w:ind w:firstLine="720"/>
      </w:pPr>
      <w:r>
        <w:t>From the tables, we estimate the following annual totals:</w:t>
      </w:r>
    </w:p>
    <w:tbl>
      <w:tblPr>
        <w:tblStyle w:val="TableGrid"/>
        <w:tblW w:w="0" w:type="auto"/>
        <w:tblInd w:w="0" w:type="dxa"/>
        <w:tblLook w:val="04A0"/>
      </w:tblPr>
      <w:tblGrid>
        <w:gridCol w:w="4675"/>
        <w:gridCol w:w="4675"/>
      </w:tblGrid>
      <w:tr w14:paraId="23A713F6" w14:textId="77777777" w:rsidTr="006B0010">
        <w:tblPrEx>
          <w:tblW w:w="0" w:type="auto"/>
          <w:tblInd w:w="0" w:type="dxa"/>
          <w:tblLook w:val="04A0"/>
        </w:tblPrEx>
        <w:tc>
          <w:tcPr>
            <w:tcW w:w="4675" w:type="dxa"/>
          </w:tcPr>
          <w:p w:rsidR="006B0010" w:rsidP="00A43F6E" w14:paraId="1C710088" w14:textId="6659821B">
            <w:r>
              <w:t>TOTAL NUMBER OF RESPONDENTS</w:t>
            </w:r>
          </w:p>
        </w:tc>
        <w:tc>
          <w:tcPr>
            <w:tcW w:w="4675" w:type="dxa"/>
          </w:tcPr>
          <w:p w:rsidR="006B0010" w:rsidP="00A43F6E" w14:paraId="362E2751" w14:textId="5EC0DB23">
            <w:r>
              <w:t>7,</w:t>
            </w:r>
            <w:r w:rsidR="00EC0D73">
              <w:t>835</w:t>
            </w:r>
          </w:p>
        </w:tc>
      </w:tr>
      <w:tr w14:paraId="02293DFC" w14:textId="77777777" w:rsidTr="006B0010">
        <w:tblPrEx>
          <w:tblW w:w="0" w:type="auto"/>
          <w:tblInd w:w="0" w:type="dxa"/>
          <w:tblLook w:val="04A0"/>
        </w:tblPrEx>
        <w:tc>
          <w:tcPr>
            <w:tcW w:w="4675" w:type="dxa"/>
          </w:tcPr>
          <w:p w:rsidR="006B0010" w:rsidP="00A43F6E" w14:paraId="5BB58D6C" w14:textId="7BFD9AC1">
            <w:r>
              <w:t>TOTAL NUMBER OF RESPONSES</w:t>
            </w:r>
          </w:p>
        </w:tc>
        <w:tc>
          <w:tcPr>
            <w:tcW w:w="4675" w:type="dxa"/>
          </w:tcPr>
          <w:p w:rsidR="006B0010" w:rsidP="00A43F6E" w14:paraId="5EFF45E5" w14:textId="09AEC19E">
            <w:r>
              <w:t>5</w:t>
            </w:r>
            <w:r w:rsidR="00EC0D73">
              <w:t>8,354</w:t>
            </w:r>
          </w:p>
        </w:tc>
      </w:tr>
      <w:tr w14:paraId="4839E407" w14:textId="77777777" w:rsidTr="006B0010">
        <w:tblPrEx>
          <w:tblW w:w="0" w:type="auto"/>
          <w:tblInd w:w="0" w:type="dxa"/>
          <w:tblLook w:val="04A0"/>
        </w:tblPrEx>
        <w:tc>
          <w:tcPr>
            <w:tcW w:w="4675" w:type="dxa"/>
          </w:tcPr>
          <w:p w:rsidR="006B0010" w:rsidP="00A43F6E" w14:paraId="033B8D38" w14:textId="70DC5C37">
            <w:r>
              <w:t>TOTAL BURDEN HOURS</w:t>
            </w:r>
          </w:p>
        </w:tc>
        <w:tc>
          <w:tcPr>
            <w:tcW w:w="4675" w:type="dxa"/>
          </w:tcPr>
          <w:p w:rsidR="006B0010" w:rsidP="00A43F6E" w14:paraId="1EA55851" w14:textId="609451FD">
            <w:r>
              <w:t>8</w:t>
            </w:r>
            <w:r w:rsidR="00E0275B">
              <w:t>2</w:t>
            </w:r>
            <w:r w:rsidR="00EC0D73">
              <w:t>,441</w:t>
            </w:r>
          </w:p>
        </w:tc>
      </w:tr>
      <w:tr w14:paraId="6A861E7F" w14:textId="77777777" w:rsidTr="006B0010">
        <w:tblPrEx>
          <w:tblW w:w="0" w:type="auto"/>
          <w:tblInd w:w="0" w:type="dxa"/>
          <w:tblLook w:val="04A0"/>
        </w:tblPrEx>
        <w:tc>
          <w:tcPr>
            <w:tcW w:w="4675" w:type="dxa"/>
          </w:tcPr>
          <w:p w:rsidR="006B0010" w:rsidP="00A43F6E" w14:paraId="6FEDB31D" w14:textId="44CF3CC7">
            <w:r>
              <w:t>TOTAL COST TO RESPONDENTS</w:t>
            </w:r>
            <w:r>
              <w:rPr>
                <w:rStyle w:val="FootnoteReference"/>
              </w:rPr>
              <w:footnoteReference w:id="5"/>
            </w:r>
          </w:p>
        </w:tc>
        <w:tc>
          <w:tcPr>
            <w:tcW w:w="4675" w:type="dxa"/>
          </w:tcPr>
          <w:p w:rsidR="006B0010" w:rsidP="00A43F6E" w14:paraId="0CFD3FD2" w14:textId="5D33AD57">
            <w:r w:rsidRPr="00D66C91">
              <w:t>$5,</w:t>
            </w:r>
            <w:r w:rsidR="00D065A5">
              <w:t>684,472</w:t>
            </w:r>
          </w:p>
        </w:tc>
      </w:tr>
    </w:tbl>
    <w:p w:rsidR="006B0010" w:rsidP="00A43F6E" w14:paraId="659CB98F" w14:textId="77777777">
      <w:pPr>
        <w:ind w:firstLine="720"/>
      </w:pPr>
    </w:p>
    <w:p w:rsidR="00A43F6E" w:rsidP="00A43F6E" w14:paraId="2D83D0C9" w14:textId="77777777">
      <w:pPr>
        <w:ind w:firstLine="720"/>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55"/>
      </w:tblGrid>
      <w:tr w14:paraId="5BA42D98" w14:textId="77777777" w:rsidTr="0085779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6"/>
        </w:trPr>
        <w:tc>
          <w:tcPr>
            <w:tcW w:w="2155" w:type="dxa"/>
          </w:tcPr>
          <w:p w:rsidR="002810F2" w:rsidRPr="002E122F" w:rsidP="00FD4583" w14:paraId="18464A7C" w14:textId="68D27B4F">
            <w:pPr>
              <w:rPr>
                <w:bCs/>
              </w:rPr>
            </w:pPr>
          </w:p>
        </w:tc>
      </w:tr>
      <w:tr w14:paraId="3D459888" w14:textId="77777777" w:rsidTr="00857796">
        <w:tblPrEx>
          <w:tblW w:w="0" w:type="auto"/>
          <w:tblInd w:w="0" w:type="dxa"/>
          <w:tblLook w:val="04A0"/>
        </w:tblPrEx>
        <w:trPr>
          <w:trHeight w:val="305"/>
        </w:trPr>
        <w:tc>
          <w:tcPr>
            <w:tcW w:w="2155" w:type="dxa"/>
          </w:tcPr>
          <w:p w:rsidR="002810F2" w:rsidRPr="002E122F" w:rsidP="00F209B4" w14:paraId="7E5FD399" w14:textId="6DD169A7">
            <w:pPr>
              <w:rPr>
                <w:bCs/>
              </w:rPr>
            </w:pPr>
          </w:p>
        </w:tc>
      </w:tr>
      <w:tr w14:paraId="059F3F8F" w14:textId="77777777" w:rsidTr="00857796">
        <w:tblPrEx>
          <w:tblW w:w="0" w:type="auto"/>
          <w:tblInd w:w="0" w:type="dxa"/>
          <w:tblLook w:val="04A0"/>
        </w:tblPrEx>
        <w:trPr>
          <w:trHeight w:val="316"/>
        </w:trPr>
        <w:tc>
          <w:tcPr>
            <w:tcW w:w="2155" w:type="dxa"/>
          </w:tcPr>
          <w:p w:rsidR="002810F2" w:rsidRPr="002E122F" w:rsidP="00F209B4" w14:paraId="49095218" w14:textId="15CF1159">
            <w:pPr>
              <w:rPr>
                <w:bCs/>
              </w:rPr>
            </w:pPr>
          </w:p>
        </w:tc>
      </w:tr>
      <w:tr w14:paraId="7B62AA80" w14:textId="77777777" w:rsidTr="00857796">
        <w:tblPrEx>
          <w:tblW w:w="0" w:type="auto"/>
          <w:tblInd w:w="0" w:type="dxa"/>
          <w:tblLook w:val="04A0"/>
        </w:tblPrEx>
        <w:trPr>
          <w:trHeight w:val="448"/>
        </w:trPr>
        <w:tc>
          <w:tcPr>
            <w:tcW w:w="2155" w:type="dxa"/>
          </w:tcPr>
          <w:p w:rsidR="002810F2" w:rsidRPr="002E122F" w:rsidP="002E122F" w14:paraId="044237C8" w14:textId="3D2ED754">
            <w:pPr>
              <w:rPr>
                <w:bCs/>
              </w:rPr>
            </w:pPr>
          </w:p>
        </w:tc>
      </w:tr>
    </w:tbl>
    <w:p w:rsidR="00A43F6E" w:rsidP="00A43F6E" w14:paraId="1333EF35" w14:textId="77777777">
      <w:pPr>
        <w:ind w:firstLine="720"/>
        <w:rPr>
          <w:rFonts w:eastAsia="SimSun" w:cs="Mangal"/>
          <w:kern w:val="3"/>
          <w:lang w:eastAsia="zh-CN" w:bidi="hi-IN"/>
        </w:rPr>
      </w:pPr>
    </w:p>
    <w:p w:rsidR="00A43F6E" w:rsidP="00A43F6E" w14:paraId="4A6C7DB9" w14:textId="77777777">
      <w:pPr>
        <w:ind w:firstLine="720"/>
        <w:rPr>
          <w:b/>
        </w:rPr>
      </w:pPr>
      <w:r>
        <w:rPr>
          <w:b/>
        </w:rPr>
        <w:t>6(f)</w:t>
      </w:r>
      <w:r>
        <w:rPr>
          <w:b/>
        </w:rPr>
        <w:tab/>
        <w:t>Burden Statement</w:t>
      </w:r>
    </w:p>
    <w:p w:rsidR="00A43F6E" w:rsidP="00A43F6E" w14:paraId="3F200842" w14:textId="77777777">
      <w:pPr>
        <w:ind w:firstLine="720"/>
      </w:pPr>
    </w:p>
    <w:p w:rsidR="00A43F6E" w:rsidP="00A43F6E" w14:paraId="763198E2" w14:textId="4C1D0145">
      <w:pPr>
        <w:ind w:firstLine="720"/>
      </w:pPr>
      <w:r w:rsidRPr="005F5C2B">
        <w:t xml:space="preserve">The annual public reporting and recordkeeping burden for this collection of information is estimated to be </w:t>
      </w:r>
      <w:r>
        <w:t>1.</w:t>
      </w:r>
      <w:r w:rsidR="00EC0D73">
        <w:t>4</w:t>
      </w:r>
      <w:r w:rsidRPr="005F5C2B">
        <w:t xml:space="preserve"> hours per response.</w:t>
      </w:r>
      <w:r>
        <w:t xml:space="preserve"> </w:t>
      </w:r>
      <w:r>
        <w:t xml:space="preserve">Burden means the total time, effort, or financial resources expended by persons to generate, maintain, retain, or disclose or provide information to or for a </w:t>
      </w:r>
      <w:r w:rsidR="005243B2">
        <w:t>federal</w:t>
      </w:r>
      <w: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the EPA’s regulations are listed in 40 CFR part 9 and 48 CFR chapter 15.</w:t>
      </w:r>
    </w:p>
    <w:p w:rsidR="00A43F6E" w:rsidP="00A43F6E" w14:paraId="67C309A4" w14:textId="77777777">
      <w:pPr>
        <w:ind w:firstLine="720"/>
      </w:pPr>
    </w:p>
    <w:p w:rsidR="00A43F6E" w:rsidP="00A43F6E" w14:paraId="4055CCF1" w14:textId="19B242C4">
      <w:pPr>
        <w:ind w:firstLine="720"/>
      </w:pPr>
      <w:r>
        <w:t xml:space="preserve">To comment on the EPA’s need for this information, the accuracy of the provided burden estimates, and any suggested methods for minimizing respondent burden, including the use of automated collection techniques, EPA has </w:t>
      </w:r>
      <w:r w:rsidR="003B4B50">
        <w:t xml:space="preserve">established a public docket for this ICR under Docket ID No. </w:t>
      </w:r>
      <w:r w:rsidRPr="003B4B50" w:rsidR="003B4B50">
        <w:t>EPA-HQ-OAR-2021-0427</w:t>
      </w:r>
      <w:r w:rsidR="003B4B50">
        <w:t>, which</w:t>
      </w:r>
      <w:r>
        <w:t xml:space="preserve"> is available for online viewing at </w:t>
      </w:r>
      <w:r w:rsidRPr="0EE4E124">
        <w:rPr>
          <w:u w:val="single"/>
        </w:rPr>
        <w:t>www.regulations.gov</w:t>
      </w:r>
      <w:r>
        <w:t xml:space="preserve">, or in-person viewing at the Air and Radiation Docket and Information Center in the EPA Docket Center (EPA/DC). The docket </w:t>
      </w:r>
      <w:r w:rsidR="00BF67BA">
        <w:t>is in</w:t>
      </w:r>
      <w:r>
        <w:t xml:space="preserve"> the William Jefferson Clinton Building West, 1301 Constitution Avenue, NW, Room 3334, Washington, DC, and is open from 8:30 a.m. to 4:30 p.m., Eastern Standard Time, Monday through Friday, excluding legal holidays. The telephone number for the Reading Room is (202) 566-1744, and the telephone number for the Air and Radiation Docket and Information Center is (202) 566-1742.</w:t>
      </w:r>
    </w:p>
    <w:p w:rsidR="00A43F6E" w:rsidP="00A43F6E" w14:paraId="36A416C3" w14:textId="77777777">
      <w:pPr>
        <w:ind w:firstLine="720"/>
      </w:pPr>
    </w:p>
    <w:p w:rsidR="00A43F6E" w:rsidP="00A43F6E" w14:paraId="500A0F2E" w14:textId="2C450623">
      <w:pPr>
        <w:ind w:firstLine="720"/>
      </w:pPr>
      <w:r>
        <w:t xml:space="preserve">An electronic version of the public docket is available at </w:t>
      </w:r>
      <w:r w:rsidRPr="6AB033C2">
        <w:rPr>
          <w:u w:val="single"/>
        </w:rPr>
        <w:t>www.regulations.gov</w:t>
      </w:r>
      <w: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No. identified above. Also, you can send comments to the Office of Information and Regulatory Affairs, Office of Management and Budget, 725 17th Street, NW, Washington, D.C. 20503, Attention: Desk Officer for EPA. Please include the EPA Docket ID No. </w:t>
      </w:r>
      <w:r w:rsidRPr="003B4B50" w:rsidR="003B4B50">
        <w:t>EPA-HQ-OAR-2021-0427</w:t>
      </w:r>
      <w:r w:rsidR="00D66C91">
        <w:t xml:space="preserve"> </w:t>
      </w:r>
      <w:r>
        <w:t>and OMB Control Number 2060-</w:t>
      </w:r>
      <w:r w:rsidR="001D79BC">
        <w:t>NEW</w:t>
      </w:r>
      <w:r>
        <w:t xml:space="preserve"> in any correspondence.</w:t>
      </w:r>
    </w:p>
    <w:p w:rsidR="6AB033C2" w:rsidP="6AB033C2" w14:paraId="144E5470" w14:textId="5DB9A7D9">
      <w:pPr>
        <w:ind w:firstLine="720"/>
      </w:pPr>
    </w:p>
    <w:p w:rsidR="6AB033C2" w:rsidP="6AB033C2" w14:paraId="71D2B96C" w14:textId="6403C7DE">
      <w:pPr>
        <w:ind w:firstLine="720"/>
      </w:pPr>
    </w:p>
    <w:p w:rsidR="00303A33" w:rsidP="00572F69" w14:paraId="43CE5024" w14:textId="6EAAF283">
      <w:pPr>
        <w:ind w:firstLine="720"/>
      </w:pPr>
      <w:r>
        <w:t>Appendix A – Detailed Burden Estimates (Tables in Excel format)</w:t>
      </w:r>
    </w:p>
    <w:p w:rsidR="00035FA6" w:rsidP="00303A33" w14:paraId="5B1DAB71" w14:textId="77777777">
      <w:pPr>
        <w:ind w:firstLine="720"/>
      </w:pPr>
    </w:p>
    <w:p w:rsidR="7AE107E8" w:rsidP="6AB033C2" w14:paraId="3FC12C52" w14:textId="16327338">
      <w:pPr>
        <w:ind w:firstLine="720"/>
      </w:pPr>
    </w:p>
    <w:p w:rsidR="00A43F6E" w:rsidP="00A43F6E" w14:paraId="2CF53779" w14:textId="77777777">
      <w:pPr>
        <w:ind w:firstLine="720"/>
      </w:pPr>
    </w:p>
    <w:p w:rsidR="00A43F6E" w:rsidRPr="001C25EF" w:rsidP="003B425A" w14:paraId="0FCB1008" w14:textId="77777777">
      <w:pPr>
        <w:suppressAutoHyphens/>
        <w:autoSpaceDN w:val="0"/>
        <w:ind w:firstLine="720"/>
        <w:rPr>
          <w:rFonts w:eastAsia="SimSun" w:cs="Times New Roman"/>
          <w:strike/>
          <w:kern w:val="3"/>
          <w:sz w:val="18"/>
          <w:szCs w:val="18"/>
          <w:lang w:eastAsia="zh-CN" w:bidi="hi-IN"/>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4DF5" w14:paraId="2B5331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40968754"/>
      <w:docPartObj>
        <w:docPartGallery w:val="Page Numbers (Bottom of Page)"/>
        <w:docPartUnique/>
      </w:docPartObj>
    </w:sdtPr>
    <w:sdtEndPr>
      <w:rPr>
        <w:noProof/>
      </w:rPr>
    </w:sdtEndPr>
    <w:sdtContent>
      <w:p w:rsidR="00437362" w14:paraId="1CA1BE3E" w14:textId="5DF66F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7362" w14:paraId="716EE8A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4DF5" w14:paraId="159A28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2238" w:rsidP="008E1572" w14:paraId="1293B261" w14:textId="77777777">
      <w:r>
        <w:separator/>
      </w:r>
    </w:p>
  </w:footnote>
  <w:footnote w:type="continuationSeparator" w:id="1">
    <w:p w:rsidR="00EA2238" w:rsidP="008E1572" w14:paraId="6F07D89F" w14:textId="77777777">
      <w:r>
        <w:continuationSeparator/>
      </w:r>
    </w:p>
  </w:footnote>
  <w:footnote w:type="continuationNotice" w:id="2">
    <w:p w:rsidR="00EA2238" w14:paraId="0D2F03CC" w14:textId="77777777"/>
  </w:footnote>
  <w:footnote w:id="3">
    <w:p w:rsidR="002C42AE" w14:paraId="351A252B" w14:textId="548CE918">
      <w:pPr>
        <w:pStyle w:val="FootnoteText"/>
      </w:pPr>
      <w:r>
        <w:rPr>
          <w:rStyle w:val="FootnoteReference"/>
        </w:rPr>
        <w:footnoteRef/>
      </w:r>
      <w:r>
        <w:t xml:space="preserve"> Proposed Rule, 87 FR 80582 (December 30, 2022)</w:t>
      </w:r>
    </w:p>
  </w:footnote>
  <w:footnote w:id="4">
    <w:p w:rsidR="00A43F6E" w:rsidP="0014490B" w14:paraId="565DD5AD" w14:textId="13681DCA">
      <w:pPr>
        <w:pStyle w:val="FootnoteText"/>
        <w:ind w:left="360"/>
      </w:pPr>
      <w:r>
        <w:rPr>
          <w:rStyle w:val="FootnoteReference"/>
        </w:rPr>
        <w:footnoteRef/>
      </w:r>
      <w:r>
        <w:t xml:space="preserve"> These estimates are derived from "OPM Salary Table </w:t>
      </w:r>
      <w:r w:rsidRPr="00C51167">
        <w:t>2</w:t>
      </w:r>
      <w:r w:rsidR="00B63B71">
        <w:t>0</w:t>
      </w:r>
      <w:r w:rsidR="00B35F07">
        <w:t>22</w:t>
      </w:r>
      <w:r>
        <w:t>-DCB," effective January 20</w:t>
      </w:r>
      <w:r w:rsidR="00B63B71">
        <w:t>2</w:t>
      </w:r>
      <w:r w:rsidR="00B35F07">
        <w:t>2</w:t>
      </w:r>
      <w:r>
        <w:t>. This table may be found at</w:t>
      </w:r>
      <w:r w:rsidR="00B63B71">
        <w:rPr>
          <w:u w:val="single"/>
        </w:rPr>
        <w:t xml:space="preserve"> </w:t>
      </w:r>
      <w:hyperlink r:id="rId1" w:history="1">
        <w:r w:rsidRPr="007B32AC" w:rsidR="0012724D">
          <w:rPr>
            <w:rStyle w:val="Hyperlink"/>
          </w:rPr>
          <w:t>https://www.opm.gov/policy-data-oversight/pay-leave/salaries-wages/salary-tables/pdf/2022/DCB.pdf</w:t>
        </w:r>
      </w:hyperlink>
      <w:r w:rsidR="0012724D">
        <w:t xml:space="preserve"> (accessed October 2, 2022). </w:t>
      </w:r>
      <w:r>
        <w:t>The extreme of step 10 was assumed for all categories. All values were multiplied by 1.6 (which is a common factor utilized in ICRs to account for overhead costs)</w:t>
      </w:r>
      <w:r w:rsidR="00751DF5">
        <w:t xml:space="preserve"> to determine labor cost</w:t>
      </w:r>
      <w:r>
        <w:t xml:space="preserve">. </w:t>
      </w:r>
      <w:r w:rsidR="000D5AD0">
        <w:t xml:space="preserve">They were </w:t>
      </w:r>
      <w:r w:rsidR="00751DF5">
        <w:t xml:space="preserve">then </w:t>
      </w:r>
      <w:r w:rsidR="000D5AD0">
        <w:t xml:space="preserve">rounded to the nearest </w:t>
      </w:r>
      <w:r w:rsidR="00C51167">
        <w:t xml:space="preserve">$ </w:t>
      </w:r>
      <w:r w:rsidR="000D5AD0">
        <w:t xml:space="preserve">500. </w:t>
      </w:r>
    </w:p>
  </w:footnote>
  <w:footnote w:id="5">
    <w:p w:rsidR="006B0010" w14:paraId="5D5B8338" w14:textId="2B4E5D65">
      <w:pPr>
        <w:pStyle w:val="FootnoteText"/>
      </w:pPr>
      <w:r>
        <w:rPr>
          <w:rStyle w:val="FootnoteReference"/>
        </w:rPr>
        <w:footnoteRef/>
      </w:r>
      <w:r>
        <w:t xml:space="preserve"> This is the total non-labor costs</w:t>
      </w:r>
      <w:r w:rsidR="000A6BD0">
        <w:t xml:space="preserve"> to be reflected in the OMB inventory</w:t>
      </w:r>
      <w:r w:rsidR="00AB12BF">
        <w:t>.</w:t>
      </w:r>
      <w:r w:rsidR="00D66C91">
        <w:t xml:space="preserve"> </w:t>
      </w:r>
      <w:r w:rsidRPr="00D66C91" w:rsidR="00D66C91">
        <w:t>Of</w:t>
      </w:r>
      <w:r w:rsidR="000A6BD0">
        <w:t xml:space="preserve"> this</w:t>
      </w:r>
      <w:r w:rsidR="00161051">
        <w:t xml:space="preserve"> $5,684,472 total</w:t>
      </w:r>
      <w:r w:rsidRPr="00D66C91" w:rsidR="00D66C91">
        <w:t>, $5,6</w:t>
      </w:r>
      <w:r w:rsidR="00D065A5">
        <w:t>59</w:t>
      </w:r>
      <w:r w:rsidRPr="00D66C91" w:rsidR="00D66C91">
        <w:t>,</w:t>
      </w:r>
      <w:r w:rsidR="00D065A5">
        <w:t>47</w:t>
      </w:r>
      <w:r w:rsidRPr="00D66C91" w:rsidR="00D66C91">
        <w:t>2 is purchased services and $25,000 is capital</w:t>
      </w:r>
      <w:r w:rsidR="00161051">
        <w:t>/</w:t>
      </w:r>
      <w:r w:rsidRPr="00D66C91" w:rsidR="00D66C91">
        <w:t xml:space="preserve">O&amp;M. </w:t>
      </w:r>
      <w:r>
        <w:t xml:space="preserve">Please refer to </w:t>
      </w:r>
      <w:r w:rsidR="000A6BD0">
        <w:t xml:space="preserve">the </w:t>
      </w:r>
      <w:r w:rsidR="008B6AA3">
        <w:t xml:space="preserve">Summary Tab </w:t>
      </w:r>
      <w:r>
        <w:t>of Appendix A</w:t>
      </w:r>
      <w:r w:rsidR="00D66C91">
        <w:t xml:space="preserve"> for</w:t>
      </w:r>
      <w:r w:rsidR="000A6BD0">
        <w:t xml:space="preserve"> a detailed breakdown and explanatio</w:t>
      </w:r>
      <w:r w:rsidR="00064947">
        <w:t>n</w:t>
      </w:r>
      <w:r w:rsidR="000A6BD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1572" w14:paraId="127B359F" w14:textId="45F0F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1572" w:rsidP="6AB033C2" w14:paraId="68707040" w14:textId="4945D5E6">
    <w:pPr>
      <w:pStyle w:val="Header"/>
      <w:jc w:val="center"/>
      <w:rPr>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1572" w14:paraId="07CD5A57" w14:textId="66863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529BA"/>
    <w:multiLevelType w:val="hybridMultilevel"/>
    <w:tmpl w:val="0958D94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1ED15FC"/>
    <w:multiLevelType w:val="hybridMultilevel"/>
    <w:tmpl w:val="5650C8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113D96"/>
    <w:multiLevelType w:val="hybridMultilevel"/>
    <w:tmpl w:val="1A8A91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AEF1A03"/>
    <w:multiLevelType w:val="hybridMultilevel"/>
    <w:tmpl w:val="04DA76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AA01847"/>
    <w:multiLevelType w:val="hybridMultilevel"/>
    <w:tmpl w:val="044E86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0A476BF"/>
    <w:multiLevelType w:val="multilevel"/>
    <w:tmpl w:val="84FE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733B7C"/>
    <w:multiLevelType w:val="hybridMultilevel"/>
    <w:tmpl w:val="6C265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883400"/>
    <w:multiLevelType w:val="hybridMultilevel"/>
    <w:tmpl w:val="29A4F5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A3E4D29"/>
    <w:multiLevelType w:val="hybridMultilevel"/>
    <w:tmpl w:val="E9F03C90"/>
    <w:styleLink w:val="WWNum19"/>
    <w:lvl w:ilvl="0">
      <w:start w:val="0"/>
      <w:numFmt w:val="bullet"/>
      <w:lvlText w:val=""/>
      <w:lvlJc w:val="left"/>
      <w:pPr>
        <w:ind w:left="0" w:firstLine="0"/>
      </w:pPr>
      <w:rPr>
        <w:rFonts w:ascii="Symbol" w:hAnsi="Symbol"/>
      </w:rPr>
    </w:lvl>
    <w:lvl w:ilvl="1">
      <w:start w:val="0"/>
      <w:numFmt w:val="bullet"/>
      <w:lvlText w:val="o"/>
      <w:lvlJc w:val="left"/>
      <w:pPr>
        <w:ind w:left="0" w:firstLine="0"/>
      </w:pPr>
      <w:rPr>
        <w:rFonts w:ascii="Courier New" w:hAnsi="Courier New" w:cs="Courier New"/>
      </w:rPr>
    </w:lvl>
    <w:lvl w:ilvl="2">
      <w:start w:val="0"/>
      <w:numFmt w:val="bullet"/>
      <w:lvlText w:val=""/>
      <w:lvlJc w:val="left"/>
      <w:pPr>
        <w:ind w:left="0" w:firstLine="0"/>
      </w:pPr>
      <w:rPr>
        <w:rFonts w:ascii="Wingdings" w:hAnsi="Wingdings"/>
      </w:rPr>
    </w:lvl>
    <w:lvl w:ilvl="3">
      <w:start w:val="0"/>
      <w:numFmt w:val="bullet"/>
      <w:lvlText w:val=""/>
      <w:lvlJc w:val="left"/>
      <w:pPr>
        <w:ind w:left="0" w:firstLine="0"/>
      </w:pPr>
      <w:rPr>
        <w:rFonts w:ascii="Symbol" w:hAnsi="Symbol"/>
      </w:rPr>
    </w:lvl>
    <w:lvl w:ilvl="4">
      <w:start w:val="0"/>
      <w:numFmt w:val="bullet"/>
      <w:lvlText w:val="o"/>
      <w:lvlJc w:val="left"/>
      <w:pPr>
        <w:ind w:left="0" w:firstLine="0"/>
      </w:pPr>
      <w:rPr>
        <w:rFonts w:ascii="Courier New" w:hAnsi="Courier New" w:cs="Courier New"/>
      </w:rPr>
    </w:lvl>
    <w:lvl w:ilvl="5">
      <w:start w:val="0"/>
      <w:numFmt w:val="bullet"/>
      <w:lvlText w:val=""/>
      <w:lvlJc w:val="left"/>
      <w:pPr>
        <w:ind w:left="0" w:firstLine="0"/>
      </w:pPr>
      <w:rPr>
        <w:rFonts w:ascii="Wingdings" w:hAnsi="Wingdings"/>
      </w:rPr>
    </w:lvl>
    <w:lvl w:ilvl="6">
      <w:start w:val="0"/>
      <w:numFmt w:val="bullet"/>
      <w:lvlText w:val=""/>
      <w:lvlJc w:val="left"/>
      <w:pPr>
        <w:ind w:left="0" w:firstLine="0"/>
      </w:pPr>
      <w:rPr>
        <w:rFonts w:ascii="Symbol" w:hAnsi="Symbol"/>
      </w:rPr>
    </w:lvl>
    <w:lvl w:ilvl="7">
      <w:start w:val="0"/>
      <w:numFmt w:val="bullet"/>
      <w:lvlText w:val="o"/>
      <w:lvlJc w:val="left"/>
      <w:pPr>
        <w:ind w:left="0" w:firstLine="0"/>
      </w:pPr>
      <w:rPr>
        <w:rFonts w:ascii="Courier New" w:hAnsi="Courier New" w:cs="Courier New"/>
      </w:rPr>
    </w:lvl>
    <w:lvl w:ilvl="8">
      <w:start w:val="0"/>
      <w:numFmt w:val="bullet"/>
      <w:lvlText w:val=""/>
      <w:lvlJc w:val="left"/>
      <w:pPr>
        <w:ind w:left="0" w:firstLine="0"/>
      </w:pPr>
      <w:rPr>
        <w:rFonts w:ascii="Wingdings" w:hAnsi="Wingdings"/>
      </w:rPr>
    </w:lvl>
  </w:abstractNum>
  <w:abstractNum w:abstractNumId="9">
    <w:nsid w:val="2AD30D13"/>
    <w:multiLevelType w:val="hybridMultilevel"/>
    <w:tmpl w:val="7C7041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68254CA"/>
    <w:multiLevelType w:val="hybridMultilevel"/>
    <w:tmpl w:val="3AE0104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6C8479E"/>
    <w:multiLevelType w:val="hybridMultilevel"/>
    <w:tmpl w:val="04090001"/>
    <w:lvl w:ilvl="0">
      <w:start w:val="1"/>
      <w:numFmt w:val="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372C445F"/>
    <w:multiLevelType w:val="hybridMultilevel"/>
    <w:tmpl w:val="64AEF3C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8B94F90"/>
    <w:multiLevelType w:val="hybridMultilevel"/>
    <w:tmpl w:val="2EFCC6C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EDA637E"/>
    <w:multiLevelType w:val="hybridMultilevel"/>
    <w:tmpl w:val="2886E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5D829B4"/>
    <w:multiLevelType w:val="hybridMultilevel"/>
    <w:tmpl w:val="C194C9D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8CE44D7"/>
    <w:multiLevelType w:val="hybridMultilevel"/>
    <w:tmpl w:val="766EF4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D6B524C"/>
    <w:multiLevelType w:val="hybridMultilevel"/>
    <w:tmpl w:val="76E4892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0D306A3"/>
    <w:multiLevelType w:val="hybridMultilevel"/>
    <w:tmpl w:val="770EBFE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14502D4"/>
    <w:multiLevelType w:val="multilevel"/>
    <w:tmpl w:val="776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20840E6"/>
    <w:multiLevelType w:val="multilevel"/>
    <w:tmpl w:val="DE1E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AB80DA0"/>
    <w:multiLevelType w:val="hybridMultilevel"/>
    <w:tmpl w:val="C93809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B312904"/>
    <w:multiLevelType w:val="hybridMultilevel"/>
    <w:tmpl w:val="5E66FF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F6C7FE7"/>
    <w:multiLevelType w:val="hybridMultilevel"/>
    <w:tmpl w:val="4E8E35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5411C65"/>
    <w:multiLevelType w:val="hybridMultilevel"/>
    <w:tmpl w:val="08027E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8C324D9"/>
    <w:multiLevelType w:val="hybridMultilevel"/>
    <w:tmpl w:val="C3F28E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DF02B00"/>
    <w:multiLevelType w:val="hybridMultilevel"/>
    <w:tmpl w:val="AB349C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21943881">
    <w:abstractNumId w:val="17"/>
  </w:num>
  <w:num w:numId="2" w16cid:durableId="1914779312">
    <w:abstractNumId w:val="14"/>
  </w:num>
  <w:num w:numId="3" w16cid:durableId="864486218">
    <w:abstractNumId w:val="25"/>
  </w:num>
  <w:num w:numId="4" w16cid:durableId="889655525">
    <w:abstractNumId w:val="26"/>
  </w:num>
  <w:num w:numId="5" w16cid:durableId="662928818">
    <w:abstractNumId w:val="7"/>
  </w:num>
  <w:num w:numId="6" w16cid:durableId="984237493">
    <w:abstractNumId w:val="8"/>
  </w:num>
  <w:num w:numId="7" w16cid:durableId="1257397982">
    <w:abstractNumId w:val="8"/>
  </w:num>
  <w:num w:numId="8" w16cid:durableId="334576487">
    <w:abstractNumId w:val="11"/>
  </w:num>
  <w:num w:numId="9" w16cid:durableId="334574346">
    <w:abstractNumId w:val="1"/>
  </w:num>
  <w:num w:numId="10" w16cid:durableId="2073234739">
    <w:abstractNumId w:val="13"/>
  </w:num>
  <w:num w:numId="11" w16cid:durableId="326784509">
    <w:abstractNumId w:val="22"/>
  </w:num>
  <w:num w:numId="12" w16cid:durableId="1310207825">
    <w:abstractNumId w:val="6"/>
  </w:num>
  <w:num w:numId="13" w16cid:durableId="1128743114">
    <w:abstractNumId w:val="15"/>
  </w:num>
  <w:num w:numId="14" w16cid:durableId="1582134704">
    <w:abstractNumId w:val="21"/>
  </w:num>
  <w:num w:numId="15" w16cid:durableId="1190991622">
    <w:abstractNumId w:val="3"/>
  </w:num>
  <w:num w:numId="16" w16cid:durableId="2059622073">
    <w:abstractNumId w:val="24"/>
  </w:num>
  <w:num w:numId="17" w16cid:durableId="442964051">
    <w:abstractNumId w:val="10"/>
  </w:num>
  <w:num w:numId="18" w16cid:durableId="1034648460">
    <w:abstractNumId w:val="12"/>
  </w:num>
  <w:num w:numId="19" w16cid:durableId="1392190098">
    <w:abstractNumId w:val="18"/>
  </w:num>
  <w:num w:numId="20" w16cid:durableId="423306015">
    <w:abstractNumId w:val="4"/>
  </w:num>
  <w:num w:numId="21" w16cid:durableId="1799954044">
    <w:abstractNumId w:val="9"/>
  </w:num>
  <w:num w:numId="22" w16cid:durableId="61567383">
    <w:abstractNumId w:val="2"/>
  </w:num>
  <w:num w:numId="23" w16cid:durableId="1403139905">
    <w:abstractNumId w:val="0"/>
  </w:num>
  <w:num w:numId="24" w16cid:durableId="335891078">
    <w:abstractNumId w:val="16"/>
  </w:num>
  <w:num w:numId="25" w16cid:durableId="2085174934">
    <w:abstractNumId w:val="19"/>
  </w:num>
  <w:num w:numId="26" w16cid:durableId="1057974671">
    <w:abstractNumId w:val="20"/>
  </w:num>
  <w:num w:numId="27" w16cid:durableId="1660570776">
    <w:abstractNumId w:val="5"/>
  </w:num>
  <w:num w:numId="28" w16cid:durableId="336525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F6"/>
    <w:rsid w:val="00000355"/>
    <w:rsid w:val="000036DC"/>
    <w:rsid w:val="0000647E"/>
    <w:rsid w:val="00013D7B"/>
    <w:rsid w:val="00020090"/>
    <w:rsid w:val="000219A6"/>
    <w:rsid w:val="00022A44"/>
    <w:rsid w:val="00030A89"/>
    <w:rsid w:val="00034F14"/>
    <w:rsid w:val="00035B23"/>
    <w:rsid w:val="00035B78"/>
    <w:rsid w:val="00035FA6"/>
    <w:rsid w:val="000469F9"/>
    <w:rsid w:val="00060F70"/>
    <w:rsid w:val="00064947"/>
    <w:rsid w:val="0006672B"/>
    <w:rsid w:val="000715A0"/>
    <w:rsid w:val="00073409"/>
    <w:rsid w:val="000765D6"/>
    <w:rsid w:val="0007768A"/>
    <w:rsid w:val="00082ACF"/>
    <w:rsid w:val="00095524"/>
    <w:rsid w:val="00097F69"/>
    <w:rsid w:val="000A24EC"/>
    <w:rsid w:val="000A6BD0"/>
    <w:rsid w:val="000B20E8"/>
    <w:rsid w:val="000B7D81"/>
    <w:rsid w:val="000C0C2A"/>
    <w:rsid w:val="000C17A0"/>
    <w:rsid w:val="000C5F16"/>
    <w:rsid w:val="000D1C61"/>
    <w:rsid w:val="000D4108"/>
    <w:rsid w:val="000D5AD0"/>
    <w:rsid w:val="000D61E4"/>
    <w:rsid w:val="000E0632"/>
    <w:rsid w:val="000E11A9"/>
    <w:rsid w:val="000E4374"/>
    <w:rsid w:val="000F1A9F"/>
    <w:rsid w:val="00100430"/>
    <w:rsid w:val="001008F3"/>
    <w:rsid w:val="001059D0"/>
    <w:rsid w:val="00107624"/>
    <w:rsid w:val="00111EAA"/>
    <w:rsid w:val="001135B3"/>
    <w:rsid w:val="00116B21"/>
    <w:rsid w:val="00117E7C"/>
    <w:rsid w:val="00121178"/>
    <w:rsid w:val="00121386"/>
    <w:rsid w:val="0012296C"/>
    <w:rsid w:val="001244B5"/>
    <w:rsid w:val="00125E42"/>
    <w:rsid w:val="00125F10"/>
    <w:rsid w:val="001270E5"/>
    <w:rsid w:val="0012724D"/>
    <w:rsid w:val="001336EA"/>
    <w:rsid w:val="00134931"/>
    <w:rsid w:val="001354CD"/>
    <w:rsid w:val="001377BA"/>
    <w:rsid w:val="0014490B"/>
    <w:rsid w:val="00144E19"/>
    <w:rsid w:val="001534D2"/>
    <w:rsid w:val="001601CA"/>
    <w:rsid w:val="00161051"/>
    <w:rsid w:val="001615F0"/>
    <w:rsid w:val="00167EC8"/>
    <w:rsid w:val="00171C9B"/>
    <w:rsid w:val="0017462F"/>
    <w:rsid w:val="00181E13"/>
    <w:rsid w:val="001876CE"/>
    <w:rsid w:val="00191425"/>
    <w:rsid w:val="00191D45"/>
    <w:rsid w:val="0019203C"/>
    <w:rsid w:val="001A1810"/>
    <w:rsid w:val="001A358F"/>
    <w:rsid w:val="001A3AF8"/>
    <w:rsid w:val="001A4CAF"/>
    <w:rsid w:val="001B178D"/>
    <w:rsid w:val="001B5111"/>
    <w:rsid w:val="001C25EF"/>
    <w:rsid w:val="001C4E4A"/>
    <w:rsid w:val="001D1719"/>
    <w:rsid w:val="001D66D8"/>
    <w:rsid w:val="001D6945"/>
    <w:rsid w:val="001D76AF"/>
    <w:rsid w:val="001D79AA"/>
    <w:rsid w:val="001D79BC"/>
    <w:rsid w:val="001E46CC"/>
    <w:rsid w:val="001F106B"/>
    <w:rsid w:val="001F1499"/>
    <w:rsid w:val="001F5D37"/>
    <w:rsid w:val="002024C1"/>
    <w:rsid w:val="00204162"/>
    <w:rsid w:val="002062B5"/>
    <w:rsid w:val="00210075"/>
    <w:rsid w:val="00212B6A"/>
    <w:rsid w:val="00233201"/>
    <w:rsid w:val="002378D3"/>
    <w:rsid w:val="002400BC"/>
    <w:rsid w:val="00242271"/>
    <w:rsid w:val="0024372F"/>
    <w:rsid w:val="00251638"/>
    <w:rsid w:val="00257840"/>
    <w:rsid w:val="0026146B"/>
    <w:rsid w:val="00271C4A"/>
    <w:rsid w:val="00273639"/>
    <w:rsid w:val="002810F2"/>
    <w:rsid w:val="002812ED"/>
    <w:rsid w:val="002846FD"/>
    <w:rsid w:val="00293A2A"/>
    <w:rsid w:val="0029765E"/>
    <w:rsid w:val="002A0680"/>
    <w:rsid w:val="002A2168"/>
    <w:rsid w:val="002A29D9"/>
    <w:rsid w:val="002A3E7D"/>
    <w:rsid w:val="002A55AA"/>
    <w:rsid w:val="002A5805"/>
    <w:rsid w:val="002B34F6"/>
    <w:rsid w:val="002B3D80"/>
    <w:rsid w:val="002C13FC"/>
    <w:rsid w:val="002C42AE"/>
    <w:rsid w:val="002C4DA7"/>
    <w:rsid w:val="002D6ABB"/>
    <w:rsid w:val="002E04C2"/>
    <w:rsid w:val="002E122F"/>
    <w:rsid w:val="002E19D8"/>
    <w:rsid w:val="002F12AC"/>
    <w:rsid w:val="00302EEB"/>
    <w:rsid w:val="00303A33"/>
    <w:rsid w:val="00306CDD"/>
    <w:rsid w:val="00311471"/>
    <w:rsid w:val="003166C3"/>
    <w:rsid w:val="003167D6"/>
    <w:rsid w:val="00321EC9"/>
    <w:rsid w:val="00322124"/>
    <w:rsid w:val="00324346"/>
    <w:rsid w:val="003367AD"/>
    <w:rsid w:val="00340327"/>
    <w:rsid w:val="003460BD"/>
    <w:rsid w:val="00350B68"/>
    <w:rsid w:val="003522CA"/>
    <w:rsid w:val="00376466"/>
    <w:rsid w:val="0038181B"/>
    <w:rsid w:val="00383FA0"/>
    <w:rsid w:val="00384D8B"/>
    <w:rsid w:val="003863AB"/>
    <w:rsid w:val="003A5FCB"/>
    <w:rsid w:val="003A78DD"/>
    <w:rsid w:val="003B28EC"/>
    <w:rsid w:val="003B2EC6"/>
    <w:rsid w:val="003B425A"/>
    <w:rsid w:val="003B4B50"/>
    <w:rsid w:val="003C058A"/>
    <w:rsid w:val="003C3CB0"/>
    <w:rsid w:val="003D0ADE"/>
    <w:rsid w:val="003D2885"/>
    <w:rsid w:val="003F2CC9"/>
    <w:rsid w:val="00400D46"/>
    <w:rsid w:val="00404B0C"/>
    <w:rsid w:val="00406F46"/>
    <w:rsid w:val="00410048"/>
    <w:rsid w:val="004104DD"/>
    <w:rsid w:val="00414EA3"/>
    <w:rsid w:val="004168C5"/>
    <w:rsid w:val="00423B9C"/>
    <w:rsid w:val="00425D8A"/>
    <w:rsid w:val="004317EF"/>
    <w:rsid w:val="00431C0F"/>
    <w:rsid w:val="00437362"/>
    <w:rsid w:val="004401EC"/>
    <w:rsid w:val="00444A2B"/>
    <w:rsid w:val="004464CE"/>
    <w:rsid w:val="00446746"/>
    <w:rsid w:val="00450D2F"/>
    <w:rsid w:val="0045170A"/>
    <w:rsid w:val="00453260"/>
    <w:rsid w:val="00457273"/>
    <w:rsid w:val="004574AC"/>
    <w:rsid w:val="00457A65"/>
    <w:rsid w:val="00462969"/>
    <w:rsid w:val="00464155"/>
    <w:rsid w:val="00466273"/>
    <w:rsid w:val="00472750"/>
    <w:rsid w:val="004731EA"/>
    <w:rsid w:val="00475142"/>
    <w:rsid w:val="004772C5"/>
    <w:rsid w:val="00477B29"/>
    <w:rsid w:val="004862C7"/>
    <w:rsid w:val="00490473"/>
    <w:rsid w:val="00496814"/>
    <w:rsid w:val="00496B12"/>
    <w:rsid w:val="0049743E"/>
    <w:rsid w:val="004A1AB4"/>
    <w:rsid w:val="004B2BC8"/>
    <w:rsid w:val="004B3D0D"/>
    <w:rsid w:val="004C5FE7"/>
    <w:rsid w:val="004D3EBC"/>
    <w:rsid w:val="004D46B5"/>
    <w:rsid w:val="004D5EBE"/>
    <w:rsid w:val="004E43C6"/>
    <w:rsid w:val="004F667A"/>
    <w:rsid w:val="00501432"/>
    <w:rsid w:val="00503A15"/>
    <w:rsid w:val="005063C5"/>
    <w:rsid w:val="00506C14"/>
    <w:rsid w:val="00511D27"/>
    <w:rsid w:val="00516719"/>
    <w:rsid w:val="0052042F"/>
    <w:rsid w:val="00520856"/>
    <w:rsid w:val="00521B23"/>
    <w:rsid w:val="005243B2"/>
    <w:rsid w:val="00525736"/>
    <w:rsid w:val="00526B0B"/>
    <w:rsid w:val="00527B48"/>
    <w:rsid w:val="00531E95"/>
    <w:rsid w:val="00535212"/>
    <w:rsid w:val="00537FCD"/>
    <w:rsid w:val="00550DBC"/>
    <w:rsid w:val="00562C40"/>
    <w:rsid w:val="005676D7"/>
    <w:rsid w:val="00567DAD"/>
    <w:rsid w:val="00571485"/>
    <w:rsid w:val="00572787"/>
    <w:rsid w:val="00572F69"/>
    <w:rsid w:val="00573E8D"/>
    <w:rsid w:val="00575C8B"/>
    <w:rsid w:val="00576385"/>
    <w:rsid w:val="00582CA6"/>
    <w:rsid w:val="00586D91"/>
    <w:rsid w:val="00590CC7"/>
    <w:rsid w:val="00590EB4"/>
    <w:rsid w:val="00591902"/>
    <w:rsid w:val="005924BA"/>
    <w:rsid w:val="00594AB6"/>
    <w:rsid w:val="005A26F4"/>
    <w:rsid w:val="005A70E0"/>
    <w:rsid w:val="005B1C4C"/>
    <w:rsid w:val="005C32AF"/>
    <w:rsid w:val="005C37A0"/>
    <w:rsid w:val="005C3B89"/>
    <w:rsid w:val="005C5CA8"/>
    <w:rsid w:val="005C60E4"/>
    <w:rsid w:val="005D39AC"/>
    <w:rsid w:val="005D578B"/>
    <w:rsid w:val="005D653E"/>
    <w:rsid w:val="005E7842"/>
    <w:rsid w:val="005E7C0D"/>
    <w:rsid w:val="005F0321"/>
    <w:rsid w:val="005F1337"/>
    <w:rsid w:val="005F3B84"/>
    <w:rsid w:val="005F5C2B"/>
    <w:rsid w:val="005F63F9"/>
    <w:rsid w:val="006001BB"/>
    <w:rsid w:val="00600CDB"/>
    <w:rsid w:val="00602C6E"/>
    <w:rsid w:val="00603879"/>
    <w:rsid w:val="006054C8"/>
    <w:rsid w:val="00606F7E"/>
    <w:rsid w:val="00612463"/>
    <w:rsid w:val="006179EB"/>
    <w:rsid w:val="00625D6F"/>
    <w:rsid w:val="00631A7B"/>
    <w:rsid w:val="0063489D"/>
    <w:rsid w:val="00644DF5"/>
    <w:rsid w:val="0065616E"/>
    <w:rsid w:val="00657774"/>
    <w:rsid w:val="006601D7"/>
    <w:rsid w:val="006619B4"/>
    <w:rsid w:val="006655C1"/>
    <w:rsid w:val="00665BAA"/>
    <w:rsid w:val="0067005B"/>
    <w:rsid w:val="006735A8"/>
    <w:rsid w:val="00676D5B"/>
    <w:rsid w:val="006837A1"/>
    <w:rsid w:val="0068503F"/>
    <w:rsid w:val="00691CD3"/>
    <w:rsid w:val="0069541B"/>
    <w:rsid w:val="006A0141"/>
    <w:rsid w:val="006A0A23"/>
    <w:rsid w:val="006A68A3"/>
    <w:rsid w:val="006B0010"/>
    <w:rsid w:val="006B2744"/>
    <w:rsid w:val="006B3DB2"/>
    <w:rsid w:val="006B4EA2"/>
    <w:rsid w:val="006B562E"/>
    <w:rsid w:val="006B5A1C"/>
    <w:rsid w:val="006B62DE"/>
    <w:rsid w:val="006C1490"/>
    <w:rsid w:val="006C1D83"/>
    <w:rsid w:val="006C1DB8"/>
    <w:rsid w:val="006C23CE"/>
    <w:rsid w:val="006C5727"/>
    <w:rsid w:val="006C69E0"/>
    <w:rsid w:val="006C74BB"/>
    <w:rsid w:val="006F6AAA"/>
    <w:rsid w:val="006F7EE7"/>
    <w:rsid w:val="00703E91"/>
    <w:rsid w:val="00712B13"/>
    <w:rsid w:val="00714D54"/>
    <w:rsid w:val="00717F40"/>
    <w:rsid w:val="00723F54"/>
    <w:rsid w:val="00726203"/>
    <w:rsid w:val="0073065F"/>
    <w:rsid w:val="00732E35"/>
    <w:rsid w:val="007339BF"/>
    <w:rsid w:val="00737A17"/>
    <w:rsid w:val="007400B4"/>
    <w:rsid w:val="00745501"/>
    <w:rsid w:val="0074571D"/>
    <w:rsid w:val="00751456"/>
    <w:rsid w:val="0075198B"/>
    <w:rsid w:val="00751DF5"/>
    <w:rsid w:val="00754B1A"/>
    <w:rsid w:val="00760DF8"/>
    <w:rsid w:val="00764F73"/>
    <w:rsid w:val="00770005"/>
    <w:rsid w:val="00770A77"/>
    <w:rsid w:val="00773C12"/>
    <w:rsid w:val="007740A3"/>
    <w:rsid w:val="007753FB"/>
    <w:rsid w:val="00782138"/>
    <w:rsid w:val="007865C0"/>
    <w:rsid w:val="007901F3"/>
    <w:rsid w:val="007945CE"/>
    <w:rsid w:val="00795159"/>
    <w:rsid w:val="00797E33"/>
    <w:rsid w:val="007A0B15"/>
    <w:rsid w:val="007A2F8F"/>
    <w:rsid w:val="007B1ED8"/>
    <w:rsid w:val="007B32AC"/>
    <w:rsid w:val="007B531E"/>
    <w:rsid w:val="007B613D"/>
    <w:rsid w:val="007B6C11"/>
    <w:rsid w:val="007D04D2"/>
    <w:rsid w:val="007D1C4C"/>
    <w:rsid w:val="007D3A7D"/>
    <w:rsid w:val="007D6286"/>
    <w:rsid w:val="007E56D7"/>
    <w:rsid w:val="007E5E67"/>
    <w:rsid w:val="007F2C39"/>
    <w:rsid w:val="007F4B08"/>
    <w:rsid w:val="00807DE7"/>
    <w:rsid w:val="00807EE4"/>
    <w:rsid w:val="00815896"/>
    <w:rsid w:val="00815951"/>
    <w:rsid w:val="00815C78"/>
    <w:rsid w:val="00823D4E"/>
    <w:rsid w:val="00832BAE"/>
    <w:rsid w:val="00834D50"/>
    <w:rsid w:val="00836953"/>
    <w:rsid w:val="0084172B"/>
    <w:rsid w:val="00845759"/>
    <w:rsid w:val="00847253"/>
    <w:rsid w:val="0084785B"/>
    <w:rsid w:val="00854D8F"/>
    <w:rsid w:val="00856765"/>
    <w:rsid w:val="00857796"/>
    <w:rsid w:val="0086070D"/>
    <w:rsid w:val="00860EF3"/>
    <w:rsid w:val="00861ECA"/>
    <w:rsid w:val="00862D89"/>
    <w:rsid w:val="00865BAB"/>
    <w:rsid w:val="008661B1"/>
    <w:rsid w:val="00872338"/>
    <w:rsid w:val="00873467"/>
    <w:rsid w:val="00875303"/>
    <w:rsid w:val="00876E4E"/>
    <w:rsid w:val="008803D5"/>
    <w:rsid w:val="00881B9D"/>
    <w:rsid w:val="008848A7"/>
    <w:rsid w:val="00885438"/>
    <w:rsid w:val="008967B0"/>
    <w:rsid w:val="008A09C4"/>
    <w:rsid w:val="008A108C"/>
    <w:rsid w:val="008A236D"/>
    <w:rsid w:val="008A54BC"/>
    <w:rsid w:val="008A5BE5"/>
    <w:rsid w:val="008A761C"/>
    <w:rsid w:val="008B4307"/>
    <w:rsid w:val="008B58EA"/>
    <w:rsid w:val="008B6AA3"/>
    <w:rsid w:val="008C683E"/>
    <w:rsid w:val="008D27FF"/>
    <w:rsid w:val="008D6451"/>
    <w:rsid w:val="008E1572"/>
    <w:rsid w:val="008F4308"/>
    <w:rsid w:val="008F510C"/>
    <w:rsid w:val="008F5AE6"/>
    <w:rsid w:val="00904065"/>
    <w:rsid w:val="00906AB7"/>
    <w:rsid w:val="009110EF"/>
    <w:rsid w:val="00920191"/>
    <w:rsid w:val="00923597"/>
    <w:rsid w:val="00926CCF"/>
    <w:rsid w:val="0093052F"/>
    <w:rsid w:val="00930AA9"/>
    <w:rsid w:val="00931095"/>
    <w:rsid w:val="0093641C"/>
    <w:rsid w:val="00942517"/>
    <w:rsid w:val="00944E12"/>
    <w:rsid w:val="009535E6"/>
    <w:rsid w:val="00954D7D"/>
    <w:rsid w:val="00955CCA"/>
    <w:rsid w:val="0095604D"/>
    <w:rsid w:val="00957116"/>
    <w:rsid w:val="00957D94"/>
    <w:rsid w:val="00962177"/>
    <w:rsid w:val="009650B2"/>
    <w:rsid w:val="00970FCD"/>
    <w:rsid w:val="009759FF"/>
    <w:rsid w:val="00980E2C"/>
    <w:rsid w:val="009851DE"/>
    <w:rsid w:val="00986AE7"/>
    <w:rsid w:val="0098761C"/>
    <w:rsid w:val="00987D79"/>
    <w:rsid w:val="009914EE"/>
    <w:rsid w:val="009A280F"/>
    <w:rsid w:val="009A40B2"/>
    <w:rsid w:val="009A52F0"/>
    <w:rsid w:val="009A6318"/>
    <w:rsid w:val="009B0716"/>
    <w:rsid w:val="009B30C5"/>
    <w:rsid w:val="009C1674"/>
    <w:rsid w:val="009C285D"/>
    <w:rsid w:val="009C352D"/>
    <w:rsid w:val="009C6B38"/>
    <w:rsid w:val="009E0B2E"/>
    <w:rsid w:val="009E1F69"/>
    <w:rsid w:val="009E3D0A"/>
    <w:rsid w:val="009F129F"/>
    <w:rsid w:val="009F35CE"/>
    <w:rsid w:val="009F3F7A"/>
    <w:rsid w:val="009F50D7"/>
    <w:rsid w:val="00A01C44"/>
    <w:rsid w:val="00A06C59"/>
    <w:rsid w:val="00A104AC"/>
    <w:rsid w:val="00A12A24"/>
    <w:rsid w:val="00A1357E"/>
    <w:rsid w:val="00A151B4"/>
    <w:rsid w:val="00A25880"/>
    <w:rsid w:val="00A27845"/>
    <w:rsid w:val="00A32A4E"/>
    <w:rsid w:val="00A368B5"/>
    <w:rsid w:val="00A41569"/>
    <w:rsid w:val="00A4309E"/>
    <w:rsid w:val="00A43F6E"/>
    <w:rsid w:val="00A45C93"/>
    <w:rsid w:val="00A61F94"/>
    <w:rsid w:val="00A634B6"/>
    <w:rsid w:val="00A65BC6"/>
    <w:rsid w:val="00A66771"/>
    <w:rsid w:val="00A7516B"/>
    <w:rsid w:val="00A81C1D"/>
    <w:rsid w:val="00A83369"/>
    <w:rsid w:val="00A86E33"/>
    <w:rsid w:val="00A879AC"/>
    <w:rsid w:val="00A90AAA"/>
    <w:rsid w:val="00A91373"/>
    <w:rsid w:val="00A94CB1"/>
    <w:rsid w:val="00A97E9F"/>
    <w:rsid w:val="00AA1B7E"/>
    <w:rsid w:val="00AA672C"/>
    <w:rsid w:val="00AB12BF"/>
    <w:rsid w:val="00AB6AB7"/>
    <w:rsid w:val="00AC00B1"/>
    <w:rsid w:val="00AC171B"/>
    <w:rsid w:val="00AC4C71"/>
    <w:rsid w:val="00AD0D9F"/>
    <w:rsid w:val="00AD1F71"/>
    <w:rsid w:val="00AD6C1E"/>
    <w:rsid w:val="00AE10A0"/>
    <w:rsid w:val="00AE14B5"/>
    <w:rsid w:val="00AE4308"/>
    <w:rsid w:val="00AE4ABA"/>
    <w:rsid w:val="00AE5008"/>
    <w:rsid w:val="00AE567E"/>
    <w:rsid w:val="00AF022E"/>
    <w:rsid w:val="00AF0B80"/>
    <w:rsid w:val="00AF529C"/>
    <w:rsid w:val="00AF59B8"/>
    <w:rsid w:val="00AF59C3"/>
    <w:rsid w:val="00AF705D"/>
    <w:rsid w:val="00AF74EF"/>
    <w:rsid w:val="00B004D1"/>
    <w:rsid w:val="00B01D73"/>
    <w:rsid w:val="00B0329D"/>
    <w:rsid w:val="00B067B3"/>
    <w:rsid w:val="00B07349"/>
    <w:rsid w:val="00B07A66"/>
    <w:rsid w:val="00B114DE"/>
    <w:rsid w:val="00B23109"/>
    <w:rsid w:val="00B2704D"/>
    <w:rsid w:val="00B30CC9"/>
    <w:rsid w:val="00B33DBA"/>
    <w:rsid w:val="00B35F07"/>
    <w:rsid w:val="00B375BE"/>
    <w:rsid w:val="00B427DB"/>
    <w:rsid w:val="00B43A5B"/>
    <w:rsid w:val="00B443AA"/>
    <w:rsid w:val="00B44D58"/>
    <w:rsid w:val="00B6069A"/>
    <w:rsid w:val="00B631E4"/>
    <w:rsid w:val="00B63B71"/>
    <w:rsid w:val="00B72645"/>
    <w:rsid w:val="00B72DE8"/>
    <w:rsid w:val="00B731FD"/>
    <w:rsid w:val="00B76EEB"/>
    <w:rsid w:val="00B77DFA"/>
    <w:rsid w:val="00B80E9A"/>
    <w:rsid w:val="00B85AAB"/>
    <w:rsid w:val="00B862F7"/>
    <w:rsid w:val="00B86EE8"/>
    <w:rsid w:val="00B91930"/>
    <w:rsid w:val="00B9615D"/>
    <w:rsid w:val="00B97825"/>
    <w:rsid w:val="00BA2052"/>
    <w:rsid w:val="00BB1817"/>
    <w:rsid w:val="00BB6FCC"/>
    <w:rsid w:val="00BC3676"/>
    <w:rsid w:val="00BD020B"/>
    <w:rsid w:val="00BD1050"/>
    <w:rsid w:val="00BD458F"/>
    <w:rsid w:val="00BE71AD"/>
    <w:rsid w:val="00BF4259"/>
    <w:rsid w:val="00BF67BA"/>
    <w:rsid w:val="00BF7320"/>
    <w:rsid w:val="00C10F51"/>
    <w:rsid w:val="00C10F55"/>
    <w:rsid w:val="00C14887"/>
    <w:rsid w:val="00C16450"/>
    <w:rsid w:val="00C20F13"/>
    <w:rsid w:val="00C24141"/>
    <w:rsid w:val="00C25114"/>
    <w:rsid w:val="00C26B49"/>
    <w:rsid w:val="00C27EE9"/>
    <w:rsid w:val="00C30336"/>
    <w:rsid w:val="00C346C0"/>
    <w:rsid w:val="00C3600A"/>
    <w:rsid w:val="00C41DC2"/>
    <w:rsid w:val="00C467C2"/>
    <w:rsid w:val="00C46DA2"/>
    <w:rsid w:val="00C5100A"/>
    <w:rsid w:val="00C51167"/>
    <w:rsid w:val="00C53077"/>
    <w:rsid w:val="00C614B0"/>
    <w:rsid w:val="00C634C2"/>
    <w:rsid w:val="00C64072"/>
    <w:rsid w:val="00C663EC"/>
    <w:rsid w:val="00C664EC"/>
    <w:rsid w:val="00C667C2"/>
    <w:rsid w:val="00C70B9F"/>
    <w:rsid w:val="00C72982"/>
    <w:rsid w:val="00C75949"/>
    <w:rsid w:val="00C75EB9"/>
    <w:rsid w:val="00C77A83"/>
    <w:rsid w:val="00C85145"/>
    <w:rsid w:val="00C9212F"/>
    <w:rsid w:val="00C94E0F"/>
    <w:rsid w:val="00C955B4"/>
    <w:rsid w:val="00C96C88"/>
    <w:rsid w:val="00C978A9"/>
    <w:rsid w:val="00C97A2D"/>
    <w:rsid w:val="00CA1641"/>
    <w:rsid w:val="00CA393F"/>
    <w:rsid w:val="00CA41CB"/>
    <w:rsid w:val="00CB0D63"/>
    <w:rsid w:val="00CB3AB0"/>
    <w:rsid w:val="00CC2062"/>
    <w:rsid w:val="00CC24D7"/>
    <w:rsid w:val="00CC42DC"/>
    <w:rsid w:val="00CC4795"/>
    <w:rsid w:val="00CD056E"/>
    <w:rsid w:val="00CD311A"/>
    <w:rsid w:val="00CD3CD1"/>
    <w:rsid w:val="00CD4E9A"/>
    <w:rsid w:val="00CD7D4D"/>
    <w:rsid w:val="00CE4F3F"/>
    <w:rsid w:val="00D02F62"/>
    <w:rsid w:val="00D065A5"/>
    <w:rsid w:val="00D1228B"/>
    <w:rsid w:val="00D13DC4"/>
    <w:rsid w:val="00D16F0B"/>
    <w:rsid w:val="00D17BF4"/>
    <w:rsid w:val="00D21913"/>
    <w:rsid w:val="00D21A53"/>
    <w:rsid w:val="00D2282D"/>
    <w:rsid w:val="00D2749B"/>
    <w:rsid w:val="00D434E9"/>
    <w:rsid w:val="00D452C2"/>
    <w:rsid w:val="00D45C6C"/>
    <w:rsid w:val="00D4758E"/>
    <w:rsid w:val="00D51159"/>
    <w:rsid w:val="00D5203B"/>
    <w:rsid w:val="00D52D73"/>
    <w:rsid w:val="00D55910"/>
    <w:rsid w:val="00D57ABE"/>
    <w:rsid w:val="00D63188"/>
    <w:rsid w:val="00D63BDC"/>
    <w:rsid w:val="00D64A25"/>
    <w:rsid w:val="00D66440"/>
    <w:rsid w:val="00D66C91"/>
    <w:rsid w:val="00D778CD"/>
    <w:rsid w:val="00D80410"/>
    <w:rsid w:val="00D8413C"/>
    <w:rsid w:val="00D879C4"/>
    <w:rsid w:val="00D87B2D"/>
    <w:rsid w:val="00D906A2"/>
    <w:rsid w:val="00D92C96"/>
    <w:rsid w:val="00D9320E"/>
    <w:rsid w:val="00D94C88"/>
    <w:rsid w:val="00DA6708"/>
    <w:rsid w:val="00DB1BCD"/>
    <w:rsid w:val="00DB2BA4"/>
    <w:rsid w:val="00DB474A"/>
    <w:rsid w:val="00DB5298"/>
    <w:rsid w:val="00DC069D"/>
    <w:rsid w:val="00DC077E"/>
    <w:rsid w:val="00DC12F4"/>
    <w:rsid w:val="00DC2960"/>
    <w:rsid w:val="00DE0ED9"/>
    <w:rsid w:val="00DE14DA"/>
    <w:rsid w:val="00DE24B4"/>
    <w:rsid w:val="00DE414D"/>
    <w:rsid w:val="00DE451F"/>
    <w:rsid w:val="00DE5592"/>
    <w:rsid w:val="00DE5945"/>
    <w:rsid w:val="00DE67C7"/>
    <w:rsid w:val="00DF2BAF"/>
    <w:rsid w:val="00DF2EC9"/>
    <w:rsid w:val="00E020DB"/>
    <w:rsid w:val="00E0275B"/>
    <w:rsid w:val="00E055E2"/>
    <w:rsid w:val="00E05D46"/>
    <w:rsid w:val="00E06987"/>
    <w:rsid w:val="00E11823"/>
    <w:rsid w:val="00E12F66"/>
    <w:rsid w:val="00E20AAA"/>
    <w:rsid w:val="00E23CE9"/>
    <w:rsid w:val="00E244D4"/>
    <w:rsid w:val="00E327F5"/>
    <w:rsid w:val="00E33D21"/>
    <w:rsid w:val="00E42D19"/>
    <w:rsid w:val="00E435B4"/>
    <w:rsid w:val="00E43C8E"/>
    <w:rsid w:val="00E44935"/>
    <w:rsid w:val="00E44BB5"/>
    <w:rsid w:val="00E44E06"/>
    <w:rsid w:val="00E4568A"/>
    <w:rsid w:val="00E4579F"/>
    <w:rsid w:val="00E46048"/>
    <w:rsid w:val="00E47F31"/>
    <w:rsid w:val="00E53A78"/>
    <w:rsid w:val="00E603A5"/>
    <w:rsid w:val="00E606F4"/>
    <w:rsid w:val="00E62B1E"/>
    <w:rsid w:val="00E633A4"/>
    <w:rsid w:val="00E6373A"/>
    <w:rsid w:val="00E65EDD"/>
    <w:rsid w:val="00E670BF"/>
    <w:rsid w:val="00E71754"/>
    <w:rsid w:val="00E731FC"/>
    <w:rsid w:val="00E7694D"/>
    <w:rsid w:val="00E81EAA"/>
    <w:rsid w:val="00E8427C"/>
    <w:rsid w:val="00E86634"/>
    <w:rsid w:val="00E869D5"/>
    <w:rsid w:val="00E872DA"/>
    <w:rsid w:val="00E93EFC"/>
    <w:rsid w:val="00E94A4D"/>
    <w:rsid w:val="00E95D23"/>
    <w:rsid w:val="00EA2238"/>
    <w:rsid w:val="00EA3FE7"/>
    <w:rsid w:val="00EB152D"/>
    <w:rsid w:val="00EB29A1"/>
    <w:rsid w:val="00EC0D73"/>
    <w:rsid w:val="00EC69A8"/>
    <w:rsid w:val="00EC7704"/>
    <w:rsid w:val="00EC7B5B"/>
    <w:rsid w:val="00ED05AC"/>
    <w:rsid w:val="00ED12D4"/>
    <w:rsid w:val="00ED2585"/>
    <w:rsid w:val="00ED52B1"/>
    <w:rsid w:val="00EE22FD"/>
    <w:rsid w:val="00EE46A8"/>
    <w:rsid w:val="00EE5031"/>
    <w:rsid w:val="00F022CD"/>
    <w:rsid w:val="00F05203"/>
    <w:rsid w:val="00F05B8A"/>
    <w:rsid w:val="00F05DC1"/>
    <w:rsid w:val="00F11007"/>
    <w:rsid w:val="00F113D2"/>
    <w:rsid w:val="00F166B3"/>
    <w:rsid w:val="00F168F2"/>
    <w:rsid w:val="00F209B4"/>
    <w:rsid w:val="00F230BA"/>
    <w:rsid w:val="00F25998"/>
    <w:rsid w:val="00F26567"/>
    <w:rsid w:val="00F3281D"/>
    <w:rsid w:val="00F33EC0"/>
    <w:rsid w:val="00F34AB3"/>
    <w:rsid w:val="00F354E4"/>
    <w:rsid w:val="00F35EC7"/>
    <w:rsid w:val="00F36143"/>
    <w:rsid w:val="00F408EE"/>
    <w:rsid w:val="00F41298"/>
    <w:rsid w:val="00F41EB1"/>
    <w:rsid w:val="00F44157"/>
    <w:rsid w:val="00F472D1"/>
    <w:rsid w:val="00F52583"/>
    <w:rsid w:val="00F54DF1"/>
    <w:rsid w:val="00F6100B"/>
    <w:rsid w:val="00F633A8"/>
    <w:rsid w:val="00F63B15"/>
    <w:rsid w:val="00F70971"/>
    <w:rsid w:val="00F709D7"/>
    <w:rsid w:val="00F717DE"/>
    <w:rsid w:val="00F71CC1"/>
    <w:rsid w:val="00F74E32"/>
    <w:rsid w:val="00F7621D"/>
    <w:rsid w:val="00F76602"/>
    <w:rsid w:val="00F76EA0"/>
    <w:rsid w:val="00F847FB"/>
    <w:rsid w:val="00F915D9"/>
    <w:rsid w:val="00F934FE"/>
    <w:rsid w:val="00F93A04"/>
    <w:rsid w:val="00F975C6"/>
    <w:rsid w:val="00FA005F"/>
    <w:rsid w:val="00FA1701"/>
    <w:rsid w:val="00FB2F94"/>
    <w:rsid w:val="00FB79E1"/>
    <w:rsid w:val="00FC148A"/>
    <w:rsid w:val="00FC1870"/>
    <w:rsid w:val="00FC2D01"/>
    <w:rsid w:val="00FC4AF7"/>
    <w:rsid w:val="00FC7162"/>
    <w:rsid w:val="00FC7E45"/>
    <w:rsid w:val="00FD4583"/>
    <w:rsid w:val="00FD528C"/>
    <w:rsid w:val="00FF3007"/>
    <w:rsid w:val="00FF38D5"/>
    <w:rsid w:val="0381249F"/>
    <w:rsid w:val="0446884F"/>
    <w:rsid w:val="0469BADE"/>
    <w:rsid w:val="0545B735"/>
    <w:rsid w:val="06E18796"/>
    <w:rsid w:val="07009665"/>
    <w:rsid w:val="09202F45"/>
    <w:rsid w:val="098C4095"/>
    <w:rsid w:val="0B730E27"/>
    <w:rsid w:val="0C7CBA49"/>
    <w:rsid w:val="0EE4E124"/>
    <w:rsid w:val="0FB45B0B"/>
    <w:rsid w:val="108491FE"/>
    <w:rsid w:val="1129DEA5"/>
    <w:rsid w:val="11502B6C"/>
    <w:rsid w:val="11E219A2"/>
    <w:rsid w:val="120156DE"/>
    <w:rsid w:val="1291B327"/>
    <w:rsid w:val="12F8E086"/>
    <w:rsid w:val="1487CC2E"/>
    <w:rsid w:val="14C5E9B6"/>
    <w:rsid w:val="180A40E9"/>
    <w:rsid w:val="1882A50B"/>
    <w:rsid w:val="1889724D"/>
    <w:rsid w:val="1A54B3E5"/>
    <w:rsid w:val="1AE12483"/>
    <w:rsid w:val="1B14636E"/>
    <w:rsid w:val="1BA68833"/>
    <w:rsid w:val="1C360531"/>
    <w:rsid w:val="1D934171"/>
    <w:rsid w:val="1FED64BD"/>
    <w:rsid w:val="20E2AF69"/>
    <w:rsid w:val="2187744E"/>
    <w:rsid w:val="21A75428"/>
    <w:rsid w:val="23064CF6"/>
    <w:rsid w:val="26E501EB"/>
    <w:rsid w:val="272D02D9"/>
    <w:rsid w:val="2776FEEC"/>
    <w:rsid w:val="278C1056"/>
    <w:rsid w:val="28885A30"/>
    <w:rsid w:val="2934F8C7"/>
    <w:rsid w:val="29A3EDEB"/>
    <w:rsid w:val="29B89E0D"/>
    <w:rsid w:val="2A1646D5"/>
    <w:rsid w:val="2A30E87E"/>
    <w:rsid w:val="2BF85861"/>
    <w:rsid w:val="2C0E9596"/>
    <w:rsid w:val="2D5D4FAC"/>
    <w:rsid w:val="2F33DBCF"/>
    <w:rsid w:val="30161A6C"/>
    <w:rsid w:val="30BB3D35"/>
    <w:rsid w:val="3178B81C"/>
    <w:rsid w:val="33309203"/>
    <w:rsid w:val="340A89C2"/>
    <w:rsid w:val="352CDDCE"/>
    <w:rsid w:val="3571B19C"/>
    <w:rsid w:val="35CFB34A"/>
    <w:rsid w:val="35F2417E"/>
    <w:rsid w:val="364C89B7"/>
    <w:rsid w:val="3A143F5C"/>
    <w:rsid w:val="3C24BEF9"/>
    <w:rsid w:val="3F997CD1"/>
    <w:rsid w:val="421E125F"/>
    <w:rsid w:val="42675513"/>
    <w:rsid w:val="43800B82"/>
    <w:rsid w:val="44032574"/>
    <w:rsid w:val="44BD4F90"/>
    <w:rsid w:val="45036321"/>
    <w:rsid w:val="4947F390"/>
    <w:rsid w:val="49F916B4"/>
    <w:rsid w:val="4B4646D4"/>
    <w:rsid w:val="4BC9A824"/>
    <w:rsid w:val="4DCF8998"/>
    <w:rsid w:val="4DE0B26A"/>
    <w:rsid w:val="4F4BCC68"/>
    <w:rsid w:val="5018931C"/>
    <w:rsid w:val="515FCF10"/>
    <w:rsid w:val="51D34F15"/>
    <w:rsid w:val="5501ADA7"/>
    <w:rsid w:val="5A40D14C"/>
    <w:rsid w:val="5A7F7709"/>
    <w:rsid w:val="5A92B63A"/>
    <w:rsid w:val="5C3826A2"/>
    <w:rsid w:val="5D0760AD"/>
    <w:rsid w:val="5D4ADD14"/>
    <w:rsid w:val="5DB8FA59"/>
    <w:rsid w:val="5E5C281F"/>
    <w:rsid w:val="5E5E4998"/>
    <w:rsid w:val="5EBEC869"/>
    <w:rsid w:val="5F96A869"/>
    <w:rsid w:val="5FB01B4B"/>
    <w:rsid w:val="607CAC5E"/>
    <w:rsid w:val="61C333F3"/>
    <w:rsid w:val="63550EE0"/>
    <w:rsid w:val="63F18B68"/>
    <w:rsid w:val="64FEA914"/>
    <w:rsid w:val="654DCF9D"/>
    <w:rsid w:val="65DB2F08"/>
    <w:rsid w:val="67AF03AE"/>
    <w:rsid w:val="683649D6"/>
    <w:rsid w:val="68539F92"/>
    <w:rsid w:val="6AAE168E"/>
    <w:rsid w:val="6AB033C2"/>
    <w:rsid w:val="6B07AAF3"/>
    <w:rsid w:val="6B969F64"/>
    <w:rsid w:val="6C5C0314"/>
    <w:rsid w:val="6D744C7C"/>
    <w:rsid w:val="6D7E5720"/>
    <w:rsid w:val="7301C337"/>
    <w:rsid w:val="738888EC"/>
    <w:rsid w:val="748A152C"/>
    <w:rsid w:val="75269E66"/>
    <w:rsid w:val="75E2430A"/>
    <w:rsid w:val="765DAACD"/>
    <w:rsid w:val="76F1C50F"/>
    <w:rsid w:val="7705B3B8"/>
    <w:rsid w:val="77BB08C4"/>
    <w:rsid w:val="77CB29B6"/>
    <w:rsid w:val="77E27DBA"/>
    <w:rsid w:val="798239CD"/>
    <w:rsid w:val="7A2F7E6C"/>
    <w:rsid w:val="7AE107E8"/>
    <w:rsid w:val="7B02CA78"/>
    <w:rsid w:val="7CFDA28E"/>
    <w:rsid w:val="7D7147E9"/>
    <w:rsid w:val="7D99B49E"/>
    <w:rsid w:val="7F0F0392"/>
    <w:rsid w:val="7F78C1A2"/>
    <w:rsid w:val="7FB5BB8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6F70C3F"/>
  <w15:chartTrackingRefBased/>
  <w15:docId w15:val="{25FBF6E6-E75E-4B6D-A473-1E19FC0C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4F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4F6"/>
    <w:rPr>
      <w:rFonts w:ascii="Segoe UI" w:hAnsi="Segoe UI" w:cs="Segoe UI"/>
      <w:sz w:val="18"/>
      <w:szCs w:val="18"/>
    </w:rPr>
  </w:style>
  <w:style w:type="paragraph" w:styleId="ListParagraph">
    <w:name w:val="List Paragraph"/>
    <w:basedOn w:val="Normal"/>
    <w:uiPriority w:val="34"/>
    <w:qFormat/>
    <w:rsid w:val="00795159"/>
    <w:pPr>
      <w:ind w:left="720"/>
      <w:contextualSpacing/>
    </w:pPr>
  </w:style>
  <w:style w:type="character" w:styleId="CommentReference">
    <w:name w:val="annotation reference"/>
    <w:basedOn w:val="DefaultParagraphFont"/>
    <w:uiPriority w:val="99"/>
    <w:semiHidden/>
    <w:unhideWhenUsed/>
    <w:rsid w:val="001F106B"/>
    <w:rPr>
      <w:sz w:val="16"/>
      <w:szCs w:val="16"/>
    </w:rPr>
  </w:style>
  <w:style w:type="paragraph" w:styleId="CommentText">
    <w:name w:val="annotation text"/>
    <w:basedOn w:val="Normal"/>
    <w:link w:val="CommentTextChar"/>
    <w:uiPriority w:val="99"/>
    <w:semiHidden/>
    <w:unhideWhenUsed/>
    <w:rsid w:val="001F106B"/>
    <w:rPr>
      <w:sz w:val="20"/>
      <w:szCs w:val="20"/>
    </w:rPr>
  </w:style>
  <w:style w:type="character" w:customStyle="1" w:styleId="CommentTextChar">
    <w:name w:val="Comment Text Char"/>
    <w:basedOn w:val="DefaultParagraphFont"/>
    <w:link w:val="CommentText"/>
    <w:uiPriority w:val="99"/>
    <w:semiHidden/>
    <w:rsid w:val="001F10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F106B"/>
    <w:rPr>
      <w:b/>
      <w:bCs/>
    </w:rPr>
  </w:style>
  <w:style w:type="character" w:customStyle="1" w:styleId="CommentSubjectChar">
    <w:name w:val="Comment Subject Char"/>
    <w:basedOn w:val="CommentTextChar"/>
    <w:link w:val="CommentSubject"/>
    <w:uiPriority w:val="99"/>
    <w:semiHidden/>
    <w:rsid w:val="001F106B"/>
    <w:rPr>
      <w:rFonts w:ascii="Times New Roman" w:hAnsi="Times New Roman"/>
      <w:b/>
      <w:bCs/>
      <w:sz w:val="20"/>
      <w:szCs w:val="20"/>
    </w:rPr>
  </w:style>
  <w:style w:type="character" w:customStyle="1" w:styleId="normaltextrun">
    <w:name w:val="normaltextrun"/>
    <w:basedOn w:val="DefaultParagraphFont"/>
    <w:rsid w:val="00A1357E"/>
  </w:style>
  <w:style w:type="character" w:customStyle="1" w:styleId="eop">
    <w:name w:val="eop"/>
    <w:basedOn w:val="DefaultParagraphFont"/>
    <w:rsid w:val="00A1357E"/>
  </w:style>
  <w:style w:type="paragraph" w:customStyle="1" w:styleId="Standard">
    <w:name w:val="Standard"/>
    <w:rsid w:val="003166C3"/>
    <w:pPr>
      <w:suppressAutoHyphens/>
      <w:autoSpaceDN w:val="0"/>
      <w:spacing w:after="0" w:line="240" w:lineRule="auto"/>
    </w:pPr>
    <w:rPr>
      <w:rFonts w:ascii="Times New Roman" w:eastAsia="SimSun" w:hAnsi="Times New Roman" w:cs="Mangal"/>
      <w:kern w:val="3"/>
      <w:sz w:val="24"/>
      <w:szCs w:val="24"/>
      <w:lang w:eastAsia="zh-CN" w:bidi="hi-IN"/>
    </w:rPr>
  </w:style>
  <w:style w:type="numbering" w:customStyle="1" w:styleId="WWNum19">
    <w:name w:val="WWNum19"/>
    <w:rsid w:val="003166C3"/>
    <w:pPr>
      <w:numPr>
        <w:numId w:val="6"/>
      </w:numPr>
    </w:pPr>
  </w:style>
  <w:style w:type="paragraph" w:styleId="Header">
    <w:name w:val="header"/>
    <w:basedOn w:val="Normal"/>
    <w:link w:val="HeaderChar"/>
    <w:uiPriority w:val="99"/>
    <w:unhideWhenUsed/>
    <w:rsid w:val="008E1572"/>
    <w:pPr>
      <w:tabs>
        <w:tab w:val="center" w:pos="4680"/>
        <w:tab w:val="right" w:pos="9360"/>
      </w:tabs>
    </w:pPr>
  </w:style>
  <w:style w:type="character" w:customStyle="1" w:styleId="HeaderChar">
    <w:name w:val="Header Char"/>
    <w:basedOn w:val="DefaultParagraphFont"/>
    <w:link w:val="Header"/>
    <w:uiPriority w:val="99"/>
    <w:rsid w:val="008E1572"/>
    <w:rPr>
      <w:rFonts w:ascii="Times New Roman" w:hAnsi="Times New Roman"/>
      <w:sz w:val="24"/>
    </w:rPr>
  </w:style>
  <w:style w:type="paragraph" w:styleId="Footer">
    <w:name w:val="footer"/>
    <w:basedOn w:val="Normal"/>
    <w:link w:val="FooterChar"/>
    <w:uiPriority w:val="99"/>
    <w:unhideWhenUsed/>
    <w:rsid w:val="008E1572"/>
    <w:pPr>
      <w:tabs>
        <w:tab w:val="center" w:pos="4680"/>
        <w:tab w:val="right" w:pos="9360"/>
      </w:tabs>
    </w:pPr>
  </w:style>
  <w:style w:type="character" w:customStyle="1" w:styleId="FooterChar">
    <w:name w:val="Footer Char"/>
    <w:basedOn w:val="DefaultParagraphFont"/>
    <w:link w:val="Footer"/>
    <w:uiPriority w:val="99"/>
    <w:rsid w:val="008E1572"/>
    <w:rPr>
      <w:rFonts w:ascii="Times New Roman" w:hAnsi="Times New Roman"/>
      <w:sz w:val="24"/>
    </w:rPr>
  </w:style>
  <w:style w:type="character" w:customStyle="1" w:styleId="FootnoteTextChar">
    <w:name w:val="Footnote Text Char"/>
    <w:aliases w:val="Char Char,Char1 Char,Char11 Char,Char2 Char,Char21 Char,Char3 Char,Char4 Char,Char5 Char,Char6 Char,Char7 Char,Footnote Text - Preamble Char,Footnote Text - Preamble1 Char,Footnote Text - Preamble11 Char,Footnote Text - Preamble2 Char"/>
    <w:basedOn w:val="DefaultParagraphFont"/>
    <w:link w:val="FootnoteText"/>
    <w:semiHidden/>
    <w:locked/>
    <w:rsid w:val="00A43F6E"/>
    <w:rPr>
      <w:rFonts w:ascii="Times New Roman" w:hAnsi="Times New Roman" w:cs="Calibri"/>
      <w:sz w:val="20"/>
      <w:szCs w:val="20"/>
    </w:rPr>
  </w:style>
  <w:style w:type="paragraph" w:styleId="FootnoteText">
    <w:name w:val="footnote text"/>
    <w:aliases w:val="Cha,Char,Char1,Char11,Char12,Char2,Char21,Char3,Char4,Char5,Char6,Char7,Footnote Text - Preamble,Footnote Text - Preamble1,Footnote Text - Preamble11,Footnote Text - Preamble2,Footnote Text - Preamble3,Footnote Text - Preamble4"/>
    <w:basedOn w:val="Normal"/>
    <w:link w:val="FootnoteTextChar"/>
    <w:semiHidden/>
    <w:unhideWhenUsed/>
    <w:qFormat/>
    <w:rsid w:val="00A43F6E"/>
    <w:rPr>
      <w:rFonts w:cs="Calibri"/>
      <w:sz w:val="20"/>
      <w:szCs w:val="20"/>
    </w:rPr>
  </w:style>
  <w:style w:type="character" w:customStyle="1" w:styleId="FootnoteTextChar1">
    <w:name w:val="Footnote Text Char1"/>
    <w:basedOn w:val="DefaultParagraphFont"/>
    <w:uiPriority w:val="99"/>
    <w:semiHidden/>
    <w:rsid w:val="00A43F6E"/>
    <w:rPr>
      <w:rFonts w:ascii="Times New Roman" w:hAnsi="Times New Roman"/>
      <w:sz w:val="20"/>
      <w:szCs w:val="20"/>
    </w:rPr>
  </w:style>
  <w:style w:type="character" w:styleId="FootnoteReference">
    <w:name w:val="footnote reference"/>
    <w:basedOn w:val="DefaultParagraphFont"/>
    <w:uiPriority w:val="99"/>
    <w:semiHidden/>
    <w:unhideWhenUsed/>
    <w:rsid w:val="00A43F6E"/>
    <w:rPr>
      <w:vertAlign w:val="superscript"/>
    </w:rPr>
  </w:style>
  <w:style w:type="table" w:styleId="TableGrid">
    <w:name w:val="Table Grid"/>
    <w:basedOn w:val="TableNormal"/>
    <w:uiPriority w:val="39"/>
    <w:rsid w:val="00A43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7B5B"/>
    <w:rPr>
      <w:color w:val="0563C1" w:themeColor="hyperlink"/>
      <w:u w:val="single"/>
    </w:rPr>
  </w:style>
  <w:style w:type="character" w:styleId="UnresolvedMention">
    <w:name w:val="Unresolved Mention"/>
    <w:basedOn w:val="DefaultParagraphFont"/>
    <w:uiPriority w:val="99"/>
    <w:unhideWhenUsed/>
    <w:rsid w:val="00EC7B5B"/>
    <w:rPr>
      <w:color w:val="605E5C"/>
      <w:shd w:val="clear" w:color="auto" w:fill="E1DFDD"/>
    </w:rPr>
  </w:style>
  <w:style w:type="character" w:styleId="Mention">
    <w:name w:val="Mention"/>
    <w:basedOn w:val="DefaultParagraphFont"/>
    <w:uiPriority w:val="99"/>
    <w:unhideWhenUsed/>
    <w:rsid w:val="009914EE"/>
    <w:rPr>
      <w:color w:val="2B579A"/>
      <w:shd w:val="clear" w:color="auto" w:fill="E1DFDD"/>
    </w:rPr>
  </w:style>
  <w:style w:type="paragraph" w:styleId="Revision">
    <w:name w:val="Revision"/>
    <w:hidden/>
    <w:uiPriority w:val="99"/>
    <w:semiHidden/>
    <w:rsid w:val="00D4758E"/>
    <w:pPr>
      <w:spacing w:after="0" w:line="240" w:lineRule="auto"/>
    </w:pPr>
    <w:rPr>
      <w:rFonts w:ascii="Times New Roman" w:hAnsi="Times New Roman"/>
      <w:sz w:val="24"/>
    </w:rPr>
  </w:style>
  <w:style w:type="paragraph" w:customStyle="1" w:styleId="paragraph">
    <w:name w:val="paragraph"/>
    <w:basedOn w:val="Normal"/>
    <w:rsid w:val="00770005"/>
    <w:pPr>
      <w:spacing w:before="100" w:beforeAutospacing="1" w:after="100" w:afterAutospacing="1"/>
    </w:pPr>
    <w:rPr>
      <w:rFonts w:eastAsia="Times New Roman" w:cs="Times New Roman"/>
      <w:szCs w:val="24"/>
    </w:rPr>
  </w:style>
  <w:style w:type="character" w:customStyle="1" w:styleId="contextualspellingandgrammarerror">
    <w:name w:val="contextualspellingandgrammarerror"/>
    <w:basedOn w:val="DefaultParagraphFont"/>
    <w:rsid w:val="00770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2/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2021-05-04T21:20:06+00:00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e3b9e024-192f-4b11-811c-3cf166ba4edd">
      <UserInfo>
        <DisplayName>Borgert, Kyle</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D5A6FCEC7CAE6428412A13C5A7AB639" ma:contentTypeVersion="6" ma:contentTypeDescription="Create a new document." ma:contentTypeScope="" ma:versionID="dc809fa3b0fd5e6f200caaa6aa2b360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316e08d-59eb-4834-a38a-0b4a1d3a2532" xmlns:ns6="e3b9e024-192f-4b11-811c-3cf166ba4edd" targetNamespace="http://schemas.microsoft.com/office/2006/metadata/properties" ma:root="true" ma:fieldsID="e8a87f0c2e730f6de89f3a0c03a5d8e1" ns1:_="" ns2:_="" ns3:_="" ns4:_="" ns5:_="" ns6:_="">
    <xsd:import namespace="http://schemas.microsoft.com/sharepoint/v3"/>
    <xsd:import namespace="4ffa91fb-a0ff-4ac5-b2db-65c790d184a4"/>
    <xsd:import namespace="http://schemas.microsoft.com/sharepoint.v3"/>
    <xsd:import namespace="http://schemas.microsoft.com/sharepoint/v3/fields"/>
    <xsd:import namespace="6316e08d-59eb-4834-a38a-0b4a1d3a2532"/>
    <xsd:import namespace="e3b9e024-192f-4b11-811c-3cf166ba4e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dc3375c-f01e-40fd-817e-95909d6afc3b}" ma:internalName="TaxCatchAllLabel" ma:readOnly="true" ma:showField="CatchAllDataLabel" ma:web="e3b9e024-192f-4b11-811c-3cf166ba4ed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dc3375c-f01e-40fd-817e-95909d6afc3b}" ma:internalName="TaxCatchAll" ma:showField="CatchAllData" ma:web="e3b9e024-192f-4b11-811c-3cf166ba4e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16e08d-59eb-4834-a38a-0b4a1d3a253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9e024-192f-4b11-811c-3cf166ba4ed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F7CD8-6B44-4D0E-B450-3780DCAE5182}">
  <ds:schemaRefs>
    <ds:schemaRef ds:uri="Microsoft.SharePoint.Taxonomy.ContentTypeSync"/>
  </ds:schemaRefs>
</ds:datastoreItem>
</file>

<file path=customXml/itemProps2.xml><?xml version="1.0" encoding="utf-8"?>
<ds:datastoreItem xmlns:ds="http://schemas.openxmlformats.org/officeDocument/2006/customXml" ds:itemID="{6BF0F9D9-78F9-46C3-A69D-9569CB0A650E}">
  <ds:schemaRefs>
    <ds:schemaRef ds:uri="http://schemas.microsoft.com/sharepoint/v3/contenttype/forms"/>
  </ds:schemaRefs>
</ds:datastoreItem>
</file>

<file path=customXml/itemProps3.xml><?xml version="1.0" encoding="utf-8"?>
<ds:datastoreItem xmlns:ds="http://schemas.openxmlformats.org/officeDocument/2006/customXml" ds:itemID="{004DE3C0-0013-48DE-85D0-84FCC290C6A6}">
  <ds:schemaRef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microsoft.com/sharepoint.v3"/>
    <ds:schemaRef ds:uri="e3b9e024-192f-4b11-811c-3cf166ba4edd"/>
    <ds:schemaRef ds:uri="http://schemas.microsoft.com/office/infopath/2007/PartnerControls"/>
    <ds:schemaRef ds:uri="6316e08d-59eb-4834-a38a-0b4a1d3a2532"/>
    <ds:schemaRef ds:uri="http://schemas.microsoft.com/sharepoint/v3/fields"/>
    <ds:schemaRef ds:uri="4ffa91fb-a0ff-4ac5-b2db-65c790d184a4"/>
    <ds:schemaRef ds:uri="http://schemas.microsoft.com/sharepoint/v3"/>
    <ds:schemaRef ds:uri="http://purl.org/dc/terms/"/>
  </ds:schemaRefs>
</ds:datastoreItem>
</file>

<file path=customXml/itemProps4.xml><?xml version="1.0" encoding="utf-8"?>
<ds:datastoreItem xmlns:ds="http://schemas.openxmlformats.org/officeDocument/2006/customXml" ds:itemID="{6E21B636-6C6B-412E-BC17-032CEF22F8F0}">
  <ds:schemaRefs>
    <ds:schemaRef ds:uri="http://schemas.openxmlformats.org/officeDocument/2006/bibliography"/>
  </ds:schemaRefs>
</ds:datastoreItem>
</file>

<file path=customXml/itemProps5.xml><?xml version="1.0" encoding="utf-8"?>
<ds:datastoreItem xmlns:ds="http://schemas.openxmlformats.org/officeDocument/2006/customXml" ds:itemID="{434426F6-DC66-487B-866A-2244EBC0F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316e08d-59eb-4834-a38a-0b4a1d3a2532"/>
    <ds:schemaRef ds:uri="e3b9e024-192f-4b11-811c-3cf166ba4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3169</Words>
  <Characters>18069</Characters>
  <Application>Microsoft Office Word</Application>
  <DocSecurity>0</DocSecurity>
  <Lines>150</Lines>
  <Paragraphs>42</Paragraphs>
  <ScaleCrop>false</ScaleCrop>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Pastorkovich, Anne-Marie</dc:creator>
  <cp:lastModifiedBy>Pastorkovich, Anne-Marie</cp:lastModifiedBy>
  <cp:revision>2</cp:revision>
  <dcterms:created xsi:type="dcterms:W3CDTF">2023-07-11T13:25:00Z</dcterms:created>
  <dcterms:modified xsi:type="dcterms:W3CDTF">2023-07-11T13:25:00Z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0x0101007D5A6FCEC7CAE6428412A13C5A7AB639</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